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AE11" w14:textId="77777777" w:rsidR="0006548D" w:rsidRDefault="0006548D" w:rsidP="001712F9">
      <w:pPr>
        <w:jc w:val="center"/>
        <w:rPr>
          <w:rFonts w:asciiTheme="majorBidi" w:hAnsiTheme="majorBidi" w:cstheme="majorBidi"/>
          <w:b/>
          <w:sz w:val="24"/>
          <w:szCs w:val="24"/>
        </w:rPr>
      </w:pPr>
    </w:p>
    <w:p w14:paraId="282675D2" w14:textId="77777777" w:rsidR="00E90A90" w:rsidRPr="008F6C58" w:rsidRDefault="00E90A90" w:rsidP="00E90A90">
      <w:pPr>
        <w:jc w:val="center"/>
        <w:rPr>
          <w:rFonts w:asciiTheme="majorBidi" w:hAnsiTheme="majorBidi" w:cstheme="majorBidi"/>
          <w:b/>
          <w:sz w:val="24"/>
          <w:szCs w:val="24"/>
        </w:rPr>
      </w:pPr>
      <w:r w:rsidRPr="008F6C58">
        <w:rPr>
          <w:rFonts w:asciiTheme="majorBidi" w:hAnsiTheme="majorBidi" w:cstheme="majorBidi"/>
          <w:b/>
          <w:sz w:val="24"/>
          <w:szCs w:val="24"/>
        </w:rPr>
        <w:t>Vice-Chancellor Pay and Performance: The Moderating</w:t>
      </w:r>
      <w:r>
        <w:rPr>
          <w:rFonts w:asciiTheme="majorBidi" w:hAnsiTheme="majorBidi" w:cstheme="majorBidi"/>
          <w:b/>
          <w:sz w:val="24"/>
          <w:szCs w:val="24"/>
        </w:rPr>
        <w:t xml:space="preserve"> E</w:t>
      </w:r>
      <w:r w:rsidRPr="008F6C58">
        <w:rPr>
          <w:rFonts w:asciiTheme="majorBidi" w:hAnsiTheme="majorBidi" w:cstheme="majorBidi"/>
          <w:b/>
          <w:sz w:val="24"/>
          <w:szCs w:val="24"/>
        </w:rPr>
        <w:t>ffect of Vice-Chancellor Characteristics</w:t>
      </w:r>
    </w:p>
    <w:p w14:paraId="6629D60A" w14:textId="621D95A3" w:rsidR="00E90A90" w:rsidRDefault="00E90A90" w:rsidP="001712F9">
      <w:pPr>
        <w:jc w:val="center"/>
        <w:rPr>
          <w:rFonts w:asciiTheme="majorBidi" w:hAnsiTheme="majorBidi" w:cstheme="majorBidi"/>
          <w:bCs/>
          <w:sz w:val="24"/>
          <w:szCs w:val="24"/>
        </w:rPr>
      </w:pPr>
    </w:p>
    <w:p w14:paraId="240271A6" w14:textId="5D2118E7" w:rsidR="00AC6EEE" w:rsidRDefault="00AC6EEE" w:rsidP="001712F9">
      <w:pPr>
        <w:jc w:val="center"/>
        <w:rPr>
          <w:rFonts w:asciiTheme="majorBidi" w:hAnsiTheme="majorBidi" w:cstheme="majorBidi"/>
          <w:bCs/>
          <w:sz w:val="24"/>
          <w:szCs w:val="24"/>
        </w:rPr>
      </w:pPr>
    </w:p>
    <w:p w14:paraId="59C537EC" w14:textId="7DFF490C" w:rsidR="0082520F" w:rsidRDefault="0082520F" w:rsidP="001712F9">
      <w:pPr>
        <w:jc w:val="center"/>
        <w:rPr>
          <w:rFonts w:asciiTheme="majorBidi" w:hAnsiTheme="majorBidi" w:cstheme="majorBidi"/>
          <w:bCs/>
          <w:sz w:val="24"/>
          <w:szCs w:val="24"/>
        </w:rPr>
      </w:pPr>
    </w:p>
    <w:p w14:paraId="45A25C47" w14:textId="00BAE0A5" w:rsidR="0082520F" w:rsidRDefault="0082520F" w:rsidP="001712F9">
      <w:pPr>
        <w:jc w:val="center"/>
        <w:rPr>
          <w:rFonts w:asciiTheme="majorBidi" w:hAnsiTheme="majorBidi" w:cstheme="majorBidi"/>
          <w:bCs/>
          <w:sz w:val="24"/>
          <w:szCs w:val="24"/>
        </w:rPr>
      </w:pPr>
    </w:p>
    <w:p w14:paraId="1C48CD0C" w14:textId="77777777" w:rsidR="0082520F" w:rsidRDefault="0082520F" w:rsidP="001712F9">
      <w:pPr>
        <w:jc w:val="center"/>
        <w:rPr>
          <w:rFonts w:asciiTheme="majorBidi" w:hAnsiTheme="majorBidi" w:cstheme="majorBidi"/>
          <w:bCs/>
          <w:sz w:val="24"/>
          <w:szCs w:val="24"/>
        </w:rPr>
      </w:pPr>
    </w:p>
    <w:p w14:paraId="6E3187DE" w14:textId="24722EE2" w:rsidR="00AC6EEE" w:rsidRPr="00A56642" w:rsidRDefault="00A56642" w:rsidP="001712F9">
      <w:pPr>
        <w:jc w:val="center"/>
        <w:rPr>
          <w:rFonts w:asciiTheme="majorBidi" w:hAnsiTheme="majorBidi" w:cstheme="majorBidi"/>
          <w:bCs/>
          <w:sz w:val="24"/>
          <w:szCs w:val="24"/>
          <w:vertAlign w:val="superscript"/>
        </w:rPr>
      </w:pPr>
      <w:r>
        <w:rPr>
          <w:rFonts w:asciiTheme="majorBidi" w:hAnsiTheme="majorBidi" w:cstheme="majorBidi"/>
          <w:bCs/>
          <w:sz w:val="24"/>
          <w:szCs w:val="24"/>
        </w:rPr>
        <w:t>Mohamed Elmagrhi</w:t>
      </w:r>
      <w:r>
        <w:rPr>
          <w:rFonts w:asciiTheme="majorBidi" w:hAnsiTheme="majorBidi" w:cstheme="majorBidi"/>
          <w:bCs/>
          <w:sz w:val="24"/>
          <w:szCs w:val="24"/>
          <w:vertAlign w:val="superscript"/>
        </w:rPr>
        <w:t>*</w:t>
      </w:r>
      <w:r>
        <w:rPr>
          <w:rFonts w:asciiTheme="majorBidi" w:hAnsiTheme="majorBidi" w:cstheme="majorBidi"/>
          <w:bCs/>
          <w:sz w:val="24"/>
          <w:szCs w:val="24"/>
        </w:rPr>
        <w:t xml:space="preserve"> and Collins G. Ntim</w:t>
      </w:r>
      <w:r>
        <w:rPr>
          <w:rFonts w:asciiTheme="majorBidi" w:hAnsiTheme="majorBidi" w:cstheme="majorBidi"/>
          <w:bCs/>
          <w:sz w:val="24"/>
          <w:szCs w:val="24"/>
          <w:vertAlign w:val="superscript"/>
        </w:rPr>
        <w:t>**</w:t>
      </w:r>
    </w:p>
    <w:p w14:paraId="5CE18073" w14:textId="5E84AB3F" w:rsidR="00A56642" w:rsidRDefault="00A56642" w:rsidP="001712F9">
      <w:pPr>
        <w:jc w:val="center"/>
        <w:rPr>
          <w:rFonts w:asciiTheme="majorBidi" w:hAnsiTheme="majorBidi" w:cstheme="majorBidi"/>
          <w:bCs/>
          <w:sz w:val="24"/>
          <w:szCs w:val="24"/>
        </w:rPr>
      </w:pPr>
    </w:p>
    <w:p w14:paraId="2713F406" w14:textId="2FEEF431" w:rsidR="00A56642" w:rsidRDefault="00A56642" w:rsidP="00A56642">
      <w:pPr>
        <w:spacing w:after="0"/>
        <w:jc w:val="center"/>
        <w:rPr>
          <w:rFonts w:asciiTheme="majorBidi" w:hAnsiTheme="majorBidi" w:cstheme="majorBidi"/>
          <w:bCs/>
          <w:sz w:val="24"/>
          <w:szCs w:val="24"/>
        </w:rPr>
      </w:pPr>
    </w:p>
    <w:p w14:paraId="7D1ACEEE" w14:textId="088181D4" w:rsidR="0082520F" w:rsidRDefault="0082520F" w:rsidP="00A56642">
      <w:pPr>
        <w:spacing w:after="0"/>
        <w:jc w:val="center"/>
        <w:rPr>
          <w:rFonts w:asciiTheme="majorBidi" w:hAnsiTheme="majorBidi" w:cstheme="majorBidi"/>
          <w:bCs/>
          <w:sz w:val="24"/>
          <w:szCs w:val="24"/>
        </w:rPr>
      </w:pPr>
    </w:p>
    <w:p w14:paraId="6B5E5989" w14:textId="1D9DCD77" w:rsidR="0082520F" w:rsidRDefault="0082520F" w:rsidP="00A56642">
      <w:pPr>
        <w:spacing w:after="0"/>
        <w:jc w:val="center"/>
        <w:rPr>
          <w:rFonts w:asciiTheme="majorBidi" w:hAnsiTheme="majorBidi" w:cstheme="majorBidi"/>
          <w:bCs/>
          <w:sz w:val="24"/>
          <w:szCs w:val="24"/>
        </w:rPr>
      </w:pPr>
    </w:p>
    <w:p w14:paraId="49E008E6" w14:textId="77777777" w:rsidR="0082520F" w:rsidRDefault="0082520F" w:rsidP="00A56642">
      <w:pPr>
        <w:spacing w:after="0"/>
        <w:jc w:val="center"/>
        <w:rPr>
          <w:rFonts w:asciiTheme="majorBidi" w:hAnsiTheme="majorBidi" w:cstheme="majorBidi"/>
          <w:bCs/>
          <w:sz w:val="24"/>
          <w:szCs w:val="24"/>
        </w:rPr>
      </w:pPr>
    </w:p>
    <w:p w14:paraId="6CF0E14A" w14:textId="77777777" w:rsidR="00A56642" w:rsidRDefault="00A56642" w:rsidP="00A56642">
      <w:pPr>
        <w:spacing w:after="0"/>
        <w:jc w:val="center"/>
        <w:rPr>
          <w:rFonts w:asciiTheme="majorBidi" w:hAnsiTheme="majorBidi" w:cstheme="majorBidi"/>
          <w:bCs/>
          <w:sz w:val="24"/>
          <w:szCs w:val="24"/>
        </w:rPr>
      </w:pPr>
    </w:p>
    <w:p w14:paraId="44F3BC41" w14:textId="77777777" w:rsidR="00A56642" w:rsidRDefault="00A56642" w:rsidP="00A56642">
      <w:pPr>
        <w:spacing w:after="0"/>
        <w:jc w:val="center"/>
        <w:rPr>
          <w:rFonts w:asciiTheme="majorBidi" w:hAnsiTheme="majorBidi" w:cstheme="majorBidi"/>
          <w:bCs/>
          <w:sz w:val="24"/>
          <w:szCs w:val="24"/>
        </w:rPr>
      </w:pPr>
    </w:p>
    <w:p w14:paraId="22AA88E6" w14:textId="254326FD" w:rsidR="00A56642" w:rsidRPr="00A56642" w:rsidRDefault="00A56642" w:rsidP="00A56642">
      <w:pPr>
        <w:spacing w:after="0"/>
        <w:jc w:val="center"/>
        <w:rPr>
          <w:rFonts w:asciiTheme="majorBidi" w:hAnsiTheme="majorBidi" w:cstheme="majorBidi"/>
          <w:bCs/>
          <w:sz w:val="24"/>
          <w:szCs w:val="24"/>
          <w:vertAlign w:val="superscript"/>
        </w:rPr>
      </w:pPr>
      <w:r>
        <w:rPr>
          <w:rFonts w:asciiTheme="majorBidi" w:hAnsiTheme="majorBidi" w:cstheme="majorBidi"/>
          <w:bCs/>
          <w:sz w:val="24"/>
          <w:szCs w:val="24"/>
        </w:rPr>
        <w:t>Sustainable Finance Research Group</w:t>
      </w:r>
      <w:r>
        <w:rPr>
          <w:rFonts w:asciiTheme="majorBidi" w:hAnsiTheme="majorBidi" w:cstheme="majorBidi"/>
          <w:bCs/>
          <w:sz w:val="24"/>
          <w:szCs w:val="24"/>
          <w:vertAlign w:val="superscript"/>
        </w:rPr>
        <w:t>*</w:t>
      </w:r>
    </w:p>
    <w:p w14:paraId="112A8687" w14:textId="1860C7DE" w:rsidR="00A56642" w:rsidRPr="00A56642" w:rsidRDefault="00A56642" w:rsidP="00A56642">
      <w:pPr>
        <w:spacing w:after="0"/>
        <w:jc w:val="center"/>
        <w:rPr>
          <w:rFonts w:asciiTheme="majorBidi" w:hAnsiTheme="majorBidi" w:cstheme="majorBidi"/>
          <w:bCs/>
          <w:sz w:val="24"/>
          <w:szCs w:val="24"/>
          <w:vertAlign w:val="superscript"/>
        </w:rPr>
      </w:pPr>
      <w:r>
        <w:rPr>
          <w:rFonts w:asciiTheme="majorBidi" w:hAnsiTheme="majorBidi" w:cstheme="majorBidi"/>
          <w:bCs/>
          <w:sz w:val="24"/>
          <w:szCs w:val="24"/>
        </w:rPr>
        <w:t>Department of Accounting and Finance</w:t>
      </w:r>
    </w:p>
    <w:p w14:paraId="557B5789" w14:textId="01CB28F3" w:rsidR="00A56642" w:rsidRDefault="00A56642" w:rsidP="00A56642">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School of Management</w:t>
      </w:r>
    </w:p>
    <w:p w14:paraId="4BFC123C" w14:textId="77777777" w:rsidR="00A56642" w:rsidRDefault="00A56642" w:rsidP="00A56642">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Swansea University</w:t>
      </w:r>
    </w:p>
    <w:p w14:paraId="6E88418C" w14:textId="37F7CECA" w:rsidR="00A56642" w:rsidRDefault="00A56642" w:rsidP="00A56642">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Swansea, UK</w:t>
      </w:r>
    </w:p>
    <w:p w14:paraId="2796F06F" w14:textId="64928FD7" w:rsidR="00A56642" w:rsidRDefault="00A56642" w:rsidP="00A56642">
      <w:pPr>
        <w:spacing w:after="0" w:line="240" w:lineRule="auto"/>
        <w:jc w:val="center"/>
        <w:rPr>
          <w:rFonts w:asciiTheme="majorBidi" w:hAnsiTheme="majorBidi" w:cstheme="majorBidi"/>
          <w:bCs/>
          <w:sz w:val="24"/>
          <w:szCs w:val="24"/>
        </w:rPr>
      </w:pPr>
    </w:p>
    <w:p w14:paraId="65A509D0" w14:textId="0776612F" w:rsidR="00A56642" w:rsidRDefault="00A56642" w:rsidP="00A56642">
      <w:pPr>
        <w:spacing w:after="0" w:line="240" w:lineRule="auto"/>
        <w:jc w:val="center"/>
        <w:rPr>
          <w:rFonts w:asciiTheme="majorBidi" w:hAnsiTheme="majorBidi" w:cstheme="majorBidi"/>
          <w:bCs/>
          <w:sz w:val="24"/>
          <w:szCs w:val="24"/>
        </w:rPr>
      </w:pPr>
    </w:p>
    <w:p w14:paraId="77145E84" w14:textId="77777777" w:rsidR="00A56642" w:rsidRDefault="00A56642" w:rsidP="00A56642">
      <w:pPr>
        <w:spacing w:after="0" w:line="240" w:lineRule="auto"/>
        <w:jc w:val="center"/>
        <w:rPr>
          <w:rFonts w:asciiTheme="majorBidi" w:hAnsiTheme="majorBidi" w:cstheme="majorBidi"/>
          <w:bCs/>
          <w:sz w:val="24"/>
          <w:szCs w:val="24"/>
        </w:rPr>
      </w:pPr>
    </w:p>
    <w:p w14:paraId="79E7B620" w14:textId="77777777" w:rsidR="00A56642" w:rsidRDefault="00A56642" w:rsidP="00A56642">
      <w:pPr>
        <w:spacing w:after="0" w:line="240" w:lineRule="auto"/>
        <w:jc w:val="center"/>
        <w:rPr>
          <w:rFonts w:asciiTheme="majorBidi" w:hAnsiTheme="majorBidi" w:cstheme="majorBidi"/>
          <w:bCs/>
          <w:sz w:val="24"/>
          <w:szCs w:val="24"/>
        </w:rPr>
      </w:pPr>
    </w:p>
    <w:p w14:paraId="2695A140" w14:textId="32C24203" w:rsidR="00A56642" w:rsidRDefault="00A56642" w:rsidP="00A56642">
      <w:pPr>
        <w:spacing w:after="0" w:line="240" w:lineRule="auto"/>
        <w:jc w:val="center"/>
        <w:rPr>
          <w:rFonts w:asciiTheme="majorBidi" w:hAnsiTheme="majorBidi" w:cstheme="majorBidi"/>
          <w:bCs/>
          <w:sz w:val="24"/>
          <w:szCs w:val="24"/>
        </w:rPr>
      </w:pPr>
    </w:p>
    <w:p w14:paraId="616B3A7D" w14:textId="69AFBF99" w:rsidR="0082520F" w:rsidRDefault="0082520F" w:rsidP="00A56642">
      <w:pPr>
        <w:spacing w:after="0" w:line="240" w:lineRule="auto"/>
        <w:jc w:val="center"/>
        <w:rPr>
          <w:rFonts w:asciiTheme="majorBidi" w:hAnsiTheme="majorBidi" w:cstheme="majorBidi"/>
          <w:bCs/>
          <w:sz w:val="24"/>
          <w:szCs w:val="24"/>
        </w:rPr>
      </w:pPr>
    </w:p>
    <w:p w14:paraId="165649E5" w14:textId="075D8C98" w:rsidR="0082520F" w:rsidRDefault="0082520F" w:rsidP="00A56642">
      <w:pPr>
        <w:spacing w:after="0" w:line="240" w:lineRule="auto"/>
        <w:jc w:val="center"/>
        <w:rPr>
          <w:rFonts w:asciiTheme="majorBidi" w:hAnsiTheme="majorBidi" w:cstheme="majorBidi"/>
          <w:bCs/>
          <w:sz w:val="24"/>
          <w:szCs w:val="24"/>
        </w:rPr>
      </w:pPr>
    </w:p>
    <w:p w14:paraId="2AE751C0" w14:textId="77777777" w:rsidR="0082520F" w:rsidRDefault="0082520F" w:rsidP="00A56642">
      <w:pPr>
        <w:spacing w:after="0" w:line="240" w:lineRule="auto"/>
        <w:jc w:val="center"/>
        <w:rPr>
          <w:rFonts w:asciiTheme="majorBidi" w:hAnsiTheme="majorBidi" w:cstheme="majorBidi"/>
          <w:bCs/>
          <w:sz w:val="24"/>
          <w:szCs w:val="24"/>
        </w:rPr>
      </w:pPr>
    </w:p>
    <w:p w14:paraId="53A4AD39" w14:textId="60C62E67" w:rsidR="00A56642" w:rsidRPr="00A56642" w:rsidRDefault="00A56642" w:rsidP="00A56642">
      <w:pPr>
        <w:spacing w:after="0" w:line="240" w:lineRule="auto"/>
        <w:jc w:val="center"/>
        <w:rPr>
          <w:rFonts w:asciiTheme="majorBidi" w:hAnsiTheme="majorBidi" w:cstheme="majorBidi"/>
          <w:bCs/>
          <w:sz w:val="24"/>
          <w:szCs w:val="24"/>
          <w:vertAlign w:val="superscript"/>
        </w:rPr>
      </w:pPr>
      <w:r>
        <w:rPr>
          <w:rFonts w:asciiTheme="majorBidi" w:hAnsiTheme="majorBidi" w:cstheme="majorBidi"/>
          <w:bCs/>
          <w:sz w:val="24"/>
          <w:szCs w:val="24"/>
        </w:rPr>
        <w:t>Centre Research in Accounting in Accounting, Accountability and Governance (CRAAG)</w:t>
      </w:r>
      <w:r>
        <w:rPr>
          <w:rFonts w:asciiTheme="majorBidi" w:hAnsiTheme="majorBidi" w:cstheme="majorBidi"/>
          <w:bCs/>
          <w:sz w:val="24"/>
          <w:szCs w:val="24"/>
          <w:vertAlign w:val="superscript"/>
        </w:rPr>
        <w:t>**</w:t>
      </w:r>
    </w:p>
    <w:p w14:paraId="41A14C3D" w14:textId="77777777" w:rsidR="00A56642" w:rsidRDefault="00A56642" w:rsidP="00A56642">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Department of Accounting</w:t>
      </w:r>
    </w:p>
    <w:p w14:paraId="5DD9A0DF" w14:textId="77777777" w:rsidR="00A56642" w:rsidRDefault="00A56642" w:rsidP="00A56642">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Southampton Business School</w:t>
      </w:r>
    </w:p>
    <w:p w14:paraId="552C6D90" w14:textId="77777777" w:rsidR="00A56642" w:rsidRDefault="00A56642" w:rsidP="00A56642">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University of Southampton</w:t>
      </w:r>
    </w:p>
    <w:p w14:paraId="78B4B617" w14:textId="073804E0" w:rsidR="00E90A90" w:rsidRPr="0082520F" w:rsidRDefault="00A56642" w:rsidP="0082520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Southampton, UK </w:t>
      </w:r>
    </w:p>
    <w:p w14:paraId="5BF507EF" w14:textId="77777777" w:rsidR="00E90A90" w:rsidRDefault="00E90A90" w:rsidP="001712F9">
      <w:pPr>
        <w:jc w:val="center"/>
        <w:rPr>
          <w:rFonts w:asciiTheme="majorBidi" w:hAnsiTheme="majorBidi" w:cstheme="majorBidi"/>
          <w:b/>
          <w:sz w:val="24"/>
          <w:szCs w:val="24"/>
        </w:rPr>
      </w:pPr>
    </w:p>
    <w:p w14:paraId="101B71AE" w14:textId="77777777" w:rsidR="00E90A90" w:rsidRDefault="00E90A90" w:rsidP="0082520F">
      <w:pPr>
        <w:rPr>
          <w:rFonts w:asciiTheme="majorBidi" w:hAnsiTheme="majorBidi" w:cstheme="majorBidi"/>
          <w:b/>
          <w:sz w:val="24"/>
          <w:szCs w:val="24"/>
        </w:rPr>
      </w:pPr>
    </w:p>
    <w:p w14:paraId="725484B1" w14:textId="34C11D81" w:rsidR="00E90A90" w:rsidRDefault="0082520F" w:rsidP="001712F9">
      <w:pPr>
        <w:jc w:val="center"/>
        <w:rPr>
          <w:rFonts w:asciiTheme="majorBidi" w:hAnsiTheme="majorBidi" w:cstheme="majorBidi"/>
          <w:b/>
          <w:sz w:val="24"/>
          <w:szCs w:val="24"/>
        </w:rPr>
      </w:pPr>
      <w:r>
        <w:rPr>
          <w:rFonts w:asciiTheme="majorBidi" w:hAnsiTheme="majorBidi" w:cstheme="majorBidi"/>
          <w:b/>
          <w:sz w:val="24"/>
          <w:szCs w:val="24"/>
        </w:rPr>
        <w:t>To be cited as:</w:t>
      </w:r>
    </w:p>
    <w:p w14:paraId="78FF1D56" w14:textId="77777777" w:rsidR="00E90A90" w:rsidRDefault="00E90A90" w:rsidP="001712F9">
      <w:pPr>
        <w:jc w:val="center"/>
        <w:rPr>
          <w:rFonts w:asciiTheme="majorBidi" w:hAnsiTheme="majorBidi" w:cstheme="majorBidi"/>
          <w:b/>
          <w:sz w:val="24"/>
          <w:szCs w:val="24"/>
        </w:rPr>
      </w:pPr>
    </w:p>
    <w:p w14:paraId="6F959DED" w14:textId="469855D1" w:rsidR="0082520F" w:rsidRPr="0082520F" w:rsidRDefault="0082520F" w:rsidP="0082520F">
      <w:r w:rsidRPr="0082520F">
        <w:t xml:space="preserve">Elmagrhi, M. and Ntim, C.G. (2022). </w:t>
      </w:r>
      <w:proofErr w:type="gramStart"/>
      <w:r w:rsidRPr="0082520F">
        <w:t>Vice-chancellor</w:t>
      </w:r>
      <w:proofErr w:type="gramEnd"/>
      <w:r w:rsidRPr="0082520F">
        <w:t xml:space="preserve"> pay and performance: The moderating effect of vice-chancellor characteristics.</w:t>
      </w:r>
      <w:r w:rsidRPr="0082520F">
        <w:rPr>
          <w:b/>
          <w:bCs/>
          <w:i/>
          <w:iCs/>
        </w:rPr>
        <w:t xml:space="preserve"> Work, Employment and Society</w:t>
      </w:r>
      <w:r w:rsidRPr="0082520F">
        <w:t>, Forthcoming</w:t>
      </w:r>
    </w:p>
    <w:p w14:paraId="4513D893" w14:textId="77777777" w:rsidR="00E90A90" w:rsidRDefault="00E90A90" w:rsidP="001712F9">
      <w:pPr>
        <w:jc w:val="center"/>
        <w:rPr>
          <w:rFonts w:asciiTheme="majorBidi" w:hAnsiTheme="majorBidi" w:cstheme="majorBidi"/>
          <w:b/>
          <w:sz w:val="24"/>
          <w:szCs w:val="24"/>
        </w:rPr>
      </w:pPr>
    </w:p>
    <w:p w14:paraId="63F49A7E" w14:textId="027DCDE1" w:rsidR="00E95FDB" w:rsidRPr="008F6C58" w:rsidRDefault="00E95FDB" w:rsidP="001712F9">
      <w:pPr>
        <w:jc w:val="center"/>
        <w:rPr>
          <w:rFonts w:asciiTheme="majorBidi" w:hAnsiTheme="majorBidi" w:cstheme="majorBidi"/>
          <w:b/>
          <w:sz w:val="24"/>
          <w:szCs w:val="24"/>
        </w:rPr>
      </w:pPr>
      <w:r w:rsidRPr="008F6C58">
        <w:rPr>
          <w:rFonts w:asciiTheme="majorBidi" w:hAnsiTheme="majorBidi" w:cstheme="majorBidi"/>
          <w:b/>
          <w:sz w:val="24"/>
          <w:szCs w:val="24"/>
        </w:rPr>
        <w:lastRenderedPageBreak/>
        <w:t>Vice-Chancellor Pay and Performance</w:t>
      </w:r>
      <w:r w:rsidR="007A6F3A" w:rsidRPr="008F6C58">
        <w:rPr>
          <w:rFonts w:asciiTheme="majorBidi" w:hAnsiTheme="majorBidi" w:cstheme="majorBidi"/>
          <w:b/>
          <w:sz w:val="24"/>
          <w:szCs w:val="24"/>
        </w:rPr>
        <w:t>: The M</w:t>
      </w:r>
      <w:r w:rsidRPr="008F6C58">
        <w:rPr>
          <w:rFonts w:asciiTheme="majorBidi" w:hAnsiTheme="majorBidi" w:cstheme="majorBidi"/>
          <w:b/>
          <w:sz w:val="24"/>
          <w:szCs w:val="24"/>
        </w:rPr>
        <w:t>oderating</w:t>
      </w:r>
      <w:r w:rsidR="004570AB">
        <w:rPr>
          <w:rFonts w:asciiTheme="majorBidi" w:hAnsiTheme="majorBidi" w:cstheme="majorBidi"/>
          <w:b/>
          <w:sz w:val="24"/>
          <w:szCs w:val="24"/>
        </w:rPr>
        <w:t xml:space="preserve"> E</w:t>
      </w:r>
      <w:r w:rsidR="00A82DCC" w:rsidRPr="008F6C58">
        <w:rPr>
          <w:rFonts w:asciiTheme="majorBidi" w:hAnsiTheme="majorBidi" w:cstheme="majorBidi"/>
          <w:b/>
          <w:sz w:val="24"/>
          <w:szCs w:val="24"/>
        </w:rPr>
        <w:t>ffect of Vice-Chancellor Characteristics</w:t>
      </w:r>
    </w:p>
    <w:p w14:paraId="0D102E2A" w14:textId="77777777" w:rsidR="00E95FDB" w:rsidRPr="008F6C58" w:rsidRDefault="00E95FDB">
      <w:pPr>
        <w:rPr>
          <w:rFonts w:asciiTheme="majorBidi" w:hAnsiTheme="majorBidi" w:cstheme="majorBidi"/>
          <w:sz w:val="24"/>
          <w:szCs w:val="24"/>
        </w:rPr>
      </w:pPr>
    </w:p>
    <w:p w14:paraId="40C7B58F" w14:textId="645ACD47" w:rsidR="00E95FDB" w:rsidRPr="008F6C58" w:rsidRDefault="00E95FDB">
      <w:pPr>
        <w:rPr>
          <w:rFonts w:asciiTheme="majorBidi" w:hAnsiTheme="majorBidi" w:cstheme="majorBidi"/>
          <w:b/>
          <w:sz w:val="24"/>
          <w:szCs w:val="24"/>
        </w:rPr>
      </w:pPr>
      <w:r w:rsidRPr="008F6C58">
        <w:rPr>
          <w:rFonts w:asciiTheme="majorBidi" w:hAnsiTheme="majorBidi" w:cstheme="majorBidi"/>
          <w:b/>
          <w:sz w:val="24"/>
          <w:szCs w:val="24"/>
        </w:rPr>
        <w:t>Abstract</w:t>
      </w:r>
    </w:p>
    <w:p w14:paraId="7721A77A" w14:textId="2F9D0AF0" w:rsidR="00176DD4" w:rsidRPr="00272BF8" w:rsidRDefault="00E95FDB" w:rsidP="00832EE4">
      <w:pPr>
        <w:spacing w:after="0" w:line="480" w:lineRule="auto"/>
        <w:jc w:val="both"/>
        <w:rPr>
          <w:rFonts w:asciiTheme="majorBidi" w:hAnsiTheme="majorBidi" w:cstheme="majorBidi"/>
          <w:sz w:val="24"/>
          <w:szCs w:val="24"/>
        </w:rPr>
      </w:pPr>
      <w:r w:rsidRPr="00272BF8">
        <w:rPr>
          <w:rFonts w:asciiTheme="majorBidi" w:hAnsiTheme="majorBidi" w:cstheme="majorBidi"/>
          <w:sz w:val="24"/>
          <w:szCs w:val="24"/>
        </w:rPr>
        <w:t>This paper investigates the asso</w:t>
      </w:r>
      <w:r w:rsidR="007A6F3A" w:rsidRPr="00272BF8">
        <w:rPr>
          <w:rFonts w:asciiTheme="majorBidi" w:hAnsiTheme="majorBidi" w:cstheme="majorBidi"/>
          <w:sz w:val="24"/>
          <w:szCs w:val="24"/>
        </w:rPr>
        <w:t xml:space="preserve">ciation between </w:t>
      </w:r>
      <w:r w:rsidR="006C32E5" w:rsidRPr="00272BF8">
        <w:rPr>
          <w:rFonts w:asciiTheme="majorBidi" w:hAnsiTheme="majorBidi" w:cstheme="majorBidi"/>
          <w:sz w:val="24"/>
          <w:szCs w:val="24"/>
        </w:rPr>
        <w:t>UK higher education institutions (HEIs) long- and short-term performance</w:t>
      </w:r>
      <w:r w:rsidR="001010F2" w:rsidRPr="00272BF8">
        <w:rPr>
          <w:rFonts w:asciiTheme="majorBidi" w:hAnsiTheme="majorBidi" w:cstheme="majorBidi"/>
          <w:sz w:val="24"/>
          <w:szCs w:val="24"/>
        </w:rPr>
        <w:t xml:space="preserve"> measures</w:t>
      </w:r>
      <w:r w:rsidR="007876EF" w:rsidRPr="00272BF8">
        <w:rPr>
          <w:rFonts w:asciiTheme="majorBidi" w:hAnsiTheme="majorBidi" w:cstheme="majorBidi"/>
          <w:sz w:val="24"/>
          <w:szCs w:val="24"/>
        </w:rPr>
        <w:t>,</w:t>
      </w:r>
      <w:r w:rsidR="006C32E5" w:rsidRPr="00272BF8">
        <w:rPr>
          <w:rFonts w:asciiTheme="majorBidi" w:hAnsiTheme="majorBidi" w:cstheme="majorBidi"/>
          <w:sz w:val="24"/>
          <w:szCs w:val="24"/>
        </w:rPr>
        <w:t xml:space="preserve"> and </w:t>
      </w:r>
      <w:r w:rsidR="00EE7616" w:rsidRPr="00272BF8">
        <w:rPr>
          <w:rFonts w:asciiTheme="majorBidi" w:hAnsiTheme="majorBidi" w:cstheme="majorBidi"/>
          <w:sz w:val="24"/>
          <w:szCs w:val="24"/>
        </w:rPr>
        <w:t xml:space="preserve">the </w:t>
      </w:r>
      <w:r w:rsidR="007A6F3A" w:rsidRPr="00272BF8">
        <w:rPr>
          <w:rFonts w:asciiTheme="majorBidi" w:hAnsiTheme="majorBidi" w:cstheme="majorBidi"/>
          <w:sz w:val="24"/>
          <w:szCs w:val="24"/>
        </w:rPr>
        <w:t>pay of vice-chancellors</w:t>
      </w:r>
      <w:r w:rsidR="00057855" w:rsidRPr="00272BF8">
        <w:rPr>
          <w:rFonts w:asciiTheme="majorBidi" w:hAnsiTheme="majorBidi" w:cstheme="majorBidi"/>
          <w:sz w:val="24"/>
          <w:szCs w:val="24"/>
        </w:rPr>
        <w:t>/principals</w:t>
      </w:r>
      <w:r w:rsidR="007A6F3A" w:rsidRPr="00272BF8">
        <w:rPr>
          <w:rFonts w:asciiTheme="majorBidi" w:hAnsiTheme="majorBidi" w:cstheme="majorBidi"/>
          <w:sz w:val="24"/>
          <w:szCs w:val="24"/>
        </w:rPr>
        <w:t xml:space="preserve"> (VCs)</w:t>
      </w:r>
      <w:r w:rsidR="00B37CE8" w:rsidRPr="00272BF8">
        <w:rPr>
          <w:rFonts w:asciiTheme="majorBidi" w:hAnsiTheme="majorBidi" w:cstheme="majorBidi"/>
          <w:sz w:val="24"/>
          <w:szCs w:val="24"/>
        </w:rPr>
        <w:t xml:space="preserve"> in an era of </w:t>
      </w:r>
      <w:r w:rsidR="008E4DFA" w:rsidRPr="00272BF8">
        <w:rPr>
          <w:rFonts w:asciiTheme="majorBidi" w:hAnsiTheme="majorBidi" w:cstheme="majorBidi"/>
          <w:sz w:val="24"/>
          <w:szCs w:val="24"/>
        </w:rPr>
        <w:t xml:space="preserve">intense </w:t>
      </w:r>
      <w:r w:rsidR="00F246E3" w:rsidRPr="00272BF8">
        <w:rPr>
          <w:rFonts w:asciiTheme="majorBidi" w:hAnsiTheme="majorBidi" w:cstheme="majorBidi"/>
          <w:sz w:val="24"/>
          <w:szCs w:val="24"/>
        </w:rPr>
        <w:t>neoliberalism/</w:t>
      </w:r>
      <w:proofErr w:type="spellStart"/>
      <w:r w:rsidR="00A40437" w:rsidRPr="00272BF8">
        <w:rPr>
          <w:rFonts w:ascii="Times New Roman" w:hAnsi="Times New Roman" w:cs="Times New Roman"/>
          <w:sz w:val="24"/>
          <w:szCs w:val="24"/>
        </w:rPr>
        <w:t>financialisation</w:t>
      </w:r>
      <w:proofErr w:type="spellEnd"/>
      <w:r w:rsidR="00A40437" w:rsidRPr="00272BF8">
        <w:rPr>
          <w:rFonts w:asciiTheme="majorBidi" w:hAnsiTheme="majorBidi" w:cstheme="majorBidi"/>
          <w:sz w:val="24"/>
          <w:szCs w:val="24"/>
        </w:rPr>
        <w:t xml:space="preserve"> of HEIs</w:t>
      </w:r>
      <w:r w:rsidR="007A6F3A" w:rsidRPr="00272BF8">
        <w:rPr>
          <w:rFonts w:asciiTheme="majorBidi" w:hAnsiTheme="majorBidi" w:cstheme="majorBidi"/>
          <w:sz w:val="24"/>
          <w:szCs w:val="24"/>
        </w:rPr>
        <w:t xml:space="preserve">, and consequently ascertains the extent to which the </w:t>
      </w:r>
      <w:r w:rsidR="007876EF" w:rsidRPr="00272BF8">
        <w:rPr>
          <w:rFonts w:asciiTheme="majorBidi" w:hAnsiTheme="majorBidi" w:cstheme="majorBidi"/>
          <w:sz w:val="24"/>
          <w:szCs w:val="24"/>
        </w:rPr>
        <w:t>VC</w:t>
      </w:r>
      <w:r w:rsidR="0034502D" w:rsidRPr="00272BF8">
        <w:rPr>
          <w:rFonts w:asciiTheme="majorBidi" w:hAnsiTheme="majorBidi" w:cstheme="majorBidi"/>
          <w:sz w:val="24"/>
          <w:szCs w:val="24"/>
        </w:rPr>
        <w:t xml:space="preserve"> pay</w:t>
      </w:r>
      <w:r w:rsidR="007876EF" w:rsidRPr="00272BF8">
        <w:rPr>
          <w:rFonts w:asciiTheme="majorBidi" w:hAnsiTheme="majorBidi" w:cstheme="majorBidi"/>
          <w:sz w:val="24"/>
          <w:szCs w:val="24"/>
        </w:rPr>
        <w:t>–</w:t>
      </w:r>
      <w:r w:rsidR="006C32E5" w:rsidRPr="00272BF8">
        <w:rPr>
          <w:rFonts w:asciiTheme="majorBidi" w:hAnsiTheme="majorBidi" w:cstheme="majorBidi"/>
          <w:sz w:val="24"/>
          <w:szCs w:val="24"/>
        </w:rPr>
        <w:t xml:space="preserve">performance </w:t>
      </w:r>
      <w:r w:rsidR="007A6F3A" w:rsidRPr="00272BF8">
        <w:rPr>
          <w:rFonts w:asciiTheme="majorBidi" w:hAnsiTheme="majorBidi" w:cstheme="majorBidi"/>
          <w:sz w:val="24"/>
          <w:szCs w:val="24"/>
        </w:rPr>
        <w:t xml:space="preserve">nexus is moderated by VC </w:t>
      </w:r>
      <w:r w:rsidR="001D40F2" w:rsidRPr="00272BF8">
        <w:rPr>
          <w:rFonts w:asciiTheme="majorBidi" w:hAnsiTheme="majorBidi" w:cstheme="majorBidi"/>
          <w:sz w:val="24"/>
          <w:szCs w:val="24"/>
        </w:rPr>
        <w:t>characteristics</w:t>
      </w:r>
      <w:r w:rsidR="007A6F3A" w:rsidRPr="00272BF8">
        <w:rPr>
          <w:rFonts w:asciiTheme="majorBidi" w:hAnsiTheme="majorBidi" w:cstheme="majorBidi"/>
          <w:sz w:val="24"/>
          <w:szCs w:val="24"/>
        </w:rPr>
        <w:t xml:space="preserve">. </w:t>
      </w:r>
      <w:bookmarkStart w:id="0" w:name="_Hlk50312083"/>
      <w:r w:rsidR="004142C1" w:rsidRPr="00272BF8">
        <w:rPr>
          <w:rFonts w:asciiTheme="majorBidi" w:hAnsiTheme="majorBidi" w:cstheme="majorBidi"/>
          <w:sz w:val="24"/>
          <w:szCs w:val="24"/>
        </w:rPr>
        <w:t xml:space="preserve">Using a </w:t>
      </w:r>
      <w:r w:rsidR="005356F3" w:rsidRPr="00272BF8">
        <w:rPr>
          <w:rFonts w:asciiTheme="majorBidi" w:hAnsiTheme="majorBidi" w:cstheme="majorBidi"/>
          <w:sz w:val="24"/>
          <w:szCs w:val="24"/>
        </w:rPr>
        <w:t xml:space="preserve">longitudinal </w:t>
      </w:r>
      <w:r w:rsidR="004142C1" w:rsidRPr="00272BF8">
        <w:rPr>
          <w:rFonts w:asciiTheme="majorBidi" w:hAnsiTheme="majorBidi" w:cstheme="majorBidi"/>
          <w:sz w:val="24"/>
          <w:szCs w:val="24"/>
        </w:rPr>
        <w:t>sample of UK HEIs, o</w:t>
      </w:r>
      <w:r w:rsidR="00A82DCC" w:rsidRPr="00272BF8">
        <w:rPr>
          <w:rFonts w:asciiTheme="majorBidi" w:hAnsiTheme="majorBidi" w:cstheme="majorBidi"/>
          <w:sz w:val="24"/>
          <w:szCs w:val="24"/>
        </w:rPr>
        <w:t xml:space="preserve">ur baseline findings suggest that </w:t>
      </w:r>
      <w:r w:rsidR="00397DAC" w:rsidRPr="00272BF8">
        <w:rPr>
          <w:rFonts w:asciiTheme="majorBidi" w:hAnsiTheme="majorBidi" w:cstheme="majorBidi"/>
          <w:sz w:val="24"/>
          <w:szCs w:val="24"/>
        </w:rPr>
        <w:t>HEIs that</w:t>
      </w:r>
      <w:r w:rsidR="00832EE4" w:rsidRPr="00272BF8">
        <w:rPr>
          <w:rFonts w:asciiTheme="majorBidi" w:hAnsiTheme="majorBidi" w:cstheme="majorBidi"/>
          <w:sz w:val="24"/>
          <w:szCs w:val="24"/>
        </w:rPr>
        <w:t xml:space="preserve"> </w:t>
      </w:r>
      <w:r w:rsidR="00397DAC" w:rsidRPr="00272BF8">
        <w:rPr>
          <w:rFonts w:asciiTheme="majorBidi" w:hAnsiTheme="majorBidi" w:cstheme="majorBidi"/>
          <w:sz w:val="24"/>
          <w:szCs w:val="24"/>
        </w:rPr>
        <w:t>prioritis</w:t>
      </w:r>
      <w:r w:rsidR="00327EA6">
        <w:rPr>
          <w:rFonts w:asciiTheme="majorBidi" w:hAnsiTheme="majorBidi" w:cstheme="majorBidi"/>
          <w:sz w:val="24"/>
          <w:szCs w:val="24"/>
        </w:rPr>
        <w:t>e</w:t>
      </w:r>
      <w:r w:rsidR="00397DAC" w:rsidRPr="00272BF8">
        <w:rPr>
          <w:rFonts w:asciiTheme="majorBidi" w:hAnsiTheme="majorBidi" w:cstheme="majorBidi"/>
          <w:sz w:val="24"/>
          <w:szCs w:val="24"/>
        </w:rPr>
        <w:t xml:space="preserve"> </w:t>
      </w:r>
      <w:r w:rsidR="00EB7DB2">
        <w:rPr>
          <w:rFonts w:asciiTheme="majorBidi" w:hAnsiTheme="majorBidi" w:cstheme="majorBidi"/>
          <w:sz w:val="24"/>
          <w:szCs w:val="24"/>
        </w:rPr>
        <w:t xml:space="preserve">meeting </w:t>
      </w:r>
      <w:r w:rsidR="00397DAC" w:rsidRPr="00272BF8">
        <w:rPr>
          <w:rFonts w:asciiTheme="majorBidi" w:hAnsiTheme="majorBidi" w:cstheme="majorBidi"/>
          <w:sz w:val="24"/>
          <w:szCs w:val="24"/>
        </w:rPr>
        <w:t>long-term</w:t>
      </w:r>
      <w:r w:rsidR="00B9265B">
        <w:rPr>
          <w:rFonts w:asciiTheme="majorBidi" w:hAnsiTheme="majorBidi" w:cstheme="majorBidi"/>
          <w:sz w:val="24"/>
          <w:szCs w:val="24"/>
        </w:rPr>
        <w:t xml:space="preserve"> </w:t>
      </w:r>
      <w:r w:rsidR="00ED6A57">
        <w:rPr>
          <w:rFonts w:asciiTheme="majorBidi" w:hAnsiTheme="majorBidi" w:cstheme="majorBidi"/>
          <w:sz w:val="24"/>
          <w:szCs w:val="24"/>
        </w:rPr>
        <w:t xml:space="preserve">social </w:t>
      </w:r>
      <w:r w:rsidR="00B9265B">
        <w:rPr>
          <w:rFonts w:asciiTheme="majorBidi" w:hAnsiTheme="majorBidi" w:cstheme="majorBidi"/>
          <w:sz w:val="24"/>
          <w:szCs w:val="24"/>
        </w:rPr>
        <w:t>performance</w:t>
      </w:r>
      <w:r w:rsidR="00EB7DB2">
        <w:rPr>
          <w:rFonts w:asciiTheme="majorBidi" w:hAnsiTheme="majorBidi" w:cstheme="majorBidi"/>
          <w:sz w:val="24"/>
          <w:szCs w:val="24"/>
        </w:rPr>
        <w:t xml:space="preserve"> targets</w:t>
      </w:r>
      <w:r w:rsidR="00397DAC" w:rsidRPr="00272BF8">
        <w:rPr>
          <w:rFonts w:asciiTheme="majorBidi" w:hAnsiTheme="majorBidi" w:cstheme="majorBidi"/>
          <w:sz w:val="24"/>
          <w:szCs w:val="24"/>
        </w:rPr>
        <w:t xml:space="preserve"> </w:t>
      </w:r>
      <w:r w:rsidR="00327EA6">
        <w:rPr>
          <w:rFonts w:asciiTheme="majorBidi" w:hAnsiTheme="majorBidi" w:cstheme="majorBidi"/>
          <w:sz w:val="24"/>
          <w:szCs w:val="24"/>
        </w:rPr>
        <w:t xml:space="preserve">tend to </w:t>
      </w:r>
      <w:r w:rsidR="00397DAC" w:rsidRPr="00272BF8">
        <w:rPr>
          <w:rFonts w:asciiTheme="majorBidi" w:hAnsiTheme="majorBidi" w:cstheme="majorBidi"/>
          <w:sz w:val="24"/>
          <w:szCs w:val="24"/>
        </w:rPr>
        <w:t xml:space="preserve">pay their VCs </w:t>
      </w:r>
      <w:r w:rsidR="00832EE4" w:rsidRPr="00272BF8">
        <w:rPr>
          <w:rFonts w:asciiTheme="majorBidi" w:hAnsiTheme="majorBidi" w:cstheme="majorBidi"/>
          <w:sz w:val="24"/>
          <w:szCs w:val="24"/>
        </w:rPr>
        <w:t xml:space="preserve">low pay packages, whilst HEIs that focus on </w:t>
      </w:r>
      <w:r w:rsidR="00EB7DB2">
        <w:rPr>
          <w:rFonts w:asciiTheme="majorBidi" w:hAnsiTheme="majorBidi" w:cstheme="majorBidi"/>
          <w:sz w:val="24"/>
          <w:szCs w:val="24"/>
        </w:rPr>
        <w:t xml:space="preserve">achieving </w:t>
      </w:r>
      <w:r w:rsidR="00832EE4" w:rsidRPr="00272BF8">
        <w:rPr>
          <w:rFonts w:asciiTheme="majorBidi" w:hAnsiTheme="majorBidi" w:cstheme="majorBidi"/>
          <w:sz w:val="24"/>
          <w:szCs w:val="24"/>
        </w:rPr>
        <w:t>short-term</w:t>
      </w:r>
      <w:r w:rsidR="00B9265B">
        <w:rPr>
          <w:rFonts w:asciiTheme="majorBidi" w:hAnsiTheme="majorBidi" w:cstheme="majorBidi"/>
          <w:sz w:val="24"/>
          <w:szCs w:val="24"/>
        </w:rPr>
        <w:t xml:space="preserve"> </w:t>
      </w:r>
      <w:r w:rsidR="00ED6A57">
        <w:rPr>
          <w:rFonts w:asciiTheme="majorBidi" w:hAnsiTheme="majorBidi" w:cstheme="majorBidi"/>
          <w:sz w:val="24"/>
          <w:szCs w:val="24"/>
        </w:rPr>
        <w:t xml:space="preserve">reputational </w:t>
      </w:r>
      <w:r w:rsidR="00B9265B">
        <w:rPr>
          <w:rFonts w:asciiTheme="majorBidi" w:hAnsiTheme="majorBidi" w:cstheme="majorBidi"/>
          <w:sz w:val="24"/>
          <w:szCs w:val="24"/>
        </w:rPr>
        <w:t>performance</w:t>
      </w:r>
      <w:r w:rsidR="00EB7DB2">
        <w:rPr>
          <w:rFonts w:asciiTheme="majorBidi" w:hAnsiTheme="majorBidi" w:cstheme="majorBidi"/>
          <w:sz w:val="24"/>
          <w:szCs w:val="24"/>
        </w:rPr>
        <w:t xml:space="preserve"> targets</w:t>
      </w:r>
      <w:r w:rsidR="00832EE4" w:rsidRPr="00272BF8">
        <w:rPr>
          <w:rFonts w:asciiTheme="majorBidi" w:hAnsiTheme="majorBidi" w:cstheme="majorBidi"/>
          <w:sz w:val="24"/>
          <w:szCs w:val="24"/>
        </w:rPr>
        <w:t xml:space="preserve"> pay their VCs high pay packages. </w:t>
      </w:r>
      <w:bookmarkEnd w:id="0"/>
      <w:r w:rsidR="004142C1" w:rsidRPr="00272BF8">
        <w:rPr>
          <w:rFonts w:asciiTheme="majorBidi" w:hAnsiTheme="majorBidi" w:cstheme="majorBidi"/>
          <w:sz w:val="24"/>
          <w:szCs w:val="24"/>
        </w:rPr>
        <w:t xml:space="preserve">We show further that </w:t>
      </w:r>
      <w:r w:rsidR="002613DF" w:rsidRPr="00272BF8">
        <w:rPr>
          <w:rFonts w:asciiTheme="majorBidi" w:hAnsiTheme="majorBidi" w:cstheme="majorBidi"/>
          <w:sz w:val="24"/>
          <w:szCs w:val="24"/>
        </w:rPr>
        <w:t>the</w:t>
      </w:r>
      <w:r w:rsidR="00272BF8">
        <w:rPr>
          <w:rFonts w:asciiTheme="majorBidi" w:hAnsiTheme="majorBidi" w:cstheme="majorBidi"/>
          <w:sz w:val="24"/>
          <w:szCs w:val="24"/>
        </w:rPr>
        <w:t xml:space="preserve"> </w:t>
      </w:r>
      <w:r w:rsidR="004142C1" w:rsidRPr="00272BF8">
        <w:rPr>
          <w:rFonts w:asciiTheme="majorBidi" w:hAnsiTheme="majorBidi" w:cstheme="majorBidi"/>
          <w:sz w:val="24"/>
          <w:szCs w:val="24"/>
        </w:rPr>
        <w:t>VC pay–performance relationship is moderated</w:t>
      </w:r>
      <w:r w:rsidR="000F7303" w:rsidRPr="00272BF8">
        <w:rPr>
          <w:rFonts w:asciiTheme="majorBidi" w:hAnsiTheme="majorBidi" w:cstheme="majorBidi"/>
          <w:sz w:val="24"/>
          <w:szCs w:val="24"/>
        </w:rPr>
        <w:t>/</w:t>
      </w:r>
      <w:r w:rsidR="004142C1" w:rsidRPr="00272BF8">
        <w:rPr>
          <w:rFonts w:asciiTheme="majorBidi" w:hAnsiTheme="majorBidi" w:cstheme="majorBidi"/>
          <w:sz w:val="24"/>
          <w:szCs w:val="24"/>
        </w:rPr>
        <w:t>explained largely by VC characteristics</w:t>
      </w:r>
      <w:r w:rsidR="00450A59" w:rsidRPr="00272BF8">
        <w:rPr>
          <w:rFonts w:asciiTheme="majorBidi" w:hAnsiTheme="majorBidi" w:cstheme="majorBidi"/>
          <w:sz w:val="24"/>
          <w:szCs w:val="24"/>
        </w:rPr>
        <w:t>.</w:t>
      </w:r>
      <w:r w:rsidR="00E37203" w:rsidRPr="00272BF8">
        <w:rPr>
          <w:rFonts w:asciiTheme="majorBidi" w:hAnsiTheme="majorBidi" w:cstheme="majorBidi"/>
          <w:sz w:val="24"/>
          <w:szCs w:val="24"/>
        </w:rPr>
        <w:t xml:space="preserve"> </w:t>
      </w:r>
      <w:r w:rsidR="004142C1" w:rsidRPr="00272BF8">
        <w:rPr>
          <w:rFonts w:asciiTheme="majorBidi" w:hAnsiTheme="majorBidi" w:cstheme="majorBidi"/>
          <w:sz w:val="24"/>
          <w:szCs w:val="24"/>
        </w:rPr>
        <w:t xml:space="preserve">Our findings </w:t>
      </w:r>
      <w:r w:rsidR="002613DF" w:rsidRPr="00272BF8">
        <w:rPr>
          <w:rFonts w:asciiTheme="majorBidi" w:hAnsiTheme="majorBidi" w:cstheme="majorBidi"/>
          <w:sz w:val="24"/>
          <w:szCs w:val="24"/>
        </w:rPr>
        <w:t xml:space="preserve">are </w:t>
      </w:r>
      <w:r w:rsidR="004142C1" w:rsidRPr="00272BF8">
        <w:rPr>
          <w:rFonts w:asciiTheme="majorBidi" w:hAnsiTheme="majorBidi" w:cstheme="majorBidi"/>
          <w:sz w:val="24"/>
          <w:szCs w:val="24"/>
        </w:rPr>
        <w:t xml:space="preserve">robust to controlling for </w:t>
      </w:r>
      <w:r w:rsidR="002613DF" w:rsidRPr="00272BF8">
        <w:rPr>
          <w:rFonts w:asciiTheme="majorBidi" w:hAnsiTheme="majorBidi" w:cstheme="majorBidi"/>
          <w:sz w:val="24"/>
          <w:szCs w:val="24"/>
        </w:rPr>
        <w:t xml:space="preserve">alternative </w:t>
      </w:r>
      <w:r w:rsidR="004142C1" w:rsidRPr="00272BF8">
        <w:rPr>
          <w:rFonts w:asciiTheme="majorBidi" w:hAnsiTheme="majorBidi" w:cstheme="majorBidi"/>
          <w:sz w:val="24"/>
          <w:szCs w:val="24"/>
        </w:rPr>
        <w:t>governance</w:t>
      </w:r>
      <w:r w:rsidR="002613DF" w:rsidRPr="00272BF8">
        <w:rPr>
          <w:rFonts w:asciiTheme="majorBidi" w:hAnsiTheme="majorBidi" w:cstheme="majorBidi"/>
          <w:sz w:val="24"/>
          <w:szCs w:val="24"/>
        </w:rPr>
        <w:t xml:space="preserve"> mechanisms</w:t>
      </w:r>
      <w:r w:rsidR="004142C1" w:rsidRPr="00272BF8">
        <w:rPr>
          <w:rFonts w:asciiTheme="majorBidi" w:hAnsiTheme="majorBidi" w:cstheme="majorBidi"/>
          <w:sz w:val="24"/>
          <w:szCs w:val="24"/>
        </w:rPr>
        <w:t xml:space="preserve">, endogeneities, alternative </w:t>
      </w:r>
      <w:r w:rsidR="00F246E3" w:rsidRPr="00272BF8">
        <w:rPr>
          <w:rFonts w:asciiTheme="majorBidi" w:hAnsiTheme="majorBidi" w:cstheme="majorBidi"/>
          <w:sz w:val="24"/>
          <w:szCs w:val="24"/>
        </w:rPr>
        <w:t xml:space="preserve">performance </w:t>
      </w:r>
      <w:r w:rsidR="004142C1" w:rsidRPr="00272BF8">
        <w:rPr>
          <w:rFonts w:asciiTheme="majorBidi" w:hAnsiTheme="majorBidi" w:cstheme="majorBidi"/>
          <w:sz w:val="24"/>
          <w:szCs w:val="24"/>
        </w:rPr>
        <w:t xml:space="preserve">measures and </w:t>
      </w:r>
      <w:r w:rsidR="002613DF" w:rsidRPr="00272BF8">
        <w:rPr>
          <w:rFonts w:asciiTheme="majorBidi" w:hAnsiTheme="majorBidi" w:cstheme="majorBidi"/>
          <w:sz w:val="24"/>
          <w:szCs w:val="24"/>
        </w:rPr>
        <w:t xml:space="preserve">different </w:t>
      </w:r>
      <w:r w:rsidR="004142C1" w:rsidRPr="00272BF8">
        <w:rPr>
          <w:rFonts w:asciiTheme="majorBidi" w:hAnsiTheme="majorBidi" w:cstheme="majorBidi"/>
          <w:sz w:val="24"/>
          <w:szCs w:val="24"/>
        </w:rPr>
        <w:t xml:space="preserve">estimation techniques. </w:t>
      </w:r>
      <w:r w:rsidR="00EC1CA4" w:rsidRPr="00272BF8">
        <w:rPr>
          <w:rFonts w:asciiTheme="majorBidi" w:hAnsiTheme="majorBidi" w:cstheme="majorBidi"/>
          <w:sz w:val="24"/>
          <w:szCs w:val="24"/>
        </w:rPr>
        <w:t>Our findings offer empirical support for</w:t>
      </w:r>
      <w:r w:rsidR="00176DD4" w:rsidRPr="00272BF8">
        <w:rPr>
          <w:rFonts w:asciiTheme="majorBidi" w:hAnsiTheme="majorBidi" w:cstheme="majorBidi"/>
          <w:sz w:val="24"/>
          <w:szCs w:val="24"/>
        </w:rPr>
        <w:t xml:space="preserve"> optimal contracting and prestige theories</w:t>
      </w:r>
      <w:r w:rsidR="0047275E">
        <w:rPr>
          <w:rFonts w:asciiTheme="majorBidi" w:hAnsiTheme="majorBidi" w:cstheme="majorBidi"/>
          <w:sz w:val="24"/>
          <w:szCs w:val="24"/>
        </w:rPr>
        <w:t xml:space="preserve"> with significant implications for the sector</w:t>
      </w:r>
      <w:r w:rsidR="00176DD4" w:rsidRPr="00272BF8">
        <w:rPr>
          <w:rFonts w:asciiTheme="majorBidi" w:hAnsiTheme="majorBidi" w:cstheme="majorBidi"/>
          <w:sz w:val="24"/>
          <w:szCs w:val="24"/>
        </w:rPr>
        <w:t xml:space="preserve">. </w:t>
      </w:r>
    </w:p>
    <w:p w14:paraId="580FD7CB" w14:textId="3F9A0B91" w:rsidR="006C0EBB" w:rsidRPr="008F6C58" w:rsidRDefault="006C0EBB" w:rsidP="00FA3FB1">
      <w:pPr>
        <w:spacing w:after="0" w:line="480" w:lineRule="auto"/>
        <w:jc w:val="both"/>
        <w:rPr>
          <w:rFonts w:asciiTheme="majorBidi" w:hAnsiTheme="majorBidi" w:cstheme="majorBidi"/>
          <w:sz w:val="24"/>
          <w:szCs w:val="24"/>
        </w:rPr>
      </w:pPr>
    </w:p>
    <w:p w14:paraId="0BEBAB0C" w14:textId="633BDE43" w:rsidR="00832EE4" w:rsidRDefault="00057855" w:rsidP="00FA3FB1">
      <w:pPr>
        <w:spacing w:line="480" w:lineRule="auto"/>
        <w:jc w:val="both"/>
        <w:rPr>
          <w:rFonts w:asciiTheme="majorBidi" w:hAnsiTheme="majorBidi" w:cstheme="majorBidi"/>
          <w:sz w:val="24"/>
          <w:szCs w:val="24"/>
        </w:rPr>
        <w:sectPr w:rsidR="00832EE4" w:rsidSect="00C71722">
          <w:footerReference w:type="default" r:id="rId8"/>
          <w:pgSz w:w="11906" w:h="16838"/>
          <w:pgMar w:top="993" w:right="1440" w:bottom="1440" w:left="1440" w:header="708" w:footer="708" w:gutter="0"/>
          <w:cols w:space="708"/>
          <w:docGrid w:linePitch="360"/>
        </w:sectPr>
      </w:pPr>
      <w:r w:rsidRPr="008F6C58">
        <w:rPr>
          <w:rFonts w:asciiTheme="majorBidi" w:hAnsiTheme="majorBidi" w:cstheme="majorBidi"/>
          <w:b/>
          <w:sz w:val="24"/>
          <w:szCs w:val="24"/>
        </w:rPr>
        <w:t>Keywords:</w:t>
      </w:r>
      <w:r w:rsidRPr="008F6C58">
        <w:rPr>
          <w:rFonts w:asciiTheme="majorBidi" w:hAnsiTheme="majorBidi" w:cstheme="majorBidi"/>
          <w:sz w:val="24"/>
          <w:szCs w:val="24"/>
        </w:rPr>
        <w:t xml:space="preserve"> V</w:t>
      </w:r>
      <w:r>
        <w:rPr>
          <w:rFonts w:asciiTheme="majorBidi" w:hAnsiTheme="majorBidi" w:cstheme="majorBidi"/>
          <w:sz w:val="24"/>
          <w:szCs w:val="24"/>
        </w:rPr>
        <w:t>ice-</w:t>
      </w:r>
      <w:r w:rsidRPr="008F6C58">
        <w:rPr>
          <w:rFonts w:asciiTheme="majorBidi" w:hAnsiTheme="majorBidi" w:cstheme="majorBidi"/>
          <w:sz w:val="24"/>
          <w:szCs w:val="24"/>
        </w:rPr>
        <w:t>C</w:t>
      </w:r>
      <w:r>
        <w:rPr>
          <w:rFonts w:asciiTheme="majorBidi" w:hAnsiTheme="majorBidi" w:cstheme="majorBidi"/>
          <w:sz w:val="24"/>
          <w:szCs w:val="24"/>
        </w:rPr>
        <w:t>hancellor/Principal</w:t>
      </w:r>
      <w:r w:rsidRPr="008F6C58">
        <w:rPr>
          <w:rFonts w:asciiTheme="majorBidi" w:hAnsiTheme="majorBidi" w:cstheme="majorBidi"/>
          <w:sz w:val="24"/>
          <w:szCs w:val="24"/>
        </w:rPr>
        <w:t xml:space="preserve"> pay, Performance, V</w:t>
      </w:r>
      <w:r>
        <w:rPr>
          <w:rFonts w:asciiTheme="majorBidi" w:hAnsiTheme="majorBidi" w:cstheme="majorBidi"/>
          <w:sz w:val="24"/>
          <w:szCs w:val="24"/>
        </w:rPr>
        <w:t>ice-</w:t>
      </w:r>
      <w:r w:rsidRPr="008F6C58">
        <w:rPr>
          <w:rFonts w:asciiTheme="majorBidi" w:hAnsiTheme="majorBidi" w:cstheme="majorBidi"/>
          <w:sz w:val="24"/>
          <w:szCs w:val="24"/>
        </w:rPr>
        <w:t>C</w:t>
      </w:r>
      <w:r>
        <w:rPr>
          <w:rFonts w:asciiTheme="majorBidi" w:hAnsiTheme="majorBidi" w:cstheme="majorBidi"/>
          <w:sz w:val="24"/>
          <w:szCs w:val="24"/>
        </w:rPr>
        <w:t>hancellor/Principal</w:t>
      </w:r>
      <w:r w:rsidRPr="008F6C58">
        <w:rPr>
          <w:rFonts w:asciiTheme="majorBidi" w:hAnsiTheme="majorBidi" w:cstheme="majorBidi"/>
          <w:sz w:val="24"/>
          <w:szCs w:val="24"/>
        </w:rPr>
        <w:t xml:space="preserve"> characteristics, Governance, </w:t>
      </w:r>
      <w:proofErr w:type="spellStart"/>
      <w:r w:rsidR="00A40437">
        <w:rPr>
          <w:rFonts w:asciiTheme="majorBidi" w:hAnsiTheme="majorBidi" w:cstheme="majorBidi"/>
          <w:sz w:val="24"/>
          <w:szCs w:val="24"/>
        </w:rPr>
        <w:t>Financialisation</w:t>
      </w:r>
      <w:proofErr w:type="spellEnd"/>
      <w:r w:rsidR="00A40437">
        <w:rPr>
          <w:rFonts w:asciiTheme="majorBidi" w:hAnsiTheme="majorBidi" w:cstheme="majorBidi"/>
          <w:sz w:val="24"/>
          <w:szCs w:val="24"/>
        </w:rPr>
        <w:t>/</w:t>
      </w:r>
      <w:r w:rsidR="004F4F13">
        <w:rPr>
          <w:rFonts w:asciiTheme="majorBidi" w:hAnsiTheme="majorBidi" w:cstheme="majorBidi"/>
          <w:sz w:val="24"/>
          <w:szCs w:val="24"/>
        </w:rPr>
        <w:t>N</w:t>
      </w:r>
      <w:r w:rsidR="00A40437">
        <w:rPr>
          <w:rFonts w:asciiTheme="majorBidi" w:hAnsiTheme="majorBidi" w:cstheme="majorBidi"/>
          <w:sz w:val="24"/>
          <w:szCs w:val="24"/>
        </w:rPr>
        <w:t xml:space="preserve">eoliberalism, </w:t>
      </w:r>
      <w:r w:rsidR="009B6AE3">
        <w:rPr>
          <w:rFonts w:asciiTheme="majorBidi" w:hAnsiTheme="majorBidi" w:cstheme="majorBidi"/>
          <w:sz w:val="24"/>
          <w:szCs w:val="24"/>
        </w:rPr>
        <w:t>HEIs</w:t>
      </w:r>
      <w:r w:rsidRPr="008F6C58">
        <w:rPr>
          <w:rFonts w:asciiTheme="majorBidi" w:hAnsiTheme="majorBidi" w:cstheme="majorBidi"/>
          <w:sz w:val="24"/>
          <w:szCs w:val="24"/>
        </w:rPr>
        <w:t xml:space="preserve">, </w:t>
      </w:r>
      <w:r>
        <w:rPr>
          <w:rFonts w:asciiTheme="majorBidi" w:hAnsiTheme="majorBidi" w:cstheme="majorBidi"/>
          <w:sz w:val="24"/>
          <w:szCs w:val="24"/>
        </w:rPr>
        <w:t xml:space="preserve">Prestige theory, </w:t>
      </w:r>
      <w:r w:rsidRPr="008F6C58">
        <w:rPr>
          <w:rFonts w:asciiTheme="majorBidi" w:hAnsiTheme="majorBidi" w:cstheme="majorBidi"/>
          <w:sz w:val="24"/>
          <w:szCs w:val="24"/>
        </w:rPr>
        <w:t>UK</w:t>
      </w:r>
    </w:p>
    <w:p w14:paraId="0A17253B" w14:textId="69DF01B3" w:rsidR="00A82DCC" w:rsidRPr="004C1ED8" w:rsidRDefault="00F75997" w:rsidP="009664D8">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w:t>
      </w:r>
      <w:r w:rsidR="00304F87">
        <w:rPr>
          <w:rFonts w:asciiTheme="majorBidi" w:hAnsiTheme="majorBidi" w:cstheme="majorBidi"/>
          <w:b/>
          <w:bCs/>
          <w:sz w:val="24"/>
          <w:szCs w:val="24"/>
        </w:rPr>
        <w:t>ntroduction</w:t>
      </w:r>
    </w:p>
    <w:p w14:paraId="2CDD22BA" w14:textId="2FC2C6DC" w:rsidR="003D2B15" w:rsidRDefault="00774730" w:rsidP="00FA3FB1">
      <w:pPr>
        <w:spacing w:after="0" w:line="480" w:lineRule="auto"/>
        <w:jc w:val="both"/>
        <w:rPr>
          <w:rFonts w:asciiTheme="majorBidi" w:hAnsiTheme="majorBidi" w:cstheme="majorBidi"/>
          <w:sz w:val="24"/>
          <w:szCs w:val="24"/>
        </w:rPr>
      </w:pPr>
      <w:r>
        <w:rPr>
          <w:rFonts w:asciiTheme="majorBidi" w:hAnsiTheme="majorBidi" w:cstheme="majorBidi"/>
          <w:sz w:val="24"/>
          <w:szCs w:val="24"/>
        </w:rPr>
        <w:t>The h</w:t>
      </w:r>
      <w:r w:rsidR="00063ADD" w:rsidRPr="00653D88">
        <w:rPr>
          <w:rFonts w:asciiTheme="majorBidi" w:hAnsiTheme="majorBidi" w:cstheme="majorBidi"/>
          <w:sz w:val="24"/>
          <w:szCs w:val="24"/>
        </w:rPr>
        <w:t>igher education</w:t>
      </w:r>
      <w:r w:rsidR="005345EE" w:rsidRPr="00653D88">
        <w:rPr>
          <w:rFonts w:asciiTheme="majorBidi" w:hAnsiTheme="majorBidi" w:cstheme="majorBidi"/>
          <w:sz w:val="24"/>
          <w:szCs w:val="24"/>
        </w:rPr>
        <w:t xml:space="preserve"> </w:t>
      </w:r>
      <w:r w:rsidR="007849EF" w:rsidRPr="00653D88">
        <w:rPr>
          <w:rFonts w:asciiTheme="majorBidi" w:hAnsiTheme="majorBidi" w:cstheme="majorBidi"/>
          <w:sz w:val="24"/>
          <w:szCs w:val="24"/>
        </w:rPr>
        <w:t xml:space="preserve">(HE) </w:t>
      </w:r>
      <w:r w:rsidR="00063ADD" w:rsidRPr="00653D88">
        <w:rPr>
          <w:rFonts w:asciiTheme="majorBidi" w:hAnsiTheme="majorBidi" w:cstheme="majorBidi"/>
          <w:sz w:val="24"/>
          <w:szCs w:val="24"/>
        </w:rPr>
        <w:t>sector has</w:t>
      </w:r>
      <w:r w:rsidR="006F3996">
        <w:rPr>
          <w:rFonts w:asciiTheme="majorBidi" w:hAnsiTheme="majorBidi" w:cstheme="majorBidi"/>
          <w:sz w:val="24"/>
          <w:szCs w:val="24"/>
        </w:rPr>
        <w:t>,</w:t>
      </w:r>
      <w:r w:rsidR="00063ADD" w:rsidRPr="00653D88">
        <w:rPr>
          <w:rFonts w:asciiTheme="majorBidi" w:hAnsiTheme="majorBidi" w:cstheme="majorBidi"/>
          <w:sz w:val="24"/>
          <w:szCs w:val="24"/>
        </w:rPr>
        <w:t xml:space="preserve"> and continues</w:t>
      </w:r>
      <w:r w:rsidR="006F3996">
        <w:rPr>
          <w:rFonts w:asciiTheme="majorBidi" w:hAnsiTheme="majorBidi" w:cstheme="majorBidi"/>
          <w:sz w:val="24"/>
          <w:szCs w:val="24"/>
        </w:rPr>
        <w:t>,</w:t>
      </w:r>
      <w:r w:rsidR="00063ADD" w:rsidRPr="00653D88">
        <w:rPr>
          <w:rFonts w:asciiTheme="majorBidi" w:hAnsiTheme="majorBidi" w:cstheme="majorBidi"/>
          <w:sz w:val="24"/>
          <w:szCs w:val="24"/>
        </w:rPr>
        <w:t xml:space="preserve"> to experience </w:t>
      </w:r>
      <w:r w:rsidR="007669F1">
        <w:rPr>
          <w:rFonts w:asciiTheme="majorBidi" w:hAnsiTheme="majorBidi" w:cstheme="majorBidi"/>
          <w:sz w:val="24"/>
          <w:szCs w:val="24"/>
        </w:rPr>
        <w:t>rapid</w:t>
      </w:r>
      <w:r w:rsidR="00063ADD" w:rsidRPr="00653D88">
        <w:rPr>
          <w:rFonts w:asciiTheme="majorBidi" w:hAnsiTheme="majorBidi" w:cstheme="majorBidi"/>
          <w:sz w:val="24"/>
          <w:szCs w:val="24"/>
        </w:rPr>
        <w:t xml:space="preserve"> </w:t>
      </w:r>
      <w:r w:rsidR="001871C9" w:rsidRPr="008E255D">
        <w:rPr>
          <w:rFonts w:asciiTheme="majorBidi" w:hAnsiTheme="majorBidi" w:cstheme="majorBidi"/>
          <w:sz w:val="24"/>
          <w:szCs w:val="24"/>
        </w:rPr>
        <w:t>neoliberal</w:t>
      </w:r>
      <w:r w:rsidR="001871C9" w:rsidRPr="005A4084">
        <w:rPr>
          <w:rFonts w:asciiTheme="majorBidi" w:hAnsiTheme="majorBidi" w:cstheme="majorBidi"/>
          <w:sz w:val="24"/>
          <w:szCs w:val="24"/>
        </w:rPr>
        <w:t>/</w:t>
      </w:r>
      <w:proofErr w:type="spellStart"/>
      <w:r w:rsidR="001871C9" w:rsidRPr="005A4084">
        <w:rPr>
          <w:rFonts w:asciiTheme="majorBidi" w:hAnsiTheme="majorBidi" w:cstheme="majorBidi"/>
          <w:sz w:val="24"/>
          <w:szCs w:val="24"/>
        </w:rPr>
        <w:t>financialisa</w:t>
      </w:r>
      <w:r w:rsidR="001871C9" w:rsidRPr="007E6CFF">
        <w:rPr>
          <w:rFonts w:asciiTheme="majorBidi" w:hAnsiTheme="majorBidi" w:cstheme="majorBidi"/>
          <w:sz w:val="24"/>
          <w:szCs w:val="24"/>
        </w:rPr>
        <w:t>tion</w:t>
      </w:r>
      <w:proofErr w:type="spellEnd"/>
      <w:r w:rsidR="001871C9" w:rsidRPr="007E6CFF">
        <w:rPr>
          <w:rFonts w:asciiTheme="majorBidi" w:hAnsiTheme="majorBidi" w:cstheme="majorBidi"/>
          <w:sz w:val="24"/>
          <w:szCs w:val="24"/>
        </w:rPr>
        <w:t xml:space="preserve"> </w:t>
      </w:r>
      <w:r w:rsidR="00063ADD" w:rsidRPr="00C172EE">
        <w:rPr>
          <w:rFonts w:asciiTheme="majorBidi" w:hAnsiTheme="majorBidi" w:cstheme="majorBidi"/>
          <w:sz w:val="24"/>
          <w:szCs w:val="24"/>
        </w:rPr>
        <w:t>reforms</w:t>
      </w:r>
      <w:r w:rsidR="007669F1" w:rsidRPr="005C5B8D">
        <w:rPr>
          <w:rFonts w:asciiTheme="majorBidi" w:hAnsiTheme="majorBidi" w:cstheme="majorBidi"/>
          <w:sz w:val="24"/>
          <w:szCs w:val="24"/>
        </w:rPr>
        <w:t>,</w:t>
      </w:r>
      <w:r w:rsidR="00450A59" w:rsidRPr="005C5B8D">
        <w:rPr>
          <w:rFonts w:asciiTheme="majorBidi" w:hAnsiTheme="majorBidi" w:cstheme="majorBidi"/>
          <w:sz w:val="24"/>
          <w:szCs w:val="24"/>
        </w:rPr>
        <w:t xml:space="preserve"> not only in the UK, but al</w:t>
      </w:r>
      <w:r w:rsidR="00450A59" w:rsidRPr="00706BF4">
        <w:rPr>
          <w:rFonts w:asciiTheme="majorBidi" w:hAnsiTheme="majorBidi" w:cstheme="majorBidi"/>
          <w:sz w:val="24"/>
          <w:szCs w:val="24"/>
        </w:rPr>
        <w:t xml:space="preserve">so </w:t>
      </w:r>
      <w:r w:rsidR="00741D55" w:rsidRPr="00706BF4">
        <w:rPr>
          <w:rFonts w:asciiTheme="majorBidi" w:hAnsiTheme="majorBidi" w:cstheme="majorBidi"/>
          <w:sz w:val="24"/>
          <w:szCs w:val="24"/>
        </w:rPr>
        <w:t>world-wide</w:t>
      </w:r>
      <w:r w:rsidR="00731FF8" w:rsidRPr="008760DE">
        <w:rPr>
          <w:rFonts w:ascii="Times New Roman" w:hAnsi="Times New Roman" w:cs="Times New Roman"/>
          <w:sz w:val="24"/>
          <w:szCs w:val="24"/>
        </w:rPr>
        <w:t xml:space="preserve"> (Gerber </w:t>
      </w:r>
      <w:r w:rsidR="002F1D28">
        <w:rPr>
          <w:rFonts w:ascii="Times New Roman" w:hAnsi="Times New Roman" w:cs="Times New Roman"/>
          <w:sz w:val="24"/>
          <w:szCs w:val="24"/>
        </w:rPr>
        <w:t>and</w:t>
      </w:r>
      <w:r w:rsidR="00731FF8" w:rsidRPr="008760DE">
        <w:rPr>
          <w:rFonts w:ascii="Times New Roman" w:hAnsi="Times New Roman" w:cs="Times New Roman"/>
          <w:sz w:val="24"/>
          <w:szCs w:val="24"/>
        </w:rPr>
        <w:t xml:space="preserve"> Cheung, 2008</w:t>
      </w:r>
      <w:r w:rsidR="00731FF8" w:rsidRPr="002F1D28">
        <w:rPr>
          <w:rFonts w:ascii="Times New Roman" w:hAnsi="Times New Roman" w:cs="Times New Roman"/>
          <w:sz w:val="24"/>
          <w:szCs w:val="24"/>
        </w:rPr>
        <w:t>)</w:t>
      </w:r>
      <w:r w:rsidR="00202170" w:rsidRPr="002F1D28">
        <w:rPr>
          <w:rFonts w:ascii="Times New Roman" w:hAnsi="Times New Roman" w:cs="Times New Roman"/>
          <w:sz w:val="24"/>
          <w:szCs w:val="24"/>
        </w:rPr>
        <w:t xml:space="preserve">. </w:t>
      </w:r>
      <w:r w:rsidR="004C038E" w:rsidRPr="008760DE">
        <w:rPr>
          <w:rFonts w:ascii="Times New Roman" w:hAnsi="Times New Roman" w:cs="Times New Roman"/>
          <w:sz w:val="24"/>
          <w:szCs w:val="24"/>
        </w:rPr>
        <w:t>Specifically,</w:t>
      </w:r>
      <w:r w:rsidR="00202170" w:rsidRPr="008760DE">
        <w:rPr>
          <w:rFonts w:ascii="Times New Roman" w:hAnsi="Times New Roman" w:cs="Times New Roman"/>
          <w:sz w:val="24"/>
          <w:szCs w:val="24"/>
        </w:rPr>
        <w:t xml:space="preserve"> </w:t>
      </w:r>
      <w:r w:rsidR="00D736D6" w:rsidRPr="008760DE">
        <w:rPr>
          <w:rFonts w:ascii="Times New Roman" w:hAnsi="Times New Roman" w:cs="Times New Roman"/>
          <w:sz w:val="24"/>
          <w:szCs w:val="24"/>
        </w:rPr>
        <w:t xml:space="preserve">the </w:t>
      </w:r>
      <w:proofErr w:type="gramStart"/>
      <w:r w:rsidR="00D736D6" w:rsidRPr="008760DE">
        <w:rPr>
          <w:rFonts w:ascii="Times New Roman" w:hAnsi="Times New Roman" w:cs="Times New Roman"/>
          <w:sz w:val="24"/>
          <w:szCs w:val="24"/>
        </w:rPr>
        <w:t>HE</w:t>
      </w:r>
      <w:proofErr w:type="gramEnd"/>
      <w:r w:rsidR="00D736D6" w:rsidRPr="008760DE">
        <w:rPr>
          <w:rFonts w:ascii="Times New Roman" w:hAnsi="Times New Roman" w:cs="Times New Roman"/>
          <w:sz w:val="24"/>
          <w:szCs w:val="24"/>
        </w:rPr>
        <w:t xml:space="preserve"> sector is gradually moving towards private </w:t>
      </w:r>
      <w:r w:rsidR="00387A45" w:rsidRPr="008760DE">
        <w:rPr>
          <w:rFonts w:ascii="Times New Roman" w:hAnsi="Times New Roman" w:cs="Times New Roman"/>
          <w:sz w:val="24"/>
          <w:szCs w:val="24"/>
        </w:rPr>
        <w:t xml:space="preserve">sector-oriented </w:t>
      </w:r>
      <w:r w:rsidR="00D736D6" w:rsidRPr="008760DE">
        <w:rPr>
          <w:rFonts w:ascii="Times New Roman" w:hAnsi="Times New Roman" w:cs="Times New Roman"/>
          <w:sz w:val="24"/>
          <w:szCs w:val="24"/>
        </w:rPr>
        <w:t>sources of funding</w:t>
      </w:r>
      <w:r w:rsidR="00EA5FED" w:rsidRPr="008760DE">
        <w:rPr>
          <w:rFonts w:ascii="Times New Roman" w:hAnsi="Times New Roman" w:cs="Times New Roman"/>
          <w:sz w:val="24"/>
          <w:szCs w:val="24"/>
        </w:rPr>
        <w:t>,</w:t>
      </w:r>
      <w:r w:rsidR="00D736D6" w:rsidRPr="008760DE">
        <w:rPr>
          <w:rFonts w:ascii="Times New Roman" w:hAnsi="Times New Roman" w:cs="Times New Roman"/>
          <w:sz w:val="24"/>
          <w:szCs w:val="24"/>
        </w:rPr>
        <w:t xml:space="preserve"> and this is</w:t>
      </w:r>
      <w:r w:rsidR="000529C8" w:rsidRPr="008760DE">
        <w:rPr>
          <w:rFonts w:ascii="Times New Roman" w:hAnsi="Times New Roman" w:cs="Times New Roman"/>
          <w:sz w:val="24"/>
          <w:szCs w:val="24"/>
        </w:rPr>
        <w:t xml:space="preserve"> often</w:t>
      </w:r>
      <w:r w:rsidR="00D736D6" w:rsidRPr="008760DE">
        <w:rPr>
          <w:rFonts w:ascii="Times New Roman" w:hAnsi="Times New Roman" w:cs="Times New Roman"/>
          <w:sz w:val="24"/>
          <w:szCs w:val="24"/>
        </w:rPr>
        <w:t xml:space="preserve"> mainly due to significant cut of </w:t>
      </w:r>
      <w:r w:rsidR="0000314F" w:rsidRPr="008760DE">
        <w:rPr>
          <w:rFonts w:ascii="Times New Roman" w:hAnsi="Times New Roman" w:cs="Times New Roman"/>
          <w:sz w:val="24"/>
          <w:szCs w:val="24"/>
        </w:rPr>
        <w:t xml:space="preserve">state funding </w:t>
      </w:r>
      <w:r w:rsidR="00D736D6" w:rsidRPr="008760DE">
        <w:rPr>
          <w:rFonts w:ascii="Times New Roman" w:hAnsi="Times New Roman" w:cs="Times New Roman"/>
          <w:sz w:val="24"/>
          <w:szCs w:val="24"/>
        </w:rPr>
        <w:t xml:space="preserve">available </w:t>
      </w:r>
      <w:r w:rsidR="0000314F" w:rsidRPr="008760DE">
        <w:rPr>
          <w:rFonts w:ascii="Times New Roman" w:hAnsi="Times New Roman" w:cs="Times New Roman"/>
          <w:sz w:val="24"/>
          <w:szCs w:val="24"/>
        </w:rPr>
        <w:t xml:space="preserve">to HE institutions </w:t>
      </w:r>
      <w:r w:rsidR="007849EF" w:rsidRPr="008760DE">
        <w:rPr>
          <w:rFonts w:ascii="Times New Roman" w:hAnsi="Times New Roman" w:cs="Times New Roman"/>
          <w:sz w:val="24"/>
          <w:szCs w:val="24"/>
        </w:rPr>
        <w:t>(</w:t>
      </w:r>
      <w:r w:rsidR="00A76B18" w:rsidRPr="008760DE">
        <w:rPr>
          <w:rFonts w:ascii="Times New Roman" w:hAnsi="Times New Roman" w:cs="Times New Roman"/>
          <w:sz w:val="24"/>
          <w:szCs w:val="24"/>
        </w:rPr>
        <w:t xml:space="preserve">McCaig </w:t>
      </w:r>
      <w:r w:rsidR="002F1D28">
        <w:rPr>
          <w:rFonts w:ascii="Times New Roman" w:hAnsi="Times New Roman" w:cs="Times New Roman"/>
          <w:sz w:val="24"/>
          <w:szCs w:val="24"/>
        </w:rPr>
        <w:t>and</w:t>
      </w:r>
      <w:r w:rsidR="00A76B18" w:rsidRPr="008760DE">
        <w:rPr>
          <w:rFonts w:ascii="Times New Roman" w:hAnsi="Times New Roman" w:cs="Times New Roman"/>
          <w:sz w:val="24"/>
          <w:szCs w:val="24"/>
        </w:rPr>
        <w:t xml:space="preserve"> Lightfoot, 2019</w:t>
      </w:r>
      <w:r w:rsidR="007849EF" w:rsidRPr="008760DE">
        <w:rPr>
          <w:rFonts w:ascii="Times New Roman" w:hAnsi="Times New Roman" w:cs="Times New Roman"/>
          <w:sz w:val="24"/>
          <w:szCs w:val="24"/>
        </w:rPr>
        <w:t>).</w:t>
      </w:r>
      <w:r w:rsidR="007849EF" w:rsidRPr="008E255D">
        <w:rPr>
          <w:rFonts w:asciiTheme="majorBidi" w:hAnsiTheme="majorBidi" w:cstheme="majorBidi"/>
          <w:sz w:val="24"/>
          <w:szCs w:val="24"/>
        </w:rPr>
        <w:t xml:space="preserve"> Additionally, </w:t>
      </w:r>
      <w:r w:rsidR="000E303D" w:rsidRPr="005A4084">
        <w:rPr>
          <w:rFonts w:asciiTheme="majorBidi" w:hAnsiTheme="majorBidi" w:cstheme="majorBidi"/>
          <w:sz w:val="24"/>
          <w:szCs w:val="24"/>
        </w:rPr>
        <w:t>the</w:t>
      </w:r>
      <w:r w:rsidR="000E303D" w:rsidRPr="007E6CFF">
        <w:rPr>
          <w:rFonts w:asciiTheme="majorBidi" w:hAnsiTheme="majorBidi" w:cstheme="majorBidi"/>
          <w:sz w:val="24"/>
          <w:szCs w:val="24"/>
        </w:rPr>
        <w:t xml:space="preserve"> </w:t>
      </w:r>
      <w:proofErr w:type="gramStart"/>
      <w:r w:rsidR="004C038E" w:rsidRPr="007E6CFF">
        <w:rPr>
          <w:rFonts w:asciiTheme="majorBidi" w:hAnsiTheme="majorBidi" w:cstheme="majorBidi"/>
          <w:sz w:val="24"/>
          <w:szCs w:val="24"/>
        </w:rPr>
        <w:t>HE</w:t>
      </w:r>
      <w:proofErr w:type="gramEnd"/>
      <w:r w:rsidR="004C038E" w:rsidRPr="007E6CFF">
        <w:rPr>
          <w:rFonts w:asciiTheme="majorBidi" w:hAnsiTheme="majorBidi" w:cstheme="majorBidi"/>
          <w:sz w:val="24"/>
          <w:szCs w:val="24"/>
        </w:rPr>
        <w:t xml:space="preserve"> sector is </w:t>
      </w:r>
      <w:r w:rsidR="00913F2A" w:rsidRPr="00C172EE">
        <w:rPr>
          <w:rFonts w:asciiTheme="majorBidi" w:hAnsiTheme="majorBidi" w:cstheme="majorBidi"/>
          <w:sz w:val="24"/>
          <w:szCs w:val="24"/>
        </w:rPr>
        <w:t>sh</w:t>
      </w:r>
      <w:r w:rsidR="00913F2A" w:rsidRPr="005C5B8D">
        <w:rPr>
          <w:rFonts w:asciiTheme="majorBidi" w:hAnsiTheme="majorBidi" w:cstheme="majorBidi"/>
          <w:sz w:val="24"/>
          <w:szCs w:val="24"/>
        </w:rPr>
        <w:t>ifting</w:t>
      </w:r>
      <w:r w:rsidR="004C038E" w:rsidRPr="00706BF4">
        <w:rPr>
          <w:rFonts w:asciiTheme="majorBidi" w:hAnsiTheme="majorBidi" w:cstheme="majorBidi"/>
          <w:sz w:val="24"/>
          <w:szCs w:val="24"/>
        </w:rPr>
        <w:t xml:space="preserve"> towards a more market-orientated approach</w:t>
      </w:r>
      <w:r w:rsidR="00627CE2" w:rsidRPr="00641FFD">
        <w:rPr>
          <w:rFonts w:asciiTheme="majorBidi" w:hAnsiTheme="majorBidi" w:cstheme="majorBidi"/>
          <w:sz w:val="24"/>
          <w:szCs w:val="24"/>
        </w:rPr>
        <w:t xml:space="preserve"> through </w:t>
      </w:r>
      <w:r w:rsidR="001938CF" w:rsidRPr="00584DEC">
        <w:rPr>
          <w:rFonts w:asciiTheme="majorBidi" w:hAnsiTheme="majorBidi" w:cstheme="majorBidi"/>
          <w:sz w:val="24"/>
          <w:szCs w:val="24"/>
        </w:rPr>
        <w:t>the implementation of policies that</w:t>
      </w:r>
      <w:r w:rsidR="000E303D" w:rsidRPr="00584DEC">
        <w:rPr>
          <w:rFonts w:asciiTheme="majorBidi" w:hAnsiTheme="majorBidi" w:cstheme="majorBidi"/>
          <w:sz w:val="24"/>
          <w:szCs w:val="24"/>
        </w:rPr>
        <w:t xml:space="preserve"> are</w:t>
      </w:r>
      <w:r w:rsidR="001938CF" w:rsidRPr="00584DEC">
        <w:rPr>
          <w:rFonts w:asciiTheme="majorBidi" w:hAnsiTheme="majorBidi" w:cstheme="majorBidi"/>
          <w:sz w:val="24"/>
          <w:szCs w:val="24"/>
        </w:rPr>
        <w:t xml:space="preserve"> aim</w:t>
      </w:r>
      <w:r w:rsidR="000E303D" w:rsidRPr="00D709EC">
        <w:rPr>
          <w:rFonts w:asciiTheme="majorBidi" w:hAnsiTheme="majorBidi" w:cstheme="majorBidi"/>
          <w:sz w:val="24"/>
          <w:szCs w:val="24"/>
        </w:rPr>
        <w:t>ed</w:t>
      </w:r>
      <w:r w:rsidR="001938CF" w:rsidRPr="0059032F">
        <w:rPr>
          <w:rFonts w:asciiTheme="majorBidi" w:hAnsiTheme="majorBidi" w:cstheme="majorBidi"/>
          <w:sz w:val="24"/>
          <w:szCs w:val="24"/>
        </w:rPr>
        <w:t xml:space="preserve"> at promoting student choice and competition</w:t>
      </w:r>
      <w:r w:rsidR="00BE2E9E" w:rsidRPr="00D87196">
        <w:rPr>
          <w:rFonts w:asciiTheme="majorBidi" w:hAnsiTheme="majorBidi" w:cstheme="majorBidi"/>
          <w:sz w:val="24"/>
          <w:szCs w:val="24"/>
        </w:rPr>
        <w:t xml:space="preserve"> </w:t>
      </w:r>
      <w:r w:rsidR="007D4A6B" w:rsidRPr="0073752E">
        <w:rPr>
          <w:rFonts w:asciiTheme="majorBidi" w:hAnsiTheme="majorBidi" w:cstheme="majorBidi"/>
          <w:sz w:val="24"/>
          <w:szCs w:val="24"/>
        </w:rPr>
        <w:t>(</w:t>
      </w:r>
      <w:r w:rsidR="004B57B3" w:rsidRPr="002F1D28">
        <w:rPr>
          <w:rFonts w:ascii="Times New Roman" w:hAnsi="Times New Roman" w:cs="Times New Roman"/>
          <w:sz w:val="24"/>
          <w:szCs w:val="24"/>
          <w:shd w:val="clear" w:color="auto" w:fill="FFFFFF"/>
        </w:rPr>
        <w:t>Geiger, 2006</w:t>
      </w:r>
      <w:r w:rsidR="00BE2E9E" w:rsidRPr="002F1D28">
        <w:rPr>
          <w:rFonts w:asciiTheme="majorBidi" w:hAnsiTheme="majorBidi" w:cstheme="majorBidi"/>
          <w:sz w:val="24"/>
          <w:szCs w:val="24"/>
        </w:rPr>
        <w:t>)</w:t>
      </w:r>
      <w:r w:rsidR="001938CF" w:rsidRPr="002F1D28">
        <w:rPr>
          <w:rFonts w:asciiTheme="majorBidi" w:hAnsiTheme="majorBidi" w:cstheme="majorBidi"/>
          <w:sz w:val="24"/>
          <w:szCs w:val="24"/>
        </w:rPr>
        <w:t>.</w:t>
      </w:r>
      <w:r w:rsidR="00590B43">
        <w:rPr>
          <w:rFonts w:asciiTheme="majorBidi" w:hAnsiTheme="majorBidi" w:cstheme="majorBidi"/>
          <w:sz w:val="24"/>
          <w:szCs w:val="24"/>
        </w:rPr>
        <w:t xml:space="preserve"> </w:t>
      </w:r>
      <w:r w:rsidR="00BD6CAD">
        <w:rPr>
          <w:rFonts w:asciiTheme="majorBidi" w:hAnsiTheme="majorBidi" w:cstheme="majorBidi"/>
          <w:sz w:val="24"/>
          <w:szCs w:val="24"/>
        </w:rPr>
        <w:t xml:space="preserve"> </w:t>
      </w:r>
    </w:p>
    <w:p w14:paraId="334628B9" w14:textId="2DF51186" w:rsidR="00456C82" w:rsidRDefault="00B3468C" w:rsidP="0047555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The</w:t>
      </w:r>
      <w:r w:rsidR="00DF53B5">
        <w:rPr>
          <w:rFonts w:asciiTheme="majorBidi" w:hAnsiTheme="majorBidi" w:cstheme="majorBidi"/>
          <w:sz w:val="24"/>
          <w:szCs w:val="24"/>
        </w:rPr>
        <w:t xml:space="preserve"> </w:t>
      </w:r>
      <w:proofErr w:type="spellStart"/>
      <w:r w:rsidR="00DF53B5" w:rsidRPr="00DF53B5">
        <w:rPr>
          <w:rFonts w:asciiTheme="majorBidi" w:hAnsiTheme="majorBidi" w:cstheme="majorBidi"/>
          <w:sz w:val="24"/>
          <w:szCs w:val="24"/>
        </w:rPr>
        <w:t>financi</w:t>
      </w:r>
      <w:r w:rsidR="00C27676">
        <w:rPr>
          <w:rFonts w:asciiTheme="majorBidi" w:hAnsiTheme="majorBidi" w:cstheme="majorBidi"/>
          <w:sz w:val="24"/>
          <w:szCs w:val="24"/>
        </w:rPr>
        <w:t>a</w:t>
      </w:r>
      <w:r w:rsidR="00DF53B5" w:rsidRPr="00DF53B5">
        <w:rPr>
          <w:rFonts w:asciiTheme="majorBidi" w:hAnsiTheme="majorBidi" w:cstheme="majorBidi"/>
          <w:sz w:val="24"/>
          <w:szCs w:val="24"/>
        </w:rPr>
        <w:t>lisation</w:t>
      </w:r>
      <w:proofErr w:type="spellEnd"/>
      <w:r w:rsidR="00DF53B5" w:rsidRPr="00DF53B5">
        <w:rPr>
          <w:rFonts w:asciiTheme="majorBidi" w:hAnsiTheme="majorBidi" w:cstheme="majorBidi"/>
          <w:sz w:val="24"/>
          <w:szCs w:val="24"/>
        </w:rPr>
        <w:t>/marketisation</w:t>
      </w:r>
      <w:r>
        <w:rPr>
          <w:rFonts w:asciiTheme="majorBidi" w:hAnsiTheme="majorBidi" w:cstheme="majorBidi"/>
          <w:sz w:val="24"/>
          <w:szCs w:val="24"/>
        </w:rPr>
        <w:t xml:space="preserve"> of HEIs</w:t>
      </w:r>
      <w:r w:rsidR="001A3D69">
        <w:rPr>
          <w:rFonts w:asciiTheme="majorBidi" w:hAnsiTheme="majorBidi" w:cstheme="majorBidi"/>
          <w:sz w:val="24"/>
          <w:szCs w:val="24"/>
        </w:rPr>
        <w:t xml:space="preserve"> </w:t>
      </w:r>
      <w:r w:rsidR="007D3DCB">
        <w:rPr>
          <w:rFonts w:asciiTheme="majorBidi" w:hAnsiTheme="majorBidi" w:cstheme="majorBidi"/>
          <w:sz w:val="24"/>
          <w:szCs w:val="24"/>
        </w:rPr>
        <w:t xml:space="preserve">has </w:t>
      </w:r>
      <w:r w:rsidR="00A76A52">
        <w:rPr>
          <w:rFonts w:asciiTheme="majorBidi" w:hAnsiTheme="majorBidi" w:cstheme="majorBidi"/>
          <w:sz w:val="24"/>
          <w:szCs w:val="24"/>
        </w:rPr>
        <w:t>negative</w:t>
      </w:r>
      <w:r w:rsidR="00B7216B" w:rsidRPr="00B7216B">
        <w:rPr>
          <w:rFonts w:asciiTheme="majorBidi" w:hAnsiTheme="majorBidi" w:cstheme="majorBidi"/>
          <w:sz w:val="24"/>
          <w:szCs w:val="24"/>
        </w:rPr>
        <w:t xml:space="preserve"> </w:t>
      </w:r>
      <w:r w:rsidR="00B7216B">
        <w:rPr>
          <w:rFonts w:asciiTheme="majorBidi" w:hAnsiTheme="majorBidi" w:cstheme="majorBidi"/>
          <w:sz w:val="24"/>
          <w:szCs w:val="24"/>
        </w:rPr>
        <w:t xml:space="preserve">consequences for </w:t>
      </w:r>
      <w:r w:rsidR="004F2D57">
        <w:rPr>
          <w:rFonts w:asciiTheme="majorBidi" w:hAnsiTheme="majorBidi" w:cstheme="majorBidi"/>
          <w:sz w:val="24"/>
          <w:szCs w:val="24"/>
        </w:rPr>
        <w:t>the</w:t>
      </w:r>
      <w:r w:rsidR="0047555A">
        <w:rPr>
          <w:rFonts w:asciiTheme="majorBidi" w:hAnsiTheme="majorBidi" w:cstheme="majorBidi"/>
          <w:sz w:val="24"/>
          <w:szCs w:val="24"/>
        </w:rPr>
        <w:t xml:space="preserve"> HE </w:t>
      </w:r>
      <w:proofErr w:type="gramStart"/>
      <w:r w:rsidR="0047555A">
        <w:rPr>
          <w:rFonts w:asciiTheme="majorBidi" w:hAnsiTheme="majorBidi" w:cstheme="majorBidi"/>
          <w:sz w:val="24"/>
          <w:szCs w:val="24"/>
        </w:rPr>
        <w:t>sector</w:t>
      </w:r>
      <w:proofErr w:type="gramEnd"/>
      <w:r w:rsidR="00551B22">
        <w:rPr>
          <w:rFonts w:asciiTheme="majorBidi" w:hAnsiTheme="majorBidi" w:cstheme="majorBidi"/>
          <w:sz w:val="24"/>
          <w:szCs w:val="24"/>
        </w:rPr>
        <w:t xml:space="preserve"> (</w:t>
      </w:r>
      <w:proofErr w:type="spellStart"/>
      <w:r w:rsidR="007600CF">
        <w:rPr>
          <w:rFonts w:asciiTheme="majorBidi" w:hAnsiTheme="majorBidi" w:cstheme="majorBidi"/>
          <w:sz w:val="24"/>
          <w:szCs w:val="24"/>
        </w:rPr>
        <w:t>Heery</w:t>
      </w:r>
      <w:proofErr w:type="spellEnd"/>
      <w:r w:rsidR="007600CF">
        <w:rPr>
          <w:rFonts w:asciiTheme="majorBidi" w:hAnsiTheme="majorBidi" w:cstheme="majorBidi"/>
          <w:sz w:val="24"/>
          <w:szCs w:val="24"/>
        </w:rPr>
        <w:t>, 1998</w:t>
      </w:r>
      <w:r w:rsidR="00551B22">
        <w:rPr>
          <w:rFonts w:asciiTheme="majorBidi" w:hAnsiTheme="majorBidi" w:cstheme="majorBidi"/>
          <w:sz w:val="24"/>
          <w:szCs w:val="24"/>
        </w:rPr>
        <w:t>)</w:t>
      </w:r>
      <w:r w:rsidR="00A76A52">
        <w:rPr>
          <w:rFonts w:asciiTheme="majorBidi" w:hAnsiTheme="majorBidi" w:cstheme="majorBidi"/>
          <w:sz w:val="24"/>
          <w:szCs w:val="24"/>
        </w:rPr>
        <w:t>.</w:t>
      </w:r>
      <w:r w:rsidR="0047555A">
        <w:rPr>
          <w:rFonts w:asciiTheme="majorBidi" w:hAnsiTheme="majorBidi" w:cstheme="majorBidi"/>
          <w:sz w:val="24"/>
          <w:szCs w:val="24"/>
        </w:rPr>
        <w:t xml:space="preserve"> </w:t>
      </w:r>
      <w:r w:rsidR="00A76A52">
        <w:rPr>
          <w:rFonts w:asciiTheme="majorBidi" w:hAnsiTheme="majorBidi" w:cstheme="majorBidi"/>
          <w:sz w:val="24"/>
          <w:szCs w:val="24"/>
        </w:rPr>
        <w:t xml:space="preserve">These </w:t>
      </w:r>
      <w:r w:rsidR="008C00F0">
        <w:rPr>
          <w:rFonts w:asciiTheme="majorBidi" w:hAnsiTheme="majorBidi" w:cstheme="majorBidi"/>
          <w:sz w:val="24"/>
          <w:szCs w:val="24"/>
        </w:rPr>
        <w:t xml:space="preserve">negative effects </w:t>
      </w:r>
      <w:r w:rsidR="0047555A">
        <w:rPr>
          <w:rFonts w:asciiTheme="majorBidi" w:hAnsiTheme="majorBidi" w:cstheme="majorBidi"/>
          <w:sz w:val="24"/>
          <w:szCs w:val="24"/>
        </w:rPr>
        <w:t>includ</w:t>
      </w:r>
      <w:r w:rsidR="00A76A52">
        <w:rPr>
          <w:rFonts w:asciiTheme="majorBidi" w:hAnsiTheme="majorBidi" w:cstheme="majorBidi"/>
          <w:sz w:val="24"/>
          <w:szCs w:val="24"/>
        </w:rPr>
        <w:t>e</w:t>
      </w:r>
      <w:r w:rsidR="008C00F0">
        <w:rPr>
          <w:rFonts w:asciiTheme="majorBidi" w:hAnsiTheme="majorBidi" w:cstheme="majorBidi"/>
          <w:sz w:val="24"/>
          <w:szCs w:val="24"/>
        </w:rPr>
        <w:t>, for example,</w:t>
      </w:r>
      <w:r w:rsidR="0047555A">
        <w:rPr>
          <w:rFonts w:asciiTheme="majorBidi" w:hAnsiTheme="majorBidi" w:cstheme="majorBidi"/>
          <w:sz w:val="24"/>
          <w:szCs w:val="24"/>
        </w:rPr>
        <w:t xml:space="preserve"> </w:t>
      </w:r>
      <w:r w:rsidR="00A76A52">
        <w:rPr>
          <w:rFonts w:asciiTheme="majorBidi" w:hAnsiTheme="majorBidi" w:cstheme="majorBidi"/>
          <w:sz w:val="24"/>
          <w:szCs w:val="24"/>
        </w:rPr>
        <w:t xml:space="preserve">rapid </w:t>
      </w:r>
      <w:r w:rsidR="0047555A">
        <w:rPr>
          <w:rFonts w:asciiTheme="majorBidi" w:hAnsiTheme="majorBidi" w:cstheme="majorBidi"/>
          <w:sz w:val="24"/>
          <w:szCs w:val="24"/>
        </w:rPr>
        <w:t>increas</w:t>
      </w:r>
      <w:r w:rsidR="00A76A52">
        <w:rPr>
          <w:rFonts w:asciiTheme="majorBidi" w:hAnsiTheme="majorBidi" w:cstheme="majorBidi"/>
          <w:sz w:val="24"/>
          <w:szCs w:val="24"/>
        </w:rPr>
        <w:t>es in</w:t>
      </w:r>
      <w:r w:rsidR="00D87C98">
        <w:rPr>
          <w:rFonts w:asciiTheme="majorBidi" w:hAnsiTheme="majorBidi" w:cstheme="majorBidi"/>
          <w:sz w:val="24"/>
          <w:szCs w:val="24"/>
        </w:rPr>
        <w:t>: (i)</w:t>
      </w:r>
      <w:r w:rsidR="0047555A">
        <w:rPr>
          <w:rFonts w:asciiTheme="majorBidi" w:hAnsiTheme="majorBidi" w:cstheme="majorBidi"/>
          <w:sz w:val="24"/>
          <w:szCs w:val="24"/>
        </w:rPr>
        <w:t xml:space="preserve"> </w:t>
      </w:r>
      <w:r w:rsidR="000B685C">
        <w:rPr>
          <w:rFonts w:asciiTheme="majorBidi" w:hAnsiTheme="majorBidi" w:cstheme="majorBidi"/>
          <w:sz w:val="24"/>
          <w:szCs w:val="24"/>
        </w:rPr>
        <w:t>tuition fees</w:t>
      </w:r>
      <w:r w:rsidR="004F2D57">
        <w:rPr>
          <w:rFonts w:asciiTheme="majorBidi" w:hAnsiTheme="majorBidi" w:cstheme="majorBidi"/>
          <w:sz w:val="24"/>
          <w:szCs w:val="24"/>
        </w:rPr>
        <w:t>, borrowing</w:t>
      </w:r>
      <w:r w:rsidR="000B685C">
        <w:rPr>
          <w:rFonts w:asciiTheme="majorBidi" w:hAnsiTheme="majorBidi" w:cstheme="majorBidi"/>
          <w:sz w:val="24"/>
          <w:szCs w:val="24"/>
        </w:rPr>
        <w:t xml:space="preserve"> and </w:t>
      </w:r>
      <w:r w:rsidR="00D947DB">
        <w:rPr>
          <w:rFonts w:asciiTheme="majorBidi" w:hAnsiTheme="majorBidi" w:cstheme="majorBidi"/>
          <w:sz w:val="24"/>
          <w:szCs w:val="24"/>
        </w:rPr>
        <w:t xml:space="preserve">loan </w:t>
      </w:r>
      <w:r w:rsidR="000B685C">
        <w:rPr>
          <w:rFonts w:asciiTheme="majorBidi" w:hAnsiTheme="majorBidi" w:cstheme="majorBidi"/>
          <w:sz w:val="24"/>
          <w:szCs w:val="24"/>
        </w:rPr>
        <w:t>interest</w:t>
      </w:r>
      <w:r w:rsidR="004F2D57">
        <w:rPr>
          <w:rFonts w:asciiTheme="majorBidi" w:hAnsiTheme="majorBidi" w:cstheme="majorBidi"/>
          <w:sz w:val="24"/>
          <w:szCs w:val="24"/>
        </w:rPr>
        <w:t xml:space="preserve"> payment</w:t>
      </w:r>
      <w:r w:rsidR="00A2251D">
        <w:rPr>
          <w:rFonts w:asciiTheme="majorBidi" w:hAnsiTheme="majorBidi" w:cstheme="majorBidi"/>
          <w:sz w:val="24"/>
          <w:szCs w:val="24"/>
        </w:rPr>
        <w:t xml:space="preserve"> for students</w:t>
      </w:r>
      <w:r w:rsidR="00D87C98">
        <w:rPr>
          <w:rFonts w:asciiTheme="majorBidi" w:hAnsiTheme="majorBidi" w:cstheme="majorBidi"/>
          <w:sz w:val="24"/>
          <w:szCs w:val="24"/>
        </w:rPr>
        <w:t>;</w:t>
      </w:r>
      <w:r w:rsidR="000B685C">
        <w:rPr>
          <w:rFonts w:asciiTheme="majorBidi" w:hAnsiTheme="majorBidi" w:cstheme="majorBidi"/>
          <w:sz w:val="24"/>
          <w:szCs w:val="24"/>
        </w:rPr>
        <w:t xml:space="preserve"> </w:t>
      </w:r>
      <w:r w:rsidR="00D87C98">
        <w:rPr>
          <w:rFonts w:asciiTheme="majorBidi" w:hAnsiTheme="majorBidi" w:cstheme="majorBidi"/>
          <w:sz w:val="24"/>
          <w:szCs w:val="24"/>
        </w:rPr>
        <w:t xml:space="preserve">(ii) </w:t>
      </w:r>
      <w:r w:rsidR="000B685C" w:rsidRPr="000B685C">
        <w:rPr>
          <w:rFonts w:asciiTheme="majorBidi" w:hAnsiTheme="majorBidi" w:cstheme="majorBidi"/>
          <w:sz w:val="24"/>
          <w:szCs w:val="24"/>
        </w:rPr>
        <w:t>financial debt</w:t>
      </w:r>
      <w:r w:rsidR="004F23DE">
        <w:rPr>
          <w:rFonts w:asciiTheme="majorBidi" w:hAnsiTheme="majorBidi" w:cstheme="majorBidi"/>
          <w:sz w:val="24"/>
          <w:szCs w:val="24"/>
        </w:rPr>
        <w:t xml:space="preserve"> </w:t>
      </w:r>
      <w:r w:rsidR="00A2251D">
        <w:rPr>
          <w:rFonts w:asciiTheme="majorBidi" w:hAnsiTheme="majorBidi" w:cstheme="majorBidi"/>
          <w:sz w:val="24"/>
          <w:szCs w:val="24"/>
        </w:rPr>
        <w:t>for HEIs</w:t>
      </w:r>
      <w:r w:rsidR="00D87C98">
        <w:rPr>
          <w:rFonts w:asciiTheme="majorBidi" w:hAnsiTheme="majorBidi" w:cstheme="majorBidi"/>
          <w:sz w:val="24"/>
          <w:szCs w:val="24"/>
        </w:rPr>
        <w:t>;</w:t>
      </w:r>
      <w:r w:rsidR="00A51859">
        <w:rPr>
          <w:rFonts w:asciiTheme="majorBidi" w:hAnsiTheme="majorBidi" w:cstheme="majorBidi"/>
          <w:sz w:val="24"/>
          <w:szCs w:val="24"/>
        </w:rPr>
        <w:t xml:space="preserve"> </w:t>
      </w:r>
      <w:r w:rsidR="00D87C98">
        <w:rPr>
          <w:rFonts w:asciiTheme="majorBidi" w:hAnsiTheme="majorBidi" w:cstheme="majorBidi"/>
          <w:sz w:val="24"/>
          <w:szCs w:val="24"/>
        </w:rPr>
        <w:t xml:space="preserve">and (iii) </w:t>
      </w:r>
      <w:r w:rsidR="00D47A03">
        <w:rPr>
          <w:rFonts w:asciiTheme="majorBidi" w:hAnsiTheme="majorBidi" w:cstheme="majorBidi"/>
          <w:sz w:val="24"/>
          <w:szCs w:val="24"/>
        </w:rPr>
        <w:t>fixed-term</w:t>
      </w:r>
      <w:r w:rsidR="00D947DB">
        <w:rPr>
          <w:rFonts w:asciiTheme="majorBidi" w:hAnsiTheme="majorBidi" w:cstheme="majorBidi"/>
          <w:sz w:val="24"/>
          <w:szCs w:val="24"/>
        </w:rPr>
        <w:t xml:space="preserve"> contracts</w:t>
      </w:r>
      <w:r w:rsidR="00D47A03">
        <w:rPr>
          <w:rFonts w:asciiTheme="majorBidi" w:hAnsiTheme="majorBidi" w:cstheme="majorBidi"/>
          <w:sz w:val="24"/>
          <w:szCs w:val="24"/>
        </w:rPr>
        <w:t xml:space="preserve">, </w:t>
      </w:r>
      <w:r w:rsidR="00A51859">
        <w:rPr>
          <w:rFonts w:asciiTheme="majorBidi" w:hAnsiTheme="majorBidi" w:cstheme="majorBidi"/>
          <w:sz w:val="24"/>
          <w:szCs w:val="24"/>
        </w:rPr>
        <w:t>casua</w:t>
      </w:r>
      <w:r w:rsidR="00D47A03">
        <w:rPr>
          <w:rFonts w:asciiTheme="majorBidi" w:hAnsiTheme="majorBidi" w:cstheme="majorBidi"/>
          <w:sz w:val="24"/>
          <w:szCs w:val="24"/>
        </w:rPr>
        <w:t>lisation</w:t>
      </w:r>
      <w:r w:rsidR="00D87C98">
        <w:rPr>
          <w:rFonts w:asciiTheme="majorBidi" w:hAnsiTheme="majorBidi" w:cstheme="majorBidi"/>
          <w:sz w:val="24"/>
          <w:szCs w:val="24"/>
        </w:rPr>
        <w:t>s,</w:t>
      </w:r>
      <w:r w:rsidR="00D47A03">
        <w:rPr>
          <w:rFonts w:asciiTheme="majorBidi" w:hAnsiTheme="majorBidi" w:cstheme="majorBidi"/>
          <w:sz w:val="24"/>
          <w:szCs w:val="24"/>
        </w:rPr>
        <w:t xml:space="preserve"> redundancies</w:t>
      </w:r>
      <w:r w:rsidR="00D87C98">
        <w:rPr>
          <w:rFonts w:asciiTheme="majorBidi" w:hAnsiTheme="majorBidi" w:cstheme="majorBidi"/>
          <w:sz w:val="24"/>
          <w:szCs w:val="24"/>
        </w:rPr>
        <w:t>,</w:t>
      </w:r>
      <w:r w:rsidR="00481CAD">
        <w:rPr>
          <w:rFonts w:asciiTheme="majorBidi" w:hAnsiTheme="majorBidi" w:cstheme="majorBidi"/>
          <w:sz w:val="24"/>
          <w:szCs w:val="24"/>
        </w:rPr>
        <w:t xml:space="preserve"> workload pressure</w:t>
      </w:r>
      <w:r w:rsidR="00D947DB">
        <w:rPr>
          <w:rFonts w:asciiTheme="majorBidi" w:hAnsiTheme="majorBidi" w:cstheme="majorBidi"/>
          <w:sz w:val="24"/>
          <w:szCs w:val="24"/>
        </w:rPr>
        <w:t>s</w:t>
      </w:r>
      <w:r w:rsidR="00481CAD">
        <w:rPr>
          <w:rFonts w:asciiTheme="majorBidi" w:hAnsiTheme="majorBidi" w:cstheme="majorBidi"/>
          <w:sz w:val="24"/>
          <w:szCs w:val="24"/>
        </w:rPr>
        <w:t xml:space="preserve"> and</w:t>
      </w:r>
      <w:r w:rsidR="00B76F7F">
        <w:rPr>
          <w:rFonts w:asciiTheme="majorBidi" w:hAnsiTheme="majorBidi" w:cstheme="majorBidi"/>
          <w:sz w:val="24"/>
          <w:szCs w:val="24"/>
        </w:rPr>
        <w:t xml:space="preserve"> perennial </w:t>
      </w:r>
      <w:r w:rsidR="00481CAD">
        <w:rPr>
          <w:rFonts w:asciiTheme="majorBidi" w:hAnsiTheme="majorBidi" w:cstheme="majorBidi"/>
          <w:sz w:val="24"/>
          <w:szCs w:val="24"/>
        </w:rPr>
        <w:t>strikes</w:t>
      </w:r>
      <w:r w:rsidR="00D87C98">
        <w:rPr>
          <w:rFonts w:asciiTheme="majorBidi" w:hAnsiTheme="majorBidi" w:cstheme="majorBidi"/>
          <w:sz w:val="24"/>
          <w:szCs w:val="24"/>
        </w:rPr>
        <w:t xml:space="preserve"> by staff</w:t>
      </w:r>
      <w:r w:rsidR="00C27676">
        <w:rPr>
          <w:rFonts w:asciiTheme="majorBidi" w:hAnsiTheme="majorBidi" w:cstheme="majorBidi"/>
          <w:sz w:val="24"/>
          <w:szCs w:val="24"/>
        </w:rPr>
        <w:t xml:space="preserve"> unions</w:t>
      </w:r>
      <w:r w:rsidR="00551B22">
        <w:rPr>
          <w:rFonts w:asciiTheme="majorBidi" w:hAnsiTheme="majorBidi" w:cstheme="majorBidi"/>
          <w:sz w:val="24"/>
          <w:szCs w:val="24"/>
        </w:rPr>
        <w:t xml:space="preserve"> (</w:t>
      </w:r>
      <w:r w:rsidR="00E41D93" w:rsidRPr="00E41D93">
        <w:rPr>
          <w:rFonts w:asciiTheme="majorBidi" w:hAnsiTheme="majorBidi" w:cstheme="majorBidi"/>
          <w:sz w:val="24"/>
          <w:szCs w:val="24"/>
        </w:rPr>
        <w:t>Geiger</w:t>
      </w:r>
      <w:r w:rsidR="00E41D93">
        <w:rPr>
          <w:rFonts w:asciiTheme="majorBidi" w:hAnsiTheme="majorBidi" w:cstheme="majorBidi"/>
          <w:sz w:val="24"/>
          <w:szCs w:val="24"/>
        </w:rPr>
        <w:t>,</w:t>
      </w:r>
      <w:r w:rsidR="00E41D93" w:rsidRPr="00E41D93">
        <w:rPr>
          <w:rFonts w:asciiTheme="majorBidi" w:hAnsiTheme="majorBidi" w:cstheme="majorBidi"/>
          <w:sz w:val="24"/>
          <w:szCs w:val="24"/>
        </w:rPr>
        <w:t xml:space="preserve"> 2004</w:t>
      </w:r>
      <w:r w:rsidR="00551B22">
        <w:rPr>
          <w:rFonts w:asciiTheme="majorBidi" w:hAnsiTheme="majorBidi" w:cstheme="majorBidi"/>
          <w:sz w:val="24"/>
          <w:szCs w:val="24"/>
        </w:rPr>
        <w:t>)</w:t>
      </w:r>
      <w:r w:rsidR="00D87C98">
        <w:rPr>
          <w:rFonts w:asciiTheme="majorBidi" w:hAnsiTheme="majorBidi" w:cstheme="majorBidi"/>
          <w:sz w:val="24"/>
          <w:szCs w:val="24"/>
        </w:rPr>
        <w:t>.</w:t>
      </w:r>
      <w:r w:rsidR="00481CAD">
        <w:rPr>
          <w:rFonts w:asciiTheme="majorBidi" w:hAnsiTheme="majorBidi" w:cstheme="majorBidi"/>
          <w:sz w:val="24"/>
          <w:szCs w:val="24"/>
        </w:rPr>
        <w:t xml:space="preserve"> </w:t>
      </w:r>
      <w:r w:rsidR="00D87C98">
        <w:rPr>
          <w:rFonts w:asciiTheme="majorBidi" w:hAnsiTheme="majorBidi" w:cstheme="majorBidi"/>
          <w:sz w:val="24"/>
          <w:szCs w:val="24"/>
        </w:rPr>
        <w:t xml:space="preserve">By contrast, there has been sharp </w:t>
      </w:r>
      <w:r w:rsidR="00481CAD">
        <w:rPr>
          <w:rFonts w:asciiTheme="majorBidi" w:hAnsiTheme="majorBidi" w:cstheme="majorBidi"/>
          <w:sz w:val="24"/>
          <w:szCs w:val="24"/>
        </w:rPr>
        <w:t>reductions in</w:t>
      </w:r>
      <w:r w:rsidR="005F610A">
        <w:rPr>
          <w:rFonts w:asciiTheme="majorBidi" w:hAnsiTheme="majorBidi" w:cstheme="majorBidi"/>
          <w:sz w:val="24"/>
          <w:szCs w:val="24"/>
        </w:rPr>
        <w:t>:</w:t>
      </w:r>
      <w:r w:rsidR="00481CAD">
        <w:rPr>
          <w:rFonts w:asciiTheme="majorBidi" w:hAnsiTheme="majorBidi" w:cstheme="majorBidi"/>
          <w:sz w:val="24"/>
          <w:szCs w:val="24"/>
        </w:rPr>
        <w:t xml:space="preserve"> </w:t>
      </w:r>
      <w:r w:rsidR="005F610A">
        <w:rPr>
          <w:rFonts w:asciiTheme="majorBidi" w:hAnsiTheme="majorBidi" w:cstheme="majorBidi"/>
          <w:sz w:val="24"/>
          <w:szCs w:val="24"/>
        </w:rPr>
        <w:t xml:space="preserve">(i) </w:t>
      </w:r>
      <w:r w:rsidR="00481CAD">
        <w:rPr>
          <w:rFonts w:asciiTheme="majorBidi" w:hAnsiTheme="majorBidi" w:cstheme="majorBidi"/>
          <w:sz w:val="24"/>
          <w:szCs w:val="24"/>
        </w:rPr>
        <w:t xml:space="preserve">staff pension </w:t>
      </w:r>
      <w:r w:rsidR="00551B22">
        <w:rPr>
          <w:rFonts w:asciiTheme="majorBidi" w:hAnsiTheme="majorBidi" w:cstheme="majorBidi"/>
          <w:sz w:val="24"/>
          <w:szCs w:val="24"/>
        </w:rPr>
        <w:t>entitlements,</w:t>
      </w:r>
      <w:r w:rsidR="00481CAD">
        <w:rPr>
          <w:rFonts w:asciiTheme="majorBidi" w:hAnsiTheme="majorBidi" w:cstheme="majorBidi"/>
          <w:sz w:val="24"/>
          <w:szCs w:val="24"/>
        </w:rPr>
        <w:t xml:space="preserve"> morale</w:t>
      </w:r>
      <w:r w:rsidR="00551B22">
        <w:rPr>
          <w:rFonts w:asciiTheme="majorBidi" w:hAnsiTheme="majorBidi" w:cstheme="majorBidi"/>
          <w:sz w:val="24"/>
          <w:szCs w:val="24"/>
        </w:rPr>
        <w:t>,</w:t>
      </w:r>
      <w:r w:rsidR="005F610A">
        <w:rPr>
          <w:rFonts w:asciiTheme="majorBidi" w:hAnsiTheme="majorBidi" w:cstheme="majorBidi"/>
          <w:sz w:val="24"/>
          <w:szCs w:val="24"/>
        </w:rPr>
        <w:t xml:space="preserve"> and </w:t>
      </w:r>
      <w:r w:rsidR="00551B22">
        <w:rPr>
          <w:rFonts w:asciiTheme="majorBidi" w:hAnsiTheme="majorBidi" w:cstheme="majorBidi"/>
          <w:sz w:val="24"/>
          <w:szCs w:val="24"/>
        </w:rPr>
        <w:t>welfare</w:t>
      </w:r>
      <w:r w:rsidR="005F610A">
        <w:rPr>
          <w:rFonts w:asciiTheme="majorBidi" w:hAnsiTheme="majorBidi" w:cstheme="majorBidi"/>
          <w:sz w:val="24"/>
          <w:szCs w:val="24"/>
        </w:rPr>
        <w:t>;</w:t>
      </w:r>
      <w:r w:rsidR="00551B22">
        <w:rPr>
          <w:rFonts w:asciiTheme="majorBidi" w:hAnsiTheme="majorBidi" w:cstheme="majorBidi"/>
          <w:sz w:val="24"/>
          <w:szCs w:val="24"/>
        </w:rPr>
        <w:t xml:space="preserve"> </w:t>
      </w:r>
      <w:r w:rsidR="008C00F0">
        <w:rPr>
          <w:rFonts w:asciiTheme="majorBidi" w:hAnsiTheme="majorBidi" w:cstheme="majorBidi"/>
          <w:sz w:val="24"/>
          <w:szCs w:val="24"/>
        </w:rPr>
        <w:t xml:space="preserve">(ii) state funding; </w:t>
      </w:r>
      <w:r w:rsidR="00551B22">
        <w:rPr>
          <w:rFonts w:asciiTheme="majorBidi" w:hAnsiTheme="majorBidi" w:cstheme="majorBidi"/>
          <w:sz w:val="24"/>
          <w:szCs w:val="24"/>
        </w:rPr>
        <w:t xml:space="preserve">and </w:t>
      </w:r>
      <w:r w:rsidR="005F610A">
        <w:rPr>
          <w:rFonts w:asciiTheme="majorBidi" w:hAnsiTheme="majorBidi" w:cstheme="majorBidi"/>
          <w:sz w:val="24"/>
          <w:szCs w:val="24"/>
        </w:rPr>
        <w:t>(ii</w:t>
      </w:r>
      <w:r w:rsidR="008C00F0">
        <w:rPr>
          <w:rFonts w:asciiTheme="majorBidi" w:hAnsiTheme="majorBidi" w:cstheme="majorBidi"/>
          <w:sz w:val="24"/>
          <w:szCs w:val="24"/>
        </w:rPr>
        <w:t>i</w:t>
      </w:r>
      <w:r w:rsidR="005F610A">
        <w:rPr>
          <w:rFonts w:asciiTheme="majorBidi" w:hAnsiTheme="majorBidi" w:cstheme="majorBidi"/>
          <w:sz w:val="24"/>
          <w:szCs w:val="24"/>
        </w:rPr>
        <w:t xml:space="preserve">) </w:t>
      </w:r>
      <w:r w:rsidR="00551B22">
        <w:rPr>
          <w:rFonts w:asciiTheme="majorBidi" w:hAnsiTheme="majorBidi" w:cstheme="majorBidi"/>
          <w:sz w:val="24"/>
          <w:szCs w:val="24"/>
        </w:rPr>
        <w:t>graduate job opportunities</w:t>
      </w:r>
      <w:r w:rsidR="00A10E48">
        <w:rPr>
          <w:rFonts w:asciiTheme="majorBidi" w:hAnsiTheme="majorBidi" w:cstheme="majorBidi"/>
          <w:sz w:val="24"/>
          <w:szCs w:val="24"/>
        </w:rPr>
        <w:t xml:space="preserve"> (</w:t>
      </w:r>
      <w:proofErr w:type="spellStart"/>
      <w:r w:rsidR="00A10E48" w:rsidRPr="00A10E48">
        <w:rPr>
          <w:rFonts w:asciiTheme="majorBidi" w:hAnsiTheme="majorBidi" w:cstheme="majorBidi"/>
          <w:sz w:val="24"/>
          <w:szCs w:val="24"/>
        </w:rPr>
        <w:t>Taberner</w:t>
      </w:r>
      <w:proofErr w:type="spellEnd"/>
      <w:r w:rsidR="00A10E48">
        <w:rPr>
          <w:rFonts w:asciiTheme="majorBidi" w:hAnsiTheme="majorBidi" w:cstheme="majorBidi"/>
          <w:sz w:val="24"/>
          <w:szCs w:val="24"/>
        </w:rPr>
        <w:t>, 2018)</w:t>
      </w:r>
      <w:r w:rsidR="00551B22">
        <w:rPr>
          <w:rFonts w:asciiTheme="majorBidi" w:hAnsiTheme="majorBidi" w:cstheme="majorBidi"/>
          <w:sz w:val="24"/>
          <w:szCs w:val="24"/>
        </w:rPr>
        <w:t>. These challenges</w:t>
      </w:r>
      <w:r w:rsidR="00B7216B">
        <w:rPr>
          <w:rFonts w:asciiTheme="majorBidi" w:hAnsiTheme="majorBidi" w:cstheme="majorBidi"/>
          <w:sz w:val="24"/>
          <w:szCs w:val="24"/>
        </w:rPr>
        <w:t xml:space="preserve"> </w:t>
      </w:r>
      <w:r w:rsidR="00B76F7F">
        <w:rPr>
          <w:rFonts w:asciiTheme="majorBidi" w:hAnsiTheme="majorBidi" w:cstheme="majorBidi"/>
          <w:sz w:val="24"/>
          <w:szCs w:val="24"/>
        </w:rPr>
        <w:t xml:space="preserve">have been noted to </w:t>
      </w:r>
      <w:r w:rsidR="00B7216B">
        <w:rPr>
          <w:rFonts w:asciiTheme="majorBidi" w:hAnsiTheme="majorBidi" w:cstheme="majorBidi"/>
          <w:sz w:val="24"/>
          <w:szCs w:val="24"/>
        </w:rPr>
        <w:t>pos</w:t>
      </w:r>
      <w:r w:rsidR="00551B22">
        <w:rPr>
          <w:rFonts w:asciiTheme="majorBidi" w:hAnsiTheme="majorBidi" w:cstheme="majorBidi"/>
          <w:sz w:val="24"/>
          <w:szCs w:val="24"/>
        </w:rPr>
        <w:t>e</w:t>
      </w:r>
      <w:r w:rsidR="00B7216B">
        <w:rPr>
          <w:rFonts w:asciiTheme="majorBidi" w:hAnsiTheme="majorBidi" w:cstheme="majorBidi"/>
          <w:sz w:val="24"/>
          <w:szCs w:val="24"/>
        </w:rPr>
        <w:t xml:space="preserve"> serious threat to the long-term sustainability of the HE </w:t>
      </w:r>
      <w:proofErr w:type="gramStart"/>
      <w:r w:rsidR="00B7216B">
        <w:rPr>
          <w:rFonts w:asciiTheme="majorBidi" w:hAnsiTheme="majorBidi" w:cstheme="majorBidi"/>
          <w:sz w:val="24"/>
          <w:szCs w:val="24"/>
        </w:rPr>
        <w:t>sector</w:t>
      </w:r>
      <w:proofErr w:type="gramEnd"/>
      <w:r w:rsidR="00F161F5">
        <w:rPr>
          <w:rFonts w:asciiTheme="majorBidi" w:hAnsiTheme="majorBidi" w:cstheme="majorBidi"/>
          <w:sz w:val="24"/>
          <w:szCs w:val="24"/>
        </w:rPr>
        <w:t xml:space="preserve"> (Walker et al., 2019)</w:t>
      </w:r>
      <w:r w:rsidR="00B7216B">
        <w:rPr>
          <w:rFonts w:asciiTheme="majorBidi" w:hAnsiTheme="majorBidi" w:cstheme="majorBidi"/>
          <w:sz w:val="24"/>
          <w:szCs w:val="24"/>
        </w:rPr>
        <w:t xml:space="preserve">. </w:t>
      </w:r>
    </w:p>
    <w:p w14:paraId="28F7532F" w14:textId="628B1ABD" w:rsidR="00B3468C" w:rsidRDefault="008C00F0" w:rsidP="00486621">
      <w:pPr>
        <w:spacing w:after="0" w:line="480" w:lineRule="auto"/>
        <w:ind w:firstLine="720"/>
        <w:jc w:val="both"/>
        <w:rPr>
          <w:rFonts w:asciiTheme="majorBidi" w:hAnsiTheme="majorBidi" w:cstheme="majorBidi"/>
          <w:sz w:val="24"/>
          <w:szCs w:val="24"/>
        </w:rPr>
      </w:pPr>
      <w:r w:rsidRPr="00E904F7">
        <w:rPr>
          <w:rFonts w:asciiTheme="majorBidi" w:hAnsiTheme="majorBidi" w:cstheme="majorBidi"/>
          <w:sz w:val="24"/>
          <w:szCs w:val="24"/>
        </w:rPr>
        <w:t>Additionall</w:t>
      </w:r>
      <w:r w:rsidR="00D947DB" w:rsidRPr="004D3C91">
        <w:rPr>
          <w:rFonts w:asciiTheme="majorBidi" w:hAnsiTheme="majorBidi" w:cstheme="majorBidi"/>
          <w:sz w:val="24"/>
          <w:szCs w:val="24"/>
        </w:rPr>
        <w:t>y</w:t>
      </w:r>
      <w:r w:rsidR="00B3468C" w:rsidRPr="004D3C91">
        <w:rPr>
          <w:rFonts w:asciiTheme="majorBidi" w:hAnsiTheme="majorBidi" w:cstheme="majorBidi"/>
          <w:sz w:val="24"/>
          <w:szCs w:val="24"/>
        </w:rPr>
        <w:t xml:space="preserve">, the </w:t>
      </w:r>
      <w:r w:rsidRPr="009D1BD6">
        <w:rPr>
          <w:rFonts w:asciiTheme="majorBidi" w:hAnsiTheme="majorBidi" w:cstheme="majorBidi"/>
          <w:sz w:val="24"/>
          <w:szCs w:val="24"/>
        </w:rPr>
        <w:t xml:space="preserve">increasing </w:t>
      </w:r>
      <w:proofErr w:type="spellStart"/>
      <w:r w:rsidR="00B3468C" w:rsidRPr="009D1BD6">
        <w:rPr>
          <w:rFonts w:asciiTheme="majorBidi" w:hAnsiTheme="majorBidi" w:cstheme="majorBidi"/>
          <w:sz w:val="24"/>
          <w:szCs w:val="24"/>
        </w:rPr>
        <w:t>financi</w:t>
      </w:r>
      <w:r w:rsidR="00405EF8" w:rsidRPr="003E7477">
        <w:rPr>
          <w:rFonts w:asciiTheme="majorBidi" w:hAnsiTheme="majorBidi" w:cstheme="majorBidi"/>
          <w:sz w:val="24"/>
          <w:szCs w:val="24"/>
        </w:rPr>
        <w:t>a</w:t>
      </w:r>
      <w:r w:rsidR="00B3468C" w:rsidRPr="003E7477">
        <w:rPr>
          <w:rFonts w:asciiTheme="majorBidi" w:hAnsiTheme="majorBidi" w:cstheme="majorBidi"/>
          <w:sz w:val="24"/>
          <w:szCs w:val="24"/>
        </w:rPr>
        <w:t>lisation</w:t>
      </w:r>
      <w:proofErr w:type="spellEnd"/>
      <w:r w:rsidR="00B3468C" w:rsidRPr="003E7477">
        <w:rPr>
          <w:rFonts w:asciiTheme="majorBidi" w:hAnsiTheme="majorBidi" w:cstheme="majorBidi"/>
          <w:sz w:val="24"/>
          <w:szCs w:val="24"/>
        </w:rPr>
        <w:t xml:space="preserve">/marketisation of </w:t>
      </w:r>
      <w:r w:rsidRPr="003E7477">
        <w:rPr>
          <w:rFonts w:asciiTheme="majorBidi" w:hAnsiTheme="majorBidi" w:cstheme="majorBidi"/>
          <w:sz w:val="24"/>
          <w:szCs w:val="24"/>
        </w:rPr>
        <w:t xml:space="preserve">the </w:t>
      </w:r>
      <w:r w:rsidR="00B3468C" w:rsidRPr="003E7477">
        <w:rPr>
          <w:rFonts w:asciiTheme="majorBidi" w:hAnsiTheme="majorBidi" w:cstheme="majorBidi"/>
          <w:sz w:val="24"/>
          <w:szCs w:val="24"/>
        </w:rPr>
        <w:t xml:space="preserve">HE sector has resulted in shifting </w:t>
      </w:r>
      <w:r w:rsidR="00A951ED" w:rsidRPr="007D350B">
        <w:rPr>
          <w:rFonts w:asciiTheme="majorBidi" w:hAnsiTheme="majorBidi" w:cstheme="majorBidi"/>
          <w:sz w:val="24"/>
          <w:szCs w:val="24"/>
        </w:rPr>
        <w:t>the focus</w:t>
      </w:r>
      <w:r w:rsidR="00B3468C" w:rsidRPr="007D350B">
        <w:rPr>
          <w:rFonts w:asciiTheme="majorBidi" w:hAnsiTheme="majorBidi" w:cstheme="majorBidi"/>
          <w:sz w:val="24"/>
          <w:szCs w:val="24"/>
        </w:rPr>
        <w:t xml:space="preserve"> </w:t>
      </w:r>
      <w:r w:rsidR="007F11BC" w:rsidRPr="007D350B">
        <w:rPr>
          <w:rFonts w:asciiTheme="majorBidi" w:hAnsiTheme="majorBidi" w:cstheme="majorBidi"/>
          <w:sz w:val="24"/>
          <w:szCs w:val="24"/>
        </w:rPr>
        <w:t xml:space="preserve">of HEIs </w:t>
      </w:r>
      <w:r w:rsidR="00B3468C" w:rsidRPr="007D350B">
        <w:rPr>
          <w:rFonts w:asciiTheme="majorBidi" w:hAnsiTheme="majorBidi" w:cstheme="majorBidi"/>
          <w:sz w:val="24"/>
          <w:szCs w:val="24"/>
        </w:rPr>
        <w:t xml:space="preserve">from </w:t>
      </w:r>
      <w:r w:rsidR="00242537" w:rsidRPr="007D350B">
        <w:rPr>
          <w:rFonts w:asciiTheme="majorBidi" w:hAnsiTheme="majorBidi" w:cstheme="majorBidi"/>
          <w:sz w:val="24"/>
          <w:szCs w:val="24"/>
        </w:rPr>
        <w:t xml:space="preserve">delivering on </w:t>
      </w:r>
      <w:r w:rsidR="00FA03A3" w:rsidRPr="007D350B">
        <w:rPr>
          <w:rFonts w:asciiTheme="majorBidi" w:hAnsiTheme="majorBidi" w:cstheme="majorBidi"/>
          <w:sz w:val="24"/>
          <w:szCs w:val="24"/>
        </w:rPr>
        <w:t>their</w:t>
      </w:r>
      <w:r w:rsidR="009A5261" w:rsidRPr="007D350B">
        <w:rPr>
          <w:rFonts w:asciiTheme="majorBidi" w:hAnsiTheme="majorBidi" w:cstheme="majorBidi"/>
          <w:sz w:val="24"/>
          <w:szCs w:val="24"/>
        </w:rPr>
        <w:t xml:space="preserve"> original</w:t>
      </w:r>
      <w:r w:rsidR="00FA03A3" w:rsidRPr="007D350B">
        <w:rPr>
          <w:rFonts w:asciiTheme="majorBidi" w:hAnsiTheme="majorBidi" w:cstheme="majorBidi"/>
          <w:sz w:val="24"/>
          <w:szCs w:val="24"/>
        </w:rPr>
        <w:t xml:space="preserve"> </w:t>
      </w:r>
      <w:r w:rsidR="00B3468C" w:rsidRPr="007D350B">
        <w:rPr>
          <w:rFonts w:asciiTheme="majorBidi" w:hAnsiTheme="majorBidi" w:cstheme="majorBidi"/>
          <w:sz w:val="24"/>
          <w:szCs w:val="24"/>
        </w:rPr>
        <w:t>long-term social transformation and civic responsibilities</w:t>
      </w:r>
      <w:r w:rsidR="000038B5" w:rsidRPr="007D350B">
        <w:rPr>
          <w:rFonts w:asciiTheme="majorBidi" w:hAnsiTheme="majorBidi" w:cstheme="majorBidi"/>
          <w:sz w:val="24"/>
          <w:szCs w:val="24"/>
        </w:rPr>
        <w:t xml:space="preserve"> </w:t>
      </w:r>
      <w:r w:rsidR="00242537" w:rsidRPr="007D350B">
        <w:rPr>
          <w:rFonts w:asciiTheme="majorBidi" w:hAnsiTheme="majorBidi" w:cstheme="majorBidi"/>
          <w:sz w:val="24"/>
          <w:szCs w:val="24"/>
        </w:rPr>
        <w:t>mandate</w:t>
      </w:r>
      <w:r w:rsidR="00B3468C" w:rsidRPr="007D350B">
        <w:rPr>
          <w:rFonts w:asciiTheme="majorBidi" w:hAnsiTheme="majorBidi" w:cstheme="majorBidi"/>
          <w:sz w:val="24"/>
          <w:szCs w:val="24"/>
        </w:rPr>
        <w:t xml:space="preserve"> </w:t>
      </w:r>
      <w:r w:rsidR="00D947DB" w:rsidRPr="007D350B">
        <w:rPr>
          <w:rFonts w:asciiTheme="majorBidi" w:hAnsiTheme="majorBidi" w:cstheme="majorBidi"/>
          <w:sz w:val="24"/>
          <w:szCs w:val="24"/>
        </w:rPr>
        <w:t>(</w:t>
      </w:r>
      <w:r w:rsidR="007600CF" w:rsidRPr="007D350B">
        <w:rPr>
          <w:rFonts w:asciiTheme="majorBidi" w:hAnsiTheme="majorBidi" w:cstheme="majorBidi"/>
          <w:sz w:val="24"/>
          <w:szCs w:val="24"/>
        </w:rPr>
        <w:t>Hurt, 2012</w:t>
      </w:r>
      <w:r w:rsidR="00D947DB" w:rsidRPr="007D350B">
        <w:rPr>
          <w:rFonts w:asciiTheme="majorBidi" w:hAnsiTheme="majorBidi" w:cstheme="majorBidi"/>
          <w:sz w:val="24"/>
          <w:szCs w:val="24"/>
        </w:rPr>
        <w:t xml:space="preserve">) </w:t>
      </w:r>
      <w:r w:rsidR="00B3468C" w:rsidRPr="007D350B">
        <w:rPr>
          <w:rFonts w:asciiTheme="majorBidi" w:hAnsiTheme="majorBidi" w:cstheme="majorBidi"/>
          <w:sz w:val="24"/>
          <w:szCs w:val="24"/>
        </w:rPr>
        <w:t>(e.g., reducing gender pay</w:t>
      </w:r>
      <w:r w:rsidR="00E977B1" w:rsidRPr="007D350B">
        <w:rPr>
          <w:rFonts w:asciiTheme="majorBidi" w:hAnsiTheme="majorBidi" w:cstheme="majorBidi"/>
          <w:sz w:val="24"/>
          <w:szCs w:val="24"/>
        </w:rPr>
        <w:t>/</w:t>
      </w:r>
      <w:r w:rsidR="00B3468C" w:rsidRPr="007D350B">
        <w:rPr>
          <w:rFonts w:asciiTheme="majorBidi" w:hAnsiTheme="majorBidi" w:cstheme="majorBidi"/>
          <w:sz w:val="24"/>
          <w:szCs w:val="24"/>
        </w:rPr>
        <w:t>disability/gender/age/BAME employment gap</w:t>
      </w:r>
      <w:r w:rsidR="003357AC" w:rsidRPr="007D350B">
        <w:rPr>
          <w:rFonts w:asciiTheme="majorBidi" w:hAnsiTheme="majorBidi" w:cstheme="majorBidi"/>
          <w:sz w:val="24"/>
          <w:szCs w:val="24"/>
        </w:rPr>
        <w:t>/student dropout rate</w:t>
      </w:r>
      <w:r w:rsidR="006B28E3" w:rsidRPr="007D350B">
        <w:rPr>
          <w:rFonts w:asciiTheme="majorBidi" w:hAnsiTheme="majorBidi" w:cstheme="majorBidi"/>
          <w:sz w:val="24"/>
          <w:szCs w:val="24"/>
        </w:rPr>
        <w:t xml:space="preserve"> and</w:t>
      </w:r>
      <w:r w:rsidR="00B3468C" w:rsidRPr="007D350B">
        <w:rPr>
          <w:rFonts w:asciiTheme="majorBidi" w:hAnsiTheme="majorBidi" w:cstheme="majorBidi"/>
          <w:sz w:val="24"/>
          <w:szCs w:val="24"/>
        </w:rPr>
        <w:t xml:space="preserve"> widening access and participation </w:t>
      </w:r>
      <w:r w:rsidR="00E977B1" w:rsidRPr="007D350B">
        <w:rPr>
          <w:rFonts w:asciiTheme="majorBidi" w:hAnsiTheme="majorBidi" w:cstheme="majorBidi"/>
          <w:sz w:val="24"/>
          <w:szCs w:val="24"/>
        </w:rPr>
        <w:t>f</w:t>
      </w:r>
      <w:r w:rsidR="00B3468C" w:rsidRPr="007D350B">
        <w:rPr>
          <w:rFonts w:asciiTheme="majorBidi" w:hAnsiTheme="majorBidi" w:cstheme="majorBidi"/>
          <w:sz w:val="24"/>
          <w:szCs w:val="24"/>
        </w:rPr>
        <w:t>o</w:t>
      </w:r>
      <w:r w:rsidR="00E977B1" w:rsidRPr="007D350B">
        <w:rPr>
          <w:rFonts w:asciiTheme="majorBidi" w:hAnsiTheme="majorBidi" w:cstheme="majorBidi"/>
          <w:sz w:val="24"/>
          <w:szCs w:val="24"/>
        </w:rPr>
        <w:t>r</w:t>
      </w:r>
      <w:r w:rsidR="00B3468C" w:rsidRPr="007D350B">
        <w:rPr>
          <w:rFonts w:asciiTheme="majorBidi" w:hAnsiTheme="majorBidi" w:cstheme="majorBidi"/>
          <w:sz w:val="24"/>
          <w:szCs w:val="24"/>
        </w:rPr>
        <w:t xml:space="preserve"> students from poor and disadvantaged backgrounds) towards pursuing short-term </w:t>
      </w:r>
      <w:r w:rsidR="000038B5" w:rsidRPr="007D350B">
        <w:rPr>
          <w:rFonts w:asciiTheme="majorBidi" w:hAnsiTheme="majorBidi" w:cstheme="majorBidi"/>
          <w:sz w:val="24"/>
          <w:szCs w:val="24"/>
        </w:rPr>
        <w:t xml:space="preserve">reputational </w:t>
      </w:r>
      <w:r w:rsidR="00B3468C" w:rsidRPr="007D350B">
        <w:rPr>
          <w:rFonts w:asciiTheme="majorBidi" w:hAnsiTheme="majorBidi" w:cstheme="majorBidi"/>
          <w:sz w:val="24"/>
          <w:szCs w:val="24"/>
        </w:rPr>
        <w:t>performance targets</w:t>
      </w:r>
      <w:r w:rsidR="00405EF8" w:rsidRPr="007D350B">
        <w:rPr>
          <w:rFonts w:asciiTheme="majorBidi" w:hAnsiTheme="majorBidi" w:cstheme="majorBidi"/>
          <w:sz w:val="24"/>
          <w:szCs w:val="24"/>
        </w:rPr>
        <w:t xml:space="preserve"> in order</w:t>
      </w:r>
      <w:r w:rsidR="00B3468C" w:rsidRPr="007D350B">
        <w:rPr>
          <w:rFonts w:asciiTheme="majorBidi" w:hAnsiTheme="majorBidi" w:cstheme="majorBidi"/>
          <w:sz w:val="24"/>
          <w:szCs w:val="24"/>
        </w:rPr>
        <w:t xml:space="preserve"> to generate income </w:t>
      </w:r>
      <w:r w:rsidR="00D947DB" w:rsidRPr="007D350B">
        <w:rPr>
          <w:rFonts w:asciiTheme="majorBidi" w:hAnsiTheme="majorBidi" w:cstheme="majorBidi"/>
          <w:sz w:val="24"/>
          <w:szCs w:val="24"/>
        </w:rPr>
        <w:t>(</w:t>
      </w:r>
      <w:proofErr w:type="spellStart"/>
      <w:r w:rsidR="00F161F5" w:rsidRPr="007D350B">
        <w:rPr>
          <w:rFonts w:asciiTheme="majorBidi" w:hAnsiTheme="majorBidi" w:cstheme="majorBidi"/>
          <w:sz w:val="24"/>
          <w:szCs w:val="24"/>
        </w:rPr>
        <w:t>Taberner</w:t>
      </w:r>
      <w:proofErr w:type="spellEnd"/>
      <w:r w:rsidR="00F161F5" w:rsidRPr="007D350B">
        <w:rPr>
          <w:rFonts w:asciiTheme="majorBidi" w:hAnsiTheme="majorBidi" w:cstheme="majorBidi"/>
          <w:sz w:val="24"/>
          <w:szCs w:val="24"/>
        </w:rPr>
        <w:t>, 2018</w:t>
      </w:r>
      <w:r w:rsidR="00D947DB" w:rsidRPr="007D350B">
        <w:rPr>
          <w:rFonts w:asciiTheme="majorBidi" w:hAnsiTheme="majorBidi" w:cstheme="majorBidi"/>
          <w:sz w:val="24"/>
          <w:szCs w:val="24"/>
        </w:rPr>
        <w:t xml:space="preserve">) </w:t>
      </w:r>
      <w:r w:rsidR="00B3468C" w:rsidRPr="007D350B">
        <w:rPr>
          <w:rFonts w:asciiTheme="majorBidi" w:hAnsiTheme="majorBidi" w:cstheme="majorBidi"/>
          <w:sz w:val="24"/>
          <w:szCs w:val="24"/>
        </w:rPr>
        <w:t>(e.g., enhancing national</w:t>
      </w:r>
      <w:r w:rsidR="00B5117E">
        <w:rPr>
          <w:rFonts w:asciiTheme="majorBidi" w:hAnsiTheme="majorBidi" w:cstheme="majorBidi"/>
          <w:sz w:val="24"/>
          <w:szCs w:val="24"/>
        </w:rPr>
        <w:t>/</w:t>
      </w:r>
      <w:r w:rsidR="00B3468C" w:rsidRPr="007D350B">
        <w:rPr>
          <w:rFonts w:asciiTheme="majorBidi" w:hAnsiTheme="majorBidi" w:cstheme="majorBidi"/>
          <w:sz w:val="24"/>
          <w:szCs w:val="24"/>
        </w:rPr>
        <w:t>international reputation) (</w:t>
      </w:r>
      <w:r w:rsidR="00472662" w:rsidRPr="007D350B">
        <w:rPr>
          <w:rFonts w:asciiTheme="majorBidi" w:hAnsiTheme="majorBidi" w:cstheme="majorBidi"/>
          <w:sz w:val="24"/>
          <w:szCs w:val="24"/>
        </w:rPr>
        <w:t>Geiger, 2004</w:t>
      </w:r>
      <w:r w:rsidR="00B3468C" w:rsidRPr="007D350B">
        <w:rPr>
          <w:rFonts w:asciiTheme="majorBidi" w:hAnsiTheme="majorBidi" w:cstheme="majorBidi"/>
          <w:sz w:val="24"/>
          <w:szCs w:val="24"/>
        </w:rPr>
        <w:t>).</w:t>
      </w:r>
      <w:r w:rsidR="009B0526">
        <w:rPr>
          <w:rFonts w:asciiTheme="majorBidi" w:hAnsiTheme="majorBidi" w:cstheme="majorBidi"/>
          <w:sz w:val="24"/>
          <w:szCs w:val="24"/>
        </w:rPr>
        <w:t xml:space="preserve"> </w:t>
      </w:r>
      <w:r w:rsidR="006A0736">
        <w:rPr>
          <w:rFonts w:asciiTheme="majorBidi" w:hAnsiTheme="majorBidi" w:cstheme="majorBidi"/>
          <w:sz w:val="24"/>
          <w:szCs w:val="24"/>
        </w:rPr>
        <w:t xml:space="preserve">The </w:t>
      </w:r>
      <w:proofErr w:type="spellStart"/>
      <w:r w:rsidR="00486621">
        <w:rPr>
          <w:rFonts w:asciiTheme="majorBidi" w:hAnsiTheme="majorBidi" w:cstheme="majorBidi"/>
          <w:sz w:val="24"/>
          <w:szCs w:val="24"/>
        </w:rPr>
        <w:t>financi</w:t>
      </w:r>
      <w:r w:rsidR="00405EF8">
        <w:rPr>
          <w:rFonts w:asciiTheme="majorBidi" w:hAnsiTheme="majorBidi" w:cstheme="majorBidi"/>
          <w:sz w:val="24"/>
          <w:szCs w:val="24"/>
        </w:rPr>
        <w:t>a</w:t>
      </w:r>
      <w:r w:rsidR="00486621">
        <w:rPr>
          <w:rFonts w:asciiTheme="majorBidi" w:hAnsiTheme="majorBidi" w:cstheme="majorBidi"/>
          <w:sz w:val="24"/>
          <w:szCs w:val="24"/>
        </w:rPr>
        <w:t>lisation</w:t>
      </w:r>
      <w:proofErr w:type="spellEnd"/>
      <w:r w:rsidR="00486621">
        <w:rPr>
          <w:rFonts w:asciiTheme="majorBidi" w:hAnsiTheme="majorBidi" w:cstheme="majorBidi"/>
          <w:sz w:val="24"/>
          <w:szCs w:val="24"/>
        </w:rPr>
        <w:t>/marketisation of HE sector has</w:t>
      </w:r>
      <w:r w:rsidR="006A0736">
        <w:rPr>
          <w:rFonts w:asciiTheme="majorBidi" w:hAnsiTheme="majorBidi" w:cstheme="majorBidi"/>
          <w:sz w:val="24"/>
          <w:szCs w:val="24"/>
        </w:rPr>
        <w:t>, therefore,</w:t>
      </w:r>
      <w:r w:rsidR="00486621">
        <w:rPr>
          <w:rFonts w:asciiTheme="majorBidi" w:hAnsiTheme="majorBidi" w:cstheme="majorBidi"/>
          <w:sz w:val="24"/>
          <w:szCs w:val="24"/>
        </w:rPr>
        <w:t xml:space="preserve"> </w:t>
      </w:r>
      <w:r w:rsidR="00CC0219">
        <w:rPr>
          <w:rFonts w:asciiTheme="majorBidi" w:hAnsiTheme="majorBidi" w:cstheme="majorBidi"/>
          <w:sz w:val="24"/>
          <w:szCs w:val="24"/>
        </w:rPr>
        <w:t xml:space="preserve">appeared to have </w:t>
      </w:r>
      <w:r w:rsidR="00486621">
        <w:rPr>
          <w:rFonts w:asciiTheme="majorBidi" w:hAnsiTheme="majorBidi" w:cstheme="majorBidi"/>
          <w:sz w:val="24"/>
          <w:szCs w:val="24"/>
        </w:rPr>
        <w:t xml:space="preserve">encouraged VCs to </w:t>
      </w:r>
      <w:r w:rsidR="00E977B1">
        <w:rPr>
          <w:rFonts w:asciiTheme="majorBidi" w:hAnsiTheme="majorBidi" w:cstheme="majorBidi"/>
          <w:sz w:val="24"/>
          <w:szCs w:val="24"/>
        </w:rPr>
        <w:t xml:space="preserve">inherently </w:t>
      </w:r>
      <w:r w:rsidR="00486621">
        <w:rPr>
          <w:rFonts w:asciiTheme="majorBidi" w:hAnsiTheme="majorBidi" w:cstheme="majorBidi"/>
          <w:sz w:val="24"/>
          <w:szCs w:val="24"/>
        </w:rPr>
        <w:t xml:space="preserve">focus on </w:t>
      </w:r>
      <w:r w:rsidR="00242537">
        <w:rPr>
          <w:rFonts w:asciiTheme="majorBidi" w:hAnsiTheme="majorBidi" w:cstheme="majorBidi"/>
          <w:sz w:val="24"/>
          <w:szCs w:val="24"/>
        </w:rPr>
        <w:t xml:space="preserve">achieving </w:t>
      </w:r>
      <w:r w:rsidR="00486621">
        <w:rPr>
          <w:rFonts w:asciiTheme="majorBidi" w:hAnsiTheme="majorBidi" w:cstheme="majorBidi"/>
          <w:sz w:val="24"/>
          <w:szCs w:val="24"/>
        </w:rPr>
        <w:t>short-term observable (metric driven) performance targets</w:t>
      </w:r>
      <w:r w:rsidR="00D947DB">
        <w:rPr>
          <w:rFonts w:asciiTheme="majorBidi" w:hAnsiTheme="majorBidi" w:cstheme="majorBidi"/>
          <w:sz w:val="24"/>
          <w:szCs w:val="24"/>
        </w:rPr>
        <w:t xml:space="preserve"> (</w:t>
      </w:r>
      <w:r w:rsidR="00667C0E">
        <w:rPr>
          <w:rFonts w:asciiTheme="majorBidi" w:hAnsiTheme="majorBidi" w:cstheme="majorBidi"/>
          <w:sz w:val="24"/>
          <w:szCs w:val="24"/>
        </w:rPr>
        <w:t>Walker et al., 2019</w:t>
      </w:r>
      <w:r w:rsidR="00D947DB">
        <w:rPr>
          <w:rFonts w:asciiTheme="majorBidi" w:hAnsiTheme="majorBidi" w:cstheme="majorBidi"/>
          <w:sz w:val="24"/>
          <w:szCs w:val="24"/>
        </w:rPr>
        <w:t>)</w:t>
      </w:r>
      <w:r w:rsidR="00486621">
        <w:rPr>
          <w:rFonts w:asciiTheme="majorBidi" w:hAnsiTheme="majorBidi" w:cstheme="majorBidi"/>
          <w:sz w:val="24"/>
          <w:szCs w:val="24"/>
        </w:rPr>
        <w:t>, and t</w:t>
      </w:r>
      <w:r w:rsidR="009B0526">
        <w:rPr>
          <w:rFonts w:asciiTheme="majorBidi" w:hAnsiTheme="majorBidi" w:cstheme="majorBidi"/>
          <w:sz w:val="24"/>
          <w:szCs w:val="24"/>
        </w:rPr>
        <w:t>his</w:t>
      </w:r>
      <w:r w:rsidR="002857A6">
        <w:rPr>
          <w:rFonts w:asciiTheme="majorBidi" w:hAnsiTheme="majorBidi" w:cstheme="majorBidi"/>
          <w:sz w:val="24"/>
          <w:szCs w:val="24"/>
        </w:rPr>
        <w:t xml:space="preserve">, </w:t>
      </w:r>
      <w:r w:rsidR="002857A6">
        <w:rPr>
          <w:rFonts w:asciiTheme="majorBidi" w:hAnsiTheme="majorBidi" w:cstheme="majorBidi"/>
          <w:sz w:val="24"/>
          <w:szCs w:val="24"/>
        </w:rPr>
        <w:lastRenderedPageBreak/>
        <w:t xml:space="preserve">arguable, </w:t>
      </w:r>
      <w:r w:rsidR="00CC0219">
        <w:rPr>
          <w:rFonts w:asciiTheme="majorBidi" w:hAnsiTheme="majorBidi" w:cstheme="majorBidi"/>
          <w:sz w:val="24"/>
          <w:szCs w:val="24"/>
        </w:rPr>
        <w:t>seems</w:t>
      </w:r>
      <w:r w:rsidR="00D947DB">
        <w:rPr>
          <w:rFonts w:asciiTheme="majorBidi" w:hAnsiTheme="majorBidi" w:cstheme="majorBidi"/>
          <w:sz w:val="24"/>
          <w:szCs w:val="24"/>
        </w:rPr>
        <w:t xml:space="preserve"> to</w:t>
      </w:r>
      <w:r w:rsidR="002857A6">
        <w:rPr>
          <w:rFonts w:asciiTheme="majorBidi" w:hAnsiTheme="majorBidi" w:cstheme="majorBidi"/>
          <w:sz w:val="24"/>
          <w:szCs w:val="24"/>
        </w:rPr>
        <w:t xml:space="preserve"> have turned VCs to behave as value-maximising agent</w:t>
      </w:r>
      <w:r w:rsidR="00630552">
        <w:rPr>
          <w:rFonts w:asciiTheme="majorBidi" w:hAnsiTheme="majorBidi" w:cstheme="majorBidi"/>
          <w:sz w:val="24"/>
          <w:szCs w:val="24"/>
        </w:rPr>
        <w:t>s</w:t>
      </w:r>
      <w:r w:rsidR="002857A6">
        <w:rPr>
          <w:rFonts w:asciiTheme="majorBidi" w:hAnsiTheme="majorBidi" w:cstheme="majorBidi"/>
          <w:sz w:val="24"/>
          <w:szCs w:val="24"/>
        </w:rPr>
        <w:t xml:space="preserve">, like CEOs of </w:t>
      </w:r>
      <w:r w:rsidR="00D947DB">
        <w:rPr>
          <w:rFonts w:asciiTheme="majorBidi" w:hAnsiTheme="majorBidi" w:cstheme="majorBidi"/>
          <w:sz w:val="24"/>
          <w:szCs w:val="24"/>
        </w:rPr>
        <w:t xml:space="preserve">commercial </w:t>
      </w:r>
      <w:r w:rsidR="002857A6">
        <w:rPr>
          <w:rFonts w:asciiTheme="majorBidi" w:hAnsiTheme="majorBidi" w:cstheme="majorBidi"/>
          <w:sz w:val="24"/>
          <w:szCs w:val="24"/>
        </w:rPr>
        <w:t>corporations</w:t>
      </w:r>
      <w:r w:rsidR="00AB641A">
        <w:rPr>
          <w:rFonts w:asciiTheme="majorBidi" w:hAnsiTheme="majorBidi" w:cstheme="majorBidi"/>
          <w:sz w:val="24"/>
          <w:szCs w:val="24"/>
        </w:rPr>
        <w:t>.</w:t>
      </w:r>
    </w:p>
    <w:p w14:paraId="7CC367DD" w14:textId="15FC958D" w:rsidR="00DF53B5" w:rsidRDefault="00242537" w:rsidP="00770A0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Discernibly</w:t>
      </w:r>
      <w:r w:rsidR="00CF6234">
        <w:rPr>
          <w:rFonts w:asciiTheme="majorBidi" w:hAnsiTheme="majorBidi" w:cstheme="majorBidi"/>
          <w:sz w:val="24"/>
          <w:szCs w:val="24"/>
        </w:rPr>
        <w:t>, t</w:t>
      </w:r>
      <w:r w:rsidR="00AE7EF4">
        <w:rPr>
          <w:rFonts w:asciiTheme="majorBidi" w:hAnsiTheme="majorBidi" w:cstheme="majorBidi"/>
          <w:sz w:val="24"/>
          <w:szCs w:val="24"/>
        </w:rPr>
        <w:t>he</w:t>
      </w:r>
      <w:r w:rsidR="00A35D9D">
        <w:rPr>
          <w:rFonts w:asciiTheme="majorBidi" w:hAnsiTheme="majorBidi" w:cstheme="majorBidi"/>
          <w:sz w:val="24"/>
          <w:szCs w:val="24"/>
        </w:rPr>
        <w:t xml:space="preserve"> </w:t>
      </w:r>
      <w:r w:rsidR="00507A2F">
        <w:rPr>
          <w:rFonts w:asciiTheme="majorBidi" w:hAnsiTheme="majorBidi" w:cstheme="majorBidi"/>
          <w:sz w:val="24"/>
          <w:szCs w:val="24"/>
        </w:rPr>
        <w:t>consequences</w:t>
      </w:r>
      <w:r w:rsidR="000143D7">
        <w:rPr>
          <w:rFonts w:asciiTheme="majorBidi" w:hAnsiTheme="majorBidi" w:cstheme="majorBidi"/>
          <w:sz w:val="24"/>
          <w:szCs w:val="24"/>
        </w:rPr>
        <w:t xml:space="preserve"> </w:t>
      </w:r>
      <w:r w:rsidR="004E7546">
        <w:rPr>
          <w:rFonts w:asciiTheme="majorBidi" w:hAnsiTheme="majorBidi" w:cstheme="majorBidi"/>
          <w:sz w:val="24"/>
          <w:szCs w:val="24"/>
        </w:rPr>
        <w:t xml:space="preserve">of HE </w:t>
      </w:r>
      <w:proofErr w:type="spellStart"/>
      <w:r w:rsidR="00025E20" w:rsidRPr="00025E20">
        <w:rPr>
          <w:rFonts w:asciiTheme="majorBidi" w:hAnsiTheme="majorBidi" w:cstheme="majorBidi"/>
          <w:sz w:val="24"/>
          <w:szCs w:val="24"/>
        </w:rPr>
        <w:t>financi</w:t>
      </w:r>
      <w:r w:rsidR="00774730">
        <w:rPr>
          <w:rFonts w:asciiTheme="majorBidi" w:hAnsiTheme="majorBidi" w:cstheme="majorBidi"/>
          <w:sz w:val="24"/>
          <w:szCs w:val="24"/>
        </w:rPr>
        <w:t>a</w:t>
      </w:r>
      <w:r w:rsidR="00025E20" w:rsidRPr="00025E20">
        <w:rPr>
          <w:rFonts w:asciiTheme="majorBidi" w:hAnsiTheme="majorBidi" w:cstheme="majorBidi"/>
          <w:sz w:val="24"/>
          <w:szCs w:val="24"/>
        </w:rPr>
        <w:t>lisation</w:t>
      </w:r>
      <w:proofErr w:type="spellEnd"/>
      <w:r w:rsidR="00025E20">
        <w:rPr>
          <w:rFonts w:asciiTheme="majorBidi" w:hAnsiTheme="majorBidi" w:cstheme="majorBidi"/>
          <w:sz w:val="24"/>
          <w:szCs w:val="24"/>
        </w:rPr>
        <w:t>/</w:t>
      </w:r>
      <w:r w:rsidR="004E7546">
        <w:rPr>
          <w:rFonts w:asciiTheme="majorBidi" w:hAnsiTheme="majorBidi" w:cstheme="majorBidi"/>
          <w:sz w:val="24"/>
          <w:szCs w:val="24"/>
        </w:rPr>
        <w:t>marketisation</w:t>
      </w:r>
      <w:r w:rsidR="00B3468C">
        <w:rPr>
          <w:rFonts w:asciiTheme="majorBidi" w:hAnsiTheme="majorBidi" w:cstheme="majorBidi"/>
          <w:sz w:val="24"/>
          <w:szCs w:val="24"/>
        </w:rPr>
        <w:t xml:space="preserve"> </w:t>
      </w:r>
      <w:r w:rsidR="000143D7">
        <w:rPr>
          <w:rFonts w:asciiTheme="majorBidi" w:hAnsiTheme="majorBidi" w:cstheme="majorBidi"/>
          <w:sz w:val="24"/>
          <w:szCs w:val="24"/>
        </w:rPr>
        <w:t>have</w:t>
      </w:r>
      <w:r w:rsidR="00B3468C">
        <w:rPr>
          <w:rFonts w:asciiTheme="majorBidi" w:hAnsiTheme="majorBidi" w:cstheme="majorBidi"/>
          <w:sz w:val="24"/>
          <w:szCs w:val="24"/>
        </w:rPr>
        <w:t>, arguably,</w:t>
      </w:r>
      <w:r w:rsidR="000143D7" w:rsidRPr="000143D7">
        <w:rPr>
          <w:rFonts w:asciiTheme="majorBidi" w:hAnsiTheme="majorBidi" w:cstheme="majorBidi"/>
          <w:sz w:val="24"/>
          <w:szCs w:val="24"/>
        </w:rPr>
        <w:t xml:space="preserve"> </w:t>
      </w:r>
      <w:r w:rsidR="00346126">
        <w:rPr>
          <w:rFonts w:asciiTheme="majorBidi" w:hAnsiTheme="majorBidi" w:cstheme="majorBidi"/>
          <w:sz w:val="24"/>
          <w:szCs w:val="24"/>
        </w:rPr>
        <w:t>increased</w:t>
      </w:r>
      <w:r w:rsidR="000143D7" w:rsidRPr="000143D7">
        <w:rPr>
          <w:rFonts w:asciiTheme="majorBidi" w:hAnsiTheme="majorBidi" w:cstheme="majorBidi"/>
          <w:sz w:val="24"/>
          <w:szCs w:val="24"/>
        </w:rPr>
        <w:t xml:space="preserve"> media </w:t>
      </w:r>
      <w:r w:rsidR="00901AE0">
        <w:rPr>
          <w:rFonts w:asciiTheme="majorBidi" w:hAnsiTheme="majorBidi" w:cstheme="majorBidi"/>
          <w:sz w:val="24"/>
          <w:szCs w:val="24"/>
        </w:rPr>
        <w:t>debate</w:t>
      </w:r>
      <w:r w:rsidR="000143D7" w:rsidRPr="000143D7">
        <w:rPr>
          <w:rFonts w:asciiTheme="majorBidi" w:hAnsiTheme="majorBidi" w:cstheme="majorBidi"/>
          <w:sz w:val="24"/>
          <w:szCs w:val="24"/>
        </w:rPr>
        <w:t xml:space="preserve"> and </w:t>
      </w:r>
      <w:r w:rsidR="00346126">
        <w:rPr>
          <w:rFonts w:asciiTheme="majorBidi" w:hAnsiTheme="majorBidi" w:cstheme="majorBidi"/>
          <w:sz w:val="24"/>
          <w:szCs w:val="24"/>
        </w:rPr>
        <w:t xml:space="preserve">public </w:t>
      </w:r>
      <w:r w:rsidR="000143D7" w:rsidRPr="000143D7">
        <w:rPr>
          <w:rFonts w:asciiTheme="majorBidi" w:hAnsiTheme="majorBidi" w:cstheme="majorBidi"/>
          <w:sz w:val="24"/>
          <w:szCs w:val="24"/>
        </w:rPr>
        <w:t>attention</w:t>
      </w:r>
      <w:r w:rsidR="000143D7">
        <w:rPr>
          <w:rFonts w:asciiTheme="majorBidi" w:hAnsiTheme="majorBidi" w:cstheme="majorBidi"/>
          <w:sz w:val="24"/>
          <w:szCs w:val="24"/>
        </w:rPr>
        <w:t xml:space="preserve"> about the fairness of VC pay</w:t>
      </w:r>
      <w:r w:rsidR="00F81B09">
        <w:rPr>
          <w:rFonts w:asciiTheme="majorBidi" w:hAnsiTheme="majorBidi" w:cstheme="majorBidi"/>
          <w:sz w:val="24"/>
          <w:szCs w:val="24"/>
        </w:rPr>
        <w:t>,</w:t>
      </w:r>
      <w:r w:rsidR="004C4ABF" w:rsidRPr="004C4ABF">
        <w:rPr>
          <w:rFonts w:ascii="Times New Roman" w:hAnsi="Times New Roman" w:cs="Times New Roman"/>
        </w:rPr>
        <w:t xml:space="preserve"> </w:t>
      </w:r>
      <w:r w:rsidR="004C4ABF" w:rsidRPr="004C4ABF">
        <w:rPr>
          <w:rFonts w:asciiTheme="majorBidi" w:hAnsiTheme="majorBidi" w:cstheme="majorBidi"/>
          <w:sz w:val="24"/>
          <w:szCs w:val="24"/>
        </w:rPr>
        <w:t>especially over the last five years</w:t>
      </w:r>
      <w:r w:rsidR="00E302A9">
        <w:rPr>
          <w:rStyle w:val="FootnoteReference"/>
          <w:rFonts w:asciiTheme="majorBidi" w:hAnsiTheme="majorBidi" w:cstheme="majorBidi"/>
          <w:sz w:val="24"/>
          <w:szCs w:val="24"/>
        </w:rPr>
        <w:footnoteReference w:id="1"/>
      </w:r>
      <w:r w:rsidR="004C4ABF">
        <w:rPr>
          <w:rFonts w:asciiTheme="majorBidi" w:hAnsiTheme="majorBidi" w:cstheme="majorBidi"/>
          <w:sz w:val="24"/>
          <w:szCs w:val="24"/>
        </w:rPr>
        <w:t>.</w:t>
      </w:r>
      <w:r w:rsidR="004C4ABF" w:rsidRPr="004C4ABF">
        <w:rPr>
          <w:rFonts w:ascii="Times New Roman" w:hAnsi="Times New Roman" w:cs="Times New Roman"/>
        </w:rPr>
        <w:t xml:space="preserve"> </w:t>
      </w:r>
      <w:r w:rsidR="004C4ABF" w:rsidRPr="004C4ABF">
        <w:rPr>
          <w:rFonts w:asciiTheme="majorBidi" w:hAnsiTheme="majorBidi" w:cstheme="majorBidi"/>
          <w:sz w:val="24"/>
          <w:szCs w:val="24"/>
        </w:rPr>
        <w:t>For example, the UK’s highest-earning VC</w:t>
      </w:r>
      <w:r w:rsidR="0042446F">
        <w:rPr>
          <w:rFonts w:asciiTheme="majorBidi" w:hAnsiTheme="majorBidi" w:cstheme="majorBidi"/>
          <w:sz w:val="24"/>
          <w:szCs w:val="24"/>
        </w:rPr>
        <w:t xml:space="preserve"> </w:t>
      </w:r>
      <w:r w:rsidR="004C4ABF" w:rsidRPr="004C4ABF">
        <w:rPr>
          <w:rFonts w:asciiTheme="majorBidi" w:hAnsiTheme="majorBidi" w:cstheme="majorBidi"/>
          <w:sz w:val="24"/>
          <w:szCs w:val="24"/>
        </w:rPr>
        <w:t xml:space="preserve">of the University of Bath, resigned her post in 2018 </w:t>
      </w:r>
      <w:r w:rsidR="002A4BAD">
        <w:rPr>
          <w:rFonts w:asciiTheme="majorBidi" w:hAnsiTheme="majorBidi" w:cstheme="majorBidi"/>
          <w:sz w:val="24"/>
          <w:szCs w:val="24"/>
        </w:rPr>
        <w:t>following a pay</w:t>
      </w:r>
      <w:r w:rsidR="004C4ABF" w:rsidRPr="004C4ABF">
        <w:rPr>
          <w:rFonts w:asciiTheme="majorBidi" w:hAnsiTheme="majorBidi" w:cstheme="majorBidi"/>
          <w:sz w:val="24"/>
          <w:szCs w:val="24"/>
        </w:rPr>
        <w:t xml:space="preserve"> controversy (Grove, 2018). Similarly, it was announced in 2018 that the VC of Bath Spa University received a payment of £808,000 in her final year and thereby generating increased debate over VC pay (Grove, 2018). Additionally, the VC of De Montfort University, resigned his post in 2019, following increased media publicity about the significant increase in his pay in 2018. Similar intense public debates relating to the pay of senior HE </w:t>
      </w:r>
      <w:proofErr w:type="gramStart"/>
      <w:r w:rsidR="004C4ABF" w:rsidRPr="004C4ABF">
        <w:rPr>
          <w:rFonts w:asciiTheme="majorBidi" w:hAnsiTheme="majorBidi" w:cstheme="majorBidi"/>
          <w:sz w:val="24"/>
          <w:szCs w:val="24"/>
        </w:rPr>
        <w:t>sector</w:t>
      </w:r>
      <w:proofErr w:type="gramEnd"/>
      <w:r w:rsidR="004C4ABF" w:rsidRPr="004C4ABF">
        <w:rPr>
          <w:rFonts w:asciiTheme="majorBidi" w:hAnsiTheme="majorBidi" w:cstheme="majorBidi"/>
          <w:sz w:val="24"/>
          <w:szCs w:val="24"/>
        </w:rPr>
        <w:t xml:space="preserve"> managers are common in other countries, such as Australia, Canada, </w:t>
      </w:r>
      <w:r w:rsidR="00E445EE">
        <w:rPr>
          <w:rFonts w:asciiTheme="majorBidi" w:hAnsiTheme="majorBidi" w:cstheme="majorBidi"/>
          <w:sz w:val="24"/>
          <w:szCs w:val="24"/>
        </w:rPr>
        <w:t xml:space="preserve">New Zealand and </w:t>
      </w:r>
      <w:r w:rsidR="004C4ABF" w:rsidRPr="004C4ABF">
        <w:rPr>
          <w:rFonts w:asciiTheme="majorBidi" w:hAnsiTheme="majorBidi" w:cstheme="majorBidi"/>
          <w:sz w:val="24"/>
          <w:szCs w:val="24"/>
        </w:rPr>
        <w:t>US.</w:t>
      </w:r>
      <w:r w:rsidR="004C4ABF">
        <w:rPr>
          <w:rFonts w:asciiTheme="majorBidi" w:hAnsiTheme="majorBidi" w:cstheme="majorBidi"/>
          <w:sz w:val="24"/>
          <w:szCs w:val="24"/>
        </w:rPr>
        <w:t xml:space="preserve"> These </w:t>
      </w:r>
      <w:r w:rsidR="004C4ABF" w:rsidRPr="004C4ABF">
        <w:rPr>
          <w:rFonts w:asciiTheme="majorBidi" w:hAnsiTheme="majorBidi" w:cstheme="majorBidi"/>
          <w:sz w:val="24"/>
          <w:szCs w:val="24"/>
        </w:rPr>
        <w:t>controversies/debates</w:t>
      </w:r>
      <w:r w:rsidR="004C4ABF">
        <w:rPr>
          <w:rFonts w:asciiTheme="majorBidi" w:hAnsiTheme="majorBidi" w:cstheme="majorBidi"/>
          <w:sz w:val="24"/>
          <w:szCs w:val="24"/>
        </w:rPr>
        <w:t xml:space="preserve"> have, consequently, </w:t>
      </w:r>
      <w:r w:rsidR="00901AE0">
        <w:rPr>
          <w:rFonts w:asciiTheme="majorBidi" w:hAnsiTheme="majorBidi" w:cstheme="majorBidi"/>
          <w:sz w:val="24"/>
          <w:szCs w:val="24"/>
        </w:rPr>
        <w:t>resulted in</w:t>
      </w:r>
      <w:r w:rsidR="00EA642F">
        <w:rPr>
          <w:rFonts w:asciiTheme="majorBidi" w:hAnsiTheme="majorBidi" w:cstheme="majorBidi"/>
          <w:sz w:val="24"/>
          <w:szCs w:val="24"/>
        </w:rPr>
        <w:t xml:space="preserve"> an</w:t>
      </w:r>
      <w:r w:rsidR="00901AE0">
        <w:rPr>
          <w:rFonts w:asciiTheme="majorBidi" w:hAnsiTheme="majorBidi" w:cstheme="majorBidi"/>
          <w:sz w:val="24"/>
          <w:szCs w:val="24"/>
        </w:rPr>
        <w:t xml:space="preserve"> </w:t>
      </w:r>
      <w:r w:rsidR="00A45028">
        <w:rPr>
          <w:rFonts w:asciiTheme="majorBidi" w:hAnsiTheme="majorBidi" w:cstheme="majorBidi"/>
          <w:sz w:val="24"/>
          <w:szCs w:val="24"/>
        </w:rPr>
        <w:t>increased focus by s</w:t>
      </w:r>
      <w:r w:rsidR="00A45028" w:rsidRPr="00A45028">
        <w:rPr>
          <w:rFonts w:asciiTheme="majorBidi" w:hAnsiTheme="majorBidi" w:cstheme="majorBidi"/>
          <w:sz w:val="24"/>
          <w:szCs w:val="24"/>
        </w:rPr>
        <w:t xml:space="preserve">tate bodies, regulatory </w:t>
      </w:r>
      <w:proofErr w:type="gramStart"/>
      <w:r w:rsidR="00A45028" w:rsidRPr="00A45028">
        <w:rPr>
          <w:rFonts w:asciiTheme="majorBidi" w:hAnsiTheme="majorBidi" w:cstheme="majorBidi"/>
          <w:sz w:val="24"/>
          <w:szCs w:val="24"/>
        </w:rPr>
        <w:t>authorities</w:t>
      </w:r>
      <w:proofErr w:type="gramEnd"/>
      <w:r w:rsidR="00A45028" w:rsidRPr="00A45028">
        <w:rPr>
          <w:rFonts w:asciiTheme="majorBidi" w:hAnsiTheme="majorBidi" w:cstheme="majorBidi"/>
          <w:sz w:val="24"/>
          <w:szCs w:val="24"/>
        </w:rPr>
        <w:t xml:space="preserve"> and professional association</w:t>
      </w:r>
      <w:r w:rsidR="00346126">
        <w:rPr>
          <w:rFonts w:asciiTheme="majorBidi" w:hAnsiTheme="majorBidi" w:cstheme="majorBidi"/>
          <w:sz w:val="24"/>
          <w:szCs w:val="24"/>
        </w:rPr>
        <w:t>s</w:t>
      </w:r>
      <w:r w:rsidR="00FA03A3">
        <w:rPr>
          <w:rFonts w:asciiTheme="majorBidi" w:hAnsiTheme="majorBidi" w:cstheme="majorBidi"/>
          <w:sz w:val="24"/>
          <w:szCs w:val="24"/>
        </w:rPr>
        <w:t>, especially in the UK</w:t>
      </w:r>
      <w:r w:rsidR="005A747E">
        <w:rPr>
          <w:rFonts w:asciiTheme="majorBidi" w:hAnsiTheme="majorBidi" w:cstheme="majorBidi"/>
          <w:sz w:val="24"/>
          <w:szCs w:val="24"/>
        </w:rPr>
        <w:t xml:space="preserve"> on VC pay</w:t>
      </w:r>
      <w:r w:rsidR="00A45028">
        <w:rPr>
          <w:rFonts w:asciiTheme="majorBidi" w:hAnsiTheme="majorBidi" w:cstheme="majorBidi"/>
          <w:sz w:val="24"/>
          <w:szCs w:val="24"/>
        </w:rPr>
        <w:t xml:space="preserve"> (e.g., </w:t>
      </w:r>
      <w:r w:rsidR="005B27ED">
        <w:rPr>
          <w:rFonts w:asciiTheme="majorBidi" w:hAnsiTheme="majorBidi" w:cstheme="majorBidi"/>
          <w:sz w:val="24"/>
          <w:szCs w:val="24"/>
        </w:rPr>
        <w:t>UK P</w:t>
      </w:r>
      <w:r w:rsidR="00A45028">
        <w:rPr>
          <w:rFonts w:asciiTheme="majorBidi" w:hAnsiTheme="majorBidi" w:cstheme="majorBidi"/>
          <w:sz w:val="24"/>
          <w:szCs w:val="24"/>
        </w:rPr>
        <w:t xml:space="preserve">arliament, Committee of University Chairs </w:t>
      </w:r>
      <w:r w:rsidR="00770A0B">
        <w:rPr>
          <w:rFonts w:asciiTheme="majorBidi" w:hAnsiTheme="majorBidi" w:cstheme="majorBidi"/>
          <w:sz w:val="24"/>
          <w:szCs w:val="24"/>
        </w:rPr>
        <w:t xml:space="preserve">– </w:t>
      </w:r>
      <w:r w:rsidR="00A45028">
        <w:rPr>
          <w:rFonts w:asciiTheme="majorBidi" w:hAnsiTheme="majorBidi" w:cstheme="majorBidi"/>
          <w:sz w:val="24"/>
          <w:szCs w:val="24"/>
        </w:rPr>
        <w:t xml:space="preserve">CUC and Office for Students – </w:t>
      </w:r>
      <w:proofErr w:type="spellStart"/>
      <w:r w:rsidR="00A45028">
        <w:rPr>
          <w:rFonts w:asciiTheme="majorBidi" w:hAnsiTheme="majorBidi" w:cstheme="majorBidi"/>
          <w:sz w:val="24"/>
          <w:szCs w:val="24"/>
        </w:rPr>
        <w:t>OfS</w:t>
      </w:r>
      <w:proofErr w:type="spellEnd"/>
      <w:r w:rsidR="00A45028">
        <w:rPr>
          <w:rFonts w:asciiTheme="majorBidi" w:hAnsiTheme="majorBidi" w:cstheme="majorBidi"/>
          <w:sz w:val="24"/>
          <w:szCs w:val="24"/>
        </w:rPr>
        <w:t>)</w:t>
      </w:r>
      <w:r w:rsidR="00671DE0">
        <w:rPr>
          <w:rFonts w:asciiTheme="majorBidi" w:hAnsiTheme="majorBidi" w:cstheme="majorBidi"/>
          <w:sz w:val="24"/>
          <w:szCs w:val="24"/>
        </w:rPr>
        <w:t xml:space="preserve">. For example, </w:t>
      </w:r>
      <w:r w:rsidR="005B27ED" w:rsidRPr="005B27ED">
        <w:rPr>
          <w:rFonts w:asciiTheme="majorBidi" w:hAnsiTheme="majorBidi" w:cstheme="majorBidi"/>
          <w:sz w:val="24"/>
          <w:szCs w:val="24"/>
        </w:rPr>
        <w:t>the CUC published its first</w:t>
      </w:r>
      <w:r w:rsidR="00AB641A">
        <w:rPr>
          <w:rFonts w:asciiTheme="majorBidi" w:hAnsiTheme="majorBidi" w:cstheme="majorBidi"/>
          <w:sz w:val="24"/>
          <w:szCs w:val="24"/>
        </w:rPr>
        <w:t xml:space="preserve"> governance code in 1995</w:t>
      </w:r>
      <w:r w:rsidR="007A1201">
        <w:rPr>
          <w:rFonts w:asciiTheme="majorBidi" w:hAnsiTheme="majorBidi" w:cstheme="majorBidi"/>
          <w:sz w:val="24"/>
          <w:szCs w:val="24"/>
        </w:rPr>
        <w:t xml:space="preserve"> (latest 2020)</w:t>
      </w:r>
      <w:r w:rsidR="008C4FA4">
        <w:rPr>
          <w:rFonts w:asciiTheme="majorBidi" w:hAnsiTheme="majorBidi" w:cstheme="majorBidi"/>
          <w:sz w:val="24"/>
          <w:szCs w:val="24"/>
        </w:rPr>
        <w:t xml:space="preserve"> and</w:t>
      </w:r>
      <w:r w:rsidR="005B27ED" w:rsidRPr="005B27ED">
        <w:rPr>
          <w:rFonts w:asciiTheme="majorBidi" w:hAnsiTheme="majorBidi" w:cstheme="majorBidi"/>
          <w:sz w:val="24"/>
          <w:szCs w:val="24"/>
        </w:rPr>
        <w:t xml:space="preserve"> separate HEI senior </w:t>
      </w:r>
      <w:r w:rsidR="00965FF5">
        <w:rPr>
          <w:rFonts w:asciiTheme="majorBidi" w:hAnsiTheme="majorBidi" w:cstheme="majorBidi"/>
          <w:sz w:val="24"/>
          <w:szCs w:val="24"/>
        </w:rPr>
        <w:t>staff</w:t>
      </w:r>
      <w:r w:rsidR="005B27ED" w:rsidRPr="005B27ED">
        <w:rPr>
          <w:rFonts w:asciiTheme="majorBidi" w:hAnsiTheme="majorBidi" w:cstheme="majorBidi"/>
          <w:sz w:val="24"/>
          <w:szCs w:val="24"/>
        </w:rPr>
        <w:t xml:space="preserve"> remuneration</w:t>
      </w:r>
      <w:r w:rsidR="008358DD">
        <w:rPr>
          <w:rFonts w:asciiTheme="majorBidi" w:hAnsiTheme="majorBidi" w:cstheme="majorBidi"/>
          <w:sz w:val="24"/>
          <w:szCs w:val="24"/>
        </w:rPr>
        <w:t xml:space="preserve"> </w:t>
      </w:r>
      <w:r w:rsidR="00965FF5">
        <w:rPr>
          <w:rFonts w:asciiTheme="majorBidi" w:hAnsiTheme="majorBidi" w:cstheme="majorBidi"/>
          <w:sz w:val="24"/>
          <w:szCs w:val="24"/>
        </w:rPr>
        <w:t>code</w:t>
      </w:r>
      <w:r w:rsidR="005B27ED" w:rsidRPr="005B27ED">
        <w:rPr>
          <w:rFonts w:asciiTheme="majorBidi" w:hAnsiTheme="majorBidi" w:cstheme="majorBidi"/>
          <w:sz w:val="24"/>
          <w:szCs w:val="24"/>
        </w:rPr>
        <w:t xml:space="preserve"> in 2018</w:t>
      </w:r>
      <w:r w:rsidR="005B27ED">
        <w:rPr>
          <w:rFonts w:asciiTheme="majorBidi" w:hAnsiTheme="majorBidi" w:cstheme="majorBidi"/>
          <w:sz w:val="24"/>
          <w:szCs w:val="24"/>
        </w:rPr>
        <w:t xml:space="preserve"> (</w:t>
      </w:r>
      <w:r w:rsidR="00D40F67">
        <w:rPr>
          <w:rFonts w:asciiTheme="majorBidi" w:hAnsiTheme="majorBidi" w:cstheme="majorBidi"/>
          <w:sz w:val="24"/>
          <w:szCs w:val="24"/>
        </w:rPr>
        <w:t>latest</w:t>
      </w:r>
      <w:r w:rsidR="005B27ED">
        <w:rPr>
          <w:rFonts w:asciiTheme="majorBidi" w:hAnsiTheme="majorBidi" w:cstheme="majorBidi"/>
          <w:sz w:val="24"/>
          <w:szCs w:val="24"/>
        </w:rPr>
        <w:t xml:space="preserve"> 2021). T</w:t>
      </w:r>
      <w:r w:rsidR="005B27ED" w:rsidRPr="005B27ED">
        <w:rPr>
          <w:rFonts w:asciiTheme="majorBidi" w:hAnsiTheme="majorBidi" w:cstheme="majorBidi"/>
          <w:sz w:val="24"/>
          <w:szCs w:val="24"/>
        </w:rPr>
        <w:t>he</w:t>
      </w:r>
      <w:r w:rsidR="008C4FA4">
        <w:rPr>
          <w:rFonts w:asciiTheme="majorBidi" w:hAnsiTheme="majorBidi" w:cstheme="majorBidi"/>
          <w:sz w:val="24"/>
          <w:szCs w:val="24"/>
        </w:rPr>
        <w:t>se</w:t>
      </w:r>
      <w:r w:rsidR="005B27ED" w:rsidRPr="005B27ED">
        <w:rPr>
          <w:rFonts w:asciiTheme="majorBidi" w:hAnsiTheme="majorBidi" w:cstheme="majorBidi"/>
          <w:sz w:val="24"/>
          <w:szCs w:val="24"/>
        </w:rPr>
        <w:t xml:space="preserve"> code</w:t>
      </w:r>
      <w:r w:rsidR="008C4FA4">
        <w:rPr>
          <w:rFonts w:asciiTheme="majorBidi" w:hAnsiTheme="majorBidi" w:cstheme="majorBidi"/>
          <w:sz w:val="24"/>
          <w:szCs w:val="24"/>
        </w:rPr>
        <w:t>s</w:t>
      </w:r>
      <w:r w:rsidR="005B27ED" w:rsidRPr="005B27ED">
        <w:rPr>
          <w:rFonts w:asciiTheme="majorBidi" w:hAnsiTheme="majorBidi" w:cstheme="majorBidi"/>
          <w:sz w:val="24"/>
          <w:szCs w:val="24"/>
        </w:rPr>
        <w:t xml:space="preserve"> </w:t>
      </w:r>
      <w:r w:rsidR="008358DD">
        <w:rPr>
          <w:rFonts w:asciiTheme="majorBidi" w:hAnsiTheme="majorBidi" w:cstheme="majorBidi"/>
          <w:sz w:val="24"/>
          <w:szCs w:val="24"/>
        </w:rPr>
        <w:t>recommend</w:t>
      </w:r>
      <w:r w:rsidR="005B27ED" w:rsidRPr="005B27ED">
        <w:rPr>
          <w:rFonts w:asciiTheme="majorBidi" w:hAnsiTheme="majorBidi" w:cstheme="majorBidi"/>
          <w:sz w:val="24"/>
          <w:szCs w:val="24"/>
        </w:rPr>
        <w:t xml:space="preserve"> that VC/senior manager’ pay packages should be fair, appropriate and linked to the performance of individuals/institutions.</w:t>
      </w:r>
      <w:r w:rsidR="00090234">
        <w:rPr>
          <w:rFonts w:asciiTheme="majorBidi" w:hAnsiTheme="majorBidi" w:cstheme="majorBidi"/>
          <w:sz w:val="24"/>
          <w:szCs w:val="24"/>
        </w:rPr>
        <w:t xml:space="preserve"> Similarly, </w:t>
      </w:r>
      <w:r w:rsidR="004E7546">
        <w:rPr>
          <w:rFonts w:asciiTheme="majorBidi" w:hAnsiTheme="majorBidi" w:cstheme="majorBidi"/>
          <w:sz w:val="24"/>
          <w:szCs w:val="24"/>
        </w:rPr>
        <w:t xml:space="preserve">the </w:t>
      </w:r>
      <w:proofErr w:type="spellStart"/>
      <w:r w:rsidR="009D35AC">
        <w:rPr>
          <w:rFonts w:asciiTheme="majorBidi" w:hAnsiTheme="majorBidi" w:cstheme="majorBidi"/>
          <w:sz w:val="24"/>
          <w:szCs w:val="24"/>
        </w:rPr>
        <w:t>OfS</w:t>
      </w:r>
      <w:proofErr w:type="spellEnd"/>
      <w:r w:rsidR="004E7546">
        <w:rPr>
          <w:rFonts w:asciiTheme="majorBidi" w:hAnsiTheme="majorBidi" w:cstheme="majorBidi"/>
          <w:sz w:val="24"/>
          <w:szCs w:val="24"/>
        </w:rPr>
        <w:t xml:space="preserve"> and UK Parliament (</w:t>
      </w:r>
      <w:proofErr w:type="spellStart"/>
      <w:r w:rsidR="004E7546">
        <w:rPr>
          <w:rFonts w:asciiTheme="majorBidi" w:hAnsiTheme="majorBidi" w:cstheme="majorBidi"/>
          <w:sz w:val="24"/>
          <w:szCs w:val="24"/>
        </w:rPr>
        <w:t>OfS</w:t>
      </w:r>
      <w:proofErr w:type="spellEnd"/>
      <w:r w:rsidR="004E7546">
        <w:rPr>
          <w:rFonts w:asciiTheme="majorBidi" w:hAnsiTheme="majorBidi" w:cstheme="majorBidi"/>
          <w:sz w:val="24"/>
          <w:szCs w:val="24"/>
        </w:rPr>
        <w:t xml:space="preserve">, 2019; </w:t>
      </w:r>
      <w:r w:rsidR="004E7546" w:rsidRPr="004E7546">
        <w:rPr>
          <w:rFonts w:asciiTheme="majorBidi" w:hAnsiTheme="majorBidi" w:cstheme="majorBidi"/>
          <w:sz w:val="24"/>
          <w:szCs w:val="24"/>
        </w:rPr>
        <w:t xml:space="preserve">Hubble </w:t>
      </w:r>
      <w:r w:rsidR="00E67502">
        <w:rPr>
          <w:rFonts w:asciiTheme="majorBidi" w:hAnsiTheme="majorBidi" w:cstheme="majorBidi"/>
          <w:sz w:val="24"/>
          <w:szCs w:val="24"/>
        </w:rPr>
        <w:t>and</w:t>
      </w:r>
      <w:r w:rsidR="004E7546">
        <w:rPr>
          <w:rFonts w:asciiTheme="majorBidi" w:hAnsiTheme="majorBidi" w:cstheme="majorBidi"/>
          <w:sz w:val="24"/>
          <w:szCs w:val="24"/>
        </w:rPr>
        <w:t xml:space="preserve"> </w:t>
      </w:r>
      <w:r w:rsidR="004E7546" w:rsidRPr="004E7546">
        <w:rPr>
          <w:rFonts w:asciiTheme="majorBidi" w:hAnsiTheme="majorBidi" w:cstheme="majorBidi"/>
          <w:sz w:val="24"/>
          <w:szCs w:val="24"/>
        </w:rPr>
        <w:t>Bolton</w:t>
      </w:r>
      <w:r w:rsidR="004E7546">
        <w:rPr>
          <w:rFonts w:asciiTheme="majorBidi" w:hAnsiTheme="majorBidi" w:cstheme="majorBidi"/>
          <w:sz w:val="24"/>
          <w:szCs w:val="24"/>
        </w:rPr>
        <w:t>, 2019) published their</w:t>
      </w:r>
      <w:r w:rsidR="009E13EB">
        <w:rPr>
          <w:rFonts w:asciiTheme="majorBidi" w:hAnsiTheme="majorBidi" w:cstheme="majorBidi"/>
          <w:sz w:val="24"/>
          <w:szCs w:val="24"/>
        </w:rPr>
        <w:t xml:space="preserve"> independent</w:t>
      </w:r>
      <w:r w:rsidR="004E7546">
        <w:rPr>
          <w:rFonts w:asciiTheme="majorBidi" w:hAnsiTheme="majorBidi" w:cstheme="majorBidi"/>
          <w:sz w:val="24"/>
          <w:szCs w:val="24"/>
        </w:rPr>
        <w:t xml:space="preserve"> report in 2019, which suggest</w:t>
      </w:r>
      <w:r w:rsidR="004D7123">
        <w:rPr>
          <w:rFonts w:asciiTheme="majorBidi" w:hAnsiTheme="majorBidi" w:cstheme="majorBidi"/>
          <w:sz w:val="24"/>
          <w:szCs w:val="24"/>
        </w:rPr>
        <w:t>ed</w:t>
      </w:r>
      <w:r w:rsidR="004E7546">
        <w:rPr>
          <w:rFonts w:asciiTheme="majorBidi" w:hAnsiTheme="majorBidi" w:cstheme="majorBidi"/>
          <w:sz w:val="24"/>
          <w:szCs w:val="24"/>
        </w:rPr>
        <w:t xml:space="preserve"> that VC pay </w:t>
      </w:r>
      <w:r w:rsidR="00745635">
        <w:rPr>
          <w:rFonts w:asciiTheme="majorBidi" w:hAnsiTheme="majorBidi" w:cstheme="majorBidi"/>
          <w:sz w:val="24"/>
          <w:szCs w:val="24"/>
        </w:rPr>
        <w:t>should</w:t>
      </w:r>
      <w:r w:rsidR="004E7546">
        <w:rPr>
          <w:rFonts w:asciiTheme="majorBidi" w:hAnsiTheme="majorBidi" w:cstheme="majorBidi"/>
          <w:sz w:val="24"/>
          <w:szCs w:val="24"/>
        </w:rPr>
        <w:t xml:space="preserve"> be</w:t>
      </w:r>
      <w:r w:rsidR="00745635">
        <w:rPr>
          <w:rFonts w:asciiTheme="majorBidi" w:hAnsiTheme="majorBidi" w:cstheme="majorBidi"/>
          <w:sz w:val="24"/>
          <w:szCs w:val="24"/>
        </w:rPr>
        <w:t xml:space="preserve"> competitive, but</w:t>
      </w:r>
      <w:r w:rsidR="004E7546">
        <w:rPr>
          <w:rFonts w:asciiTheme="majorBidi" w:hAnsiTheme="majorBidi" w:cstheme="majorBidi"/>
          <w:sz w:val="24"/>
          <w:szCs w:val="24"/>
        </w:rPr>
        <w:t xml:space="preserve"> </w:t>
      </w:r>
      <w:r w:rsidR="007A16B7">
        <w:rPr>
          <w:rFonts w:asciiTheme="majorBidi" w:hAnsiTheme="majorBidi" w:cstheme="majorBidi"/>
          <w:sz w:val="24"/>
          <w:szCs w:val="24"/>
        </w:rPr>
        <w:t xml:space="preserve">high pay must be </w:t>
      </w:r>
      <w:r w:rsidR="004E7546">
        <w:rPr>
          <w:rFonts w:asciiTheme="majorBidi" w:hAnsiTheme="majorBidi" w:cstheme="majorBidi"/>
          <w:sz w:val="24"/>
          <w:szCs w:val="24"/>
        </w:rPr>
        <w:t xml:space="preserve">justified by high performance. </w:t>
      </w:r>
    </w:p>
    <w:p w14:paraId="3ECE32B6" w14:textId="6F26BAE5" w:rsidR="00AE7EF4" w:rsidRDefault="00AE7EF4" w:rsidP="00AE7EF4">
      <w:pPr>
        <w:spacing w:after="0" w:line="480" w:lineRule="auto"/>
        <w:ind w:firstLine="720"/>
        <w:jc w:val="both"/>
        <w:rPr>
          <w:rFonts w:asciiTheme="majorBidi" w:hAnsiTheme="majorBidi" w:cstheme="majorBidi"/>
          <w:sz w:val="24"/>
          <w:szCs w:val="24"/>
        </w:rPr>
      </w:pPr>
      <w:r w:rsidRPr="00975917">
        <w:rPr>
          <w:rFonts w:asciiTheme="majorBidi" w:hAnsiTheme="majorBidi" w:cstheme="majorBidi"/>
          <w:sz w:val="24"/>
          <w:szCs w:val="24"/>
        </w:rPr>
        <w:t>Meanwhile, and</w:t>
      </w:r>
      <w:r w:rsidR="00456C82" w:rsidRPr="001D0003">
        <w:rPr>
          <w:rFonts w:asciiTheme="majorBidi" w:hAnsiTheme="majorBidi" w:cstheme="majorBidi"/>
          <w:sz w:val="24"/>
          <w:szCs w:val="24"/>
        </w:rPr>
        <w:t xml:space="preserve"> </w:t>
      </w:r>
      <w:r w:rsidR="007D3DCB" w:rsidRPr="001D0003">
        <w:rPr>
          <w:rFonts w:asciiTheme="majorBidi" w:hAnsiTheme="majorBidi" w:cstheme="majorBidi"/>
          <w:sz w:val="24"/>
          <w:szCs w:val="24"/>
        </w:rPr>
        <w:t>given that HEIs are expected to meet various short</w:t>
      </w:r>
      <w:r w:rsidR="00516971" w:rsidRPr="001D0003">
        <w:rPr>
          <w:rFonts w:asciiTheme="majorBidi" w:hAnsiTheme="majorBidi" w:cstheme="majorBidi"/>
          <w:sz w:val="24"/>
          <w:szCs w:val="24"/>
        </w:rPr>
        <w:t xml:space="preserve"> (e.g., annual national</w:t>
      </w:r>
      <w:r w:rsidR="00975917" w:rsidRPr="007D350B">
        <w:rPr>
          <w:rFonts w:asciiTheme="majorBidi" w:hAnsiTheme="majorBidi" w:cstheme="majorBidi"/>
          <w:sz w:val="24"/>
          <w:szCs w:val="24"/>
        </w:rPr>
        <w:t>/</w:t>
      </w:r>
      <w:r w:rsidR="00516971" w:rsidRPr="007D350B">
        <w:rPr>
          <w:rFonts w:asciiTheme="majorBidi" w:hAnsiTheme="majorBidi" w:cstheme="majorBidi"/>
          <w:sz w:val="24"/>
          <w:szCs w:val="24"/>
        </w:rPr>
        <w:t>international research</w:t>
      </w:r>
      <w:r w:rsidR="00975917" w:rsidRPr="007D350B">
        <w:rPr>
          <w:rFonts w:asciiTheme="majorBidi" w:hAnsiTheme="majorBidi" w:cstheme="majorBidi"/>
          <w:sz w:val="24"/>
          <w:szCs w:val="24"/>
        </w:rPr>
        <w:t>/</w:t>
      </w:r>
      <w:r w:rsidR="00516971" w:rsidRPr="007D350B">
        <w:rPr>
          <w:rFonts w:asciiTheme="majorBidi" w:hAnsiTheme="majorBidi" w:cstheme="majorBidi"/>
          <w:sz w:val="24"/>
          <w:szCs w:val="24"/>
        </w:rPr>
        <w:t>teaching rankings)</w:t>
      </w:r>
      <w:r w:rsidR="007D3DCB" w:rsidRPr="007D350B">
        <w:rPr>
          <w:rFonts w:asciiTheme="majorBidi" w:hAnsiTheme="majorBidi" w:cstheme="majorBidi"/>
          <w:sz w:val="24"/>
          <w:szCs w:val="24"/>
        </w:rPr>
        <w:t xml:space="preserve"> and long-term</w:t>
      </w:r>
      <w:r w:rsidR="00516971" w:rsidRPr="007D350B">
        <w:rPr>
          <w:rFonts w:asciiTheme="majorBidi" w:hAnsiTheme="majorBidi" w:cstheme="majorBidi"/>
          <w:sz w:val="24"/>
          <w:szCs w:val="24"/>
        </w:rPr>
        <w:t xml:space="preserve"> (e.g., </w:t>
      </w:r>
      <w:r w:rsidR="00516971" w:rsidRPr="007D350B">
        <w:rPr>
          <w:rFonts w:asciiTheme="majorBidi" w:hAnsiTheme="majorBidi" w:cstheme="majorBidi"/>
          <w:sz w:val="24"/>
          <w:szCs w:val="24"/>
          <w:shd w:val="clear" w:color="auto" w:fill="FFFFFF"/>
        </w:rPr>
        <w:t>addressing key long-term societal challenges/inequalities)</w:t>
      </w:r>
      <w:r w:rsidR="007D3DCB" w:rsidRPr="007D350B">
        <w:rPr>
          <w:rFonts w:asciiTheme="majorBidi" w:hAnsiTheme="majorBidi" w:cstheme="majorBidi"/>
          <w:sz w:val="24"/>
          <w:szCs w:val="24"/>
        </w:rPr>
        <w:t xml:space="preserve"> performance targets</w:t>
      </w:r>
      <w:r w:rsidR="00516971" w:rsidRPr="007D350B">
        <w:rPr>
          <w:rFonts w:asciiTheme="majorBidi" w:hAnsiTheme="majorBidi" w:cstheme="majorBidi"/>
          <w:sz w:val="24"/>
          <w:szCs w:val="24"/>
        </w:rPr>
        <w:t xml:space="preserve"> (</w:t>
      </w:r>
      <w:proofErr w:type="spellStart"/>
      <w:r w:rsidR="00516971" w:rsidRPr="007D350B">
        <w:rPr>
          <w:rFonts w:asciiTheme="majorBidi" w:hAnsiTheme="majorBidi" w:cstheme="majorBidi"/>
          <w:sz w:val="24"/>
          <w:szCs w:val="24"/>
        </w:rPr>
        <w:t>Ballo</w:t>
      </w:r>
      <w:proofErr w:type="spellEnd"/>
      <w:r w:rsidR="00516971" w:rsidRPr="007D350B">
        <w:rPr>
          <w:rFonts w:asciiTheme="majorBidi" w:hAnsiTheme="majorBidi" w:cstheme="majorBidi"/>
          <w:sz w:val="24"/>
          <w:szCs w:val="24"/>
        </w:rPr>
        <w:t xml:space="preserve">, 2020; </w:t>
      </w:r>
      <w:proofErr w:type="spellStart"/>
      <w:r w:rsidR="00516971" w:rsidRPr="007D350B">
        <w:rPr>
          <w:rFonts w:asciiTheme="majorBidi" w:hAnsiTheme="majorBidi" w:cstheme="majorBidi"/>
          <w:sz w:val="24"/>
          <w:szCs w:val="24"/>
        </w:rPr>
        <w:t>Dowsett</w:t>
      </w:r>
      <w:proofErr w:type="spellEnd"/>
      <w:r w:rsidR="00516971" w:rsidRPr="007D350B">
        <w:rPr>
          <w:rFonts w:asciiTheme="majorBidi" w:hAnsiTheme="majorBidi" w:cstheme="majorBidi"/>
          <w:sz w:val="24"/>
          <w:szCs w:val="24"/>
        </w:rPr>
        <w:t>, 2020)</w:t>
      </w:r>
      <w:r w:rsidR="007D3DCB" w:rsidRPr="007D350B">
        <w:rPr>
          <w:rFonts w:asciiTheme="majorBidi" w:hAnsiTheme="majorBidi" w:cstheme="majorBidi"/>
          <w:sz w:val="24"/>
          <w:szCs w:val="24"/>
        </w:rPr>
        <w:t xml:space="preserve">, </w:t>
      </w:r>
      <w:r w:rsidR="007D3DCB" w:rsidRPr="007D350B">
        <w:rPr>
          <w:rFonts w:asciiTheme="majorBidi" w:hAnsiTheme="majorBidi" w:cstheme="majorBidi"/>
          <w:sz w:val="24"/>
          <w:szCs w:val="24"/>
        </w:rPr>
        <w:lastRenderedPageBreak/>
        <w:t>arguably and similar to large public corporations, the successful management of such complex institutions require equally highly talented and experienced senior management teams, who will need to be sufficiently remunerated if they are to perform at their best</w:t>
      </w:r>
      <w:r w:rsidR="00A10148" w:rsidRPr="007D350B">
        <w:rPr>
          <w:rFonts w:asciiTheme="majorBidi" w:hAnsiTheme="majorBidi" w:cstheme="majorBidi"/>
          <w:sz w:val="24"/>
          <w:szCs w:val="24"/>
        </w:rPr>
        <w:t xml:space="preserve"> (</w:t>
      </w:r>
      <w:r w:rsidR="00A10148" w:rsidRPr="007D350B">
        <w:rPr>
          <w:rFonts w:asciiTheme="majorBidi" w:hAnsiTheme="majorBidi" w:cstheme="majorBidi"/>
          <w:sz w:val="24"/>
          <w:szCs w:val="24"/>
          <w:shd w:val="clear" w:color="auto" w:fill="FFFFFF"/>
        </w:rPr>
        <w:t>Boden and Rowlands, 2020</w:t>
      </w:r>
      <w:r w:rsidR="00A10148" w:rsidRPr="007D350B">
        <w:rPr>
          <w:rFonts w:asciiTheme="majorBidi" w:hAnsiTheme="majorBidi" w:cstheme="majorBidi"/>
          <w:sz w:val="24"/>
          <w:szCs w:val="24"/>
        </w:rPr>
        <w:t>)</w:t>
      </w:r>
      <w:r w:rsidR="007D3DCB" w:rsidRPr="007D350B">
        <w:rPr>
          <w:rFonts w:asciiTheme="majorBidi" w:hAnsiTheme="majorBidi" w:cstheme="majorBidi"/>
          <w:sz w:val="24"/>
          <w:szCs w:val="24"/>
        </w:rPr>
        <w:t>.</w:t>
      </w:r>
      <w:r w:rsidR="00EA642F">
        <w:rPr>
          <w:rFonts w:asciiTheme="majorBidi" w:hAnsiTheme="majorBidi" w:cstheme="majorBidi"/>
          <w:sz w:val="24"/>
          <w:szCs w:val="24"/>
        </w:rPr>
        <w:t xml:space="preserve"> </w:t>
      </w:r>
      <w:r w:rsidR="00474D7E">
        <w:rPr>
          <w:rFonts w:asciiTheme="majorBidi" w:hAnsiTheme="majorBidi" w:cstheme="majorBidi"/>
          <w:sz w:val="24"/>
          <w:szCs w:val="24"/>
        </w:rPr>
        <w:t>However</w:t>
      </w:r>
      <w:r w:rsidR="00EA642F">
        <w:rPr>
          <w:rFonts w:asciiTheme="majorBidi" w:hAnsiTheme="majorBidi" w:cstheme="majorBidi"/>
          <w:sz w:val="24"/>
          <w:szCs w:val="24"/>
        </w:rPr>
        <w:t xml:space="preserve">, and </w:t>
      </w:r>
      <w:r w:rsidR="00456C82">
        <w:rPr>
          <w:rFonts w:asciiTheme="majorBidi" w:hAnsiTheme="majorBidi" w:cstheme="majorBidi"/>
          <w:sz w:val="24"/>
          <w:szCs w:val="24"/>
        </w:rPr>
        <w:t xml:space="preserve">due to the increasing competition and </w:t>
      </w:r>
      <w:proofErr w:type="spellStart"/>
      <w:r w:rsidR="00025E20" w:rsidRPr="00025E20">
        <w:rPr>
          <w:rFonts w:asciiTheme="majorBidi" w:hAnsiTheme="majorBidi" w:cstheme="majorBidi"/>
          <w:sz w:val="24"/>
          <w:szCs w:val="24"/>
        </w:rPr>
        <w:t>financi</w:t>
      </w:r>
      <w:r w:rsidR="00CC0219">
        <w:rPr>
          <w:rFonts w:asciiTheme="majorBidi" w:hAnsiTheme="majorBidi" w:cstheme="majorBidi"/>
          <w:sz w:val="24"/>
          <w:szCs w:val="24"/>
        </w:rPr>
        <w:t>a</w:t>
      </w:r>
      <w:r w:rsidR="00025E20" w:rsidRPr="00025E20">
        <w:rPr>
          <w:rFonts w:asciiTheme="majorBidi" w:hAnsiTheme="majorBidi" w:cstheme="majorBidi"/>
          <w:sz w:val="24"/>
          <w:szCs w:val="24"/>
        </w:rPr>
        <w:t>lisation</w:t>
      </w:r>
      <w:proofErr w:type="spellEnd"/>
      <w:r w:rsidR="00025E20">
        <w:rPr>
          <w:rFonts w:asciiTheme="majorBidi" w:hAnsiTheme="majorBidi" w:cstheme="majorBidi"/>
          <w:sz w:val="24"/>
          <w:szCs w:val="24"/>
        </w:rPr>
        <w:t>/</w:t>
      </w:r>
      <w:r w:rsidR="00456C82">
        <w:rPr>
          <w:rFonts w:asciiTheme="majorBidi" w:hAnsiTheme="majorBidi" w:cstheme="majorBidi"/>
          <w:sz w:val="24"/>
          <w:szCs w:val="24"/>
        </w:rPr>
        <w:t>marketisation in</w:t>
      </w:r>
      <w:r w:rsidR="00B60316">
        <w:rPr>
          <w:rFonts w:asciiTheme="majorBidi" w:hAnsiTheme="majorBidi" w:cstheme="majorBidi"/>
          <w:sz w:val="24"/>
          <w:szCs w:val="24"/>
        </w:rPr>
        <w:t xml:space="preserve"> the</w:t>
      </w:r>
      <w:r w:rsidR="00456C82">
        <w:rPr>
          <w:rFonts w:asciiTheme="majorBidi" w:hAnsiTheme="majorBidi" w:cstheme="majorBidi"/>
          <w:sz w:val="24"/>
          <w:szCs w:val="24"/>
        </w:rPr>
        <w:t xml:space="preserve"> UK HE </w:t>
      </w:r>
      <w:proofErr w:type="gramStart"/>
      <w:r w:rsidR="00456C82">
        <w:rPr>
          <w:rFonts w:asciiTheme="majorBidi" w:hAnsiTheme="majorBidi" w:cstheme="majorBidi"/>
          <w:sz w:val="24"/>
          <w:szCs w:val="24"/>
        </w:rPr>
        <w:t>sector</w:t>
      </w:r>
      <w:proofErr w:type="gramEnd"/>
      <w:r w:rsidR="00456C82">
        <w:rPr>
          <w:rFonts w:asciiTheme="majorBidi" w:hAnsiTheme="majorBidi" w:cstheme="majorBidi"/>
          <w:sz w:val="24"/>
          <w:szCs w:val="24"/>
        </w:rPr>
        <w:t xml:space="preserve">, </w:t>
      </w:r>
      <w:r w:rsidR="005A2DF6">
        <w:rPr>
          <w:rFonts w:asciiTheme="majorBidi" w:hAnsiTheme="majorBidi" w:cstheme="majorBidi"/>
          <w:sz w:val="24"/>
          <w:szCs w:val="24"/>
        </w:rPr>
        <w:t xml:space="preserve">it has been argued that </w:t>
      </w:r>
      <w:r w:rsidR="006F72AF">
        <w:rPr>
          <w:rFonts w:asciiTheme="majorBidi" w:hAnsiTheme="majorBidi" w:cstheme="majorBidi"/>
          <w:sz w:val="24"/>
          <w:szCs w:val="24"/>
        </w:rPr>
        <w:t>VCs</w:t>
      </w:r>
      <w:r w:rsidR="00474D7E">
        <w:rPr>
          <w:rFonts w:asciiTheme="majorBidi" w:hAnsiTheme="majorBidi" w:cstheme="majorBidi"/>
          <w:sz w:val="24"/>
          <w:szCs w:val="24"/>
        </w:rPr>
        <w:t xml:space="preserve"> are </w:t>
      </w:r>
      <w:r w:rsidR="00615D38">
        <w:rPr>
          <w:rFonts w:asciiTheme="majorBidi" w:hAnsiTheme="majorBidi" w:cstheme="majorBidi"/>
          <w:sz w:val="24"/>
          <w:szCs w:val="24"/>
        </w:rPr>
        <w:t xml:space="preserve">more likely </w:t>
      </w:r>
      <w:r w:rsidR="006F72AF">
        <w:rPr>
          <w:rFonts w:asciiTheme="majorBidi" w:hAnsiTheme="majorBidi" w:cstheme="majorBidi"/>
          <w:sz w:val="24"/>
          <w:szCs w:val="24"/>
        </w:rPr>
        <w:t xml:space="preserve">to focus on </w:t>
      </w:r>
      <w:r w:rsidR="00BB2AD0">
        <w:rPr>
          <w:rFonts w:asciiTheme="majorBidi" w:hAnsiTheme="majorBidi" w:cstheme="majorBidi"/>
          <w:sz w:val="24"/>
          <w:szCs w:val="24"/>
        </w:rPr>
        <w:t xml:space="preserve">meeting </w:t>
      </w:r>
      <w:r w:rsidR="006F72AF">
        <w:rPr>
          <w:rFonts w:asciiTheme="majorBidi" w:hAnsiTheme="majorBidi" w:cstheme="majorBidi"/>
          <w:sz w:val="24"/>
          <w:szCs w:val="24"/>
        </w:rPr>
        <w:t>short-term performance targets</w:t>
      </w:r>
      <w:r w:rsidR="00BB2AD0">
        <w:rPr>
          <w:rFonts w:asciiTheme="majorBidi" w:hAnsiTheme="majorBidi" w:cstheme="majorBidi"/>
          <w:sz w:val="24"/>
          <w:szCs w:val="24"/>
        </w:rPr>
        <w:t>, since such targets are less costly and quicker to achieve,</w:t>
      </w:r>
      <w:r w:rsidR="006F72AF">
        <w:rPr>
          <w:rFonts w:asciiTheme="majorBidi" w:hAnsiTheme="majorBidi" w:cstheme="majorBidi"/>
          <w:sz w:val="24"/>
          <w:szCs w:val="24"/>
        </w:rPr>
        <w:t xml:space="preserve"> </w:t>
      </w:r>
      <w:r w:rsidR="007D3DCB">
        <w:rPr>
          <w:rFonts w:asciiTheme="majorBidi" w:hAnsiTheme="majorBidi" w:cstheme="majorBidi"/>
          <w:sz w:val="24"/>
          <w:szCs w:val="24"/>
        </w:rPr>
        <w:t xml:space="preserve">in order to justify their </w:t>
      </w:r>
      <w:r w:rsidR="00771D3A">
        <w:rPr>
          <w:rFonts w:asciiTheme="majorBidi" w:hAnsiTheme="majorBidi" w:cstheme="majorBidi"/>
          <w:sz w:val="24"/>
          <w:szCs w:val="24"/>
        </w:rPr>
        <w:t xml:space="preserve">often relatively </w:t>
      </w:r>
      <w:r w:rsidR="007D3DCB">
        <w:rPr>
          <w:rFonts w:asciiTheme="majorBidi" w:hAnsiTheme="majorBidi" w:cstheme="majorBidi"/>
          <w:sz w:val="24"/>
          <w:szCs w:val="24"/>
        </w:rPr>
        <w:t>high pay</w:t>
      </w:r>
      <w:r w:rsidR="005A2DF6">
        <w:rPr>
          <w:rFonts w:asciiTheme="majorBidi" w:hAnsiTheme="majorBidi" w:cstheme="majorBidi"/>
          <w:sz w:val="24"/>
          <w:szCs w:val="24"/>
        </w:rPr>
        <w:t xml:space="preserve"> (Walker et al., 2019)</w:t>
      </w:r>
      <w:r>
        <w:rPr>
          <w:rFonts w:asciiTheme="majorBidi" w:hAnsiTheme="majorBidi" w:cstheme="majorBidi"/>
          <w:sz w:val="24"/>
          <w:szCs w:val="24"/>
        </w:rPr>
        <w:t>.</w:t>
      </w:r>
    </w:p>
    <w:p w14:paraId="2DBE14EA" w14:textId="2B234266" w:rsidR="005A2B62" w:rsidRDefault="00AC3612" w:rsidP="00C73C8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Theoretically</w:t>
      </w:r>
      <w:r w:rsidR="00F542D5">
        <w:rPr>
          <w:rFonts w:asciiTheme="majorBidi" w:hAnsiTheme="majorBidi" w:cstheme="majorBidi"/>
          <w:sz w:val="24"/>
          <w:szCs w:val="24"/>
        </w:rPr>
        <w:t>, much of the existing literature that examine</w:t>
      </w:r>
      <w:r w:rsidR="00515679">
        <w:rPr>
          <w:rFonts w:asciiTheme="majorBidi" w:hAnsiTheme="majorBidi" w:cstheme="majorBidi"/>
          <w:sz w:val="24"/>
          <w:szCs w:val="24"/>
        </w:rPr>
        <w:t>s</w:t>
      </w:r>
      <w:r w:rsidR="00F542D5">
        <w:rPr>
          <w:rFonts w:asciiTheme="majorBidi" w:hAnsiTheme="majorBidi" w:cstheme="majorBidi"/>
          <w:sz w:val="24"/>
          <w:szCs w:val="24"/>
        </w:rPr>
        <w:t xml:space="preserve"> the link between</w:t>
      </w:r>
      <w:r w:rsidR="00176DD4">
        <w:rPr>
          <w:rFonts w:asciiTheme="majorBidi" w:hAnsiTheme="majorBidi" w:cstheme="majorBidi"/>
          <w:sz w:val="24"/>
          <w:szCs w:val="24"/>
        </w:rPr>
        <w:t xml:space="preserve"> pay</w:t>
      </w:r>
      <w:r w:rsidR="00515679">
        <w:rPr>
          <w:rFonts w:asciiTheme="majorBidi" w:hAnsiTheme="majorBidi" w:cstheme="majorBidi"/>
          <w:sz w:val="24"/>
          <w:szCs w:val="24"/>
        </w:rPr>
        <w:t xml:space="preserve"> and performance</w:t>
      </w:r>
      <w:r w:rsidR="00F542D5">
        <w:rPr>
          <w:rFonts w:asciiTheme="majorBidi" w:hAnsiTheme="majorBidi" w:cstheme="majorBidi"/>
          <w:sz w:val="24"/>
          <w:szCs w:val="24"/>
        </w:rPr>
        <w:t xml:space="preserve"> ha</w:t>
      </w:r>
      <w:r w:rsidR="00515679">
        <w:rPr>
          <w:rFonts w:asciiTheme="majorBidi" w:hAnsiTheme="majorBidi" w:cstheme="majorBidi"/>
          <w:sz w:val="24"/>
          <w:szCs w:val="24"/>
        </w:rPr>
        <w:t>s</w:t>
      </w:r>
      <w:r w:rsidR="00F542D5">
        <w:rPr>
          <w:rFonts w:asciiTheme="majorBidi" w:hAnsiTheme="majorBidi" w:cstheme="majorBidi"/>
          <w:sz w:val="24"/>
          <w:szCs w:val="24"/>
        </w:rPr>
        <w:t xml:space="preserve"> relied on two </w:t>
      </w:r>
      <w:r w:rsidR="00732186">
        <w:rPr>
          <w:rFonts w:asciiTheme="majorBidi" w:hAnsiTheme="majorBidi" w:cstheme="majorBidi"/>
          <w:sz w:val="24"/>
          <w:szCs w:val="24"/>
        </w:rPr>
        <w:t xml:space="preserve">main </w:t>
      </w:r>
      <w:r w:rsidR="00F542D5">
        <w:rPr>
          <w:rFonts w:asciiTheme="majorBidi" w:hAnsiTheme="majorBidi" w:cstheme="majorBidi"/>
          <w:sz w:val="24"/>
          <w:szCs w:val="24"/>
        </w:rPr>
        <w:t xml:space="preserve">theories: </w:t>
      </w:r>
      <w:r w:rsidR="00AF213D" w:rsidRPr="00653D88">
        <w:rPr>
          <w:rFonts w:asciiTheme="majorBidi" w:hAnsiTheme="majorBidi" w:cstheme="majorBidi"/>
          <w:sz w:val="24"/>
          <w:szCs w:val="24"/>
        </w:rPr>
        <w:t xml:space="preserve"> </w:t>
      </w:r>
      <w:r w:rsidR="00B66917">
        <w:rPr>
          <w:rFonts w:asciiTheme="majorBidi" w:hAnsiTheme="majorBidi" w:cstheme="majorBidi"/>
          <w:sz w:val="24"/>
          <w:szCs w:val="24"/>
        </w:rPr>
        <w:t>optimal contracting (</w:t>
      </w:r>
      <w:r w:rsidR="00AF213D" w:rsidRPr="00653D88">
        <w:rPr>
          <w:rFonts w:asciiTheme="majorBidi" w:hAnsiTheme="majorBidi" w:cstheme="majorBidi"/>
          <w:sz w:val="24"/>
          <w:szCs w:val="24"/>
        </w:rPr>
        <w:t>OCT</w:t>
      </w:r>
      <w:r w:rsidR="00B66917">
        <w:rPr>
          <w:rFonts w:asciiTheme="majorBidi" w:hAnsiTheme="majorBidi" w:cstheme="majorBidi"/>
          <w:sz w:val="24"/>
          <w:szCs w:val="24"/>
        </w:rPr>
        <w:t>)</w:t>
      </w:r>
      <w:r w:rsidR="00AF213D" w:rsidRPr="00653D88">
        <w:rPr>
          <w:rFonts w:asciiTheme="majorBidi" w:hAnsiTheme="majorBidi" w:cstheme="majorBidi"/>
          <w:sz w:val="24"/>
          <w:szCs w:val="24"/>
        </w:rPr>
        <w:t xml:space="preserve"> and </w:t>
      </w:r>
      <w:r w:rsidR="00B66917">
        <w:rPr>
          <w:rFonts w:asciiTheme="majorBidi" w:hAnsiTheme="majorBidi" w:cstheme="majorBidi"/>
          <w:sz w:val="24"/>
          <w:szCs w:val="24"/>
        </w:rPr>
        <w:t>prestige (</w:t>
      </w:r>
      <w:r w:rsidR="00BA38DA">
        <w:rPr>
          <w:rFonts w:asciiTheme="majorBidi" w:hAnsiTheme="majorBidi" w:cstheme="majorBidi"/>
          <w:sz w:val="24"/>
          <w:szCs w:val="24"/>
        </w:rPr>
        <w:t>PT</w:t>
      </w:r>
      <w:r w:rsidR="00B66917">
        <w:rPr>
          <w:rFonts w:asciiTheme="majorBidi" w:hAnsiTheme="majorBidi" w:cstheme="majorBidi"/>
          <w:sz w:val="24"/>
          <w:szCs w:val="24"/>
        </w:rPr>
        <w:t>) theories</w:t>
      </w:r>
      <w:r w:rsidR="00BA38DA">
        <w:rPr>
          <w:rFonts w:asciiTheme="majorBidi" w:hAnsiTheme="majorBidi" w:cstheme="majorBidi"/>
          <w:sz w:val="24"/>
          <w:szCs w:val="24"/>
        </w:rPr>
        <w:t xml:space="preserve"> (</w:t>
      </w:r>
      <w:proofErr w:type="spellStart"/>
      <w:r w:rsidR="00BA38DA" w:rsidRPr="00653D88">
        <w:rPr>
          <w:rFonts w:asciiTheme="majorBidi" w:hAnsiTheme="majorBidi" w:cstheme="majorBidi"/>
          <w:sz w:val="24"/>
          <w:szCs w:val="24"/>
        </w:rPr>
        <w:t>Bebchuk</w:t>
      </w:r>
      <w:proofErr w:type="spellEnd"/>
      <w:r w:rsidR="00BA38DA" w:rsidRPr="00653D88">
        <w:rPr>
          <w:rFonts w:asciiTheme="majorBidi" w:hAnsiTheme="majorBidi" w:cstheme="majorBidi"/>
          <w:sz w:val="24"/>
          <w:szCs w:val="24"/>
        </w:rPr>
        <w:t xml:space="preserve"> et a</w:t>
      </w:r>
      <w:r w:rsidR="00BA38DA">
        <w:rPr>
          <w:rFonts w:asciiTheme="majorBidi" w:hAnsiTheme="majorBidi" w:cstheme="majorBidi"/>
          <w:sz w:val="24"/>
          <w:szCs w:val="24"/>
        </w:rPr>
        <w:t xml:space="preserve">l., 2002; </w:t>
      </w:r>
      <w:proofErr w:type="spellStart"/>
      <w:r w:rsidR="00BA38DA">
        <w:rPr>
          <w:rFonts w:asciiTheme="majorBidi" w:hAnsiTheme="majorBidi" w:cstheme="majorBidi"/>
          <w:sz w:val="24"/>
          <w:szCs w:val="24"/>
        </w:rPr>
        <w:t>Focke</w:t>
      </w:r>
      <w:proofErr w:type="spellEnd"/>
      <w:r w:rsidR="00BA38DA">
        <w:rPr>
          <w:rFonts w:asciiTheme="majorBidi" w:hAnsiTheme="majorBidi" w:cstheme="majorBidi"/>
          <w:sz w:val="24"/>
          <w:szCs w:val="24"/>
        </w:rPr>
        <w:t xml:space="preserve"> et al., 2017)</w:t>
      </w:r>
      <w:r w:rsidR="00515679">
        <w:rPr>
          <w:rFonts w:asciiTheme="majorBidi" w:hAnsiTheme="majorBidi" w:cstheme="majorBidi"/>
          <w:sz w:val="24"/>
          <w:szCs w:val="24"/>
        </w:rPr>
        <w:t>.</w:t>
      </w:r>
      <w:r w:rsidR="00BA38DA">
        <w:rPr>
          <w:rFonts w:asciiTheme="majorBidi" w:hAnsiTheme="majorBidi" w:cstheme="majorBidi"/>
          <w:sz w:val="24"/>
          <w:szCs w:val="24"/>
        </w:rPr>
        <w:t xml:space="preserve"> </w:t>
      </w:r>
      <w:r w:rsidR="00AF213D" w:rsidRPr="00653D88">
        <w:rPr>
          <w:rFonts w:asciiTheme="majorBidi" w:hAnsiTheme="majorBidi" w:cstheme="majorBidi"/>
          <w:sz w:val="24"/>
          <w:szCs w:val="24"/>
        </w:rPr>
        <w:t xml:space="preserve">OCT </w:t>
      </w:r>
      <w:r w:rsidR="002453DA" w:rsidRPr="00653D88">
        <w:rPr>
          <w:rFonts w:asciiTheme="majorBidi" w:hAnsiTheme="majorBidi" w:cstheme="majorBidi"/>
          <w:sz w:val="24"/>
          <w:szCs w:val="24"/>
        </w:rPr>
        <w:t xml:space="preserve">suggests that </w:t>
      </w:r>
      <w:r w:rsidR="00856A99">
        <w:rPr>
          <w:rFonts w:asciiTheme="majorBidi" w:hAnsiTheme="majorBidi" w:cstheme="majorBidi"/>
          <w:sz w:val="24"/>
          <w:szCs w:val="24"/>
        </w:rPr>
        <w:t xml:space="preserve">highly paid managers are often subject to public scrutiny and criticism, and </w:t>
      </w:r>
      <w:r w:rsidR="007C6BCD">
        <w:rPr>
          <w:rFonts w:asciiTheme="majorBidi" w:hAnsiTheme="majorBidi" w:cstheme="majorBidi"/>
          <w:sz w:val="24"/>
          <w:szCs w:val="24"/>
        </w:rPr>
        <w:t xml:space="preserve">thus, they are likely to be motivated to improve </w:t>
      </w:r>
      <w:r w:rsidR="006B4F9F">
        <w:rPr>
          <w:rFonts w:asciiTheme="majorBidi" w:hAnsiTheme="majorBidi" w:cstheme="majorBidi"/>
          <w:sz w:val="24"/>
          <w:szCs w:val="24"/>
        </w:rPr>
        <w:t xml:space="preserve">the </w:t>
      </w:r>
      <w:r w:rsidR="007C6BCD">
        <w:rPr>
          <w:rFonts w:asciiTheme="majorBidi" w:hAnsiTheme="majorBidi" w:cstheme="majorBidi"/>
          <w:sz w:val="24"/>
          <w:szCs w:val="24"/>
        </w:rPr>
        <w:t>short-term</w:t>
      </w:r>
      <w:r w:rsidR="007C6BCD" w:rsidRPr="006B4F9F">
        <w:rPr>
          <w:rFonts w:asciiTheme="majorBidi" w:hAnsiTheme="majorBidi" w:cstheme="majorBidi"/>
          <w:sz w:val="24"/>
          <w:szCs w:val="24"/>
        </w:rPr>
        <w:t xml:space="preserve"> </w:t>
      </w:r>
      <w:r w:rsidR="006B4F9F">
        <w:rPr>
          <w:rFonts w:asciiTheme="majorBidi" w:hAnsiTheme="majorBidi" w:cstheme="majorBidi"/>
          <w:sz w:val="24"/>
          <w:szCs w:val="24"/>
        </w:rPr>
        <w:t xml:space="preserve">performance targets of their institutions </w:t>
      </w:r>
      <w:r w:rsidR="007C6BCD" w:rsidRPr="006B4F9F">
        <w:rPr>
          <w:rFonts w:asciiTheme="majorBidi" w:hAnsiTheme="majorBidi" w:cstheme="majorBidi"/>
          <w:sz w:val="24"/>
          <w:szCs w:val="24"/>
        </w:rPr>
        <w:t xml:space="preserve">in order </w:t>
      </w:r>
      <w:r w:rsidR="006B4F9F" w:rsidRPr="006B4F9F">
        <w:rPr>
          <w:rFonts w:asciiTheme="majorBidi" w:hAnsiTheme="majorBidi" w:cstheme="majorBidi"/>
          <w:sz w:val="24"/>
          <w:szCs w:val="24"/>
        </w:rPr>
        <w:t xml:space="preserve">to justify their pay </w:t>
      </w:r>
      <w:r w:rsidR="00E22707">
        <w:rPr>
          <w:rFonts w:asciiTheme="majorBidi" w:hAnsiTheme="majorBidi" w:cstheme="majorBidi"/>
          <w:sz w:val="24"/>
          <w:szCs w:val="24"/>
        </w:rPr>
        <w:t>(</w:t>
      </w:r>
      <w:proofErr w:type="spellStart"/>
      <w:r w:rsidR="00F22E56">
        <w:rPr>
          <w:rFonts w:asciiTheme="majorBidi" w:hAnsiTheme="majorBidi" w:cstheme="majorBidi"/>
          <w:sz w:val="24"/>
          <w:szCs w:val="24"/>
        </w:rPr>
        <w:t>Heery</w:t>
      </w:r>
      <w:proofErr w:type="spellEnd"/>
      <w:r w:rsidR="00F22E56">
        <w:rPr>
          <w:rFonts w:asciiTheme="majorBidi" w:hAnsiTheme="majorBidi" w:cstheme="majorBidi"/>
          <w:sz w:val="24"/>
          <w:szCs w:val="24"/>
        </w:rPr>
        <w:t>, 1998</w:t>
      </w:r>
      <w:r w:rsidR="00100A61" w:rsidRPr="00653D88">
        <w:rPr>
          <w:rFonts w:asciiTheme="majorBidi" w:hAnsiTheme="majorBidi" w:cstheme="majorBidi"/>
          <w:sz w:val="24"/>
          <w:szCs w:val="24"/>
        </w:rPr>
        <w:t xml:space="preserve">), and hence, OCT </w:t>
      </w:r>
      <w:r w:rsidR="008778E9" w:rsidRPr="00653D88">
        <w:rPr>
          <w:rFonts w:asciiTheme="majorBidi" w:hAnsiTheme="majorBidi" w:cstheme="majorBidi"/>
          <w:sz w:val="24"/>
          <w:szCs w:val="24"/>
        </w:rPr>
        <w:t>expects</w:t>
      </w:r>
      <w:r w:rsidR="00F542D5">
        <w:rPr>
          <w:rFonts w:asciiTheme="majorBidi" w:hAnsiTheme="majorBidi" w:cstheme="majorBidi"/>
          <w:sz w:val="24"/>
          <w:szCs w:val="24"/>
        </w:rPr>
        <w:t xml:space="preserve"> </w:t>
      </w:r>
      <w:r w:rsidR="00EF4B40">
        <w:rPr>
          <w:rFonts w:asciiTheme="majorBidi" w:hAnsiTheme="majorBidi" w:cstheme="majorBidi"/>
          <w:sz w:val="24"/>
          <w:szCs w:val="24"/>
        </w:rPr>
        <w:t xml:space="preserve">that HEIs that focus </w:t>
      </w:r>
      <w:r w:rsidR="002536A3">
        <w:rPr>
          <w:rFonts w:asciiTheme="majorBidi" w:hAnsiTheme="majorBidi" w:cstheme="majorBidi"/>
          <w:sz w:val="24"/>
          <w:szCs w:val="24"/>
        </w:rPr>
        <w:t xml:space="preserve">primarily </w:t>
      </w:r>
      <w:r w:rsidR="00EF4B40">
        <w:rPr>
          <w:rFonts w:asciiTheme="majorBidi" w:hAnsiTheme="majorBidi" w:cstheme="majorBidi"/>
          <w:sz w:val="24"/>
          <w:szCs w:val="24"/>
        </w:rPr>
        <w:t xml:space="preserve">on </w:t>
      </w:r>
      <w:r w:rsidR="002536A3">
        <w:rPr>
          <w:rFonts w:asciiTheme="majorBidi" w:hAnsiTheme="majorBidi" w:cstheme="majorBidi"/>
          <w:sz w:val="24"/>
          <w:szCs w:val="24"/>
        </w:rPr>
        <w:t xml:space="preserve">setting and </w:t>
      </w:r>
      <w:r w:rsidR="00621D43">
        <w:rPr>
          <w:rFonts w:asciiTheme="majorBidi" w:hAnsiTheme="majorBidi" w:cstheme="majorBidi"/>
          <w:sz w:val="24"/>
          <w:szCs w:val="24"/>
        </w:rPr>
        <w:t xml:space="preserve">meeting </w:t>
      </w:r>
      <w:r w:rsidR="00EF4B40">
        <w:rPr>
          <w:rFonts w:asciiTheme="majorBidi" w:hAnsiTheme="majorBidi" w:cstheme="majorBidi"/>
          <w:sz w:val="24"/>
          <w:szCs w:val="24"/>
        </w:rPr>
        <w:t>short-term performance targets to pay their VCs high pay packages</w:t>
      </w:r>
      <w:r w:rsidR="008778E9" w:rsidRPr="00653D88">
        <w:rPr>
          <w:rFonts w:asciiTheme="majorBidi" w:hAnsiTheme="majorBidi" w:cstheme="majorBidi"/>
          <w:sz w:val="24"/>
          <w:szCs w:val="24"/>
        </w:rPr>
        <w:t>.</w:t>
      </w:r>
      <w:r w:rsidR="00550E50">
        <w:rPr>
          <w:rStyle w:val="FootnoteReference"/>
          <w:rFonts w:asciiTheme="majorBidi" w:hAnsiTheme="majorBidi" w:cstheme="majorBidi"/>
          <w:sz w:val="24"/>
          <w:szCs w:val="24"/>
        </w:rPr>
        <w:footnoteReference w:id="2"/>
      </w:r>
      <w:r w:rsidR="008778E9" w:rsidRPr="00653D88">
        <w:rPr>
          <w:rFonts w:asciiTheme="majorBidi" w:hAnsiTheme="majorBidi" w:cstheme="majorBidi"/>
          <w:sz w:val="24"/>
          <w:szCs w:val="24"/>
        </w:rPr>
        <w:t xml:space="preserve"> </w:t>
      </w:r>
      <w:r w:rsidR="005A2B62">
        <w:rPr>
          <w:rFonts w:asciiTheme="majorBidi" w:hAnsiTheme="majorBidi" w:cstheme="majorBidi"/>
          <w:sz w:val="24"/>
          <w:szCs w:val="24"/>
        </w:rPr>
        <w:t xml:space="preserve">Specifically, and </w:t>
      </w:r>
      <w:r w:rsidR="00386CBF">
        <w:rPr>
          <w:rFonts w:asciiTheme="majorBidi" w:hAnsiTheme="majorBidi" w:cstheme="majorBidi"/>
          <w:sz w:val="24"/>
          <w:szCs w:val="24"/>
        </w:rPr>
        <w:t>w</w:t>
      </w:r>
      <w:r w:rsidR="00C73C87" w:rsidRPr="00C73C87">
        <w:rPr>
          <w:rFonts w:asciiTheme="majorBidi" w:hAnsiTheme="majorBidi" w:cstheme="majorBidi"/>
          <w:sz w:val="24"/>
          <w:szCs w:val="24"/>
        </w:rPr>
        <w:t>ith increasing corporatisation (raising funds through traditional debt/bond markets) and managerialism, alternative corporate style pressures and agency problems, such as managerial short-termism and opportunism can emerge (Geiger, 2006). For instance, in order to protect their own pay rewards and respond to critical stakeholder demands (banks/lenders, government, students and trade-unions), market-driven HEI managers may be motivated to take kneejerk/myopic decisions that can help meet short-term performance targets (financial surplus and annual research/teaching rankings), but such decisions will impact negatively on long-term performance (graduate outcomes, BAME/disabled/female attainment/employment/pay gap, and widening access to poor/less privileged students).</w:t>
      </w:r>
    </w:p>
    <w:p w14:paraId="112E7E96" w14:textId="1B937BF7" w:rsidR="00EF4B40" w:rsidRDefault="007F0D9A" w:rsidP="008113B5">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On the other hand</w:t>
      </w:r>
      <w:r w:rsidR="008778E9" w:rsidRPr="00653D88">
        <w:rPr>
          <w:rFonts w:asciiTheme="majorBidi" w:hAnsiTheme="majorBidi" w:cstheme="majorBidi"/>
          <w:sz w:val="24"/>
          <w:szCs w:val="24"/>
        </w:rPr>
        <w:t xml:space="preserve">, </w:t>
      </w:r>
      <w:r w:rsidR="00132902">
        <w:rPr>
          <w:rFonts w:asciiTheme="majorBidi" w:hAnsiTheme="majorBidi" w:cstheme="majorBidi"/>
          <w:sz w:val="24"/>
          <w:szCs w:val="24"/>
        </w:rPr>
        <w:t xml:space="preserve">PT suggests that </w:t>
      </w:r>
      <w:r w:rsidR="0097434E" w:rsidRPr="0097434E">
        <w:rPr>
          <w:rFonts w:asciiTheme="majorBidi" w:hAnsiTheme="majorBidi" w:cstheme="majorBidi"/>
          <w:sz w:val="24"/>
          <w:szCs w:val="24"/>
        </w:rPr>
        <w:t>socially/community-oriented institutions</w:t>
      </w:r>
      <w:r w:rsidR="0097434E">
        <w:rPr>
          <w:rFonts w:asciiTheme="majorBidi" w:hAnsiTheme="majorBidi" w:cstheme="majorBidi"/>
          <w:sz w:val="24"/>
          <w:szCs w:val="24"/>
        </w:rPr>
        <w:t xml:space="preserve"> are often more concerned about promoting good </w:t>
      </w:r>
      <w:r w:rsidR="00840E56">
        <w:rPr>
          <w:rFonts w:asciiTheme="majorBidi" w:hAnsiTheme="majorBidi" w:cstheme="majorBidi"/>
          <w:sz w:val="24"/>
          <w:szCs w:val="24"/>
        </w:rPr>
        <w:t xml:space="preserve">social </w:t>
      </w:r>
      <w:r w:rsidR="0097434E">
        <w:rPr>
          <w:rFonts w:asciiTheme="majorBidi" w:hAnsiTheme="majorBidi" w:cstheme="majorBidi"/>
          <w:sz w:val="24"/>
          <w:szCs w:val="24"/>
        </w:rPr>
        <w:t xml:space="preserve">relations and networks with </w:t>
      </w:r>
      <w:r w:rsidR="00C92C2C">
        <w:rPr>
          <w:rFonts w:asciiTheme="majorBidi" w:hAnsiTheme="majorBidi" w:cstheme="majorBidi"/>
          <w:sz w:val="24"/>
          <w:szCs w:val="24"/>
        </w:rPr>
        <w:t xml:space="preserve">the </w:t>
      </w:r>
      <w:r w:rsidR="0097434E">
        <w:rPr>
          <w:rFonts w:asciiTheme="majorBidi" w:hAnsiTheme="majorBidi" w:cstheme="majorBidi"/>
          <w:sz w:val="24"/>
          <w:szCs w:val="24"/>
        </w:rPr>
        <w:t xml:space="preserve">various groups of stakeholders </w:t>
      </w:r>
      <w:proofErr w:type="gramStart"/>
      <w:r w:rsidR="0097434E">
        <w:rPr>
          <w:rFonts w:asciiTheme="majorBidi" w:hAnsiTheme="majorBidi" w:cstheme="majorBidi"/>
          <w:sz w:val="24"/>
          <w:szCs w:val="24"/>
        </w:rPr>
        <w:t>in order to</w:t>
      </w:r>
      <w:proofErr w:type="gramEnd"/>
      <w:r w:rsidR="0097434E">
        <w:rPr>
          <w:rFonts w:asciiTheme="majorBidi" w:hAnsiTheme="majorBidi" w:cstheme="majorBidi"/>
          <w:sz w:val="24"/>
          <w:szCs w:val="24"/>
        </w:rPr>
        <w:t xml:space="preserve"> improve their reputation and </w:t>
      </w:r>
      <w:r w:rsidR="00B9265B">
        <w:rPr>
          <w:rFonts w:asciiTheme="majorBidi" w:hAnsiTheme="majorBidi" w:cstheme="majorBidi"/>
          <w:sz w:val="24"/>
          <w:szCs w:val="24"/>
        </w:rPr>
        <w:t>long-term sustainability</w:t>
      </w:r>
      <w:r w:rsidR="0097434E">
        <w:rPr>
          <w:rFonts w:asciiTheme="majorBidi" w:hAnsiTheme="majorBidi" w:cstheme="majorBidi"/>
          <w:sz w:val="24"/>
          <w:szCs w:val="24"/>
        </w:rPr>
        <w:t xml:space="preserve"> (</w:t>
      </w:r>
      <w:proofErr w:type="spellStart"/>
      <w:r w:rsidR="009E41D8">
        <w:rPr>
          <w:rFonts w:asciiTheme="majorBidi" w:hAnsiTheme="majorBidi" w:cstheme="majorBidi"/>
          <w:sz w:val="24"/>
          <w:szCs w:val="24"/>
        </w:rPr>
        <w:t>Focke</w:t>
      </w:r>
      <w:proofErr w:type="spellEnd"/>
      <w:r w:rsidR="009E41D8">
        <w:rPr>
          <w:rFonts w:asciiTheme="majorBidi" w:hAnsiTheme="majorBidi" w:cstheme="majorBidi"/>
          <w:sz w:val="24"/>
          <w:szCs w:val="24"/>
        </w:rPr>
        <w:t xml:space="preserve"> et al., 2017</w:t>
      </w:r>
      <w:r w:rsidR="0097434E">
        <w:rPr>
          <w:rFonts w:asciiTheme="majorBidi" w:hAnsiTheme="majorBidi" w:cstheme="majorBidi"/>
          <w:sz w:val="24"/>
          <w:szCs w:val="24"/>
        </w:rPr>
        <w:t xml:space="preserve">). This implies that HEIs that focus on </w:t>
      </w:r>
      <w:r w:rsidR="0044315D">
        <w:rPr>
          <w:rFonts w:asciiTheme="majorBidi" w:hAnsiTheme="majorBidi" w:cstheme="majorBidi"/>
          <w:sz w:val="24"/>
          <w:szCs w:val="24"/>
        </w:rPr>
        <w:t>meeting</w:t>
      </w:r>
      <w:r w:rsidR="0097434E">
        <w:rPr>
          <w:rFonts w:asciiTheme="majorBidi" w:hAnsiTheme="majorBidi" w:cstheme="majorBidi"/>
          <w:sz w:val="24"/>
          <w:szCs w:val="24"/>
        </w:rPr>
        <w:t xml:space="preserve"> long-term </w:t>
      </w:r>
      <w:r w:rsidR="00840E56">
        <w:rPr>
          <w:rFonts w:asciiTheme="majorBidi" w:hAnsiTheme="majorBidi" w:cstheme="majorBidi"/>
          <w:sz w:val="24"/>
          <w:szCs w:val="24"/>
        </w:rPr>
        <w:t xml:space="preserve">social </w:t>
      </w:r>
      <w:r w:rsidR="0097434E">
        <w:rPr>
          <w:rFonts w:asciiTheme="majorBidi" w:hAnsiTheme="majorBidi" w:cstheme="majorBidi"/>
          <w:sz w:val="24"/>
          <w:szCs w:val="24"/>
        </w:rPr>
        <w:t xml:space="preserve">performance targets </w:t>
      </w:r>
      <w:r w:rsidR="00C014DB">
        <w:rPr>
          <w:rFonts w:asciiTheme="majorBidi" w:hAnsiTheme="majorBidi" w:cstheme="majorBidi"/>
          <w:sz w:val="24"/>
          <w:szCs w:val="24"/>
        </w:rPr>
        <w:t>are likely to pay their VCs low pay packages</w:t>
      </w:r>
      <w:r w:rsidR="00B96579">
        <w:rPr>
          <w:rFonts w:asciiTheme="majorBidi" w:hAnsiTheme="majorBidi" w:cstheme="majorBidi"/>
          <w:sz w:val="24"/>
          <w:szCs w:val="24"/>
        </w:rPr>
        <w:t>.</w:t>
      </w:r>
      <w:r w:rsidR="00C014DB">
        <w:rPr>
          <w:rFonts w:asciiTheme="majorBidi" w:hAnsiTheme="majorBidi" w:cstheme="majorBidi"/>
          <w:sz w:val="24"/>
          <w:szCs w:val="24"/>
        </w:rPr>
        <w:t xml:space="preserve"> </w:t>
      </w:r>
      <w:r w:rsidR="00B96579">
        <w:rPr>
          <w:rFonts w:asciiTheme="majorBidi" w:hAnsiTheme="majorBidi" w:cstheme="majorBidi"/>
          <w:sz w:val="24"/>
          <w:szCs w:val="24"/>
        </w:rPr>
        <w:t>This is because</w:t>
      </w:r>
      <w:r w:rsidR="00C014DB">
        <w:rPr>
          <w:rFonts w:asciiTheme="majorBidi" w:hAnsiTheme="majorBidi" w:cstheme="majorBidi"/>
          <w:sz w:val="24"/>
          <w:szCs w:val="24"/>
        </w:rPr>
        <w:t xml:space="preserve"> committing to such </w:t>
      </w:r>
      <w:r w:rsidR="00B96579">
        <w:rPr>
          <w:rFonts w:asciiTheme="majorBidi" w:hAnsiTheme="majorBidi" w:cstheme="majorBidi"/>
          <w:sz w:val="24"/>
          <w:szCs w:val="24"/>
        </w:rPr>
        <w:t xml:space="preserve">long-term </w:t>
      </w:r>
      <w:r w:rsidR="00840E56">
        <w:rPr>
          <w:rFonts w:asciiTheme="majorBidi" w:hAnsiTheme="majorBidi" w:cstheme="majorBidi"/>
          <w:sz w:val="24"/>
          <w:szCs w:val="24"/>
        </w:rPr>
        <w:t xml:space="preserve">social </w:t>
      </w:r>
      <w:r w:rsidR="00C014DB">
        <w:rPr>
          <w:rFonts w:asciiTheme="majorBidi" w:hAnsiTheme="majorBidi" w:cstheme="majorBidi"/>
          <w:sz w:val="24"/>
          <w:szCs w:val="24"/>
        </w:rPr>
        <w:t>pe</w:t>
      </w:r>
      <w:r w:rsidR="009720E8">
        <w:rPr>
          <w:rFonts w:asciiTheme="majorBidi" w:hAnsiTheme="majorBidi" w:cstheme="majorBidi"/>
          <w:sz w:val="24"/>
          <w:szCs w:val="24"/>
        </w:rPr>
        <w:t>rformance targets can be costly in terms of investment</w:t>
      </w:r>
      <w:r w:rsidR="00B96579">
        <w:rPr>
          <w:rFonts w:asciiTheme="majorBidi" w:hAnsiTheme="majorBidi" w:cstheme="majorBidi"/>
          <w:sz w:val="24"/>
          <w:szCs w:val="24"/>
        </w:rPr>
        <w:t>,</w:t>
      </w:r>
      <w:r w:rsidR="009720E8">
        <w:rPr>
          <w:rFonts w:asciiTheme="majorBidi" w:hAnsiTheme="majorBidi" w:cstheme="majorBidi"/>
          <w:sz w:val="24"/>
          <w:szCs w:val="24"/>
        </w:rPr>
        <w:t xml:space="preserve"> a</w:t>
      </w:r>
      <w:r w:rsidR="00B96579">
        <w:rPr>
          <w:rFonts w:asciiTheme="majorBidi" w:hAnsiTheme="majorBidi" w:cstheme="majorBidi"/>
          <w:sz w:val="24"/>
          <w:szCs w:val="24"/>
        </w:rPr>
        <w:t>s well as</w:t>
      </w:r>
      <w:r w:rsidR="00EF4B40">
        <w:rPr>
          <w:rFonts w:asciiTheme="majorBidi" w:hAnsiTheme="majorBidi" w:cstheme="majorBidi"/>
          <w:sz w:val="24"/>
          <w:szCs w:val="24"/>
        </w:rPr>
        <w:t xml:space="preserve"> </w:t>
      </w:r>
      <w:r w:rsidR="00B96579">
        <w:rPr>
          <w:rFonts w:asciiTheme="majorBidi" w:hAnsiTheme="majorBidi" w:cstheme="majorBidi"/>
          <w:sz w:val="24"/>
          <w:szCs w:val="24"/>
        </w:rPr>
        <w:t xml:space="preserve">likely to </w:t>
      </w:r>
      <w:r w:rsidR="00EF4B40">
        <w:rPr>
          <w:rFonts w:asciiTheme="majorBidi" w:hAnsiTheme="majorBidi" w:cstheme="majorBidi"/>
          <w:sz w:val="24"/>
          <w:szCs w:val="24"/>
        </w:rPr>
        <w:t xml:space="preserve">take </w:t>
      </w:r>
      <w:r w:rsidR="008E715E">
        <w:rPr>
          <w:rFonts w:asciiTheme="majorBidi" w:hAnsiTheme="majorBidi" w:cstheme="majorBidi"/>
          <w:sz w:val="24"/>
          <w:szCs w:val="24"/>
        </w:rPr>
        <w:t xml:space="preserve">relatively </w:t>
      </w:r>
      <w:r w:rsidR="00EF4B40">
        <w:rPr>
          <w:rFonts w:asciiTheme="majorBidi" w:hAnsiTheme="majorBidi" w:cstheme="majorBidi"/>
          <w:sz w:val="24"/>
          <w:szCs w:val="24"/>
        </w:rPr>
        <w:t>long</w:t>
      </w:r>
      <w:r w:rsidR="00B96579">
        <w:rPr>
          <w:rFonts w:asciiTheme="majorBidi" w:hAnsiTheme="majorBidi" w:cstheme="majorBidi"/>
          <w:sz w:val="24"/>
          <w:szCs w:val="24"/>
        </w:rPr>
        <w:t>er time</w:t>
      </w:r>
      <w:r w:rsidR="009720E8">
        <w:rPr>
          <w:rFonts w:asciiTheme="majorBidi" w:hAnsiTheme="majorBidi" w:cstheme="majorBidi"/>
          <w:sz w:val="24"/>
          <w:szCs w:val="24"/>
        </w:rPr>
        <w:t xml:space="preserve"> to impact on </w:t>
      </w:r>
      <w:r w:rsidR="00840E56">
        <w:rPr>
          <w:rFonts w:asciiTheme="majorBidi" w:hAnsiTheme="majorBidi" w:cstheme="majorBidi"/>
          <w:sz w:val="24"/>
          <w:szCs w:val="24"/>
        </w:rPr>
        <w:t xml:space="preserve">social </w:t>
      </w:r>
      <w:r w:rsidR="009720E8">
        <w:rPr>
          <w:rFonts w:asciiTheme="majorBidi" w:hAnsiTheme="majorBidi" w:cstheme="majorBidi"/>
          <w:sz w:val="24"/>
          <w:szCs w:val="24"/>
        </w:rPr>
        <w:t>performance (</w:t>
      </w:r>
      <w:r w:rsidR="003817FD" w:rsidRPr="00EF4B40">
        <w:rPr>
          <w:rFonts w:asciiTheme="majorBidi" w:hAnsiTheme="majorBidi" w:cstheme="majorBidi"/>
          <w:sz w:val="24"/>
          <w:szCs w:val="24"/>
        </w:rPr>
        <w:t>Magnusson, 2016</w:t>
      </w:r>
      <w:r w:rsidR="009720E8">
        <w:rPr>
          <w:rFonts w:asciiTheme="majorBidi" w:hAnsiTheme="majorBidi" w:cstheme="majorBidi"/>
          <w:sz w:val="24"/>
          <w:szCs w:val="24"/>
        </w:rPr>
        <w:t>).</w:t>
      </w:r>
      <w:r w:rsidR="00EF4B40">
        <w:rPr>
          <w:rFonts w:asciiTheme="majorBidi" w:hAnsiTheme="majorBidi" w:cstheme="majorBidi"/>
          <w:sz w:val="24"/>
          <w:szCs w:val="24"/>
        </w:rPr>
        <w:t xml:space="preserve"> Thus, PT predicts that HEIs that prioritise </w:t>
      </w:r>
      <w:r w:rsidR="00C957EC">
        <w:rPr>
          <w:rFonts w:asciiTheme="majorBidi" w:hAnsiTheme="majorBidi" w:cstheme="majorBidi"/>
          <w:sz w:val="24"/>
          <w:szCs w:val="24"/>
        </w:rPr>
        <w:t xml:space="preserve">setting and achieving </w:t>
      </w:r>
      <w:r w:rsidR="00EF4B40">
        <w:rPr>
          <w:rFonts w:asciiTheme="majorBidi" w:hAnsiTheme="majorBidi" w:cstheme="majorBidi"/>
          <w:sz w:val="24"/>
          <w:szCs w:val="24"/>
        </w:rPr>
        <w:t xml:space="preserve">long-term </w:t>
      </w:r>
      <w:r w:rsidR="00840E56">
        <w:rPr>
          <w:rFonts w:asciiTheme="majorBidi" w:hAnsiTheme="majorBidi" w:cstheme="majorBidi"/>
          <w:sz w:val="24"/>
          <w:szCs w:val="24"/>
        </w:rPr>
        <w:t xml:space="preserve">social </w:t>
      </w:r>
      <w:r w:rsidR="00EF4B40">
        <w:rPr>
          <w:rFonts w:asciiTheme="majorBidi" w:hAnsiTheme="majorBidi" w:cstheme="majorBidi"/>
          <w:sz w:val="24"/>
          <w:szCs w:val="24"/>
        </w:rPr>
        <w:t>performance</w:t>
      </w:r>
      <w:r w:rsidR="00C957EC">
        <w:rPr>
          <w:rFonts w:asciiTheme="majorBidi" w:hAnsiTheme="majorBidi" w:cstheme="majorBidi"/>
          <w:sz w:val="24"/>
          <w:szCs w:val="24"/>
        </w:rPr>
        <w:t xml:space="preserve"> targets</w:t>
      </w:r>
      <w:r w:rsidR="00EF4B40">
        <w:rPr>
          <w:rFonts w:asciiTheme="majorBidi" w:hAnsiTheme="majorBidi" w:cstheme="majorBidi"/>
          <w:sz w:val="24"/>
          <w:szCs w:val="24"/>
        </w:rPr>
        <w:t xml:space="preserve"> </w:t>
      </w:r>
      <w:r w:rsidR="00C957EC">
        <w:rPr>
          <w:rFonts w:asciiTheme="majorBidi" w:hAnsiTheme="majorBidi" w:cstheme="majorBidi"/>
          <w:sz w:val="24"/>
          <w:szCs w:val="24"/>
        </w:rPr>
        <w:t xml:space="preserve">are more likely </w:t>
      </w:r>
      <w:r w:rsidR="00EF4B40">
        <w:rPr>
          <w:rFonts w:asciiTheme="majorBidi" w:hAnsiTheme="majorBidi" w:cstheme="majorBidi"/>
          <w:sz w:val="24"/>
          <w:szCs w:val="24"/>
        </w:rPr>
        <w:t xml:space="preserve">to pay their VCs </w:t>
      </w:r>
      <w:r w:rsidR="00895912">
        <w:rPr>
          <w:rFonts w:asciiTheme="majorBidi" w:hAnsiTheme="majorBidi" w:cstheme="majorBidi"/>
          <w:sz w:val="24"/>
          <w:szCs w:val="24"/>
        </w:rPr>
        <w:t xml:space="preserve">low pay packages. </w:t>
      </w:r>
    </w:p>
    <w:p w14:paraId="3B348336" w14:textId="02EB1177" w:rsidR="00AC6A0C" w:rsidRDefault="00E90F37" w:rsidP="00880AE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D</w:t>
      </w:r>
      <w:r w:rsidR="00484675" w:rsidRPr="00653D88">
        <w:rPr>
          <w:rFonts w:asciiTheme="majorBidi" w:hAnsiTheme="majorBidi" w:cstheme="majorBidi"/>
          <w:sz w:val="24"/>
          <w:szCs w:val="24"/>
        </w:rPr>
        <w:t>espite the increased controversy</w:t>
      </w:r>
      <w:r w:rsidR="00DF733F">
        <w:rPr>
          <w:rFonts w:asciiTheme="majorBidi" w:hAnsiTheme="majorBidi" w:cstheme="majorBidi"/>
          <w:sz w:val="24"/>
          <w:szCs w:val="24"/>
        </w:rPr>
        <w:t>/</w:t>
      </w:r>
      <w:r w:rsidR="00484675" w:rsidRPr="00653D88">
        <w:rPr>
          <w:rFonts w:asciiTheme="majorBidi" w:hAnsiTheme="majorBidi" w:cstheme="majorBidi"/>
          <w:sz w:val="24"/>
          <w:szCs w:val="24"/>
        </w:rPr>
        <w:t xml:space="preserve">debate </w:t>
      </w:r>
      <w:r w:rsidR="009960BD">
        <w:rPr>
          <w:rFonts w:asciiTheme="majorBidi" w:hAnsiTheme="majorBidi" w:cstheme="majorBidi"/>
          <w:sz w:val="24"/>
          <w:szCs w:val="24"/>
        </w:rPr>
        <w:t>relating to</w:t>
      </w:r>
      <w:r w:rsidR="00484675" w:rsidRPr="00653D88">
        <w:rPr>
          <w:rFonts w:asciiTheme="majorBidi" w:hAnsiTheme="majorBidi" w:cstheme="majorBidi"/>
          <w:sz w:val="24"/>
          <w:szCs w:val="24"/>
        </w:rPr>
        <w:t xml:space="preserve"> </w:t>
      </w:r>
      <w:r w:rsidR="00541E29">
        <w:rPr>
          <w:rFonts w:asciiTheme="majorBidi" w:hAnsiTheme="majorBidi" w:cstheme="majorBidi"/>
          <w:sz w:val="24"/>
          <w:szCs w:val="24"/>
        </w:rPr>
        <w:t>VC</w:t>
      </w:r>
      <w:r w:rsidR="00484675" w:rsidRPr="00653D88">
        <w:rPr>
          <w:rFonts w:asciiTheme="majorBidi" w:hAnsiTheme="majorBidi" w:cstheme="majorBidi"/>
          <w:sz w:val="24"/>
          <w:szCs w:val="24"/>
        </w:rPr>
        <w:t xml:space="preserve"> pay </w:t>
      </w:r>
      <w:r w:rsidR="000D0DE2">
        <w:rPr>
          <w:rFonts w:asciiTheme="majorBidi" w:hAnsiTheme="majorBidi" w:cstheme="majorBidi"/>
          <w:sz w:val="24"/>
          <w:szCs w:val="24"/>
        </w:rPr>
        <w:t>with</w:t>
      </w:r>
      <w:r w:rsidR="00484675" w:rsidRPr="00653D88">
        <w:rPr>
          <w:rFonts w:asciiTheme="majorBidi" w:hAnsiTheme="majorBidi" w:cstheme="majorBidi"/>
          <w:sz w:val="24"/>
          <w:szCs w:val="24"/>
        </w:rPr>
        <w:t xml:space="preserve">in </w:t>
      </w:r>
      <w:r w:rsidR="00541E29">
        <w:rPr>
          <w:rFonts w:asciiTheme="majorBidi" w:hAnsiTheme="majorBidi" w:cstheme="majorBidi"/>
          <w:sz w:val="24"/>
          <w:szCs w:val="24"/>
        </w:rPr>
        <w:t>UK HEIs</w:t>
      </w:r>
      <w:r w:rsidR="00C957EC">
        <w:rPr>
          <w:rFonts w:asciiTheme="majorBidi" w:hAnsiTheme="majorBidi" w:cstheme="majorBidi"/>
          <w:sz w:val="24"/>
          <w:szCs w:val="24"/>
        </w:rPr>
        <w:t xml:space="preserve"> and </w:t>
      </w:r>
      <w:r w:rsidR="00C9537C">
        <w:rPr>
          <w:rFonts w:asciiTheme="majorBidi" w:hAnsiTheme="majorBidi" w:cstheme="majorBidi"/>
          <w:sz w:val="24"/>
          <w:szCs w:val="24"/>
        </w:rPr>
        <w:t>worldwide</w:t>
      </w:r>
      <w:r w:rsidR="00484675" w:rsidRPr="00653D88">
        <w:rPr>
          <w:rFonts w:asciiTheme="majorBidi" w:hAnsiTheme="majorBidi" w:cstheme="majorBidi"/>
          <w:sz w:val="24"/>
          <w:szCs w:val="24"/>
        </w:rPr>
        <w:t>, empirical studies examining the</w:t>
      </w:r>
      <w:r w:rsidR="00541E29">
        <w:rPr>
          <w:rFonts w:asciiTheme="majorBidi" w:hAnsiTheme="majorBidi" w:cstheme="majorBidi"/>
          <w:sz w:val="24"/>
          <w:szCs w:val="24"/>
        </w:rPr>
        <w:t xml:space="preserve"> impact of </w:t>
      </w:r>
      <w:r w:rsidR="00C9537C">
        <w:rPr>
          <w:rFonts w:asciiTheme="majorBidi" w:hAnsiTheme="majorBidi" w:cstheme="majorBidi"/>
          <w:sz w:val="24"/>
          <w:szCs w:val="24"/>
        </w:rPr>
        <w:t xml:space="preserve">HEIs’ </w:t>
      </w:r>
      <w:r w:rsidR="00541E29">
        <w:rPr>
          <w:rFonts w:asciiTheme="majorBidi" w:hAnsiTheme="majorBidi" w:cstheme="majorBidi"/>
          <w:sz w:val="24"/>
          <w:szCs w:val="24"/>
        </w:rPr>
        <w:t>performance on VC pay</w:t>
      </w:r>
      <w:r w:rsidR="0007742F">
        <w:rPr>
          <w:rFonts w:asciiTheme="majorBidi" w:hAnsiTheme="majorBidi" w:cstheme="majorBidi"/>
          <w:sz w:val="24"/>
          <w:szCs w:val="24"/>
        </w:rPr>
        <w:t xml:space="preserve"> are</w:t>
      </w:r>
      <w:r w:rsidR="009960BD">
        <w:rPr>
          <w:rFonts w:asciiTheme="majorBidi" w:hAnsiTheme="majorBidi" w:cstheme="majorBidi"/>
          <w:sz w:val="24"/>
          <w:szCs w:val="24"/>
        </w:rPr>
        <w:t xml:space="preserve"> surprisingly</w:t>
      </w:r>
      <w:r w:rsidR="0007742F">
        <w:rPr>
          <w:rFonts w:asciiTheme="majorBidi" w:hAnsiTheme="majorBidi" w:cstheme="majorBidi"/>
          <w:sz w:val="24"/>
          <w:szCs w:val="24"/>
        </w:rPr>
        <w:t xml:space="preserve"> rare</w:t>
      </w:r>
      <w:r w:rsidR="00484675" w:rsidRPr="00653D88">
        <w:rPr>
          <w:rFonts w:asciiTheme="majorBidi" w:hAnsiTheme="majorBidi" w:cstheme="majorBidi"/>
          <w:sz w:val="24"/>
          <w:szCs w:val="24"/>
        </w:rPr>
        <w:t xml:space="preserve">, </w:t>
      </w:r>
      <w:r w:rsidR="009960BD">
        <w:rPr>
          <w:rFonts w:asciiTheme="majorBidi" w:hAnsiTheme="majorBidi" w:cstheme="majorBidi"/>
          <w:sz w:val="24"/>
          <w:szCs w:val="24"/>
        </w:rPr>
        <w:t xml:space="preserve">but particularly acute when it comes to studies that </w:t>
      </w:r>
      <w:r w:rsidR="000B7D82">
        <w:rPr>
          <w:rFonts w:asciiTheme="majorBidi" w:hAnsiTheme="majorBidi" w:cstheme="majorBidi"/>
          <w:sz w:val="24"/>
          <w:szCs w:val="24"/>
        </w:rPr>
        <w:t xml:space="preserve">further </w:t>
      </w:r>
      <w:r w:rsidR="009960BD">
        <w:rPr>
          <w:rFonts w:asciiTheme="majorBidi" w:hAnsiTheme="majorBidi" w:cstheme="majorBidi"/>
          <w:sz w:val="24"/>
          <w:szCs w:val="24"/>
        </w:rPr>
        <w:t>explore</w:t>
      </w:r>
      <w:r w:rsidR="00484675" w:rsidRPr="00653D88">
        <w:rPr>
          <w:rFonts w:asciiTheme="majorBidi" w:hAnsiTheme="majorBidi" w:cstheme="majorBidi"/>
          <w:sz w:val="24"/>
          <w:szCs w:val="24"/>
        </w:rPr>
        <w:t xml:space="preserve"> the extent to which VC characteristics can moderate </w:t>
      </w:r>
      <w:r w:rsidR="009960BD">
        <w:rPr>
          <w:rFonts w:asciiTheme="majorBidi" w:hAnsiTheme="majorBidi" w:cstheme="majorBidi"/>
          <w:sz w:val="24"/>
          <w:szCs w:val="24"/>
        </w:rPr>
        <w:t xml:space="preserve">the </w:t>
      </w:r>
      <w:r w:rsidR="00F5536F">
        <w:rPr>
          <w:rFonts w:asciiTheme="majorBidi" w:hAnsiTheme="majorBidi" w:cstheme="majorBidi"/>
          <w:sz w:val="24"/>
          <w:szCs w:val="24"/>
        </w:rPr>
        <w:t>VC pay–</w:t>
      </w:r>
      <w:r w:rsidR="004149CD">
        <w:rPr>
          <w:rFonts w:asciiTheme="majorBidi" w:hAnsiTheme="majorBidi" w:cstheme="majorBidi"/>
          <w:sz w:val="24"/>
          <w:szCs w:val="24"/>
        </w:rPr>
        <w:t>performance</w:t>
      </w:r>
      <w:r w:rsidR="00F5536F">
        <w:rPr>
          <w:rFonts w:asciiTheme="majorBidi" w:hAnsiTheme="majorBidi" w:cstheme="majorBidi"/>
          <w:sz w:val="24"/>
          <w:szCs w:val="24"/>
        </w:rPr>
        <w:t xml:space="preserve"> </w:t>
      </w:r>
      <w:r w:rsidR="004149CD">
        <w:rPr>
          <w:rFonts w:asciiTheme="majorBidi" w:hAnsiTheme="majorBidi" w:cstheme="majorBidi"/>
          <w:sz w:val="24"/>
          <w:szCs w:val="24"/>
        </w:rPr>
        <w:t>relationship</w:t>
      </w:r>
      <w:r w:rsidR="00484675" w:rsidRPr="00653D88">
        <w:rPr>
          <w:rFonts w:asciiTheme="majorBidi" w:hAnsiTheme="majorBidi" w:cstheme="majorBidi"/>
          <w:sz w:val="24"/>
          <w:szCs w:val="24"/>
        </w:rPr>
        <w:t>.</w:t>
      </w:r>
      <w:r w:rsidR="00AD07BF" w:rsidRPr="00653D88">
        <w:rPr>
          <w:rFonts w:asciiTheme="majorBidi" w:hAnsiTheme="majorBidi" w:cstheme="majorBidi"/>
          <w:sz w:val="24"/>
          <w:szCs w:val="24"/>
        </w:rPr>
        <w:t xml:space="preserve"> </w:t>
      </w:r>
      <w:proofErr w:type="gramStart"/>
      <w:r w:rsidR="00620E1B">
        <w:rPr>
          <w:rFonts w:asciiTheme="majorBidi" w:hAnsiTheme="majorBidi" w:cstheme="majorBidi"/>
          <w:sz w:val="24"/>
          <w:szCs w:val="24"/>
        </w:rPr>
        <w:t>In particular, a</w:t>
      </w:r>
      <w:r w:rsidR="00AD07BF" w:rsidRPr="00653D88">
        <w:rPr>
          <w:rFonts w:asciiTheme="majorBidi" w:hAnsiTheme="majorBidi" w:cstheme="majorBidi"/>
          <w:sz w:val="24"/>
          <w:szCs w:val="24"/>
        </w:rPr>
        <w:t>lmost</w:t>
      </w:r>
      <w:proofErr w:type="gramEnd"/>
      <w:r w:rsidR="00AD07BF" w:rsidRPr="00653D88">
        <w:rPr>
          <w:rFonts w:asciiTheme="majorBidi" w:hAnsiTheme="majorBidi" w:cstheme="majorBidi"/>
          <w:sz w:val="24"/>
          <w:szCs w:val="24"/>
        </w:rPr>
        <w:t xml:space="preserve"> all of the existing</w:t>
      </w:r>
      <w:r w:rsidR="003E12DF" w:rsidRPr="00653D88">
        <w:rPr>
          <w:rFonts w:asciiTheme="majorBidi" w:hAnsiTheme="majorBidi" w:cstheme="majorBidi"/>
          <w:sz w:val="24"/>
          <w:szCs w:val="24"/>
        </w:rPr>
        <w:t xml:space="preserve"> </w:t>
      </w:r>
      <w:r w:rsidR="00DA0BBF" w:rsidRPr="00653D88">
        <w:rPr>
          <w:rFonts w:asciiTheme="majorBidi" w:hAnsiTheme="majorBidi" w:cstheme="majorBidi"/>
          <w:sz w:val="24"/>
          <w:szCs w:val="24"/>
        </w:rPr>
        <w:t xml:space="preserve">empirical </w:t>
      </w:r>
      <w:r w:rsidR="003E12DF" w:rsidRPr="00653D88">
        <w:rPr>
          <w:rFonts w:asciiTheme="majorBidi" w:hAnsiTheme="majorBidi" w:cstheme="majorBidi"/>
          <w:sz w:val="24"/>
          <w:szCs w:val="24"/>
        </w:rPr>
        <w:t xml:space="preserve">studies have </w:t>
      </w:r>
      <w:r w:rsidR="00AD07BF" w:rsidRPr="00653D88">
        <w:rPr>
          <w:rFonts w:asciiTheme="majorBidi" w:hAnsiTheme="majorBidi" w:cstheme="majorBidi"/>
          <w:sz w:val="24"/>
          <w:szCs w:val="24"/>
        </w:rPr>
        <w:t xml:space="preserve">been conducted </w:t>
      </w:r>
      <w:r w:rsidR="00E60017">
        <w:rPr>
          <w:rFonts w:asciiTheme="majorBidi" w:hAnsiTheme="majorBidi" w:cstheme="majorBidi"/>
          <w:sz w:val="24"/>
          <w:szCs w:val="24"/>
        </w:rPr>
        <w:t xml:space="preserve">in profit-oriented </w:t>
      </w:r>
      <w:r w:rsidR="00563CD4">
        <w:rPr>
          <w:rFonts w:asciiTheme="majorBidi" w:hAnsiTheme="majorBidi" w:cstheme="majorBidi"/>
          <w:sz w:val="24"/>
          <w:szCs w:val="24"/>
        </w:rPr>
        <w:t xml:space="preserve">organisations </w:t>
      </w:r>
      <w:r w:rsidR="00563CD4" w:rsidRPr="00653D88">
        <w:rPr>
          <w:rFonts w:asciiTheme="majorBidi" w:hAnsiTheme="majorBidi" w:cstheme="majorBidi"/>
          <w:sz w:val="24"/>
          <w:szCs w:val="24"/>
        </w:rPr>
        <w:t>(</w:t>
      </w:r>
      <w:r w:rsidR="00E22707">
        <w:rPr>
          <w:rFonts w:asciiTheme="majorBidi" w:hAnsiTheme="majorBidi" w:cstheme="majorBidi"/>
          <w:sz w:val="24"/>
          <w:szCs w:val="24"/>
        </w:rPr>
        <w:t>Jensen and</w:t>
      </w:r>
      <w:r w:rsidR="0046668D" w:rsidRPr="00653D88">
        <w:rPr>
          <w:rFonts w:asciiTheme="majorBidi" w:hAnsiTheme="majorBidi" w:cstheme="majorBidi"/>
          <w:sz w:val="24"/>
          <w:szCs w:val="24"/>
        </w:rPr>
        <w:t xml:space="preserve"> Murphy, 1990)</w:t>
      </w:r>
      <w:r w:rsidR="00620E1B">
        <w:rPr>
          <w:rFonts w:asciiTheme="majorBidi" w:hAnsiTheme="majorBidi" w:cstheme="majorBidi"/>
          <w:sz w:val="24"/>
          <w:szCs w:val="24"/>
        </w:rPr>
        <w:t>.</w:t>
      </w:r>
      <w:r w:rsidR="00AD07BF" w:rsidRPr="00653D88">
        <w:rPr>
          <w:rFonts w:asciiTheme="majorBidi" w:hAnsiTheme="majorBidi" w:cstheme="majorBidi"/>
          <w:sz w:val="24"/>
          <w:szCs w:val="24"/>
        </w:rPr>
        <w:t xml:space="preserve"> </w:t>
      </w:r>
      <w:r w:rsidR="00620E1B">
        <w:rPr>
          <w:rFonts w:asciiTheme="majorBidi" w:hAnsiTheme="majorBidi" w:cstheme="majorBidi"/>
          <w:sz w:val="24"/>
          <w:szCs w:val="24"/>
        </w:rPr>
        <w:t>B</w:t>
      </w:r>
      <w:r w:rsidR="00AD07BF" w:rsidRPr="00653D88">
        <w:rPr>
          <w:rFonts w:asciiTheme="majorBidi" w:hAnsiTheme="majorBidi" w:cstheme="majorBidi"/>
          <w:sz w:val="24"/>
          <w:szCs w:val="24"/>
        </w:rPr>
        <w:t xml:space="preserve">y </w:t>
      </w:r>
      <w:r w:rsidR="007752FC" w:rsidRPr="00653D88">
        <w:rPr>
          <w:rFonts w:asciiTheme="majorBidi" w:hAnsiTheme="majorBidi" w:cstheme="majorBidi"/>
          <w:sz w:val="24"/>
          <w:szCs w:val="24"/>
        </w:rPr>
        <w:t>contrast</w:t>
      </w:r>
      <w:r w:rsidR="00620E1B">
        <w:rPr>
          <w:rFonts w:asciiTheme="majorBidi" w:hAnsiTheme="majorBidi" w:cstheme="majorBidi"/>
          <w:sz w:val="24"/>
          <w:szCs w:val="24"/>
        </w:rPr>
        <w:t>,</w:t>
      </w:r>
      <w:r w:rsidR="00AD07BF" w:rsidRPr="00653D88">
        <w:rPr>
          <w:rFonts w:asciiTheme="majorBidi" w:hAnsiTheme="majorBidi" w:cstheme="majorBidi"/>
          <w:sz w:val="24"/>
          <w:szCs w:val="24"/>
        </w:rPr>
        <w:t xml:space="preserve"> </w:t>
      </w:r>
      <w:r w:rsidR="007752FC" w:rsidRPr="00653D88">
        <w:rPr>
          <w:rFonts w:asciiTheme="majorBidi" w:hAnsiTheme="majorBidi" w:cstheme="majorBidi"/>
          <w:sz w:val="24"/>
          <w:szCs w:val="24"/>
        </w:rPr>
        <w:t xml:space="preserve">studies examining whether </w:t>
      </w:r>
      <w:r w:rsidR="00F91E6B">
        <w:rPr>
          <w:rFonts w:asciiTheme="majorBidi" w:hAnsiTheme="majorBidi" w:cstheme="majorBidi"/>
          <w:sz w:val="24"/>
          <w:szCs w:val="24"/>
        </w:rPr>
        <w:t>executive</w:t>
      </w:r>
      <w:r w:rsidR="007752FC" w:rsidRPr="00653D88">
        <w:rPr>
          <w:rFonts w:asciiTheme="majorBidi" w:hAnsiTheme="majorBidi" w:cstheme="majorBidi"/>
          <w:sz w:val="24"/>
          <w:szCs w:val="24"/>
        </w:rPr>
        <w:t xml:space="preserve"> pay is linked to performance in non-profitable organisations are rare </w:t>
      </w:r>
      <w:r w:rsidR="00E22707">
        <w:rPr>
          <w:rFonts w:asciiTheme="majorBidi" w:hAnsiTheme="majorBidi" w:cstheme="majorBidi"/>
          <w:sz w:val="24"/>
          <w:szCs w:val="24"/>
        </w:rPr>
        <w:t>(</w:t>
      </w:r>
      <w:r w:rsidR="00DF733F" w:rsidRPr="007B758E">
        <w:rPr>
          <w:rFonts w:asciiTheme="majorBidi" w:hAnsiTheme="majorBidi" w:cstheme="majorBidi"/>
          <w:sz w:val="24"/>
          <w:szCs w:val="24"/>
        </w:rPr>
        <w:t>Williams et al., 20</w:t>
      </w:r>
      <w:r w:rsidR="00DF733F">
        <w:rPr>
          <w:rFonts w:asciiTheme="majorBidi" w:hAnsiTheme="majorBidi" w:cstheme="majorBidi"/>
          <w:sz w:val="24"/>
          <w:szCs w:val="24"/>
        </w:rPr>
        <w:t>20</w:t>
      </w:r>
      <w:r w:rsidR="00865355" w:rsidRPr="00653D88">
        <w:rPr>
          <w:rFonts w:asciiTheme="majorBidi" w:hAnsiTheme="majorBidi" w:cstheme="majorBidi"/>
          <w:sz w:val="24"/>
          <w:szCs w:val="24"/>
        </w:rPr>
        <w:t xml:space="preserve">). </w:t>
      </w:r>
      <w:r w:rsidR="001969D1" w:rsidRPr="00653D88">
        <w:rPr>
          <w:rFonts w:asciiTheme="majorBidi" w:hAnsiTheme="majorBidi" w:cstheme="majorBidi"/>
          <w:sz w:val="24"/>
          <w:szCs w:val="24"/>
        </w:rPr>
        <w:t>In terms o</w:t>
      </w:r>
      <w:r w:rsidR="009E4CD3">
        <w:rPr>
          <w:rFonts w:asciiTheme="majorBidi" w:hAnsiTheme="majorBidi" w:cstheme="majorBidi"/>
          <w:sz w:val="24"/>
          <w:szCs w:val="24"/>
        </w:rPr>
        <w:t>f</w:t>
      </w:r>
      <w:r w:rsidR="001969D1" w:rsidRPr="00653D88">
        <w:rPr>
          <w:rFonts w:asciiTheme="majorBidi" w:hAnsiTheme="majorBidi" w:cstheme="majorBidi"/>
          <w:sz w:val="24"/>
          <w:szCs w:val="24"/>
        </w:rPr>
        <w:t xml:space="preserve"> </w:t>
      </w:r>
      <w:r w:rsidR="009E4CD3">
        <w:rPr>
          <w:rFonts w:asciiTheme="majorBidi" w:hAnsiTheme="majorBidi" w:cstheme="majorBidi"/>
          <w:sz w:val="24"/>
          <w:szCs w:val="24"/>
        </w:rPr>
        <w:t xml:space="preserve">the </w:t>
      </w:r>
      <w:r w:rsidR="001969D1" w:rsidRPr="00653D88">
        <w:rPr>
          <w:rFonts w:asciiTheme="majorBidi" w:hAnsiTheme="majorBidi" w:cstheme="majorBidi"/>
          <w:sz w:val="24"/>
          <w:szCs w:val="24"/>
        </w:rPr>
        <w:t xml:space="preserve">HE </w:t>
      </w:r>
      <w:proofErr w:type="gramStart"/>
      <w:r w:rsidR="001969D1" w:rsidRPr="00653D88">
        <w:rPr>
          <w:rFonts w:asciiTheme="majorBidi" w:hAnsiTheme="majorBidi" w:cstheme="majorBidi"/>
          <w:sz w:val="24"/>
          <w:szCs w:val="24"/>
        </w:rPr>
        <w:t>sector</w:t>
      </w:r>
      <w:proofErr w:type="gramEnd"/>
      <w:r w:rsidR="001969D1" w:rsidRPr="00653D88">
        <w:rPr>
          <w:rFonts w:asciiTheme="majorBidi" w:hAnsiTheme="majorBidi" w:cstheme="majorBidi"/>
          <w:sz w:val="24"/>
          <w:szCs w:val="24"/>
        </w:rPr>
        <w:t xml:space="preserve">, </w:t>
      </w:r>
      <w:r w:rsidR="007405CB" w:rsidRPr="00653D88">
        <w:rPr>
          <w:rFonts w:asciiTheme="majorBidi" w:hAnsiTheme="majorBidi" w:cstheme="majorBidi"/>
          <w:sz w:val="24"/>
          <w:szCs w:val="24"/>
        </w:rPr>
        <w:t xml:space="preserve">and </w:t>
      </w:r>
      <w:r w:rsidR="0007742F">
        <w:rPr>
          <w:rFonts w:asciiTheme="majorBidi" w:hAnsiTheme="majorBidi" w:cstheme="majorBidi"/>
          <w:sz w:val="24"/>
          <w:szCs w:val="24"/>
        </w:rPr>
        <w:t xml:space="preserve">to </w:t>
      </w:r>
      <w:r w:rsidR="009E4CD3">
        <w:rPr>
          <w:rFonts w:asciiTheme="majorBidi" w:hAnsiTheme="majorBidi" w:cstheme="majorBidi"/>
          <w:sz w:val="24"/>
          <w:szCs w:val="24"/>
        </w:rPr>
        <w:t>the</w:t>
      </w:r>
      <w:r w:rsidR="0007742F">
        <w:rPr>
          <w:rFonts w:asciiTheme="majorBidi" w:hAnsiTheme="majorBidi" w:cstheme="majorBidi"/>
          <w:sz w:val="24"/>
          <w:szCs w:val="24"/>
        </w:rPr>
        <w:t xml:space="preserve"> best</w:t>
      </w:r>
      <w:r w:rsidR="007405CB" w:rsidRPr="00653D88">
        <w:rPr>
          <w:rFonts w:asciiTheme="majorBidi" w:hAnsiTheme="majorBidi" w:cstheme="majorBidi"/>
          <w:sz w:val="24"/>
          <w:szCs w:val="24"/>
        </w:rPr>
        <w:t xml:space="preserve"> </w:t>
      </w:r>
      <w:r w:rsidR="009E4CD3">
        <w:rPr>
          <w:rFonts w:asciiTheme="majorBidi" w:hAnsiTheme="majorBidi" w:cstheme="majorBidi"/>
          <w:sz w:val="24"/>
          <w:szCs w:val="24"/>
        </w:rPr>
        <w:t xml:space="preserve">of our </w:t>
      </w:r>
      <w:r w:rsidR="00B078F1">
        <w:rPr>
          <w:rFonts w:asciiTheme="majorBidi" w:hAnsiTheme="majorBidi" w:cstheme="majorBidi"/>
          <w:sz w:val="24"/>
          <w:szCs w:val="24"/>
        </w:rPr>
        <w:t>literature search</w:t>
      </w:r>
      <w:r w:rsidR="007405CB" w:rsidRPr="00653D88">
        <w:rPr>
          <w:rFonts w:asciiTheme="majorBidi" w:hAnsiTheme="majorBidi" w:cstheme="majorBidi"/>
          <w:sz w:val="24"/>
          <w:szCs w:val="24"/>
        </w:rPr>
        <w:t xml:space="preserve">, </w:t>
      </w:r>
      <w:r w:rsidR="0065360E">
        <w:rPr>
          <w:rFonts w:asciiTheme="majorBidi" w:hAnsiTheme="majorBidi" w:cstheme="majorBidi"/>
          <w:sz w:val="24"/>
          <w:szCs w:val="24"/>
        </w:rPr>
        <w:t xml:space="preserve">none of the existing studies has examined </w:t>
      </w:r>
      <w:r w:rsidR="000806D3" w:rsidRPr="00653D88">
        <w:rPr>
          <w:rFonts w:asciiTheme="majorBidi" w:hAnsiTheme="majorBidi" w:cstheme="majorBidi"/>
          <w:sz w:val="24"/>
          <w:szCs w:val="24"/>
        </w:rPr>
        <w:t xml:space="preserve">the link between </w:t>
      </w:r>
      <w:r w:rsidR="002F5752">
        <w:rPr>
          <w:rFonts w:asciiTheme="majorBidi" w:hAnsiTheme="majorBidi" w:cstheme="majorBidi"/>
          <w:sz w:val="24"/>
          <w:szCs w:val="24"/>
        </w:rPr>
        <w:t xml:space="preserve">both </w:t>
      </w:r>
      <w:r w:rsidR="00E406C0">
        <w:rPr>
          <w:rFonts w:asciiTheme="majorBidi" w:hAnsiTheme="majorBidi" w:cstheme="majorBidi"/>
          <w:sz w:val="24"/>
          <w:szCs w:val="24"/>
        </w:rPr>
        <w:t>short- and long-term</w:t>
      </w:r>
      <w:r w:rsidR="00865355" w:rsidRPr="00653D88">
        <w:rPr>
          <w:rFonts w:asciiTheme="majorBidi" w:hAnsiTheme="majorBidi" w:cstheme="majorBidi"/>
          <w:sz w:val="24"/>
          <w:szCs w:val="24"/>
        </w:rPr>
        <w:t xml:space="preserve"> </w:t>
      </w:r>
      <w:r w:rsidR="00EB39B5">
        <w:rPr>
          <w:rFonts w:asciiTheme="majorBidi" w:hAnsiTheme="majorBidi" w:cstheme="majorBidi"/>
          <w:sz w:val="24"/>
          <w:szCs w:val="24"/>
        </w:rPr>
        <w:t xml:space="preserve">social </w:t>
      </w:r>
      <w:r w:rsidR="00865355" w:rsidRPr="00653D88">
        <w:rPr>
          <w:rFonts w:asciiTheme="majorBidi" w:hAnsiTheme="majorBidi" w:cstheme="majorBidi"/>
          <w:sz w:val="24"/>
          <w:szCs w:val="24"/>
        </w:rPr>
        <w:t>performance</w:t>
      </w:r>
      <w:r w:rsidR="00895912">
        <w:rPr>
          <w:rFonts w:asciiTheme="majorBidi" w:hAnsiTheme="majorBidi" w:cstheme="majorBidi"/>
          <w:sz w:val="24"/>
          <w:szCs w:val="24"/>
        </w:rPr>
        <w:t xml:space="preserve"> and VC pay</w:t>
      </w:r>
      <w:r w:rsidR="00865355" w:rsidRPr="00653D88">
        <w:rPr>
          <w:rFonts w:asciiTheme="majorBidi" w:hAnsiTheme="majorBidi" w:cstheme="majorBidi"/>
          <w:sz w:val="24"/>
          <w:szCs w:val="24"/>
        </w:rPr>
        <w:t xml:space="preserve">, </w:t>
      </w:r>
      <w:r w:rsidR="009E4CD3">
        <w:rPr>
          <w:rFonts w:asciiTheme="majorBidi" w:hAnsiTheme="majorBidi" w:cstheme="majorBidi"/>
          <w:sz w:val="24"/>
          <w:szCs w:val="24"/>
        </w:rPr>
        <w:t>nor</w:t>
      </w:r>
      <w:r w:rsidR="00865355" w:rsidRPr="00653D88">
        <w:rPr>
          <w:rFonts w:asciiTheme="majorBidi" w:hAnsiTheme="majorBidi" w:cstheme="majorBidi"/>
          <w:sz w:val="24"/>
          <w:szCs w:val="24"/>
        </w:rPr>
        <w:t xml:space="preserve"> the moderati</w:t>
      </w:r>
      <w:r w:rsidR="00222D56">
        <w:rPr>
          <w:rFonts w:asciiTheme="majorBidi" w:hAnsiTheme="majorBidi" w:cstheme="majorBidi"/>
          <w:sz w:val="24"/>
          <w:szCs w:val="24"/>
        </w:rPr>
        <w:t>ng</w:t>
      </w:r>
      <w:r w:rsidR="00865355" w:rsidRPr="00653D88">
        <w:rPr>
          <w:rFonts w:asciiTheme="majorBidi" w:hAnsiTheme="majorBidi" w:cstheme="majorBidi"/>
          <w:sz w:val="24"/>
          <w:szCs w:val="24"/>
        </w:rPr>
        <w:t xml:space="preserve"> effect of </w:t>
      </w:r>
      <w:r w:rsidR="00F91E6B">
        <w:rPr>
          <w:rFonts w:asciiTheme="majorBidi" w:hAnsiTheme="majorBidi" w:cstheme="majorBidi"/>
          <w:sz w:val="24"/>
          <w:szCs w:val="24"/>
        </w:rPr>
        <w:t>VC</w:t>
      </w:r>
      <w:r w:rsidR="00865355" w:rsidRPr="00653D88">
        <w:rPr>
          <w:rFonts w:asciiTheme="majorBidi" w:hAnsiTheme="majorBidi" w:cstheme="majorBidi"/>
          <w:sz w:val="24"/>
          <w:szCs w:val="24"/>
        </w:rPr>
        <w:t xml:space="preserve"> characteristics on </w:t>
      </w:r>
      <w:r w:rsidR="00F91E6B">
        <w:rPr>
          <w:rFonts w:asciiTheme="majorBidi" w:hAnsiTheme="majorBidi" w:cstheme="majorBidi"/>
          <w:sz w:val="24"/>
          <w:szCs w:val="24"/>
        </w:rPr>
        <w:t>the</w:t>
      </w:r>
      <w:r w:rsidR="00B078F1">
        <w:rPr>
          <w:rFonts w:asciiTheme="majorBidi" w:hAnsiTheme="majorBidi" w:cstheme="majorBidi"/>
          <w:sz w:val="24"/>
          <w:szCs w:val="24"/>
        </w:rPr>
        <w:t xml:space="preserve"> </w:t>
      </w:r>
      <w:r w:rsidR="00880AEA">
        <w:rPr>
          <w:rFonts w:asciiTheme="majorBidi" w:hAnsiTheme="majorBidi" w:cstheme="majorBidi"/>
          <w:sz w:val="24"/>
          <w:szCs w:val="24"/>
        </w:rPr>
        <w:t>pay–</w:t>
      </w:r>
      <w:r w:rsidR="00B9265B">
        <w:rPr>
          <w:rFonts w:asciiTheme="majorBidi" w:hAnsiTheme="majorBidi" w:cstheme="majorBidi"/>
          <w:sz w:val="24"/>
          <w:szCs w:val="24"/>
        </w:rPr>
        <w:t>performance nexus</w:t>
      </w:r>
      <w:r w:rsidR="005D2FD4">
        <w:rPr>
          <w:rStyle w:val="FootnoteReference"/>
          <w:rFonts w:asciiTheme="majorBidi" w:hAnsiTheme="majorBidi" w:cstheme="majorBidi"/>
          <w:sz w:val="24"/>
          <w:szCs w:val="24"/>
        </w:rPr>
        <w:footnoteReference w:id="3"/>
      </w:r>
      <w:r w:rsidR="009E4CD3">
        <w:rPr>
          <w:rFonts w:asciiTheme="majorBidi" w:hAnsiTheme="majorBidi" w:cstheme="majorBidi"/>
          <w:sz w:val="24"/>
          <w:szCs w:val="24"/>
        </w:rPr>
        <w:t>.</w:t>
      </w:r>
      <w:r w:rsidR="00865355" w:rsidRPr="00653D88">
        <w:rPr>
          <w:rFonts w:asciiTheme="majorBidi" w:hAnsiTheme="majorBidi" w:cstheme="majorBidi"/>
          <w:sz w:val="24"/>
          <w:szCs w:val="24"/>
        </w:rPr>
        <w:t xml:space="preserve"> </w:t>
      </w:r>
      <w:r w:rsidR="009E4CD3">
        <w:rPr>
          <w:rFonts w:asciiTheme="majorBidi" w:hAnsiTheme="majorBidi" w:cstheme="majorBidi"/>
          <w:sz w:val="24"/>
          <w:szCs w:val="24"/>
        </w:rPr>
        <w:t>T</w:t>
      </w:r>
      <w:r w:rsidR="00865355" w:rsidRPr="00653D88">
        <w:rPr>
          <w:rFonts w:asciiTheme="majorBidi" w:hAnsiTheme="majorBidi" w:cstheme="majorBidi"/>
          <w:sz w:val="24"/>
          <w:szCs w:val="24"/>
        </w:rPr>
        <w:t>his</w:t>
      </w:r>
      <w:r w:rsidR="009E4CD3">
        <w:rPr>
          <w:rFonts w:asciiTheme="majorBidi" w:hAnsiTheme="majorBidi" w:cstheme="majorBidi"/>
          <w:sz w:val="24"/>
          <w:szCs w:val="24"/>
        </w:rPr>
        <w:t xml:space="preserve"> has</w:t>
      </w:r>
      <w:r w:rsidR="00865355" w:rsidRPr="00653D88">
        <w:rPr>
          <w:rFonts w:asciiTheme="majorBidi" w:hAnsiTheme="majorBidi" w:cstheme="majorBidi"/>
          <w:sz w:val="24"/>
          <w:szCs w:val="24"/>
        </w:rPr>
        <w:t xml:space="preserve">, </w:t>
      </w:r>
      <w:r w:rsidR="000806D3" w:rsidRPr="00653D88">
        <w:rPr>
          <w:rFonts w:asciiTheme="majorBidi" w:hAnsiTheme="majorBidi" w:cstheme="majorBidi"/>
          <w:sz w:val="24"/>
          <w:szCs w:val="24"/>
        </w:rPr>
        <w:t>arguably</w:t>
      </w:r>
      <w:r w:rsidR="00865355" w:rsidRPr="00653D88">
        <w:rPr>
          <w:rFonts w:asciiTheme="majorBidi" w:hAnsiTheme="majorBidi" w:cstheme="majorBidi"/>
          <w:sz w:val="24"/>
          <w:szCs w:val="24"/>
        </w:rPr>
        <w:t xml:space="preserve">, </w:t>
      </w:r>
      <w:r w:rsidR="00222D56">
        <w:rPr>
          <w:rFonts w:asciiTheme="majorBidi" w:hAnsiTheme="majorBidi" w:cstheme="majorBidi"/>
          <w:sz w:val="24"/>
          <w:szCs w:val="24"/>
        </w:rPr>
        <w:t>impair</w:t>
      </w:r>
      <w:r w:rsidR="009E4CD3">
        <w:rPr>
          <w:rFonts w:asciiTheme="majorBidi" w:hAnsiTheme="majorBidi" w:cstheme="majorBidi"/>
          <w:sz w:val="24"/>
          <w:szCs w:val="24"/>
        </w:rPr>
        <w:t>ed</w:t>
      </w:r>
      <w:r w:rsidR="00042B29">
        <w:rPr>
          <w:rFonts w:asciiTheme="majorBidi" w:hAnsiTheme="majorBidi" w:cstheme="majorBidi"/>
          <w:sz w:val="24"/>
          <w:szCs w:val="24"/>
        </w:rPr>
        <w:t xml:space="preserve"> cu</w:t>
      </w:r>
      <w:r w:rsidR="00865355" w:rsidRPr="00653D88">
        <w:rPr>
          <w:rFonts w:asciiTheme="majorBidi" w:hAnsiTheme="majorBidi" w:cstheme="majorBidi"/>
          <w:sz w:val="24"/>
          <w:szCs w:val="24"/>
        </w:rPr>
        <w:t xml:space="preserve">rrent understanding of whether </w:t>
      </w:r>
      <w:r w:rsidR="000806D3" w:rsidRPr="00653D88">
        <w:rPr>
          <w:rFonts w:asciiTheme="majorBidi" w:hAnsiTheme="majorBidi" w:cstheme="majorBidi"/>
          <w:sz w:val="24"/>
          <w:szCs w:val="24"/>
        </w:rPr>
        <w:t>VC</w:t>
      </w:r>
      <w:r w:rsidR="00865355" w:rsidRPr="00653D88">
        <w:rPr>
          <w:rFonts w:asciiTheme="majorBidi" w:hAnsiTheme="majorBidi" w:cstheme="majorBidi"/>
          <w:sz w:val="24"/>
          <w:szCs w:val="24"/>
        </w:rPr>
        <w:t xml:space="preserve"> pay is linked to performance</w:t>
      </w:r>
      <w:r w:rsidR="000806D3" w:rsidRPr="00653D88">
        <w:rPr>
          <w:rFonts w:asciiTheme="majorBidi" w:hAnsiTheme="majorBidi" w:cstheme="majorBidi"/>
          <w:sz w:val="24"/>
          <w:szCs w:val="24"/>
        </w:rPr>
        <w:t xml:space="preserve"> in HEIs</w:t>
      </w:r>
      <w:r w:rsidR="00865355" w:rsidRPr="00653D88">
        <w:rPr>
          <w:rFonts w:asciiTheme="majorBidi" w:hAnsiTheme="majorBidi" w:cstheme="majorBidi"/>
          <w:sz w:val="24"/>
          <w:szCs w:val="24"/>
        </w:rPr>
        <w:t>.</w:t>
      </w:r>
      <w:r w:rsidR="009B0BB9">
        <w:rPr>
          <w:rFonts w:asciiTheme="majorBidi" w:hAnsiTheme="majorBidi" w:cstheme="majorBidi"/>
          <w:sz w:val="24"/>
          <w:szCs w:val="24"/>
        </w:rPr>
        <w:t xml:space="preserve"> </w:t>
      </w:r>
      <w:r w:rsidR="00931891">
        <w:rPr>
          <w:rFonts w:asciiTheme="majorBidi" w:hAnsiTheme="majorBidi" w:cstheme="majorBidi"/>
          <w:sz w:val="24"/>
          <w:szCs w:val="24"/>
        </w:rPr>
        <w:t>Nevertheless, t</w:t>
      </w:r>
      <w:r w:rsidR="009B0BB9">
        <w:rPr>
          <w:rFonts w:asciiTheme="majorBidi" w:hAnsiTheme="majorBidi" w:cstheme="majorBidi"/>
          <w:sz w:val="24"/>
          <w:szCs w:val="24"/>
        </w:rPr>
        <w:t xml:space="preserve">his </w:t>
      </w:r>
      <w:r w:rsidR="009B0BB9">
        <w:rPr>
          <w:rFonts w:asciiTheme="majorBidi" w:hAnsiTheme="majorBidi" w:cstheme="majorBidi"/>
          <w:sz w:val="24"/>
          <w:szCs w:val="24"/>
        </w:rPr>
        <w:lastRenderedPageBreak/>
        <w:t xml:space="preserve">is an important academic and policy issue because unlike the current </w:t>
      </w:r>
      <w:r w:rsidR="00790075">
        <w:rPr>
          <w:rFonts w:asciiTheme="majorBidi" w:hAnsiTheme="majorBidi" w:cstheme="majorBidi"/>
          <w:sz w:val="24"/>
          <w:szCs w:val="24"/>
        </w:rPr>
        <w:t xml:space="preserve">often emotionally charged, but </w:t>
      </w:r>
      <w:proofErr w:type="gramStart"/>
      <w:r w:rsidR="00790075">
        <w:rPr>
          <w:rFonts w:asciiTheme="majorBidi" w:hAnsiTheme="majorBidi" w:cstheme="majorBidi"/>
          <w:sz w:val="24"/>
          <w:szCs w:val="24"/>
        </w:rPr>
        <w:t>non evidence</w:t>
      </w:r>
      <w:proofErr w:type="gramEnd"/>
      <w:r w:rsidR="00790075">
        <w:rPr>
          <w:rFonts w:asciiTheme="majorBidi" w:hAnsiTheme="majorBidi" w:cstheme="majorBidi"/>
          <w:sz w:val="24"/>
          <w:szCs w:val="24"/>
        </w:rPr>
        <w:t>-based public debate, our study can offer different</w:t>
      </w:r>
      <w:r w:rsidR="00931891">
        <w:rPr>
          <w:rFonts w:asciiTheme="majorBidi" w:hAnsiTheme="majorBidi" w:cstheme="majorBidi"/>
          <w:sz w:val="24"/>
          <w:szCs w:val="24"/>
        </w:rPr>
        <w:t xml:space="preserve"> and new</w:t>
      </w:r>
      <w:r w:rsidR="00790075">
        <w:rPr>
          <w:rFonts w:asciiTheme="majorBidi" w:hAnsiTheme="majorBidi" w:cstheme="majorBidi"/>
          <w:sz w:val="24"/>
          <w:szCs w:val="24"/>
        </w:rPr>
        <w:t xml:space="preserve"> insight</w:t>
      </w:r>
      <w:r w:rsidR="00931891">
        <w:rPr>
          <w:rFonts w:asciiTheme="majorBidi" w:hAnsiTheme="majorBidi" w:cstheme="majorBidi"/>
          <w:sz w:val="24"/>
          <w:szCs w:val="24"/>
        </w:rPr>
        <w:t>s</w:t>
      </w:r>
      <w:r w:rsidR="00790075">
        <w:rPr>
          <w:rFonts w:asciiTheme="majorBidi" w:hAnsiTheme="majorBidi" w:cstheme="majorBidi"/>
          <w:sz w:val="24"/>
          <w:szCs w:val="24"/>
        </w:rPr>
        <w:t xml:space="preserve"> by providing serious empirical evidence relating to the extent to which VCs are fairly</w:t>
      </w:r>
      <w:r w:rsidR="00D3448A">
        <w:rPr>
          <w:rFonts w:asciiTheme="majorBidi" w:hAnsiTheme="majorBidi" w:cstheme="majorBidi"/>
          <w:sz w:val="24"/>
          <w:szCs w:val="24"/>
        </w:rPr>
        <w:t>/</w:t>
      </w:r>
      <w:r w:rsidR="00790075">
        <w:rPr>
          <w:rFonts w:asciiTheme="majorBidi" w:hAnsiTheme="majorBidi" w:cstheme="majorBidi"/>
          <w:sz w:val="24"/>
          <w:szCs w:val="24"/>
        </w:rPr>
        <w:t xml:space="preserve">unfairly paid for their performance.  </w:t>
      </w:r>
    </w:p>
    <w:p w14:paraId="71CBF656" w14:textId="08017DE9" w:rsidR="00B9265B" w:rsidRDefault="008113B5" w:rsidP="00323D55">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Consequently,</w:t>
      </w:r>
      <w:r w:rsidR="00931891">
        <w:rPr>
          <w:rFonts w:asciiTheme="majorBidi" w:hAnsiTheme="majorBidi" w:cstheme="majorBidi"/>
          <w:sz w:val="24"/>
          <w:szCs w:val="24"/>
        </w:rPr>
        <w:t xml:space="preserve"> and g</w:t>
      </w:r>
      <w:r w:rsidR="00042B29">
        <w:rPr>
          <w:rFonts w:asciiTheme="majorBidi" w:hAnsiTheme="majorBidi" w:cstheme="majorBidi"/>
          <w:sz w:val="24"/>
          <w:szCs w:val="24"/>
        </w:rPr>
        <w:t xml:space="preserve">iven the noticeable gaps </w:t>
      </w:r>
      <w:r w:rsidR="00931891">
        <w:rPr>
          <w:rFonts w:asciiTheme="majorBidi" w:hAnsiTheme="majorBidi" w:cstheme="majorBidi"/>
          <w:sz w:val="24"/>
          <w:szCs w:val="24"/>
        </w:rPr>
        <w:t xml:space="preserve">within </w:t>
      </w:r>
      <w:r w:rsidR="00042B29">
        <w:rPr>
          <w:rFonts w:asciiTheme="majorBidi" w:hAnsiTheme="majorBidi" w:cstheme="majorBidi"/>
          <w:sz w:val="24"/>
          <w:szCs w:val="24"/>
        </w:rPr>
        <w:t>the existing literature,</w:t>
      </w:r>
      <w:r w:rsidR="000806D3" w:rsidRPr="00653D88">
        <w:rPr>
          <w:rFonts w:asciiTheme="majorBidi" w:hAnsiTheme="majorBidi" w:cstheme="majorBidi"/>
          <w:sz w:val="24"/>
          <w:szCs w:val="24"/>
        </w:rPr>
        <w:t xml:space="preserve"> </w:t>
      </w:r>
      <w:r w:rsidR="00042B29">
        <w:rPr>
          <w:rFonts w:asciiTheme="majorBidi" w:hAnsiTheme="majorBidi" w:cstheme="majorBidi"/>
          <w:sz w:val="24"/>
          <w:szCs w:val="24"/>
        </w:rPr>
        <w:t>our study</w:t>
      </w:r>
      <w:r w:rsidR="000806D3" w:rsidRPr="00653D88">
        <w:rPr>
          <w:rFonts w:asciiTheme="majorBidi" w:hAnsiTheme="majorBidi" w:cstheme="majorBidi"/>
          <w:sz w:val="24"/>
          <w:szCs w:val="24"/>
        </w:rPr>
        <w:t xml:space="preserve"> seek</w:t>
      </w:r>
      <w:r w:rsidR="00931891">
        <w:rPr>
          <w:rFonts w:asciiTheme="majorBidi" w:hAnsiTheme="majorBidi" w:cstheme="majorBidi"/>
          <w:sz w:val="24"/>
          <w:szCs w:val="24"/>
        </w:rPr>
        <w:t>s</w:t>
      </w:r>
      <w:r w:rsidR="000806D3" w:rsidRPr="00653D88">
        <w:rPr>
          <w:rFonts w:asciiTheme="majorBidi" w:hAnsiTheme="majorBidi" w:cstheme="majorBidi"/>
          <w:sz w:val="24"/>
          <w:szCs w:val="24"/>
        </w:rPr>
        <w:t xml:space="preserve"> </w:t>
      </w:r>
      <w:r w:rsidR="00042B29">
        <w:rPr>
          <w:rFonts w:asciiTheme="majorBidi" w:hAnsiTheme="majorBidi" w:cstheme="majorBidi"/>
          <w:sz w:val="24"/>
          <w:szCs w:val="24"/>
        </w:rPr>
        <w:t>to</w:t>
      </w:r>
      <w:r w:rsidR="00CC5C71">
        <w:rPr>
          <w:rFonts w:asciiTheme="majorBidi" w:hAnsiTheme="majorBidi" w:cstheme="majorBidi"/>
          <w:sz w:val="24"/>
          <w:szCs w:val="24"/>
        </w:rPr>
        <w:t xml:space="preserve"> extend, as well as</w:t>
      </w:r>
      <w:r w:rsidR="00042B29">
        <w:rPr>
          <w:rFonts w:asciiTheme="majorBidi" w:hAnsiTheme="majorBidi" w:cstheme="majorBidi"/>
          <w:sz w:val="24"/>
          <w:szCs w:val="24"/>
        </w:rPr>
        <w:t xml:space="preserve"> make</w:t>
      </w:r>
      <w:r w:rsidR="00DC2FC0" w:rsidRPr="00653D88">
        <w:rPr>
          <w:rFonts w:asciiTheme="majorBidi" w:hAnsiTheme="majorBidi" w:cstheme="majorBidi"/>
          <w:sz w:val="24"/>
          <w:szCs w:val="24"/>
        </w:rPr>
        <w:t xml:space="preserve"> </w:t>
      </w:r>
      <w:proofErr w:type="gramStart"/>
      <w:r w:rsidR="00DC2FC0" w:rsidRPr="00653D88">
        <w:rPr>
          <w:rFonts w:asciiTheme="majorBidi" w:hAnsiTheme="majorBidi" w:cstheme="majorBidi"/>
          <w:sz w:val="24"/>
          <w:szCs w:val="24"/>
        </w:rPr>
        <w:t xml:space="preserve">a </w:t>
      </w:r>
      <w:r w:rsidR="00042B29">
        <w:rPr>
          <w:rFonts w:asciiTheme="majorBidi" w:hAnsiTheme="majorBidi" w:cstheme="majorBidi"/>
          <w:sz w:val="24"/>
          <w:szCs w:val="24"/>
        </w:rPr>
        <w:t>number of</w:t>
      </w:r>
      <w:proofErr w:type="gramEnd"/>
      <w:r w:rsidR="00042B29">
        <w:rPr>
          <w:rFonts w:asciiTheme="majorBidi" w:hAnsiTheme="majorBidi" w:cstheme="majorBidi"/>
          <w:sz w:val="24"/>
          <w:szCs w:val="24"/>
        </w:rPr>
        <w:t xml:space="preserve"> new contributions</w:t>
      </w:r>
      <w:r w:rsidR="00931891">
        <w:rPr>
          <w:rFonts w:asciiTheme="majorBidi" w:hAnsiTheme="majorBidi" w:cstheme="majorBidi"/>
          <w:sz w:val="24"/>
          <w:szCs w:val="24"/>
        </w:rPr>
        <w:t xml:space="preserve"> to the extant literature</w:t>
      </w:r>
      <w:r w:rsidR="00DC2FC0" w:rsidRPr="00653D88">
        <w:rPr>
          <w:rFonts w:asciiTheme="majorBidi" w:hAnsiTheme="majorBidi" w:cstheme="majorBidi"/>
          <w:sz w:val="24"/>
          <w:szCs w:val="24"/>
        </w:rPr>
        <w:t xml:space="preserve">. First, </w:t>
      </w:r>
      <w:r w:rsidR="005D1DB7" w:rsidRPr="00653D88">
        <w:rPr>
          <w:rFonts w:asciiTheme="majorBidi" w:hAnsiTheme="majorBidi" w:cstheme="majorBidi"/>
          <w:sz w:val="24"/>
          <w:szCs w:val="24"/>
        </w:rPr>
        <w:t xml:space="preserve">we contribute to existing </w:t>
      </w:r>
      <w:r w:rsidR="0007742F">
        <w:rPr>
          <w:rFonts w:asciiTheme="majorBidi" w:hAnsiTheme="majorBidi" w:cstheme="majorBidi"/>
          <w:sz w:val="24"/>
          <w:szCs w:val="24"/>
        </w:rPr>
        <w:t>research</w:t>
      </w:r>
      <w:r w:rsidR="005D1DB7" w:rsidRPr="00653D88">
        <w:rPr>
          <w:rFonts w:asciiTheme="majorBidi" w:hAnsiTheme="majorBidi" w:cstheme="majorBidi"/>
          <w:sz w:val="24"/>
          <w:szCs w:val="24"/>
        </w:rPr>
        <w:t xml:space="preserve"> </w:t>
      </w:r>
      <w:r w:rsidR="006A7CD7" w:rsidRPr="00653D88">
        <w:rPr>
          <w:rFonts w:asciiTheme="majorBidi" w:hAnsiTheme="majorBidi" w:cstheme="majorBidi"/>
          <w:sz w:val="24"/>
          <w:szCs w:val="24"/>
        </w:rPr>
        <w:t xml:space="preserve">by providing </w:t>
      </w:r>
      <w:r w:rsidR="00042B29">
        <w:rPr>
          <w:rFonts w:asciiTheme="majorBidi" w:hAnsiTheme="majorBidi" w:cstheme="majorBidi"/>
          <w:sz w:val="24"/>
          <w:szCs w:val="24"/>
        </w:rPr>
        <w:t xml:space="preserve">new </w:t>
      </w:r>
      <w:r w:rsidR="006A7CD7" w:rsidRPr="00653D88">
        <w:rPr>
          <w:rFonts w:asciiTheme="majorBidi" w:hAnsiTheme="majorBidi" w:cstheme="majorBidi"/>
          <w:sz w:val="24"/>
          <w:szCs w:val="24"/>
        </w:rPr>
        <w:t>systematic evidence</w:t>
      </w:r>
      <w:r w:rsidR="00622323" w:rsidRPr="00653D88">
        <w:rPr>
          <w:rFonts w:asciiTheme="majorBidi" w:hAnsiTheme="majorBidi" w:cstheme="majorBidi"/>
          <w:sz w:val="24"/>
          <w:szCs w:val="24"/>
        </w:rPr>
        <w:t xml:space="preserve"> on the level</w:t>
      </w:r>
      <w:r w:rsidR="00931891">
        <w:rPr>
          <w:rFonts w:asciiTheme="majorBidi" w:hAnsiTheme="majorBidi" w:cstheme="majorBidi"/>
          <w:sz w:val="24"/>
          <w:szCs w:val="24"/>
        </w:rPr>
        <w:t>s</w:t>
      </w:r>
      <w:r w:rsidR="00622323" w:rsidRPr="00653D88">
        <w:rPr>
          <w:rFonts w:asciiTheme="majorBidi" w:hAnsiTheme="majorBidi" w:cstheme="majorBidi"/>
          <w:sz w:val="24"/>
          <w:szCs w:val="24"/>
        </w:rPr>
        <w:t xml:space="preserve"> of VC pay</w:t>
      </w:r>
      <w:r w:rsidR="00931891">
        <w:rPr>
          <w:rFonts w:asciiTheme="majorBidi" w:hAnsiTheme="majorBidi" w:cstheme="majorBidi"/>
          <w:sz w:val="24"/>
          <w:szCs w:val="24"/>
        </w:rPr>
        <w:t xml:space="preserve"> among HEIs</w:t>
      </w:r>
      <w:r w:rsidR="00A65805">
        <w:rPr>
          <w:rFonts w:asciiTheme="majorBidi" w:hAnsiTheme="majorBidi" w:cstheme="majorBidi"/>
          <w:sz w:val="24"/>
          <w:szCs w:val="24"/>
        </w:rPr>
        <w:t>, with specific focus on the UK</w:t>
      </w:r>
      <w:r w:rsidR="00622323" w:rsidRPr="00653D88">
        <w:rPr>
          <w:rFonts w:asciiTheme="majorBidi" w:hAnsiTheme="majorBidi" w:cstheme="majorBidi"/>
          <w:sz w:val="24"/>
          <w:szCs w:val="24"/>
        </w:rPr>
        <w:t xml:space="preserve">. Second, </w:t>
      </w:r>
      <w:r w:rsidR="00E67502">
        <w:rPr>
          <w:rFonts w:asciiTheme="majorBidi" w:hAnsiTheme="majorBidi" w:cstheme="majorBidi"/>
          <w:sz w:val="24"/>
          <w:szCs w:val="24"/>
        </w:rPr>
        <w:t>we contribute to the</w:t>
      </w:r>
      <w:r w:rsidR="0026288C">
        <w:rPr>
          <w:rFonts w:asciiTheme="majorBidi" w:hAnsiTheme="majorBidi" w:cstheme="majorBidi"/>
          <w:sz w:val="24"/>
          <w:szCs w:val="24"/>
        </w:rPr>
        <w:t xml:space="preserve"> current</w:t>
      </w:r>
      <w:r w:rsidR="00E67502">
        <w:rPr>
          <w:rFonts w:asciiTheme="majorBidi" w:hAnsiTheme="majorBidi" w:cstheme="majorBidi"/>
          <w:sz w:val="24"/>
          <w:szCs w:val="24"/>
        </w:rPr>
        <w:t xml:space="preserve"> broader public and policy debates </w:t>
      </w:r>
      <w:r w:rsidR="002F5752">
        <w:rPr>
          <w:rFonts w:asciiTheme="majorBidi" w:hAnsiTheme="majorBidi" w:cstheme="majorBidi"/>
          <w:sz w:val="24"/>
          <w:szCs w:val="24"/>
        </w:rPr>
        <w:t>relating to</w:t>
      </w:r>
      <w:r w:rsidR="0026288C">
        <w:rPr>
          <w:rFonts w:asciiTheme="majorBidi" w:hAnsiTheme="majorBidi" w:cstheme="majorBidi"/>
          <w:sz w:val="24"/>
          <w:szCs w:val="24"/>
        </w:rPr>
        <w:t xml:space="preserve"> the increased</w:t>
      </w:r>
      <w:r w:rsidR="00E67502">
        <w:rPr>
          <w:rFonts w:asciiTheme="majorBidi" w:hAnsiTheme="majorBidi" w:cstheme="majorBidi"/>
          <w:sz w:val="24"/>
          <w:szCs w:val="24"/>
        </w:rPr>
        <w:t xml:space="preserve"> </w:t>
      </w:r>
      <w:proofErr w:type="spellStart"/>
      <w:r w:rsidR="00E67502">
        <w:rPr>
          <w:rFonts w:asciiTheme="majorBidi" w:hAnsiTheme="majorBidi" w:cstheme="majorBidi"/>
          <w:sz w:val="24"/>
          <w:szCs w:val="24"/>
        </w:rPr>
        <w:t>financi</w:t>
      </w:r>
      <w:r w:rsidR="00E90F37">
        <w:rPr>
          <w:rFonts w:asciiTheme="majorBidi" w:hAnsiTheme="majorBidi" w:cstheme="majorBidi"/>
          <w:sz w:val="24"/>
          <w:szCs w:val="24"/>
        </w:rPr>
        <w:t>a</w:t>
      </w:r>
      <w:r w:rsidR="00E67502">
        <w:rPr>
          <w:rFonts w:asciiTheme="majorBidi" w:hAnsiTheme="majorBidi" w:cstheme="majorBidi"/>
          <w:sz w:val="24"/>
          <w:szCs w:val="24"/>
        </w:rPr>
        <w:t>lisation</w:t>
      </w:r>
      <w:proofErr w:type="spellEnd"/>
      <w:r w:rsidR="00752AA9">
        <w:rPr>
          <w:rFonts w:asciiTheme="majorBidi" w:hAnsiTheme="majorBidi" w:cstheme="majorBidi"/>
          <w:sz w:val="24"/>
          <w:szCs w:val="24"/>
        </w:rPr>
        <w:t>/</w:t>
      </w:r>
      <w:r w:rsidR="00E67502">
        <w:rPr>
          <w:rFonts w:asciiTheme="majorBidi" w:hAnsiTheme="majorBidi" w:cstheme="majorBidi"/>
          <w:sz w:val="24"/>
          <w:szCs w:val="24"/>
        </w:rPr>
        <w:t xml:space="preserve">marketisation </w:t>
      </w:r>
      <w:r w:rsidR="001C3611">
        <w:rPr>
          <w:rFonts w:asciiTheme="majorBidi" w:hAnsiTheme="majorBidi" w:cstheme="majorBidi"/>
          <w:sz w:val="24"/>
          <w:szCs w:val="24"/>
        </w:rPr>
        <w:t xml:space="preserve">of </w:t>
      </w:r>
      <w:r w:rsidR="0026288C">
        <w:rPr>
          <w:rFonts w:asciiTheme="majorBidi" w:hAnsiTheme="majorBidi" w:cstheme="majorBidi"/>
          <w:sz w:val="24"/>
          <w:szCs w:val="24"/>
        </w:rPr>
        <w:t>the</w:t>
      </w:r>
      <w:r w:rsidR="00443444">
        <w:rPr>
          <w:rFonts w:asciiTheme="majorBidi" w:hAnsiTheme="majorBidi" w:cstheme="majorBidi"/>
          <w:sz w:val="24"/>
          <w:szCs w:val="24"/>
        </w:rPr>
        <w:t xml:space="preserve"> UK </w:t>
      </w:r>
      <w:r w:rsidR="001C3611">
        <w:rPr>
          <w:rFonts w:asciiTheme="majorBidi" w:hAnsiTheme="majorBidi" w:cstheme="majorBidi"/>
          <w:sz w:val="24"/>
          <w:szCs w:val="24"/>
        </w:rPr>
        <w:t>HE</w:t>
      </w:r>
      <w:r w:rsidR="0026288C">
        <w:rPr>
          <w:rFonts w:asciiTheme="majorBidi" w:hAnsiTheme="majorBidi" w:cstheme="majorBidi"/>
          <w:sz w:val="24"/>
          <w:szCs w:val="24"/>
        </w:rPr>
        <w:t xml:space="preserve"> </w:t>
      </w:r>
      <w:proofErr w:type="gramStart"/>
      <w:r w:rsidR="0026288C">
        <w:rPr>
          <w:rFonts w:asciiTheme="majorBidi" w:hAnsiTheme="majorBidi" w:cstheme="majorBidi"/>
          <w:sz w:val="24"/>
          <w:szCs w:val="24"/>
        </w:rPr>
        <w:t>sector</w:t>
      </w:r>
      <w:proofErr w:type="gramEnd"/>
      <w:r w:rsidR="0026288C">
        <w:rPr>
          <w:rFonts w:asciiTheme="majorBidi" w:hAnsiTheme="majorBidi" w:cstheme="majorBidi"/>
          <w:sz w:val="24"/>
          <w:szCs w:val="24"/>
        </w:rPr>
        <w:t xml:space="preserve"> by discussing the consequences </w:t>
      </w:r>
      <w:r w:rsidR="00323D55">
        <w:rPr>
          <w:rFonts w:asciiTheme="majorBidi" w:hAnsiTheme="majorBidi" w:cstheme="majorBidi"/>
          <w:sz w:val="24"/>
          <w:szCs w:val="24"/>
        </w:rPr>
        <w:t>arising from these reforms, with specific focus on VC pay and performance. Third</w:t>
      </w:r>
      <w:r w:rsidR="001C3611">
        <w:rPr>
          <w:rFonts w:asciiTheme="majorBidi" w:hAnsiTheme="majorBidi" w:cstheme="majorBidi"/>
          <w:sz w:val="24"/>
          <w:szCs w:val="24"/>
        </w:rPr>
        <w:t>,</w:t>
      </w:r>
      <w:r w:rsidR="00E22660">
        <w:rPr>
          <w:rFonts w:asciiTheme="majorBidi" w:hAnsiTheme="majorBidi" w:cstheme="majorBidi"/>
          <w:sz w:val="24"/>
          <w:szCs w:val="24"/>
        </w:rPr>
        <w:t xml:space="preserve"> </w:t>
      </w:r>
      <w:r w:rsidR="00622323" w:rsidRPr="00653D88">
        <w:rPr>
          <w:rFonts w:asciiTheme="majorBidi" w:hAnsiTheme="majorBidi" w:cstheme="majorBidi"/>
          <w:sz w:val="24"/>
          <w:szCs w:val="24"/>
        </w:rPr>
        <w:t>we</w:t>
      </w:r>
      <w:r w:rsidR="00423C0B" w:rsidRPr="00653D88">
        <w:rPr>
          <w:rFonts w:asciiTheme="majorBidi" w:hAnsiTheme="majorBidi" w:cstheme="majorBidi"/>
          <w:sz w:val="24"/>
          <w:szCs w:val="24"/>
        </w:rPr>
        <w:t xml:space="preserve"> contribute to the extant literature by providing</w:t>
      </w:r>
      <w:r w:rsidR="006A7CD7" w:rsidRPr="00653D88">
        <w:rPr>
          <w:rFonts w:asciiTheme="majorBidi" w:hAnsiTheme="majorBidi" w:cstheme="majorBidi"/>
          <w:sz w:val="24"/>
          <w:szCs w:val="24"/>
        </w:rPr>
        <w:t xml:space="preserve"> first time </w:t>
      </w:r>
      <w:r w:rsidR="00931891">
        <w:rPr>
          <w:rFonts w:asciiTheme="majorBidi" w:hAnsiTheme="majorBidi" w:cstheme="majorBidi"/>
          <w:sz w:val="24"/>
          <w:szCs w:val="24"/>
        </w:rPr>
        <w:t xml:space="preserve">evidence </w:t>
      </w:r>
      <w:r w:rsidR="006A7CD7" w:rsidRPr="00653D88">
        <w:rPr>
          <w:rFonts w:asciiTheme="majorBidi" w:hAnsiTheme="majorBidi" w:cstheme="majorBidi"/>
          <w:sz w:val="24"/>
          <w:szCs w:val="24"/>
        </w:rPr>
        <w:t xml:space="preserve">on the </w:t>
      </w:r>
      <w:r w:rsidR="00B078F1">
        <w:rPr>
          <w:rFonts w:asciiTheme="majorBidi" w:hAnsiTheme="majorBidi" w:cstheme="majorBidi"/>
          <w:sz w:val="24"/>
          <w:szCs w:val="24"/>
        </w:rPr>
        <w:t>VC pay–</w:t>
      </w:r>
      <w:r w:rsidR="00651BBA" w:rsidRPr="00653D88">
        <w:rPr>
          <w:rFonts w:asciiTheme="majorBidi" w:hAnsiTheme="majorBidi" w:cstheme="majorBidi"/>
          <w:sz w:val="24"/>
          <w:szCs w:val="24"/>
        </w:rPr>
        <w:t xml:space="preserve">performance nexus in HEIs, and this is done by </w:t>
      </w:r>
      <w:r w:rsidR="002859DD" w:rsidRPr="00653D88">
        <w:rPr>
          <w:rFonts w:asciiTheme="majorBidi" w:hAnsiTheme="majorBidi" w:cstheme="majorBidi"/>
          <w:sz w:val="24"/>
          <w:szCs w:val="24"/>
        </w:rPr>
        <w:t xml:space="preserve">examining the impact of </w:t>
      </w:r>
      <w:r w:rsidR="007349A1" w:rsidRPr="00653D88">
        <w:rPr>
          <w:rFonts w:asciiTheme="majorBidi" w:hAnsiTheme="majorBidi" w:cstheme="majorBidi"/>
          <w:sz w:val="24"/>
          <w:szCs w:val="24"/>
        </w:rPr>
        <w:t xml:space="preserve">HEIs’ </w:t>
      </w:r>
      <w:r w:rsidR="00E406C0">
        <w:rPr>
          <w:rFonts w:asciiTheme="majorBidi" w:hAnsiTheme="majorBidi" w:cstheme="majorBidi"/>
          <w:sz w:val="24"/>
          <w:szCs w:val="24"/>
        </w:rPr>
        <w:t>short-</w:t>
      </w:r>
      <w:r w:rsidR="00E406C0" w:rsidRPr="00653D88">
        <w:rPr>
          <w:rFonts w:asciiTheme="majorBidi" w:hAnsiTheme="majorBidi" w:cstheme="majorBidi"/>
          <w:sz w:val="24"/>
          <w:szCs w:val="24"/>
        </w:rPr>
        <w:t xml:space="preserve"> </w:t>
      </w:r>
      <w:r w:rsidR="007349A1" w:rsidRPr="00653D88">
        <w:rPr>
          <w:rFonts w:asciiTheme="majorBidi" w:hAnsiTheme="majorBidi" w:cstheme="majorBidi"/>
          <w:sz w:val="24"/>
          <w:szCs w:val="24"/>
        </w:rPr>
        <w:t xml:space="preserve">and </w:t>
      </w:r>
      <w:r w:rsidR="00E406C0">
        <w:rPr>
          <w:rFonts w:asciiTheme="majorBidi" w:hAnsiTheme="majorBidi" w:cstheme="majorBidi"/>
          <w:sz w:val="24"/>
          <w:szCs w:val="24"/>
        </w:rPr>
        <w:t>long-term</w:t>
      </w:r>
      <w:r w:rsidR="007349A1" w:rsidRPr="00653D88">
        <w:rPr>
          <w:rFonts w:asciiTheme="majorBidi" w:hAnsiTheme="majorBidi" w:cstheme="majorBidi"/>
          <w:sz w:val="24"/>
          <w:szCs w:val="24"/>
        </w:rPr>
        <w:t xml:space="preserve"> performance</w:t>
      </w:r>
      <w:r w:rsidR="004149CD">
        <w:rPr>
          <w:rFonts w:asciiTheme="majorBidi" w:hAnsiTheme="majorBidi" w:cstheme="majorBidi"/>
          <w:sz w:val="24"/>
          <w:szCs w:val="24"/>
        </w:rPr>
        <w:t xml:space="preserve"> proxies</w:t>
      </w:r>
      <w:r w:rsidR="007349A1" w:rsidRPr="00653D88">
        <w:rPr>
          <w:rFonts w:asciiTheme="majorBidi" w:hAnsiTheme="majorBidi" w:cstheme="majorBidi"/>
          <w:sz w:val="24"/>
          <w:szCs w:val="24"/>
        </w:rPr>
        <w:t xml:space="preserve"> </w:t>
      </w:r>
      <w:r w:rsidR="007349A1">
        <w:rPr>
          <w:rFonts w:asciiTheme="majorBidi" w:hAnsiTheme="majorBidi" w:cstheme="majorBidi"/>
          <w:sz w:val="24"/>
          <w:szCs w:val="24"/>
        </w:rPr>
        <w:t xml:space="preserve">on </w:t>
      </w:r>
      <w:r w:rsidR="002859DD" w:rsidRPr="00653D88">
        <w:rPr>
          <w:rFonts w:asciiTheme="majorBidi" w:hAnsiTheme="majorBidi" w:cstheme="majorBidi"/>
          <w:sz w:val="24"/>
          <w:szCs w:val="24"/>
        </w:rPr>
        <w:t xml:space="preserve">VC pay. </w:t>
      </w:r>
      <w:r w:rsidR="00931891">
        <w:rPr>
          <w:rFonts w:asciiTheme="majorBidi" w:hAnsiTheme="majorBidi" w:cstheme="majorBidi"/>
          <w:sz w:val="24"/>
          <w:szCs w:val="24"/>
        </w:rPr>
        <w:t>Finally</w:t>
      </w:r>
      <w:r w:rsidR="00E6460E" w:rsidRPr="00653D88">
        <w:rPr>
          <w:rFonts w:asciiTheme="majorBidi" w:hAnsiTheme="majorBidi" w:cstheme="majorBidi"/>
          <w:sz w:val="24"/>
          <w:szCs w:val="24"/>
        </w:rPr>
        <w:t xml:space="preserve">, </w:t>
      </w:r>
      <w:r w:rsidR="00B45290">
        <w:rPr>
          <w:rFonts w:asciiTheme="majorBidi" w:hAnsiTheme="majorBidi" w:cstheme="majorBidi"/>
          <w:sz w:val="24"/>
          <w:szCs w:val="24"/>
        </w:rPr>
        <w:t>our study</w:t>
      </w:r>
      <w:r w:rsidR="007527C3" w:rsidRPr="00653D88">
        <w:rPr>
          <w:rFonts w:asciiTheme="majorBidi" w:hAnsiTheme="majorBidi" w:cstheme="majorBidi"/>
          <w:sz w:val="24"/>
          <w:szCs w:val="24"/>
        </w:rPr>
        <w:t xml:space="preserve"> contribute</w:t>
      </w:r>
      <w:r w:rsidR="00B45290">
        <w:rPr>
          <w:rFonts w:asciiTheme="majorBidi" w:hAnsiTheme="majorBidi" w:cstheme="majorBidi"/>
          <w:sz w:val="24"/>
          <w:szCs w:val="24"/>
        </w:rPr>
        <w:t>s</w:t>
      </w:r>
      <w:r w:rsidR="007527C3" w:rsidRPr="00653D88">
        <w:rPr>
          <w:rFonts w:asciiTheme="majorBidi" w:hAnsiTheme="majorBidi" w:cstheme="majorBidi"/>
          <w:sz w:val="24"/>
          <w:szCs w:val="24"/>
        </w:rPr>
        <w:t xml:space="preserve"> to the ext</w:t>
      </w:r>
      <w:r w:rsidR="005A73E9" w:rsidRPr="00653D88">
        <w:rPr>
          <w:rFonts w:asciiTheme="majorBidi" w:hAnsiTheme="majorBidi" w:cstheme="majorBidi"/>
          <w:sz w:val="24"/>
          <w:szCs w:val="24"/>
        </w:rPr>
        <w:t xml:space="preserve">ant </w:t>
      </w:r>
      <w:r w:rsidR="00B45290">
        <w:rPr>
          <w:rFonts w:asciiTheme="majorBidi" w:hAnsiTheme="majorBidi" w:cstheme="majorBidi"/>
          <w:sz w:val="24"/>
          <w:szCs w:val="24"/>
        </w:rPr>
        <w:t>research</w:t>
      </w:r>
      <w:r w:rsidR="005A73E9" w:rsidRPr="00653D88">
        <w:rPr>
          <w:rFonts w:asciiTheme="majorBidi" w:hAnsiTheme="majorBidi" w:cstheme="majorBidi"/>
          <w:sz w:val="24"/>
          <w:szCs w:val="24"/>
        </w:rPr>
        <w:t xml:space="preserve"> by investigating the </w:t>
      </w:r>
      <w:r w:rsidR="009B2577" w:rsidRPr="00653D88">
        <w:rPr>
          <w:rFonts w:asciiTheme="majorBidi" w:hAnsiTheme="majorBidi" w:cstheme="majorBidi"/>
          <w:sz w:val="24"/>
          <w:szCs w:val="24"/>
        </w:rPr>
        <w:t>extent</w:t>
      </w:r>
      <w:r w:rsidR="005A73E9" w:rsidRPr="00653D88">
        <w:rPr>
          <w:rFonts w:asciiTheme="majorBidi" w:hAnsiTheme="majorBidi" w:cstheme="majorBidi"/>
          <w:sz w:val="24"/>
          <w:szCs w:val="24"/>
        </w:rPr>
        <w:t xml:space="preserve"> to which VC characteristics can moderate the </w:t>
      </w:r>
      <w:r w:rsidR="00B45290">
        <w:rPr>
          <w:rFonts w:asciiTheme="majorBidi" w:hAnsiTheme="majorBidi" w:cstheme="majorBidi"/>
          <w:sz w:val="24"/>
          <w:szCs w:val="24"/>
        </w:rPr>
        <w:t xml:space="preserve">link between </w:t>
      </w:r>
      <w:r w:rsidR="00B078F1">
        <w:rPr>
          <w:rFonts w:asciiTheme="majorBidi" w:hAnsiTheme="majorBidi" w:cstheme="majorBidi"/>
          <w:sz w:val="24"/>
          <w:szCs w:val="24"/>
        </w:rPr>
        <w:t xml:space="preserve">VC pay and </w:t>
      </w:r>
      <w:r w:rsidR="004149CD">
        <w:rPr>
          <w:rFonts w:asciiTheme="majorBidi" w:hAnsiTheme="majorBidi" w:cstheme="majorBidi"/>
          <w:sz w:val="24"/>
          <w:szCs w:val="24"/>
        </w:rPr>
        <w:t xml:space="preserve">HEIs </w:t>
      </w:r>
      <w:r w:rsidR="00B45290">
        <w:rPr>
          <w:rFonts w:asciiTheme="majorBidi" w:hAnsiTheme="majorBidi" w:cstheme="majorBidi"/>
          <w:sz w:val="24"/>
          <w:szCs w:val="24"/>
        </w:rPr>
        <w:t>performance</w:t>
      </w:r>
      <w:r w:rsidR="004149CD">
        <w:rPr>
          <w:rFonts w:asciiTheme="majorBidi" w:hAnsiTheme="majorBidi" w:cstheme="majorBidi"/>
          <w:sz w:val="24"/>
          <w:szCs w:val="24"/>
        </w:rPr>
        <w:t>.</w:t>
      </w:r>
    </w:p>
    <w:p w14:paraId="23ECFEEB" w14:textId="6462A5E8" w:rsidR="00E22707" w:rsidRPr="00653D88" w:rsidRDefault="00931891" w:rsidP="008113B5">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rest of the paper is structured as follows. </w:t>
      </w:r>
      <w:r w:rsidR="00E70226">
        <w:rPr>
          <w:rFonts w:asciiTheme="majorBidi" w:hAnsiTheme="majorBidi" w:cstheme="majorBidi"/>
          <w:sz w:val="24"/>
          <w:szCs w:val="24"/>
        </w:rPr>
        <w:t xml:space="preserve">The </w:t>
      </w:r>
      <w:r w:rsidR="003B5AEF">
        <w:rPr>
          <w:rFonts w:asciiTheme="majorBidi" w:hAnsiTheme="majorBidi" w:cstheme="majorBidi"/>
          <w:sz w:val="24"/>
          <w:szCs w:val="24"/>
        </w:rPr>
        <w:t>next</w:t>
      </w:r>
      <w:r w:rsidR="00E70226">
        <w:rPr>
          <w:rFonts w:asciiTheme="majorBidi" w:hAnsiTheme="majorBidi" w:cstheme="majorBidi"/>
          <w:sz w:val="24"/>
          <w:szCs w:val="24"/>
        </w:rPr>
        <w:t xml:space="preserve"> section will</w:t>
      </w:r>
      <w:r>
        <w:rPr>
          <w:rFonts w:asciiTheme="majorBidi" w:hAnsiTheme="majorBidi" w:cstheme="majorBidi"/>
          <w:sz w:val="24"/>
          <w:szCs w:val="24"/>
        </w:rPr>
        <w:t xml:space="preserve"> review the literature and develop hypotheses</w:t>
      </w:r>
      <w:r w:rsidR="003B5AEF">
        <w:rPr>
          <w:rFonts w:asciiTheme="majorBidi" w:hAnsiTheme="majorBidi" w:cstheme="majorBidi"/>
          <w:sz w:val="24"/>
          <w:szCs w:val="24"/>
        </w:rPr>
        <w:t>. The following sections will</w:t>
      </w:r>
      <w:r>
        <w:rPr>
          <w:rFonts w:asciiTheme="majorBidi" w:hAnsiTheme="majorBidi" w:cstheme="majorBidi"/>
          <w:sz w:val="24"/>
          <w:szCs w:val="24"/>
        </w:rPr>
        <w:t xml:space="preserve"> present the </w:t>
      </w:r>
      <w:r w:rsidR="0040168B">
        <w:rPr>
          <w:rFonts w:asciiTheme="majorBidi" w:hAnsiTheme="majorBidi" w:cstheme="majorBidi"/>
          <w:sz w:val="24"/>
          <w:szCs w:val="24"/>
        </w:rPr>
        <w:t>methodology</w:t>
      </w:r>
      <w:r>
        <w:rPr>
          <w:rFonts w:asciiTheme="majorBidi" w:hAnsiTheme="majorBidi" w:cstheme="majorBidi"/>
          <w:sz w:val="24"/>
          <w:szCs w:val="24"/>
        </w:rPr>
        <w:t xml:space="preserve">, and report and discuss the empirical findings, whilst the final section </w:t>
      </w:r>
      <w:r w:rsidR="0040168B">
        <w:rPr>
          <w:rFonts w:asciiTheme="majorBidi" w:hAnsiTheme="majorBidi" w:cstheme="majorBidi"/>
          <w:sz w:val="24"/>
          <w:szCs w:val="24"/>
        </w:rPr>
        <w:t>concludes the paper.</w:t>
      </w:r>
      <w:r>
        <w:rPr>
          <w:rFonts w:asciiTheme="majorBidi" w:hAnsiTheme="majorBidi" w:cstheme="majorBidi"/>
          <w:sz w:val="24"/>
          <w:szCs w:val="24"/>
        </w:rPr>
        <w:t xml:space="preserve"> </w:t>
      </w:r>
    </w:p>
    <w:p w14:paraId="45348B08" w14:textId="77777777" w:rsidR="00901C44" w:rsidRDefault="00901C44" w:rsidP="00FA3FB1">
      <w:pPr>
        <w:spacing w:after="0" w:line="480" w:lineRule="auto"/>
        <w:jc w:val="both"/>
        <w:rPr>
          <w:rFonts w:ascii="Times New Roman" w:hAnsi="Times New Roman" w:cs="Times New Roman"/>
          <w:sz w:val="24"/>
          <w:szCs w:val="24"/>
        </w:rPr>
      </w:pPr>
    </w:p>
    <w:p w14:paraId="1D1E80C2" w14:textId="3783951E" w:rsidR="00AC7E0C" w:rsidRDefault="008C00F0" w:rsidP="008F6C58">
      <w:pPr>
        <w:spacing w:line="360" w:lineRule="auto"/>
        <w:jc w:val="both"/>
        <w:rPr>
          <w:rFonts w:asciiTheme="majorBidi" w:hAnsiTheme="majorBidi" w:cstheme="majorBidi"/>
          <w:sz w:val="24"/>
          <w:szCs w:val="24"/>
        </w:rPr>
      </w:pPr>
      <w:r>
        <w:rPr>
          <w:rFonts w:asciiTheme="majorBidi" w:hAnsiTheme="majorBidi" w:cstheme="majorBidi"/>
          <w:b/>
          <w:bCs/>
          <w:sz w:val="24"/>
          <w:szCs w:val="24"/>
        </w:rPr>
        <w:t>Theory, e</w:t>
      </w:r>
      <w:r w:rsidR="000A7B56">
        <w:rPr>
          <w:rFonts w:asciiTheme="majorBidi" w:hAnsiTheme="majorBidi" w:cstheme="majorBidi"/>
          <w:b/>
          <w:bCs/>
          <w:sz w:val="24"/>
          <w:szCs w:val="24"/>
        </w:rPr>
        <w:t xml:space="preserve">mpirical </w:t>
      </w:r>
      <w:proofErr w:type="gramStart"/>
      <w:r w:rsidR="000A7B56">
        <w:rPr>
          <w:rFonts w:asciiTheme="majorBidi" w:hAnsiTheme="majorBidi" w:cstheme="majorBidi"/>
          <w:b/>
          <w:bCs/>
          <w:sz w:val="24"/>
          <w:szCs w:val="24"/>
        </w:rPr>
        <w:t>studies</w:t>
      </w:r>
      <w:proofErr w:type="gramEnd"/>
      <w:r w:rsidR="000A7B56">
        <w:rPr>
          <w:rFonts w:asciiTheme="majorBidi" w:hAnsiTheme="majorBidi" w:cstheme="majorBidi"/>
          <w:b/>
          <w:bCs/>
          <w:sz w:val="24"/>
          <w:szCs w:val="24"/>
        </w:rPr>
        <w:t xml:space="preserve"> and hypotheses development</w:t>
      </w:r>
    </w:p>
    <w:p w14:paraId="07D28B1D" w14:textId="105694BE" w:rsidR="0049614A" w:rsidRDefault="0049614A" w:rsidP="006E16A1">
      <w:pPr>
        <w:spacing w:before="240" w:line="360" w:lineRule="auto"/>
        <w:jc w:val="both"/>
        <w:rPr>
          <w:rFonts w:asciiTheme="majorBidi" w:hAnsiTheme="majorBidi" w:cstheme="majorBidi"/>
          <w:b/>
          <w:bCs/>
          <w:i/>
          <w:sz w:val="24"/>
          <w:szCs w:val="24"/>
        </w:rPr>
      </w:pPr>
      <w:r>
        <w:rPr>
          <w:rFonts w:asciiTheme="majorBidi" w:hAnsiTheme="majorBidi" w:cstheme="majorBidi"/>
          <w:b/>
          <w:bCs/>
          <w:i/>
          <w:sz w:val="24"/>
          <w:szCs w:val="24"/>
        </w:rPr>
        <w:t>HEIs performance and VC pay</w:t>
      </w:r>
    </w:p>
    <w:p w14:paraId="3B7D0B44" w14:textId="7CC6E8C1" w:rsidR="007344C3" w:rsidRDefault="00013D91" w:rsidP="002327E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Theoretically, prior studies examining the link between </w:t>
      </w:r>
      <w:r w:rsidR="00835F91">
        <w:rPr>
          <w:rFonts w:asciiTheme="majorBidi" w:hAnsiTheme="majorBidi" w:cstheme="majorBidi"/>
          <w:sz w:val="24"/>
          <w:szCs w:val="24"/>
        </w:rPr>
        <w:t xml:space="preserve">an </w:t>
      </w:r>
      <w:r w:rsidR="003F266E">
        <w:rPr>
          <w:rFonts w:asciiTheme="majorBidi" w:hAnsiTheme="majorBidi" w:cstheme="majorBidi"/>
          <w:sz w:val="24"/>
          <w:szCs w:val="24"/>
        </w:rPr>
        <w:t>institution</w:t>
      </w:r>
      <w:r w:rsidR="00835F91">
        <w:rPr>
          <w:rFonts w:asciiTheme="majorBidi" w:hAnsiTheme="majorBidi" w:cstheme="majorBidi"/>
          <w:sz w:val="24"/>
          <w:szCs w:val="24"/>
        </w:rPr>
        <w:t>’s</w:t>
      </w:r>
      <w:r w:rsidR="003F266E">
        <w:rPr>
          <w:rFonts w:asciiTheme="majorBidi" w:hAnsiTheme="majorBidi" w:cstheme="majorBidi"/>
          <w:sz w:val="24"/>
          <w:szCs w:val="24"/>
        </w:rPr>
        <w:t xml:space="preserve"> top management pay</w:t>
      </w:r>
      <w:r>
        <w:rPr>
          <w:rFonts w:asciiTheme="majorBidi" w:hAnsiTheme="majorBidi" w:cstheme="majorBidi"/>
          <w:sz w:val="24"/>
          <w:szCs w:val="24"/>
        </w:rPr>
        <w:t xml:space="preserve"> </w:t>
      </w:r>
      <w:r w:rsidR="00DA548A">
        <w:rPr>
          <w:rFonts w:asciiTheme="majorBidi" w:hAnsiTheme="majorBidi" w:cstheme="majorBidi"/>
          <w:sz w:val="24"/>
          <w:szCs w:val="24"/>
        </w:rPr>
        <w:t xml:space="preserve">and performance </w:t>
      </w:r>
      <w:r>
        <w:rPr>
          <w:rFonts w:asciiTheme="majorBidi" w:hAnsiTheme="majorBidi" w:cstheme="majorBidi"/>
          <w:sz w:val="24"/>
          <w:szCs w:val="24"/>
        </w:rPr>
        <w:t xml:space="preserve">have </w:t>
      </w:r>
      <w:r w:rsidR="009C70E4">
        <w:rPr>
          <w:rFonts w:asciiTheme="majorBidi" w:hAnsiTheme="majorBidi" w:cstheme="majorBidi"/>
          <w:sz w:val="24"/>
          <w:szCs w:val="24"/>
        </w:rPr>
        <w:t>largely</w:t>
      </w:r>
      <w:r>
        <w:rPr>
          <w:rFonts w:asciiTheme="majorBidi" w:hAnsiTheme="majorBidi" w:cstheme="majorBidi"/>
          <w:sz w:val="24"/>
          <w:szCs w:val="24"/>
        </w:rPr>
        <w:t xml:space="preserve"> </w:t>
      </w:r>
      <w:r w:rsidR="009C70E4">
        <w:rPr>
          <w:rFonts w:asciiTheme="majorBidi" w:hAnsiTheme="majorBidi" w:cstheme="majorBidi"/>
          <w:sz w:val="24"/>
          <w:szCs w:val="24"/>
        </w:rPr>
        <w:t>utilised</w:t>
      </w:r>
      <w:r>
        <w:rPr>
          <w:rFonts w:asciiTheme="majorBidi" w:hAnsiTheme="majorBidi" w:cstheme="majorBidi"/>
          <w:sz w:val="24"/>
          <w:szCs w:val="24"/>
        </w:rPr>
        <w:t xml:space="preserve"> </w:t>
      </w:r>
      <w:r w:rsidR="00E14A68">
        <w:rPr>
          <w:rFonts w:asciiTheme="majorBidi" w:hAnsiTheme="majorBidi" w:cstheme="majorBidi"/>
          <w:sz w:val="24"/>
          <w:szCs w:val="24"/>
        </w:rPr>
        <w:t xml:space="preserve">two </w:t>
      </w:r>
      <w:r w:rsidR="00114E1C">
        <w:rPr>
          <w:rFonts w:asciiTheme="majorBidi" w:hAnsiTheme="majorBidi" w:cstheme="majorBidi"/>
          <w:sz w:val="24"/>
          <w:szCs w:val="24"/>
        </w:rPr>
        <w:t>theoretical perspectives: P</w:t>
      </w:r>
      <w:r w:rsidR="00587483">
        <w:rPr>
          <w:rFonts w:asciiTheme="majorBidi" w:hAnsiTheme="majorBidi" w:cstheme="majorBidi"/>
          <w:sz w:val="24"/>
          <w:szCs w:val="24"/>
        </w:rPr>
        <w:t>T</w:t>
      </w:r>
      <w:r w:rsidR="00687A5E">
        <w:rPr>
          <w:rFonts w:asciiTheme="majorBidi" w:hAnsiTheme="majorBidi" w:cstheme="majorBidi"/>
          <w:sz w:val="24"/>
          <w:szCs w:val="24"/>
        </w:rPr>
        <w:t xml:space="preserve"> and OCT</w:t>
      </w:r>
      <w:r w:rsidR="00114E1C">
        <w:rPr>
          <w:rFonts w:asciiTheme="majorBidi" w:hAnsiTheme="majorBidi" w:cstheme="majorBidi"/>
          <w:sz w:val="24"/>
          <w:szCs w:val="24"/>
        </w:rPr>
        <w:t xml:space="preserve"> </w:t>
      </w:r>
      <w:r w:rsidR="00D348E3">
        <w:rPr>
          <w:rFonts w:asciiTheme="majorBidi" w:hAnsiTheme="majorBidi" w:cstheme="majorBidi"/>
          <w:sz w:val="24"/>
          <w:szCs w:val="24"/>
        </w:rPr>
        <w:t>(</w:t>
      </w:r>
      <w:proofErr w:type="spellStart"/>
      <w:r w:rsidR="00D348E3" w:rsidRPr="00653D88">
        <w:rPr>
          <w:rFonts w:asciiTheme="majorBidi" w:hAnsiTheme="majorBidi" w:cstheme="majorBidi"/>
          <w:sz w:val="24"/>
          <w:szCs w:val="24"/>
        </w:rPr>
        <w:t>Bebchuk</w:t>
      </w:r>
      <w:proofErr w:type="spellEnd"/>
      <w:r w:rsidR="00D348E3" w:rsidRPr="00653D88">
        <w:rPr>
          <w:rFonts w:asciiTheme="majorBidi" w:hAnsiTheme="majorBidi" w:cstheme="majorBidi"/>
          <w:sz w:val="24"/>
          <w:szCs w:val="24"/>
        </w:rPr>
        <w:t xml:space="preserve"> et al., 2002; </w:t>
      </w:r>
      <w:proofErr w:type="spellStart"/>
      <w:r w:rsidR="00EC1CA4">
        <w:rPr>
          <w:rFonts w:asciiTheme="majorBidi" w:hAnsiTheme="majorBidi" w:cstheme="majorBidi"/>
          <w:sz w:val="24"/>
          <w:szCs w:val="24"/>
        </w:rPr>
        <w:t>Focke</w:t>
      </w:r>
      <w:proofErr w:type="spellEnd"/>
      <w:r w:rsidR="00EC1CA4">
        <w:rPr>
          <w:rFonts w:asciiTheme="majorBidi" w:hAnsiTheme="majorBidi" w:cstheme="majorBidi"/>
          <w:sz w:val="24"/>
          <w:szCs w:val="24"/>
        </w:rPr>
        <w:t xml:space="preserve"> et al., 2017</w:t>
      </w:r>
      <w:r w:rsidR="007B4BB5">
        <w:rPr>
          <w:rFonts w:asciiTheme="majorBidi" w:hAnsiTheme="majorBidi" w:cstheme="majorBidi"/>
          <w:sz w:val="24"/>
          <w:szCs w:val="24"/>
        </w:rPr>
        <w:t>).</w:t>
      </w:r>
      <w:r w:rsidR="00086846">
        <w:rPr>
          <w:rFonts w:asciiTheme="majorBidi" w:hAnsiTheme="majorBidi" w:cstheme="majorBidi"/>
          <w:sz w:val="24"/>
          <w:szCs w:val="24"/>
        </w:rPr>
        <w:t xml:space="preserve"> </w:t>
      </w:r>
      <w:r w:rsidR="00780E4F">
        <w:rPr>
          <w:rFonts w:asciiTheme="majorBidi" w:hAnsiTheme="majorBidi" w:cstheme="majorBidi"/>
          <w:sz w:val="24"/>
          <w:szCs w:val="24"/>
        </w:rPr>
        <w:t xml:space="preserve">PT indicates that CEOs </w:t>
      </w:r>
      <w:r w:rsidR="00221730">
        <w:rPr>
          <w:rFonts w:asciiTheme="majorBidi" w:hAnsiTheme="majorBidi" w:cstheme="majorBidi"/>
          <w:sz w:val="24"/>
          <w:szCs w:val="24"/>
        </w:rPr>
        <w:t>may sometimes be</w:t>
      </w:r>
      <w:r w:rsidR="00780E4F">
        <w:rPr>
          <w:rFonts w:asciiTheme="majorBidi" w:hAnsiTheme="majorBidi" w:cstheme="majorBidi"/>
          <w:sz w:val="24"/>
          <w:szCs w:val="24"/>
        </w:rPr>
        <w:t xml:space="preserve"> concerned with meeting </w:t>
      </w:r>
      <w:r w:rsidR="00780E4F" w:rsidRPr="00E237BC">
        <w:rPr>
          <w:rFonts w:asciiTheme="majorBidi" w:hAnsiTheme="majorBidi" w:cstheme="majorBidi"/>
          <w:sz w:val="24"/>
          <w:szCs w:val="24"/>
        </w:rPr>
        <w:t>the long-term</w:t>
      </w:r>
      <w:r w:rsidR="00320BEF">
        <w:rPr>
          <w:rFonts w:asciiTheme="majorBidi" w:hAnsiTheme="majorBidi" w:cstheme="majorBidi"/>
          <w:sz w:val="24"/>
          <w:szCs w:val="24"/>
        </w:rPr>
        <w:t xml:space="preserve"> social</w:t>
      </w:r>
      <w:r w:rsidR="00780E4F" w:rsidRPr="00E237BC">
        <w:rPr>
          <w:rFonts w:asciiTheme="majorBidi" w:hAnsiTheme="majorBidi" w:cstheme="majorBidi"/>
          <w:sz w:val="24"/>
          <w:szCs w:val="24"/>
        </w:rPr>
        <w:t xml:space="preserve"> interests of stakeholders</w:t>
      </w:r>
      <w:r w:rsidR="00780E4F">
        <w:rPr>
          <w:rFonts w:asciiTheme="majorBidi" w:hAnsiTheme="majorBidi" w:cstheme="majorBidi"/>
          <w:sz w:val="24"/>
          <w:szCs w:val="24"/>
        </w:rPr>
        <w:t xml:space="preserve"> </w:t>
      </w:r>
      <w:proofErr w:type="gramStart"/>
      <w:r w:rsidR="00780E4F" w:rsidRPr="00E237BC">
        <w:rPr>
          <w:rFonts w:asciiTheme="majorBidi" w:hAnsiTheme="majorBidi" w:cstheme="majorBidi"/>
          <w:sz w:val="24"/>
          <w:szCs w:val="24"/>
        </w:rPr>
        <w:t>in order to</w:t>
      </w:r>
      <w:proofErr w:type="gramEnd"/>
      <w:r w:rsidR="00780E4F" w:rsidRPr="00E237BC">
        <w:rPr>
          <w:rFonts w:asciiTheme="majorBidi" w:hAnsiTheme="majorBidi" w:cstheme="majorBidi"/>
          <w:sz w:val="24"/>
          <w:szCs w:val="24"/>
        </w:rPr>
        <w:t xml:space="preserve"> boost their social status and </w:t>
      </w:r>
      <w:r w:rsidR="00221730">
        <w:rPr>
          <w:rFonts w:asciiTheme="majorBidi" w:hAnsiTheme="majorBidi" w:cstheme="majorBidi"/>
          <w:sz w:val="24"/>
          <w:szCs w:val="24"/>
        </w:rPr>
        <w:t xml:space="preserve">future </w:t>
      </w:r>
      <w:r w:rsidR="00780E4F" w:rsidRPr="00E237BC">
        <w:rPr>
          <w:rFonts w:asciiTheme="majorBidi" w:hAnsiTheme="majorBidi" w:cstheme="majorBidi"/>
          <w:sz w:val="24"/>
          <w:szCs w:val="24"/>
        </w:rPr>
        <w:t>job prospects in the labour market</w:t>
      </w:r>
      <w:r w:rsidR="00780E4F">
        <w:rPr>
          <w:rFonts w:asciiTheme="majorBidi" w:hAnsiTheme="majorBidi" w:cstheme="majorBidi"/>
          <w:sz w:val="24"/>
          <w:szCs w:val="24"/>
        </w:rPr>
        <w:t xml:space="preserve"> </w:t>
      </w:r>
      <w:r w:rsidR="00780E4F" w:rsidRPr="00E237BC">
        <w:rPr>
          <w:rFonts w:asciiTheme="majorBidi" w:hAnsiTheme="majorBidi" w:cstheme="majorBidi"/>
          <w:sz w:val="24"/>
          <w:szCs w:val="24"/>
        </w:rPr>
        <w:t>(Magnusson, 2016).</w:t>
      </w:r>
      <w:r w:rsidR="00780E4F">
        <w:rPr>
          <w:rFonts w:asciiTheme="majorBidi" w:hAnsiTheme="majorBidi" w:cstheme="majorBidi"/>
          <w:sz w:val="24"/>
          <w:szCs w:val="24"/>
        </w:rPr>
        <w:t xml:space="preserve"> </w:t>
      </w:r>
      <w:r w:rsidR="0022327F">
        <w:rPr>
          <w:rFonts w:ascii="Times New Roman" w:hAnsi="Times New Roman" w:cs="Times New Roman"/>
          <w:color w:val="222222"/>
          <w:sz w:val="24"/>
          <w:szCs w:val="24"/>
          <w:shd w:val="clear" w:color="auto" w:fill="FFFFFF"/>
        </w:rPr>
        <w:t xml:space="preserve">Further, PT </w:t>
      </w:r>
      <w:r w:rsidR="0022327F">
        <w:rPr>
          <w:rFonts w:ascii="Times New Roman" w:hAnsi="Times New Roman" w:cs="Times New Roman"/>
          <w:color w:val="222222"/>
          <w:sz w:val="24"/>
          <w:szCs w:val="24"/>
          <w:shd w:val="clear" w:color="auto" w:fill="FFFFFF"/>
        </w:rPr>
        <w:lastRenderedPageBreak/>
        <w:t>(</w:t>
      </w:r>
      <w:proofErr w:type="spellStart"/>
      <w:r w:rsidR="00416244" w:rsidRPr="00E237BC">
        <w:rPr>
          <w:rFonts w:asciiTheme="majorBidi" w:hAnsiTheme="majorBidi" w:cstheme="majorBidi"/>
          <w:sz w:val="24"/>
          <w:szCs w:val="24"/>
        </w:rPr>
        <w:t>Focke</w:t>
      </w:r>
      <w:proofErr w:type="spellEnd"/>
      <w:r w:rsidR="00416244" w:rsidRPr="00E237BC">
        <w:rPr>
          <w:rFonts w:asciiTheme="majorBidi" w:hAnsiTheme="majorBidi" w:cstheme="majorBidi"/>
          <w:sz w:val="24"/>
          <w:szCs w:val="24"/>
        </w:rPr>
        <w:t xml:space="preserve"> et al., 2017</w:t>
      </w:r>
      <w:r w:rsidR="00416244">
        <w:rPr>
          <w:rFonts w:asciiTheme="majorBidi" w:hAnsiTheme="majorBidi" w:cstheme="majorBidi"/>
          <w:sz w:val="24"/>
          <w:szCs w:val="24"/>
        </w:rPr>
        <w:t xml:space="preserve">) suggests that </w:t>
      </w:r>
      <w:r w:rsidR="00416244" w:rsidRPr="00E237BC">
        <w:rPr>
          <w:rFonts w:asciiTheme="majorBidi" w:hAnsiTheme="majorBidi" w:cstheme="majorBidi"/>
          <w:sz w:val="24"/>
          <w:szCs w:val="24"/>
        </w:rPr>
        <w:t xml:space="preserve">socially/community-oriented institutions are often more concerned about promoting good </w:t>
      </w:r>
      <w:r w:rsidR="00320BEF">
        <w:rPr>
          <w:rFonts w:asciiTheme="majorBidi" w:hAnsiTheme="majorBidi" w:cstheme="majorBidi"/>
          <w:sz w:val="24"/>
          <w:szCs w:val="24"/>
        </w:rPr>
        <w:t xml:space="preserve">social </w:t>
      </w:r>
      <w:r w:rsidR="00416244" w:rsidRPr="00E237BC">
        <w:rPr>
          <w:rFonts w:asciiTheme="majorBidi" w:hAnsiTheme="majorBidi" w:cstheme="majorBidi"/>
          <w:sz w:val="24"/>
          <w:szCs w:val="24"/>
        </w:rPr>
        <w:t xml:space="preserve">relations and networks with </w:t>
      </w:r>
      <w:r w:rsidR="002378E3">
        <w:rPr>
          <w:rFonts w:asciiTheme="majorBidi" w:hAnsiTheme="majorBidi" w:cstheme="majorBidi"/>
          <w:sz w:val="24"/>
          <w:szCs w:val="24"/>
        </w:rPr>
        <w:t xml:space="preserve">the </w:t>
      </w:r>
      <w:r w:rsidR="00416244" w:rsidRPr="00E237BC">
        <w:rPr>
          <w:rFonts w:asciiTheme="majorBidi" w:hAnsiTheme="majorBidi" w:cstheme="majorBidi"/>
          <w:sz w:val="24"/>
          <w:szCs w:val="24"/>
        </w:rPr>
        <w:t xml:space="preserve">various groups of stakeholders </w:t>
      </w:r>
      <w:proofErr w:type="gramStart"/>
      <w:r w:rsidR="00416244" w:rsidRPr="00E237BC">
        <w:rPr>
          <w:rFonts w:asciiTheme="majorBidi" w:hAnsiTheme="majorBidi" w:cstheme="majorBidi"/>
          <w:sz w:val="24"/>
          <w:szCs w:val="24"/>
        </w:rPr>
        <w:t>in order to</w:t>
      </w:r>
      <w:proofErr w:type="gramEnd"/>
      <w:r w:rsidR="00416244" w:rsidRPr="00E237BC">
        <w:rPr>
          <w:rFonts w:asciiTheme="majorBidi" w:hAnsiTheme="majorBidi" w:cstheme="majorBidi"/>
          <w:sz w:val="24"/>
          <w:szCs w:val="24"/>
        </w:rPr>
        <w:t xml:space="preserve"> improve their</w:t>
      </w:r>
      <w:r w:rsidR="004F3C3F">
        <w:rPr>
          <w:rFonts w:asciiTheme="majorBidi" w:hAnsiTheme="majorBidi" w:cstheme="majorBidi"/>
          <w:sz w:val="24"/>
          <w:szCs w:val="24"/>
        </w:rPr>
        <w:t xml:space="preserve"> current and future</w:t>
      </w:r>
      <w:r w:rsidR="00416244" w:rsidRPr="00E237BC">
        <w:rPr>
          <w:rFonts w:asciiTheme="majorBidi" w:hAnsiTheme="majorBidi" w:cstheme="majorBidi"/>
          <w:sz w:val="24"/>
          <w:szCs w:val="24"/>
        </w:rPr>
        <w:t xml:space="preserve"> reputation. This implies that HEIs that focus on </w:t>
      </w:r>
      <w:r w:rsidR="00416244">
        <w:rPr>
          <w:rFonts w:asciiTheme="majorBidi" w:hAnsiTheme="majorBidi" w:cstheme="majorBidi"/>
          <w:sz w:val="24"/>
          <w:szCs w:val="24"/>
        </w:rPr>
        <w:t>pursing the long-term interests of stakeholders</w:t>
      </w:r>
      <w:r w:rsidR="00416244" w:rsidRPr="00E237BC">
        <w:rPr>
          <w:rFonts w:asciiTheme="majorBidi" w:hAnsiTheme="majorBidi" w:cstheme="majorBidi"/>
          <w:sz w:val="24"/>
          <w:szCs w:val="24"/>
        </w:rPr>
        <w:t xml:space="preserve"> are </w:t>
      </w:r>
      <w:r w:rsidR="0029721B">
        <w:rPr>
          <w:rFonts w:asciiTheme="majorBidi" w:hAnsiTheme="majorBidi" w:cstheme="majorBidi"/>
          <w:sz w:val="24"/>
          <w:szCs w:val="24"/>
        </w:rPr>
        <w:t xml:space="preserve">more </w:t>
      </w:r>
      <w:r w:rsidR="00416244" w:rsidRPr="00E237BC">
        <w:rPr>
          <w:rFonts w:asciiTheme="majorBidi" w:hAnsiTheme="majorBidi" w:cstheme="majorBidi"/>
          <w:sz w:val="24"/>
          <w:szCs w:val="24"/>
        </w:rPr>
        <w:t>likely to pay their VCs low pay packages, since committing to such performance targets can be costly in terms of investment</w:t>
      </w:r>
      <w:r w:rsidR="0029721B">
        <w:rPr>
          <w:rFonts w:asciiTheme="majorBidi" w:hAnsiTheme="majorBidi" w:cstheme="majorBidi"/>
          <w:sz w:val="24"/>
          <w:szCs w:val="24"/>
        </w:rPr>
        <w:t xml:space="preserve">, as well as </w:t>
      </w:r>
      <w:r w:rsidR="00416244" w:rsidRPr="00E237BC">
        <w:rPr>
          <w:rFonts w:asciiTheme="majorBidi" w:hAnsiTheme="majorBidi" w:cstheme="majorBidi"/>
          <w:sz w:val="24"/>
          <w:szCs w:val="24"/>
        </w:rPr>
        <w:t xml:space="preserve">take </w:t>
      </w:r>
      <w:r w:rsidR="0029721B">
        <w:rPr>
          <w:rFonts w:asciiTheme="majorBidi" w:hAnsiTheme="majorBidi" w:cstheme="majorBidi"/>
          <w:sz w:val="24"/>
          <w:szCs w:val="24"/>
        </w:rPr>
        <w:t xml:space="preserve">comparatively </w:t>
      </w:r>
      <w:r w:rsidR="00416244" w:rsidRPr="00E237BC">
        <w:rPr>
          <w:rFonts w:asciiTheme="majorBidi" w:hAnsiTheme="majorBidi" w:cstheme="majorBidi"/>
          <w:sz w:val="24"/>
          <w:szCs w:val="24"/>
        </w:rPr>
        <w:t>long</w:t>
      </w:r>
      <w:r w:rsidR="0029721B">
        <w:rPr>
          <w:rFonts w:asciiTheme="majorBidi" w:hAnsiTheme="majorBidi" w:cstheme="majorBidi"/>
          <w:sz w:val="24"/>
          <w:szCs w:val="24"/>
        </w:rPr>
        <w:t>er time</w:t>
      </w:r>
      <w:r w:rsidR="00416244" w:rsidRPr="00E237BC">
        <w:rPr>
          <w:rFonts w:asciiTheme="majorBidi" w:hAnsiTheme="majorBidi" w:cstheme="majorBidi"/>
          <w:sz w:val="24"/>
          <w:szCs w:val="24"/>
        </w:rPr>
        <w:t xml:space="preserve"> to impact on </w:t>
      </w:r>
      <w:r w:rsidR="00752AA9">
        <w:rPr>
          <w:rFonts w:asciiTheme="majorBidi" w:hAnsiTheme="majorBidi" w:cstheme="majorBidi"/>
          <w:sz w:val="24"/>
          <w:szCs w:val="24"/>
        </w:rPr>
        <w:t>long</w:t>
      </w:r>
      <w:r w:rsidR="007344C3">
        <w:rPr>
          <w:rFonts w:asciiTheme="majorBidi" w:hAnsiTheme="majorBidi" w:cstheme="majorBidi"/>
          <w:sz w:val="24"/>
          <w:szCs w:val="24"/>
        </w:rPr>
        <w:t xml:space="preserve">-term </w:t>
      </w:r>
      <w:r w:rsidR="00333A2E">
        <w:rPr>
          <w:rFonts w:asciiTheme="majorBidi" w:hAnsiTheme="majorBidi" w:cstheme="majorBidi"/>
          <w:sz w:val="24"/>
          <w:szCs w:val="24"/>
        </w:rPr>
        <w:t xml:space="preserve">social </w:t>
      </w:r>
      <w:r w:rsidR="00416244" w:rsidRPr="00E237BC">
        <w:rPr>
          <w:rFonts w:asciiTheme="majorBidi" w:hAnsiTheme="majorBidi" w:cstheme="majorBidi"/>
          <w:sz w:val="24"/>
          <w:szCs w:val="24"/>
        </w:rPr>
        <w:t>performance (McGuire et al., 2003).</w:t>
      </w:r>
      <w:r w:rsidR="00416244">
        <w:rPr>
          <w:rFonts w:asciiTheme="majorBidi" w:hAnsiTheme="majorBidi" w:cstheme="majorBidi"/>
          <w:sz w:val="24"/>
          <w:szCs w:val="24"/>
        </w:rPr>
        <w:t xml:space="preserve"> In this case, PT </w:t>
      </w:r>
      <w:r w:rsidR="00416244" w:rsidRPr="00416244">
        <w:rPr>
          <w:rFonts w:asciiTheme="majorBidi" w:hAnsiTheme="majorBidi" w:cstheme="majorBidi"/>
          <w:sz w:val="24"/>
          <w:szCs w:val="24"/>
        </w:rPr>
        <w:t>predicts that HEIs that prioritise</w:t>
      </w:r>
      <w:r w:rsidR="00817FAB">
        <w:rPr>
          <w:rFonts w:asciiTheme="majorBidi" w:hAnsiTheme="majorBidi" w:cstheme="majorBidi"/>
          <w:sz w:val="24"/>
          <w:szCs w:val="24"/>
        </w:rPr>
        <w:t xml:space="preserve"> meeting</w:t>
      </w:r>
      <w:r w:rsidR="00416244" w:rsidRPr="00416244">
        <w:rPr>
          <w:rFonts w:asciiTheme="majorBidi" w:hAnsiTheme="majorBidi" w:cstheme="majorBidi"/>
          <w:sz w:val="24"/>
          <w:szCs w:val="24"/>
        </w:rPr>
        <w:t xml:space="preserve"> long-term </w:t>
      </w:r>
      <w:r w:rsidR="00320BEF">
        <w:rPr>
          <w:rFonts w:asciiTheme="majorBidi" w:hAnsiTheme="majorBidi" w:cstheme="majorBidi"/>
          <w:sz w:val="24"/>
          <w:szCs w:val="24"/>
        </w:rPr>
        <w:t xml:space="preserve">social </w:t>
      </w:r>
      <w:r w:rsidR="00416244" w:rsidRPr="00416244">
        <w:rPr>
          <w:rFonts w:asciiTheme="majorBidi" w:hAnsiTheme="majorBidi" w:cstheme="majorBidi"/>
          <w:sz w:val="24"/>
          <w:szCs w:val="24"/>
        </w:rPr>
        <w:t xml:space="preserve">performance </w:t>
      </w:r>
      <w:r w:rsidR="00817FAB">
        <w:rPr>
          <w:rFonts w:asciiTheme="majorBidi" w:hAnsiTheme="majorBidi" w:cstheme="majorBidi"/>
          <w:sz w:val="24"/>
          <w:szCs w:val="24"/>
        </w:rPr>
        <w:t xml:space="preserve">targets are more likely </w:t>
      </w:r>
      <w:r w:rsidR="00416244" w:rsidRPr="00416244">
        <w:rPr>
          <w:rFonts w:asciiTheme="majorBidi" w:hAnsiTheme="majorBidi" w:cstheme="majorBidi"/>
          <w:sz w:val="24"/>
          <w:szCs w:val="24"/>
        </w:rPr>
        <w:t>to pay their VCs low pay packages</w:t>
      </w:r>
      <w:r w:rsidR="00416244">
        <w:rPr>
          <w:rFonts w:asciiTheme="majorBidi" w:hAnsiTheme="majorBidi" w:cstheme="majorBidi"/>
          <w:sz w:val="24"/>
          <w:szCs w:val="24"/>
        </w:rPr>
        <w:t xml:space="preserve">. </w:t>
      </w:r>
    </w:p>
    <w:p w14:paraId="4ED68E2E" w14:textId="5C1D50C6" w:rsidR="004160D1" w:rsidRPr="00DE3411" w:rsidRDefault="00550EEE" w:rsidP="002327E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Empirically, although </w:t>
      </w:r>
      <w:r w:rsidR="006A3268">
        <w:rPr>
          <w:rFonts w:asciiTheme="majorBidi" w:hAnsiTheme="majorBidi" w:cstheme="majorBidi"/>
          <w:sz w:val="24"/>
          <w:szCs w:val="24"/>
        </w:rPr>
        <w:t>VC pay has increasingly becom</w:t>
      </w:r>
      <w:r w:rsidR="001F4D57">
        <w:rPr>
          <w:rFonts w:asciiTheme="majorBidi" w:hAnsiTheme="majorBidi" w:cstheme="majorBidi"/>
          <w:sz w:val="24"/>
          <w:szCs w:val="24"/>
        </w:rPr>
        <w:t>e</w:t>
      </w:r>
      <w:r w:rsidR="006A3268">
        <w:rPr>
          <w:rFonts w:asciiTheme="majorBidi" w:hAnsiTheme="majorBidi" w:cstheme="majorBidi"/>
          <w:sz w:val="24"/>
          <w:szCs w:val="24"/>
        </w:rPr>
        <w:t xml:space="preserve"> controversial</w:t>
      </w:r>
      <w:r w:rsidR="0064525B">
        <w:rPr>
          <w:rFonts w:asciiTheme="majorBidi" w:hAnsiTheme="majorBidi" w:cstheme="majorBidi"/>
          <w:sz w:val="24"/>
          <w:szCs w:val="24"/>
        </w:rPr>
        <w:t>/</w:t>
      </w:r>
      <w:r w:rsidR="001F4D57">
        <w:rPr>
          <w:rFonts w:asciiTheme="majorBidi" w:hAnsiTheme="majorBidi" w:cstheme="majorBidi"/>
          <w:sz w:val="24"/>
          <w:szCs w:val="24"/>
        </w:rPr>
        <w:t xml:space="preserve">debatable with considerable </w:t>
      </w:r>
      <w:proofErr w:type="gramStart"/>
      <w:r w:rsidR="001F4D57">
        <w:rPr>
          <w:rFonts w:asciiTheme="majorBidi" w:hAnsiTheme="majorBidi" w:cstheme="majorBidi"/>
          <w:sz w:val="24"/>
          <w:szCs w:val="24"/>
        </w:rPr>
        <w:t>amount</w:t>
      </w:r>
      <w:proofErr w:type="gramEnd"/>
      <w:r w:rsidR="001F4D57">
        <w:rPr>
          <w:rFonts w:asciiTheme="majorBidi" w:hAnsiTheme="majorBidi" w:cstheme="majorBidi"/>
          <w:sz w:val="24"/>
          <w:szCs w:val="24"/>
        </w:rPr>
        <w:t xml:space="preserve"> of anecdotal evidence</w:t>
      </w:r>
      <w:r w:rsidR="0064525B">
        <w:rPr>
          <w:rFonts w:asciiTheme="majorBidi" w:hAnsiTheme="majorBidi" w:cstheme="majorBidi"/>
          <w:sz w:val="24"/>
          <w:szCs w:val="24"/>
        </w:rPr>
        <w:t>/</w:t>
      </w:r>
      <w:r w:rsidR="006A3268">
        <w:rPr>
          <w:rFonts w:asciiTheme="majorBidi" w:hAnsiTheme="majorBidi" w:cstheme="majorBidi"/>
          <w:sz w:val="24"/>
          <w:szCs w:val="24"/>
        </w:rPr>
        <w:t>suggest</w:t>
      </w:r>
      <w:r w:rsidR="009D548B">
        <w:rPr>
          <w:rFonts w:asciiTheme="majorBidi" w:hAnsiTheme="majorBidi" w:cstheme="majorBidi"/>
          <w:sz w:val="24"/>
          <w:szCs w:val="24"/>
        </w:rPr>
        <w:t>ion</w:t>
      </w:r>
      <w:r w:rsidR="001F4D57">
        <w:rPr>
          <w:rFonts w:asciiTheme="majorBidi" w:hAnsiTheme="majorBidi" w:cstheme="majorBidi"/>
          <w:sz w:val="24"/>
          <w:szCs w:val="24"/>
        </w:rPr>
        <w:t>s</w:t>
      </w:r>
      <w:r w:rsidR="009D548B">
        <w:rPr>
          <w:rFonts w:asciiTheme="majorBidi" w:hAnsiTheme="majorBidi" w:cstheme="majorBidi"/>
          <w:sz w:val="24"/>
          <w:szCs w:val="24"/>
        </w:rPr>
        <w:t xml:space="preserve"> indicating</w:t>
      </w:r>
      <w:r w:rsidR="006A3268">
        <w:rPr>
          <w:rFonts w:asciiTheme="majorBidi" w:hAnsiTheme="majorBidi" w:cstheme="majorBidi"/>
          <w:sz w:val="24"/>
          <w:szCs w:val="24"/>
        </w:rPr>
        <w:t xml:space="preserve"> that VC</w:t>
      </w:r>
      <w:r w:rsidR="002A52AA">
        <w:rPr>
          <w:rFonts w:asciiTheme="majorBidi" w:hAnsiTheme="majorBidi" w:cstheme="majorBidi"/>
          <w:sz w:val="24"/>
          <w:szCs w:val="24"/>
        </w:rPr>
        <w:t>s</w:t>
      </w:r>
      <w:r w:rsidR="006A3268">
        <w:rPr>
          <w:rFonts w:asciiTheme="majorBidi" w:hAnsiTheme="majorBidi" w:cstheme="majorBidi"/>
          <w:sz w:val="24"/>
          <w:szCs w:val="24"/>
        </w:rPr>
        <w:t xml:space="preserve"> </w:t>
      </w:r>
      <w:r w:rsidR="00824003">
        <w:rPr>
          <w:rFonts w:asciiTheme="majorBidi" w:hAnsiTheme="majorBidi" w:cstheme="majorBidi"/>
          <w:sz w:val="24"/>
          <w:szCs w:val="24"/>
        </w:rPr>
        <w:t xml:space="preserve">may be </w:t>
      </w:r>
      <w:r w:rsidR="006A3268">
        <w:rPr>
          <w:rFonts w:asciiTheme="majorBidi" w:hAnsiTheme="majorBidi" w:cstheme="majorBidi"/>
          <w:sz w:val="24"/>
          <w:szCs w:val="24"/>
        </w:rPr>
        <w:t>receiv</w:t>
      </w:r>
      <w:r w:rsidR="00824003">
        <w:rPr>
          <w:rFonts w:asciiTheme="majorBidi" w:hAnsiTheme="majorBidi" w:cstheme="majorBidi"/>
          <w:sz w:val="24"/>
          <w:szCs w:val="24"/>
        </w:rPr>
        <w:t>ing</w:t>
      </w:r>
      <w:r w:rsidR="006A3268">
        <w:rPr>
          <w:rFonts w:asciiTheme="majorBidi" w:hAnsiTheme="majorBidi" w:cstheme="majorBidi"/>
          <w:sz w:val="24"/>
          <w:szCs w:val="24"/>
        </w:rPr>
        <w:t xml:space="preserve"> unjustifiabl</w:t>
      </w:r>
      <w:r w:rsidR="00400034">
        <w:rPr>
          <w:rFonts w:asciiTheme="majorBidi" w:hAnsiTheme="majorBidi" w:cstheme="majorBidi"/>
          <w:sz w:val="24"/>
          <w:szCs w:val="24"/>
        </w:rPr>
        <w:t>y high</w:t>
      </w:r>
      <w:r w:rsidR="006A3268">
        <w:rPr>
          <w:rFonts w:asciiTheme="majorBidi" w:hAnsiTheme="majorBidi" w:cstheme="majorBidi"/>
          <w:sz w:val="24"/>
          <w:szCs w:val="24"/>
        </w:rPr>
        <w:t xml:space="preserve"> pay packages</w:t>
      </w:r>
      <w:r w:rsidR="009D548B">
        <w:rPr>
          <w:rFonts w:asciiTheme="majorBidi" w:hAnsiTheme="majorBidi" w:cstheme="majorBidi"/>
          <w:sz w:val="24"/>
          <w:szCs w:val="24"/>
        </w:rPr>
        <w:t xml:space="preserve"> </w:t>
      </w:r>
      <w:r w:rsidR="001F4D57">
        <w:rPr>
          <w:rFonts w:asciiTheme="majorBidi" w:hAnsiTheme="majorBidi" w:cstheme="majorBidi"/>
          <w:sz w:val="24"/>
          <w:szCs w:val="24"/>
        </w:rPr>
        <w:t xml:space="preserve">that </w:t>
      </w:r>
      <w:r w:rsidR="00400034">
        <w:rPr>
          <w:rFonts w:asciiTheme="majorBidi" w:hAnsiTheme="majorBidi" w:cstheme="majorBidi"/>
          <w:sz w:val="24"/>
          <w:szCs w:val="24"/>
        </w:rPr>
        <w:t>may</w:t>
      </w:r>
      <w:r w:rsidR="001F4D57">
        <w:rPr>
          <w:rFonts w:asciiTheme="majorBidi" w:hAnsiTheme="majorBidi" w:cstheme="majorBidi"/>
          <w:sz w:val="24"/>
          <w:szCs w:val="24"/>
        </w:rPr>
        <w:t xml:space="preserve"> not </w:t>
      </w:r>
      <w:r w:rsidR="006F5CD9">
        <w:rPr>
          <w:rFonts w:asciiTheme="majorBidi" w:hAnsiTheme="majorBidi" w:cstheme="majorBidi"/>
          <w:sz w:val="24"/>
          <w:szCs w:val="24"/>
        </w:rPr>
        <w:t xml:space="preserve">usually </w:t>
      </w:r>
      <w:r w:rsidR="00400034">
        <w:rPr>
          <w:rFonts w:asciiTheme="majorBidi" w:hAnsiTheme="majorBidi" w:cstheme="majorBidi"/>
          <w:sz w:val="24"/>
          <w:szCs w:val="24"/>
        </w:rPr>
        <w:t xml:space="preserve">be </w:t>
      </w:r>
      <w:r w:rsidR="001F4D57">
        <w:rPr>
          <w:rFonts w:asciiTheme="majorBidi" w:hAnsiTheme="majorBidi" w:cstheme="majorBidi"/>
          <w:sz w:val="24"/>
          <w:szCs w:val="24"/>
        </w:rPr>
        <w:t>linked to</w:t>
      </w:r>
      <w:r w:rsidR="001B79CA">
        <w:rPr>
          <w:rFonts w:asciiTheme="majorBidi" w:hAnsiTheme="majorBidi" w:cstheme="majorBidi"/>
          <w:sz w:val="24"/>
          <w:szCs w:val="24"/>
        </w:rPr>
        <w:t xml:space="preserve"> </w:t>
      </w:r>
      <w:r w:rsidR="0077153E">
        <w:rPr>
          <w:rFonts w:asciiTheme="majorBidi" w:hAnsiTheme="majorBidi" w:cstheme="majorBidi"/>
          <w:sz w:val="24"/>
          <w:szCs w:val="24"/>
        </w:rPr>
        <w:t>the</w:t>
      </w:r>
      <w:r w:rsidR="001F4D57">
        <w:rPr>
          <w:rFonts w:asciiTheme="majorBidi" w:hAnsiTheme="majorBidi" w:cstheme="majorBidi"/>
          <w:sz w:val="24"/>
          <w:szCs w:val="24"/>
        </w:rPr>
        <w:t xml:space="preserve"> long-term performance of their institutions </w:t>
      </w:r>
      <w:r w:rsidR="009D548B">
        <w:rPr>
          <w:rFonts w:asciiTheme="majorBidi" w:hAnsiTheme="majorBidi" w:cstheme="majorBidi"/>
          <w:sz w:val="24"/>
          <w:szCs w:val="24"/>
        </w:rPr>
        <w:t>(</w:t>
      </w:r>
      <w:r w:rsidR="00CF627B" w:rsidRPr="00661497">
        <w:rPr>
          <w:rFonts w:asciiTheme="majorBidi" w:hAnsiTheme="majorBidi" w:cstheme="majorBidi"/>
          <w:sz w:val="24"/>
          <w:szCs w:val="24"/>
        </w:rPr>
        <w:t>Grove, 2018</w:t>
      </w:r>
      <w:r w:rsidR="009D548B">
        <w:rPr>
          <w:rFonts w:asciiTheme="majorBidi" w:hAnsiTheme="majorBidi" w:cstheme="majorBidi"/>
          <w:sz w:val="24"/>
          <w:szCs w:val="24"/>
        </w:rPr>
        <w:t>)</w:t>
      </w:r>
      <w:r>
        <w:rPr>
          <w:rFonts w:asciiTheme="majorBidi" w:hAnsiTheme="majorBidi" w:cstheme="majorBidi"/>
          <w:sz w:val="24"/>
          <w:szCs w:val="24"/>
        </w:rPr>
        <w:t xml:space="preserve">, </w:t>
      </w:r>
      <w:r w:rsidR="00625706">
        <w:rPr>
          <w:rFonts w:asciiTheme="majorBidi" w:hAnsiTheme="majorBidi" w:cstheme="majorBidi"/>
          <w:sz w:val="24"/>
          <w:szCs w:val="24"/>
        </w:rPr>
        <w:t>none of the existing studies have examined the link between HEIs’ long</w:t>
      </w:r>
      <w:r w:rsidR="00536832">
        <w:rPr>
          <w:rFonts w:asciiTheme="majorBidi" w:hAnsiTheme="majorBidi" w:cstheme="majorBidi"/>
          <w:sz w:val="24"/>
          <w:szCs w:val="24"/>
        </w:rPr>
        <w:t>-</w:t>
      </w:r>
      <w:r w:rsidR="00625706">
        <w:rPr>
          <w:rFonts w:asciiTheme="majorBidi" w:hAnsiTheme="majorBidi" w:cstheme="majorBidi"/>
          <w:sz w:val="24"/>
          <w:szCs w:val="24"/>
        </w:rPr>
        <w:t xml:space="preserve">term </w:t>
      </w:r>
      <w:r w:rsidR="00333A2E">
        <w:rPr>
          <w:rFonts w:asciiTheme="majorBidi" w:hAnsiTheme="majorBidi" w:cstheme="majorBidi"/>
          <w:sz w:val="24"/>
          <w:szCs w:val="24"/>
        </w:rPr>
        <w:t xml:space="preserve">social </w:t>
      </w:r>
      <w:r w:rsidR="00625706">
        <w:rPr>
          <w:rFonts w:asciiTheme="majorBidi" w:hAnsiTheme="majorBidi" w:cstheme="majorBidi"/>
          <w:sz w:val="24"/>
          <w:szCs w:val="24"/>
        </w:rPr>
        <w:t>performance and VC pay</w:t>
      </w:r>
      <w:r w:rsidR="00C735F6">
        <w:rPr>
          <w:rFonts w:asciiTheme="majorBidi" w:hAnsiTheme="majorBidi" w:cstheme="majorBidi"/>
          <w:sz w:val="24"/>
          <w:szCs w:val="24"/>
        </w:rPr>
        <w:t xml:space="preserve">. </w:t>
      </w:r>
      <w:r w:rsidR="00C735F6" w:rsidRPr="00F3124A">
        <w:rPr>
          <w:rFonts w:ascii="Times New Roman" w:hAnsi="Times New Roman" w:cs="Times New Roman"/>
          <w:sz w:val="24"/>
          <w:szCs w:val="24"/>
        </w:rPr>
        <w:t>This offers an opportunity to contribute to the extant literature in this area of research</w:t>
      </w:r>
      <w:r w:rsidR="00C735F6">
        <w:rPr>
          <w:rFonts w:ascii="Times New Roman" w:hAnsi="Times New Roman" w:cs="Times New Roman"/>
          <w:sz w:val="24"/>
          <w:szCs w:val="24"/>
        </w:rPr>
        <w:t>.</w:t>
      </w:r>
      <w:r w:rsidR="006A3268">
        <w:rPr>
          <w:rFonts w:asciiTheme="majorBidi" w:hAnsiTheme="majorBidi" w:cstheme="majorBidi"/>
          <w:sz w:val="24"/>
          <w:szCs w:val="24"/>
        </w:rPr>
        <w:t xml:space="preserve"> </w:t>
      </w:r>
      <w:r w:rsidR="00E21102">
        <w:rPr>
          <w:rFonts w:asciiTheme="majorBidi" w:hAnsiTheme="majorBidi" w:cstheme="majorBidi"/>
          <w:sz w:val="24"/>
          <w:szCs w:val="24"/>
        </w:rPr>
        <w:t xml:space="preserve"> </w:t>
      </w:r>
      <w:r w:rsidR="005D5D0E">
        <w:rPr>
          <w:rFonts w:asciiTheme="majorBidi" w:hAnsiTheme="majorBidi" w:cstheme="majorBidi"/>
          <w:sz w:val="24"/>
          <w:szCs w:val="24"/>
        </w:rPr>
        <w:t>For example</w:t>
      </w:r>
      <w:r w:rsidR="00DD6A57">
        <w:rPr>
          <w:rFonts w:asciiTheme="majorBidi" w:hAnsiTheme="majorBidi" w:cstheme="majorBidi"/>
          <w:sz w:val="24"/>
          <w:szCs w:val="24"/>
        </w:rPr>
        <w:t>,</w:t>
      </w:r>
      <w:r w:rsidR="005D5D0E">
        <w:rPr>
          <w:rFonts w:asciiTheme="majorBidi" w:hAnsiTheme="majorBidi" w:cstheme="majorBidi"/>
          <w:sz w:val="24"/>
          <w:szCs w:val="24"/>
        </w:rPr>
        <w:t xml:space="preserve"> </w:t>
      </w:r>
      <w:r w:rsidR="00687A5E">
        <w:rPr>
          <w:rFonts w:asciiTheme="majorBidi" w:hAnsiTheme="majorBidi" w:cstheme="majorBidi"/>
          <w:sz w:val="24"/>
          <w:szCs w:val="24"/>
        </w:rPr>
        <w:t xml:space="preserve">and </w:t>
      </w:r>
      <w:r w:rsidR="005D5D0E" w:rsidRPr="00F81159">
        <w:rPr>
          <w:rFonts w:asciiTheme="majorBidi" w:hAnsiTheme="majorBidi" w:cstheme="majorBidi"/>
          <w:sz w:val="24"/>
          <w:szCs w:val="24"/>
        </w:rPr>
        <w:t xml:space="preserve">consistent with past </w:t>
      </w:r>
      <w:r w:rsidR="00A960F4">
        <w:rPr>
          <w:rFonts w:asciiTheme="majorBidi" w:hAnsiTheme="majorBidi" w:cstheme="majorBidi"/>
          <w:sz w:val="24"/>
          <w:szCs w:val="24"/>
        </w:rPr>
        <w:t>evidence</w:t>
      </w:r>
      <w:r w:rsidR="005D5D0E" w:rsidRPr="00F81159">
        <w:rPr>
          <w:rFonts w:asciiTheme="majorBidi" w:hAnsiTheme="majorBidi" w:cstheme="majorBidi"/>
          <w:sz w:val="24"/>
          <w:szCs w:val="24"/>
        </w:rPr>
        <w:t xml:space="preserve"> (</w:t>
      </w:r>
      <w:proofErr w:type="spellStart"/>
      <w:r w:rsidR="00EE7982">
        <w:rPr>
          <w:rFonts w:asciiTheme="majorBidi" w:hAnsiTheme="majorBidi" w:cstheme="majorBidi"/>
          <w:sz w:val="24"/>
          <w:szCs w:val="24"/>
        </w:rPr>
        <w:t>Heery</w:t>
      </w:r>
      <w:proofErr w:type="spellEnd"/>
      <w:r w:rsidR="00EE7982">
        <w:rPr>
          <w:rFonts w:asciiTheme="majorBidi" w:hAnsiTheme="majorBidi" w:cstheme="majorBidi"/>
          <w:sz w:val="24"/>
          <w:szCs w:val="24"/>
        </w:rPr>
        <w:t>, 1998</w:t>
      </w:r>
      <w:r w:rsidR="005D5D0E" w:rsidRPr="00F81159">
        <w:rPr>
          <w:rFonts w:asciiTheme="majorBidi" w:hAnsiTheme="majorBidi" w:cstheme="majorBidi"/>
          <w:sz w:val="24"/>
          <w:szCs w:val="24"/>
        </w:rPr>
        <w:t>), McGuire et al. (2003) report a negative CEO pay</w:t>
      </w:r>
      <w:r w:rsidR="006D1910">
        <w:rPr>
          <w:rFonts w:asciiTheme="majorBidi" w:hAnsiTheme="majorBidi" w:cstheme="majorBidi"/>
          <w:sz w:val="24"/>
          <w:szCs w:val="24"/>
        </w:rPr>
        <w:t>–performance</w:t>
      </w:r>
      <w:r w:rsidR="005D5D0E" w:rsidRPr="00F81159">
        <w:rPr>
          <w:rFonts w:asciiTheme="majorBidi" w:hAnsiTheme="majorBidi" w:cstheme="majorBidi"/>
          <w:sz w:val="24"/>
          <w:szCs w:val="24"/>
        </w:rPr>
        <w:t xml:space="preserve"> </w:t>
      </w:r>
      <w:r w:rsidR="0043647E">
        <w:rPr>
          <w:rFonts w:asciiTheme="majorBidi" w:hAnsiTheme="majorBidi" w:cstheme="majorBidi"/>
          <w:sz w:val="24"/>
          <w:szCs w:val="24"/>
        </w:rPr>
        <w:t xml:space="preserve">link </w:t>
      </w:r>
      <w:r w:rsidR="005D5D0E" w:rsidRPr="00F81159">
        <w:rPr>
          <w:rFonts w:asciiTheme="majorBidi" w:hAnsiTheme="majorBidi" w:cstheme="majorBidi"/>
          <w:sz w:val="24"/>
          <w:szCs w:val="24"/>
        </w:rPr>
        <w:t>for 374 US corporations</w:t>
      </w:r>
      <w:r w:rsidR="005D5D0E">
        <w:rPr>
          <w:rFonts w:asciiTheme="majorBidi" w:hAnsiTheme="majorBidi" w:cstheme="majorBidi"/>
          <w:sz w:val="24"/>
          <w:szCs w:val="24"/>
        </w:rPr>
        <w:t xml:space="preserve">. </w:t>
      </w:r>
      <w:r w:rsidR="002E4F03" w:rsidRPr="00DE3411">
        <w:rPr>
          <w:rFonts w:asciiTheme="majorBidi" w:hAnsiTheme="majorBidi" w:cstheme="majorBidi"/>
          <w:sz w:val="24"/>
          <w:szCs w:val="24"/>
        </w:rPr>
        <w:t>Of closer relevance</w:t>
      </w:r>
      <w:r w:rsidR="00C27BF2" w:rsidRPr="00DE3411">
        <w:rPr>
          <w:rFonts w:asciiTheme="majorBidi" w:hAnsiTheme="majorBidi" w:cstheme="majorBidi"/>
          <w:sz w:val="24"/>
          <w:szCs w:val="24"/>
        </w:rPr>
        <w:t xml:space="preserve"> to our </w:t>
      </w:r>
      <w:r w:rsidR="00A63679" w:rsidRPr="00DE3411">
        <w:rPr>
          <w:rFonts w:asciiTheme="majorBidi" w:hAnsiTheme="majorBidi" w:cstheme="majorBidi"/>
          <w:sz w:val="24"/>
          <w:szCs w:val="24"/>
        </w:rPr>
        <w:t xml:space="preserve">current </w:t>
      </w:r>
      <w:r w:rsidR="00C27BF2" w:rsidRPr="00DE3411">
        <w:rPr>
          <w:rFonts w:asciiTheme="majorBidi" w:hAnsiTheme="majorBidi" w:cstheme="majorBidi"/>
          <w:sz w:val="24"/>
          <w:szCs w:val="24"/>
        </w:rPr>
        <w:t xml:space="preserve">study </w:t>
      </w:r>
      <w:r w:rsidR="00A63679" w:rsidRPr="00DE3411">
        <w:rPr>
          <w:rFonts w:asciiTheme="majorBidi" w:hAnsiTheme="majorBidi" w:cstheme="majorBidi"/>
          <w:sz w:val="24"/>
          <w:szCs w:val="24"/>
        </w:rPr>
        <w:t xml:space="preserve">are the findings of two studies </w:t>
      </w:r>
      <w:r w:rsidR="00E31E1A" w:rsidRPr="00DE3411">
        <w:rPr>
          <w:rFonts w:asciiTheme="majorBidi" w:hAnsiTheme="majorBidi" w:cstheme="majorBidi"/>
          <w:sz w:val="24"/>
          <w:szCs w:val="24"/>
        </w:rPr>
        <w:t>by</w:t>
      </w:r>
      <w:r w:rsidR="001B20BE">
        <w:rPr>
          <w:rFonts w:asciiTheme="majorBidi" w:hAnsiTheme="majorBidi" w:cstheme="majorBidi"/>
          <w:sz w:val="24"/>
          <w:szCs w:val="24"/>
        </w:rPr>
        <w:t xml:space="preserve"> </w:t>
      </w:r>
      <w:r w:rsidR="00EE7982" w:rsidRPr="0090362A">
        <w:rPr>
          <w:rFonts w:asciiTheme="majorBidi" w:hAnsiTheme="majorBidi" w:cstheme="majorBidi"/>
          <w:sz w:val="24"/>
          <w:szCs w:val="24"/>
          <w:shd w:val="clear" w:color="auto" w:fill="FFFFFF"/>
        </w:rPr>
        <w:t>Milbourn</w:t>
      </w:r>
      <w:r w:rsidR="00EE7982" w:rsidRPr="00C114BD" w:rsidDel="001B20BE">
        <w:rPr>
          <w:rFonts w:asciiTheme="majorBidi" w:hAnsiTheme="majorBidi" w:cstheme="majorBidi"/>
          <w:sz w:val="24"/>
          <w:szCs w:val="24"/>
          <w:shd w:val="clear" w:color="auto" w:fill="FFFFFF"/>
        </w:rPr>
        <w:t xml:space="preserve"> </w:t>
      </w:r>
      <w:r w:rsidR="00EE7982">
        <w:rPr>
          <w:rFonts w:asciiTheme="majorBidi" w:hAnsiTheme="majorBidi" w:cstheme="majorBidi"/>
          <w:sz w:val="24"/>
          <w:szCs w:val="24"/>
          <w:shd w:val="clear" w:color="auto" w:fill="FFFFFF"/>
        </w:rPr>
        <w:t xml:space="preserve">(2003) and </w:t>
      </w:r>
      <w:proofErr w:type="spellStart"/>
      <w:r w:rsidR="00EE7982">
        <w:rPr>
          <w:rFonts w:asciiTheme="majorBidi" w:hAnsiTheme="majorBidi" w:cstheme="majorBidi"/>
          <w:sz w:val="24"/>
          <w:szCs w:val="24"/>
          <w:shd w:val="clear" w:color="auto" w:fill="FFFFFF"/>
        </w:rPr>
        <w:t>Focke</w:t>
      </w:r>
      <w:proofErr w:type="spellEnd"/>
      <w:r w:rsidR="00EE7982">
        <w:rPr>
          <w:rFonts w:asciiTheme="majorBidi" w:hAnsiTheme="majorBidi" w:cstheme="majorBidi"/>
          <w:sz w:val="24"/>
          <w:szCs w:val="24"/>
          <w:shd w:val="clear" w:color="auto" w:fill="FFFFFF"/>
        </w:rPr>
        <w:t xml:space="preserve"> et al. (2017)</w:t>
      </w:r>
      <w:r w:rsidR="00C114BD">
        <w:rPr>
          <w:rFonts w:asciiTheme="majorBidi" w:hAnsiTheme="majorBidi" w:cstheme="majorBidi"/>
          <w:sz w:val="24"/>
          <w:szCs w:val="24"/>
          <w:shd w:val="clear" w:color="auto" w:fill="FFFFFF"/>
        </w:rPr>
        <w:t xml:space="preserve">, who report that </w:t>
      </w:r>
      <w:r w:rsidR="00E30BE4">
        <w:rPr>
          <w:rFonts w:asciiTheme="majorBidi" w:hAnsiTheme="majorBidi" w:cstheme="majorBidi"/>
          <w:sz w:val="24"/>
          <w:szCs w:val="24"/>
          <w:shd w:val="clear" w:color="auto" w:fill="FFFFFF"/>
        </w:rPr>
        <w:t xml:space="preserve">some </w:t>
      </w:r>
      <w:r w:rsidR="000D5794">
        <w:rPr>
          <w:rFonts w:asciiTheme="majorBidi" w:hAnsiTheme="majorBidi" w:cstheme="majorBidi"/>
          <w:sz w:val="24"/>
          <w:szCs w:val="24"/>
          <w:shd w:val="clear" w:color="auto" w:fill="FFFFFF"/>
        </w:rPr>
        <w:t xml:space="preserve">CEOs </w:t>
      </w:r>
      <w:r w:rsidR="00380856">
        <w:rPr>
          <w:rFonts w:asciiTheme="majorBidi" w:hAnsiTheme="majorBidi" w:cstheme="majorBidi"/>
          <w:sz w:val="24"/>
          <w:szCs w:val="24"/>
          <w:shd w:val="clear" w:color="auto" w:fill="FFFFFF"/>
        </w:rPr>
        <w:t>may</w:t>
      </w:r>
      <w:r w:rsidR="007C2854">
        <w:rPr>
          <w:rFonts w:asciiTheme="majorBidi" w:hAnsiTheme="majorBidi" w:cstheme="majorBidi"/>
          <w:sz w:val="24"/>
          <w:szCs w:val="24"/>
          <w:shd w:val="clear" w:color="auto" w:fill="FFFFFF"/>
        </w:rPr>
        <w:t xml:space="preserve"> accept low pay packages and </w:t>
      </w:r>
      <w:r w:rsidR="000D5794">
        <w:rPr>
          <w:rFonts w:asciiTheme="majorBidi" w:hAnsiTheme="majorBidi" w:cstheme="majorBidi"/>
          <w:sz w:val="24"/>
          <w:szCs w:val="24"/>
          <w:shd w:val="clear" w:color="auto" w:fill="FFFFFF"/>
        </w:rPr>
        <w:t xml:space="preserve">pursue </w:t>
      </w:r>
      <w:r w:rsidR="007C2854">
        <w:rPr>
          <w:rFonts w:asciiTheme="majorBidi" w:hAnsiTheme="majorBidi" w:cstheme="majorBidi"/>
          <w:sz w:val="24"/>
          <w:szCs w:val="24"/>
          <w:shd w:val="clear" w:color="auto" w:fill="FFFFFF"/>
        </w:rPr>
        <w:t xml:space="preserve">the </w:t>
      </w:r>
      <w:r w:rsidR="000D5794">
        <w:rPr>
          <w:rFonts w:asciiTheme="majorBidi" w:hAnsiTheme="majorBidi" w:cstheme="majorBidi"/>
          <w:sz w:val="24"/>
          <w:szCs w:val="24"/>
          <w:shd w:val="clear" w:color="auto" w:fill="FFFFFF"/>
        </w:rPr>
        <w:t xml:space="preserve">long-term </w:t>
      </w:r>
      <w:r w:rsidR="007C2854">
        <w:rPr>
          <w:rFonts w:asciiTheme="majorBidi" w:hAnsiTheme="majorBidi" w:cstheme="majorBidi"/>
          <w:sz w:val="24"/>
          <w:szCs w:val="24"/>
          <w:shd w:val="clear" w:color="auto" w:fill="FFFFFF"/>
        </w:rPr>
        <w:t xml:space="preserve">interests of </w:t>
      </w:r>
      <w:r w:rsidR="000D5794">
        <w:rPr>
          <w:rFonts w:asciiTheme="majorBidi" w:hAnsiTheme="majorBidi" w:cstheme="majorBidi"/>
          <w:sz w:val="24"/>
          <w:szCs w:val="24"/>
          <w:shd w:val="clear" w:color="auto" w:fill="FFFFFF"/>
        </w:rPr>
        <w:t>stakeholders</w:t>
      </w:r>
      <w:r w:rsidR="007C2854">
        <w:rPr>
          <w:rFonts w:asciiTheme="majorBidi" w:hAnsiTheme="majorBidi" w:cstheme="majorBidi"/>
          <w:sz w:val="24"/>
          <w:szCs w:val="24"/>
          <w:shd w:val="clear" w:color="auto" w:fill="FFFFFF"/>
        </w:rPr>
        <w:t xml:space="preserve"> </w:t>
      </w:r>
      <w:r w:rsidR="00E30BE4">
        <w:rPr>
          <w:rFonts w:asciiTheme="majorBidi" w:hAnsiTheme="majorBidi" w:cstheme="majorBidi"/>
          <w:sz w:val="24"/>
          <w:szCs w:val="24"/>
          <w:shd w:val="clear" w:color="auto" w:fill="FFFFFF"/>
        </w:rPr>
        <w:t>if doing so has the potential of</w:t>
      </w:r>
      <w:r w:rsidR="007C2854">
        <w:rPr>
          <w:rFonts w:asciiTheme="majorBidi" w:hAnsiTheme="majorBidi" w:cstheme="majorBidi"/>
          <w:sz w:val="24"/>
          <w:szCs w:val="24"/>
          <w:shd w:val="clear" w:color="auto" w:fill="FFFFFF"/>
        </w:rPr>
        <w:t xml:space="preserve"> improving their</w:t>
      </w:r>
      <w:r w:rsidR="00E30BE4">
        <w:rPr>
          <w:rFonts w:asciiTheme="majorBidi" w:hAnsiTheme="majorBidi" w:cstheme="majorBidi"/>
          <w:sz w:val="24"/>
          <w:szCs w:val="24"/>
          <w:shd w:val="clear" w:color="auto" w:fill="FFFFFF"/>
        </w:rPr>
        <w:t xml:space="preserve"> reputation and chances of securing</w:t>
      </w:r>
      <w:r w:rsidR="007C2854">
        <w:rPr>
          <w:rFonts w:asciiTheme="majorBidi" w:hAnsiTheme="majorBidi" w:cstheme="majorBidi"/>
          <w:sz w:val="24"/>
          <w:szCs w:val="24"/>
          <w:shd w:val="clear" w:color="auto" w:fill="FFFFFF"/>
        </w:rPr>
        <w:t xml:space="preserve"> </w:t>
      </w:r>
      <w:r w:rsidR="000962A4">
        <w:rPr>
          <w:rFonts w:asciiTheme="majorBidi" w:hAnsiTheme="majorBidi" w:cstheme="majorBidi"/>
          <w:sz w:val="24"/>
          <w:szCs w:val="24"/>
          <w:shd w:val="clear" w:color="auto" w:fill="FFFFFF"/>
        </w:rPr>
        <w:t xml:space="preserve">more </w:t>
      </w:r>
      <w:r w:rsidR="007C2854" w:rsidRPr="007C2854">
        <w:rPr>
          <w:rFonts w:asciiTheme="majorBidi" w:hAnsiTheme="majorBidi" w:cstheme="majorBidi"/>
          <w:sz w:val="24"/>
          <w:szCs w:val="24"/>
          <w:shd w:val="clear" w:color="auto" w:fill="FFFFFF"/>
        </w:rPr>
        <w:t>prestigious</w:t>
      </w:r>
      <w:r w:rsidR="007C2854">
        <w:rPr>
          <w:rFonts w:asciiTheme="majorBidi" w:hAnsiTheme="majorBidi" w:cstheme="majorBidi"/>
          <w:sz w:val="24"/>
          <w:szCs w:val="24"/>
          <w:shd w:val="clear" w:color="auto" w:fill="FFFFFF"/>
        </w:rPr>
        <w:t xml:space="preserve"> positions in the </w:t>
      </w:r>
      <w:r w:rsidR="00E30BE4">
        <w:rPr>
          <w:rFonts w:asciiTheme="majorBidi" w:hAnsiTheme="majorBidi" w:cstheme="majorBidi"/>
          <w:sz w:val="24"/>
          <w:szCs w:val="24"/>
          <w:shd w:val="clear" w:color="auto" w:fill="FFFFFF"/>
        </w:rPr>
        <w:t xml:space="preserve">future </w:t>
      </w:r>
      <w:r w:rsidR="007C2854">
        <w:rPr>
          <w:rFonts w:asciiTheme="majorBidi" w:hAnsiTheme="majorBidi" w:cstheme="majorBidi"/>
          <w:sz w:val="24"/>
          <w:szCs w:val="24"/>
          <w:shd w:val="clear" w:color="auto" w:fill="FFFFFF"/>
        </w:rPr>
        <w:t xml:space="preserve">labour market. </w:t>
      </w:r>
      <w:r w:rsidR="000D1D42" w:rsidRPr="007D350B">
        <w:rPr>
          <w:rFonts w:asciiTheme="majorBidi" w:hAnsiTheme="majorBidi" w:cstheme="majorBidi"/>
          <w:sz w:val="24"/>
          <w:szCs w:val="24"/>
          <w:shd w:val="clear" w:color="auto" w:fill="FFFFFF"/>
        </w:rPr>
        <w:t xml:space="preserve">With respect to the UK HEI context, </w:t>
      </w:r>
      <w:r w:rsidR="001C0FBD" w:rsidRPr="007D350B">
        <w:rPr>
          <w:rFonts w:asciiTheme="majorBidi" w:hAnsiTheme="majorBidi" w:cstheme="majorBidi"/>
          <w:sz w:val="24"/>
          <w:szCs w:val="24"/>
          <w:shd w:val="clear" w:color="auto" w:fill="FFFFFF"/>
        </w:rPr>
        <w:t xml:space="preserve">and with </w:t>
      </w:r>
      <w:r w:rsidR="00EE7F26" w:rsidRPr="007D350B">
        <w:rPr>
          <w:rFonts w:asciiTheme="majorBidi" w:hAnsiTheme="majorBidi" w:cstheme="majorBidi"/>
          <w:sz w:val="24"/>
          <w:szCs w:val="24"/>
          <w:shd w:val="clear" w:color="auto" w:fill="FFFFFF"/>
        </w:rPr>
        <w:t xml:space="preserve">increasing financialisaton/marketisation of </w:t>
      </w:r>
      <w:r w:rsidR="007344C3" w:rsidRPr="007D350B">
        <w:rPr>
          <w:rFonts w:asciiTheme="majorBidi" w:hAnsiTheme="majorBidi" w:cstheme="majorBidi"/>
          <w:sz w:val="24"/>
          <w:szCs w:val="24"/>
          <w:shd w:val="clear" w:color="auto" w:fill="FFFFFF"/>
        </w:rPr>
        <w:t xml:space="preserve">the </w:t>
      </w:r>
      <w:r w:rsidR="00EE7F26" w:rsidRPr="007D350B">
        <w:rPr>
          <w:rFonts w:asciiTheme="majorBidi" w:hAnsiTheme="majorBidi" w:cstheme="majorBidi"/>
          <w:sz w:val="24"/>
          <w:szCs w:val="24"/>
          <w:shd w:val="clear" w:color="auto" w:fill="FFFFFF"/>
        </w:rPr>
        <w:t xml:space="preserve">HE </w:t>
      </w:r>
      <w:proofErr w:type="gramStart"/>
      <w:r w:rsidR="00EE7F26" w:rsidRPr="007D350B">
        <w:rPr>
          <w:rFonts w:asciiTheme="majorBidi" w:hAnsiTheme="majorBidi" w:cstheme="majorBidi"/>
          <w:sz w:val="24"/>
          <w:szCs w:val="24"/>
          <w:shd w:val="clear" w:color="auto" w:fill="FFFFFF"/>
        </w:rPr>
        <w:t>sector</w:t>
      </w:r>
      <w:proofErr w:type="gramEnd"/>
      <w:r w:rsidR="001C0FBD" w:rsidRPr="007D350B">
        <w:rPr>
          <w:rFonts w:asciiTheme="majorBidi" w:hAnsiTheme="majorBidi" w:cstheme="majorBidi"/>
          <w:sz w:val="24"/>
          <w:szCs w:val="24"/>
          <w:shd w:val="clear" w:color="auto" w:fill="FFFFFF"/>
        </w:rPr>
        <w:t>, market-driven VCs are expected to act in the best interests of powerful stakeholders (banks/lenders, government, students and trade-unions)</w:t>
      </w:r>
      <w:r w:rsidR="002647B3" w:rsidRPr="007D350B">
        <w:rPr>
          <w:rFonts w:asciiTheme="majorBidi" w:hAnsiTheme="majorBidi" w:cstheme="majorBidi"/>
          <w:sz w:val="24"/>
          <w:szCs w:val="24"/>
          <w:shd w:val="clear" w:color="auto" w:fill="FFFFFF"/>
        </w:rPr>
        <w:t xml:space="preserve"> by prioritising </w:t>
      </w:r>
      <w:r w:rsidR="007344C3" w:rsidRPr="007D350B">
        <w:rPr>
          <w:rFonts w:asciiTheme="majorBidi" w:hAnsiTheme="majorBidi" w:cstheme="majorBidi"/>
          <w:sz w:val="24"/>
          <w:szCs w:val="24"/>
          <w:shd w:val="clear" w:color="auto" w:fill="FFFFFF"/>
        </w:rPr>
        <w:t xml:space="preserve">meeting </w:t>
      </w:r>
      <w:r w:rsidR="002647B3" w:rsidRPr="007D350B">
        <w:rPr>
          <w:rFonts w:asciiTheme="majorBidi" w:hAnsiTheme="majorBidi" w:cstheme="majorBidi"/>
          <w:sz w:val="24"/>
          <w:szCs w:val="24"/>
          <w:shd w:val="clear" w:color="auto" w:fill="FFFFFF"/>
        </w:rPr>
        <w:t>short-term performance targets (financial</w:t>
      </w:r>
      <w:r w:rsidR="00CA05CE" w:rsidRPr="007D350B">
        <w:rPr>
          <w:rFonts w:asciiTheme="majorBidi" w:hAnsiTheme="majorBidi" w:cstheme="majorBidi"/>
          <w:sz w:val="24"/>
          <w:szCs w:val="24"/>
          <w:shd w:val="clear" w:color="auto" w:fill="FFFFFF"/>
        </w:rPr>
        <w:t>/</w:t>
      </w:r>
      <w:r w:rsidR="002647B3" w:rsidRPr="007D350B">
        <w:rPr>
          <w:rFonts w:asciiTheme="majorBidi" w:hAnsiTheme="majorBidi" w:cstheme="majorBidi"/>
          <w:sz w:val="24"/>
          <w:szCs w:val="24"/>
          <w:shd w:val="clear" w:color="auto" w:fill="FFFFFF"/>
        </w:rPr>
        <w:t xml:space="preserve">research/teaching rankings) over long-term </w:t>
      </w:r>
      <w:r w:rsidR="007344C3" w:rsidRPr="007D350B">
        <w:rPr>
          <w:rFonts w:asciiTheme="majorBidi" w:hAnsiTheme="majorBidi" w:cstheme="majorBidi"/>
          <w:sz w:val="24"/>
          <w:szCs w:val="24"/>
          <w:shd w:val="clear" w:color="auto" w:fill="FFFFFF"/>
        </w:rPr>
        <w:t xml:space="preserve">social </w:t>
      </w:r>
      <w:r w:rsidR="002327E5" w:rsidRPr="007D350B">
        <w:rPr>
          <w:rFonts w:asciiTheme="majorBidi" w:hAnsiTheme="majorBidi" w:cstheme="majorBidi"/>
          <w:sz w:val="24"/>
          <w:szCs w:val="24"/>
          <w:shd w:val="clear" w:color="auto" w:fill="FFFFFF"/>
        </w:rPr>
        <w:t>performance outcomes (BAME/disabled/female/employment/pay gap</w:t>
      </w:r>
      <w:r w:rsidR="00CA05CE" w:rsidRPr="007D350B">
        <w:rPr>
          <w:rFonts w:asciiTheme="majorBidi" w:hAnsiTheme="majorBidi" w:cstheme="majorBidi"/>
          <w:sz w:val="24"/>
          <w:szCs w:val="24"/>
          <w:shd w:val="clear" w:color="auto" w:fill="FFFFFF"/>
        </w:rPr>
        <w:t>/</w:t>
      </w:r>
      <w:r w:rsidR="002327E5" w:rsidRPr="007D350B">
        <w:rPr>
          <w:rFonts w:asciiTheme="majorBidi" w:hAnsiTheme="majorBidi" w:cstheme="majorBidi"/>
          <w:sz w:val="24"/>
          <w:szCs w:val="24"/>
          <w:shd w:val="clear" w:color="auto" w:fill="FFFFFF"/>
        </w:rPr>
        <w:t xml:space="preserve">widening access) </w:t>
      </w:r>
      <w:r w:rsidR="002647B3" w:rsidRPr="007D350B">
        <w:rPr>
          <w:rFonts w:asciiTheme="majorBidi" w:hAnsiTheme="majorBidi" w:cstheme="majorBidi"/>
          <w:sz w:val="24"/>
          <w:szCs w:val="24"/>
          <w:shd w:val="clear" w:color="auto" w:fill="FFFFFF"/>
        </w:rPr>
        <w:t>in order to protect and/or increase their rewards</w:t>
      </w:r>
      <w:r w:rsidR="00480322" w:rsidRPr="007D350B">
        <w:rPr>
          <w:rFonts w:asciiTheme="majorBidi" w:hAnsiTheme="majorBidi" w:cstheme="majorBidi"/>
          <w:sz w:val="24"/>
          <w:szCs w:val="24"/>
          <w:shd w:val="clear" w:color="auto" w:fill="FFFFFF"/>
        </w:rPr>
        <w:t>.</w:t>
      </w:r>
      <w:r w:rsidR="00480322">
        <w:rPr>
          <w:rFonts w:asciiTheme="majorBidi" w:hAnsiTheme="majorBidi" w:cstheme="majorBidi"/>
          <w:sz w:val="24"/>
          <w:szCs w:val="24"/>
          <w:shd w:val="clear" w:color="auto" w:fill="FFFFFF"/>
        </w:rPr>
        <w:t xml:space="preserve"> </w:t>
      </w:r>
      <w:r w:rsidR="00945370" w:rsidRPr="00DE3411">
        <w:rPr>
          <w:rFonts w:asciiTheme="majorBidi" w:hAnsiTheme="majorBidi" w:cstheme="majorBidi"/>
          <w:sz w:val="24"/>
          <w:szCs w:val="24"/>
        </w:rPr>
        <w:t xml:space="preserve">On this basis, </w:t>
      </w:r>
      <w:r w:rsidR="006D21FB">
        <w:rPr>
          <w:rFonts w:asciiTheme="majorBidi" w:hAnsiTheme="majorBidi" w:cstheme="majorBidi"/>
          <w:sz w:val="24"/>
          <w:szCs w:val="24"/>
        </w:rPr>
        <w:t xml:space="preserve">and </w:t>
      </w:r>
      <w:r w:rsidR="006D21FB">
        <w:rPr>
          <w:rFonts w:asciiTheme="majorBidi" w:hAnsiTheme="majorBidi" w:cstheme="majorBidi"/>
          <w:sz w:val="24"/>
          <w:szCs w:val="24"/>
        </w:rPr>
        <w:lastRenderedPageBreak/>
        <w:t xml:space="preserve">although no existing study has examined the link between VC pay and long-term social performance, </w:t>
      </w:r>
      <w:r w:rsidR="00945370" w:rsidRPr="00DE3411">
        <w:rPr>
          <w:rFonts w:asciiTheme="majorBidi" w:hAnsiTheme="majorBidi" w:cstheme="majorBidi"/>
          <w:sz w:val="24"/>
          <w:szCs w:val="24"/>
        </w:rPr>
        <w:t>we</w:t>
      </w:r>
      <w:r w:rsidR="004570AB" w:rsidRPr="00DE3411">
        <w:rPr>
          <w:rFonts w:asciiTheme="majorBidi" w:hAnsiTheme="majorBidi" w:cstheme="majorBidi"/>
          <w:sz w:val="24"/>
          <w:szCs w:val="24"/>
        </w:rPr>
        <w:t xml:space="preserve"> hypothesise</w:t>
      </w:r>
      <w:r w:rsidR="005B1400" w:rsidRPr="00DE3411">
        <w:rPr>
          <w:rFonts w:asciiTheme="majorBidi" w:hAnsiTheme="majorBidi" w:cstheme="majorBidi"/>
          <w:sz w:val="24"/>
          <w:szCs w:val="24"/>
        </w:rPr>
        <w:t xml:space="preserve"> that:</w:t>
      </w:r>
    </w:p>
    <w:p w14:paraId="364D2443" w14:textId="717A116A" w:rsidR="00C735F6" w:rsidRDefault="005B1400" w:rsidP="009879E8">
      <w:pPr>
        <w:spacing w:line="240" w:lineRule="auto"/>
        <w:ind w:left="720"/>
        <w:jc w:val="both"/>
        <w:rPr>
          <w:rFonts w:asciiTheme="majorBidi" w:hAnsiTheme="majorBidi" w:cstheme="majorBidi"/>
          <w:sz w:val="24"/>
          <w:szCs w:val="24"/>
        </w:rPr>
      </w:pPr>
      <w:r w:rsidRPr="00511F36">
        <w:rPr>
          <w:rFonts w:asciiTheme="majorBidi" w:hAnsiTheme="majorBidi" w:cstheme="majorBidi"/>
          <w:i/>
          <w:iCs/>
          <w:sz w:val="24"/>
          <w:szCs w:val="24"/>
        </w:rPr>
        <w:t>H</w:t>
      </w:r>
      <w:r w:rsidR="000A7B56">
        <w:rPr>
          <w:rFonts w:asciiTheme="majorBidi" w:hAnsiTheme="majorBidi" w:cstheme="majorBidi"/>
          <w:i/>
          <w:iCs/>
          <w:sz w:val="24"/>
          <w:szCs w:val="24"/>
        </w:rPr>
        <w:t xml:space="preserve">ypothesis </w:t>
      </w:r>
      <w:r>
        <w:rPr>
          <w:rFonts w:asciiTheme="majorBidi" w:hAnsiTheme="majorBidi" w:cstheme="majorBidi"/>
          <w:i/>
          <w:iCs/>
          <w:sz w:val="24"/>
          <w:szCs w:val="24"/>
        </w:rPr>
        <w:t>1</w:t>
      </w:r>
      <w:r w:rsidR="009810AC">
        <w:rPr>
          <w:rFonts w:asciiTheme="majorBidi" w:hAnsiTheme="majorBidi" w:cstheme="majorBidi"/>
          <w:i/>
          <w:iCs/>
          <w:sz w:val="24"/>
          <w:szCs w:val="24"/>
        </w:rPr>
        <w:t>a</w:t>
      </w:r>
      <w:r w:rsidRPr="00511F36">
        <w:rPr>
          <w:rFonts w:asciiTheme="majorBidi" w:hAnsiTheme="majorBidi" w:cstheme="majorBidi"/>
          <w:i/>
          <w:iCs/>
          <w:sz w:val="24"/>
          <w:szCs w:val="24"/>
        </w:rPr>
        <w:t xml:space="preserve">: </w:t>
      </w:r>
      <w:r w:rsidRPr="008E605B">
        <w:rPr>
          <w:rFonts w:asciiTheme="majorBidi" w:hAnsiTheme="majorBidi" w:cstheme="majorBidi"/>
          <w:i/>
          <w:iCs/>
          <w:sz w:val="24"/>
          <w:szCs w:val="24"/>
        </w:rPr>
        <w:t xml:space="preserve">There is a </w:t>
      </w:r>
      <w:r w:rsidR="006A3268" w:rsidRPr="000D6E7A">
        <w:rPr>
          <w:rFonts w:asciiTheme="majorBidi" w:hAnsiTheme="majorBidi" w:cstheme="majorBidi"/>
          <w:i/>
          <w:iCs/>
          <w:sz w:val="24"/>
          <w:szCs w:val="24"/>
        </w:rPr>
        <w:t>negative</w:t>
      </w:r>
      <w:r w:rsidRPr="000D6E7A">
        <w:rPr>
          <w:rFonts w:asciiTheme="majorBidi" w:hAnsiTheme="majorBidi" w:cstheme="majorBidi"/>
          <w:i/>
          <w:iCs/>
          <w:sz w:val="24"/>
          <w:szCs w:val="24"/>
        </w:rPr>
        <w:t xml:space="preserve"> </w:t>
      </w:r>
      <w:r w:rsidRPr="008E605B">
        <w:rPr>
          <w:rFonts w:asciiTheme="majorBidi" w:hAnsiTheme="majorBidi" w:cstheme="majorBidi"/>
          <w:i/>
          <w:iCs/>
          <w:sz w:val="24"/>
          <w:szCs w:val="24"/>
        </w:rPr>
        <w:t xml:space="preserve">association between </w:t>
      </w:r>
      <w:r w:rsidR="00824003">
        <w:rPr>
          <w:rFonts w:asciiTheme="majorBidi" w:hAnsiTheme="majorBidi" w:cstheme="majorBidi"/>
          <w:i/>
          <w:iCs/>
          <w:sz w:val="24"/>
          <w:szCs w:val="24"/>
        </w:rPr>
        <w:t xml:space="preserve">VC pay and long-term </w:t>
      </w:r>
      <w:r w:rsidR="00D7552F">
        <w:rPr>
          <w:rFonts w:asciiTheme="majorBidi" w:hAnsiTheme="majorBidi" w:cstheme="majorBidi"/>
          <w:i/>
          <w:iCs/>
          <w:sz w:val="24"/>
          <w:szCs w:val="24"/>
        </w:rPr>
        <w:t xml:space="preserve">performance </w:t>
      </w:r>
      <w:r w:rsidR="00D565F4">
        <w:rPr>
          <w:rFonts w:asciiTheme="majorBidi" w:hAnsiTheme="majorBidi" w:cstheme="majorBidi"/>
          <w:i/>
          <w:iCs/>
          <w:sz w:val="24"/>
          <w:szCs w:val="24"/>
        </w:rPr>
        <w:t>in</w:t>
      </w:r>
      <w:r w:rsidR="001B20BE">
        <w:rPr>
          <w:rFonts w:asciiTheme="majorBidi" w:hAnsiTheme="majorBidi" w:cstheme="majorBidi"/>
          <w:i/>
          <w:iCs/>
          <w:sz w:val="24"/>
          <w:szCs w:val="24"/>
        </w:rPr>
        <w:t xml:space="preserve"> </w:t>
      </w:r>
      <w:r w:rsidR="00D7552F">
        <w:rPr>
          <w:rFonts w:asciiTheme="majorBidi" w:hAnsiTheme="majorBidi" w:cstheme="majorBidi"/>
          <w:i/>
          <w:iCs/>
          <w:sz w:val="24"/>
          <w:szCs w:val="24"/>
        </w:rPr>
        <w:t>HEIs</w:t>
      </w:r>
      <w:r w:rsidRPr="00511F36">
        <w:rPr>
          <w:rFonts w:asciiTheme="majorBidi" w:hAnsiTheme="majorBidi" w:cstheme="majorBidi"/>
          <w:sz w:val="24"/>
          <w:szCs w:val="24"/>
        </w:rPr>
        <w:t>.</w:t>
      </w:r>
    </w:p>
    <w:p w14:paraId="1B3DEBDD" w14:textId="77777777" w:rsidR="00687A5E" w:rsidRDefault="00687A5E" w:rsidP="003026CF">
      <w:pPr>
        <w:spacing w:line="240" w:lineRule="auto"/>
        <w:jc w:val="both"/>
        <w:rPr>
          <w:rFonts w:asciiTheme="majorBidi" w:hAnsiTheme="majorBidi" w:cstheme="majorBidi"/>
          <w:sz w:val="24"/>
          <w:szCs w:val="24"/>
        </w:rPr>
      </w:pPr>
    </w:p>
    <w:p w14:paraId="1E392270" w14:textId="44669FAD" w:rsidR="00DE61C3" w:rsidRDefault="00906A9D" w:rsidP="001042E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In contrast</w:t>
      </w:r>
      <w:r w:rsidR="009810AC">
        <w:rPr>
          <w:rFonts w:asciiTheme="majorBidi" w:hAnsiTheme="majorBidi" w:cstheme="majorBidi"/>
          <w:sz w:val="24"/>
          <w:szCs w:val="24"/>
        </w:rPr>
        <w:t xml:space="preserve">, OCT suggests </w:t>
      </w:r>
      <w:proofErr w:type="gramStart"/>
      <w:r w:rsidR="009810AC">
        <w:rPr>
          <w:rFonts w:asciiTheme="majorBidi" w:hAnsiTheme="majorBidi" w:cstheme="majorBidi"/>
          <w:sz w:val="24"/>
          <w:szCs w:val="24"/>
        </w:rPr>
        <w:t>that,</w:t>
      </w:r>
      <w:proofErr w:type="gramEnd"/>
      <w:r w:rsidR="009810AC">
        <w:rPr>
          <w:rFonts w:asciiTheme="majorBidi" w:hAnsiTheme="majorBidi" w:cstheme="majorBidi"/>
          <w:sz w:val="24"/>
          <w:szCs w:val="24"/>
        </w:rPr>
        <w:t xml:space="preserve"> executive pay arrangements result from independent negotiation between strong boards and less influential directors, resulting in the creation of incentives schemes that aim to optimise managerial performance (</w:t>
      </w:r>
      <w:r w:rsidR="00CD6159">
        <w:rPr>
          <w:rFonts w:asciiTheme="majorBidi" w:hAnsiTheme="majorBidi" w:cstheme="majorBidi"/>
          <w:sz w:val="24"/>
          <w:szCs w:val="24"/>
        </w:rPr>
        <w:t>Bone, 2006</w:t>
      </w:r>
      <w:r w:rsidR="009810AC">
        <w:rPr>
          <w:rFonts w:asciiTheme="majorBidi" w:hAnsiTheme="majorBidi" w:cstheme="majorBidi"/>
          <w:sz w:val="24"/>
          <w:szCs w:val="24"/>
        </w:rPr>
        <w:t xml:space="preserve">). OCT also indicates that linking rewards to performance can be problematic, since it can encourage opportunistic managers to focus on meeting short-term performance targets </w:t>
      </w:r>
      <w:proofErr w:type="gramStart"/>
      <w:r w:rsidR="009810AC">
        <w:rPr>
          <w:rFonts w:asciiTheme="majorBidi" w:hAnsiTheme="majorBidi" w:cstheme="majorBidi"/>
          <w:sz w:val="24"/>
          <w:szCs w:val="24"/>
        </w:rPr>
        <w:t>in order to</w:t>
      </w:r>
      <w:proofErr w:type="gramEnd"/>
      <w:r w:rsidR="009810AC">
        <w:rPr>
          <w:rFonts w:asciiTheme="majorBidi" w:hAnsiTheme="majorBidi" w:cstheme="majorBidi"/>
          <w:sz w:val="24"/>
          <w:szCs w:val="24"/>
        </w:rPr>
        <w:t xml:space="preserve"> justify their </w:t>
      </w:r>
      <w:r w:rsidR="00542B6C">
        <w:rPr>
          <w:rFonts w:asciiTheme="majorBidi" w:hAnsiTheme="majorBidi" w:cstheme="majorBidi"/>
          <w:sz w:val="24"/>
          <w:szCs w:val="24"/>
        </w:rPr>
        <w:t>often</w:t>
      </w:r>
      <w:r w:rsidR="00B3128F">
        <w:rPr>
          <w:rFonts w:asciiTheme="majorBidi" w:hAnsiTheme="majorBidi" w:cstheme="majorBidi"/>
          <w:sz w:val="24"/>
          <w:szCs w:val="24"/>
        </w:rPr>
        <w:t xml:space="preserve"> relatively</w:t>
      </w:r>
      <w:r w:rsidR="00542B6C">
        <w:rPr>
          <w:rFonts w:asciiTheme="majorBidi" w:hAnsiTheme="majorBidi" w:cstheme="majorBidi"/>
          <w:sz w:val="24"/>
          <w:szCs w:val="24"/>
        </w:rPr>
        <w:t xml:space="preserve"> </w:t>
      </w:r>
      <w:r w:rsidR="009810AC" w:rsidRPr="00976A32">
        <w:rPr>
          <w:rFonts w:asciiTheme="majorBidi" w:hAnsiTheme="majorBidi" w:cstheme="majorBidi"/>
          <w:sz w:val="24"/>
          <w:szCs w:val="24"/>
        </w:rPr>
        <w:t>hefty pay</w:t>
      </w:r>
      <w:r w:rsidR="009810AC">
        <w:rPr>
          <w:rFonts w:asciiTheme="majorBidi" w:hAnsiTheme="majorBidi" w:cstheme="majorBidi"/>
          <w:sz w:val="24"/>
          <w:szCs w:val="24"/>
        </w:rPr>
        <w:t xml:space="preserve"> (</w:t>
      </w:r>
      <w:proofErr w:type="spellStart"/>
      <w:r w:rsidR="004E7A48" w:rsidRPr="004E7A48">
        <w:rPr>
          <w:rFonts w:asciiTheme="majorBidi" w:hAnsiTheme="majorBidi" w:cstheme="majorBidi"/>
          <w:sz w:val="24"/>
          <w:szCs w:val="24"/>
        </w:rPr>
        <w:t>Heery</w:t>
      </w:r>
      <w:proofErr w:type="spellEnd"/>
      <w:r w:rsidR="004E7A48">
        <w:rPr>
          <w:rFonts w:asciiTheme="majorBidi" w:hAnsiTheme="majorBidi" w:cstheme="majorBidi"/>
          <w:sz w:val="24"/>
          <w:szCs w:val="24"/>
        </w:rPr>
        <w:t>, 1998</w:t>
      </w:r>
      <w:r w:rsidR="009810AC">
        <w:rPr>
          <w:rFonts w:asciiTheme="majorBidi" w:hAnsiTheme="majorBidi" w:cstheme="majorBidi"/>
          <w:sz w:val="24"/>
          <w:szCs w:val="24"/>
        </w:rPr>
        <w:t xml:space="preserve">). OCT, therefore, expects HEIs that </w:t>
      </w:r>
      <w:r w:rsidR="00096D47">
        <w:rPr>
          <w:rFonts w:asciiTheme="majorBidi" w:hAnsiTheme="majorBidi" w:cstheme="majorBidi"/>
          <w:sz w:val="24"/>
          <w:szCs w:val="24"/>
        </w:rPr>
        <w:t xml:space="preserve">opt for short-term performance </w:t>
      </w:r>
      <w:r w:rsidR="005871AD">
        <w:rPr>
          <w:rFonts w:asciiTheme="majorBidi" w:hAnsiTheme="majorBidi" w:cstheme="majorBidi"/>
          <w:sz w:val="24"/>
          <w:szCs w:val="24"/>
        </w:rPr>
        <w:t>targets</w:t>
      </w:r>
      <w:r w:rsidR="009810AC">
        <w:rPr>
          <w:rFonts w:asciiTheme="majorBidi" w:hAnsiTheme="majorBidi" w:cstheme="majorBidi"/>
          <w:sz w:val="24"/>
          <w:szCs w:val="24"/>
        </w:rPr>
        <w:t xml:space="preserve"> </w:t>
      </w:r>
      <w:r w:rsidR="00096D47">
        <w:rPr>
          <w:rFonts w:asciiTheme="majorBidi" w:hAnsiTheme="majorBidi" w:cstheme="majorBidi"/>
          <w:sz w:val="24"/>
          <w:szCs w:val="24"/>
        </w:rPr>
        <w:t>may</w:t>
      </w:r>
      <w:r w:rsidR="009810AC">
        <w:rPr>
          <w:rFonts w:asciiTheme="majorBidi" w:hAnsiTheme="majorBidi" w:cstheme="majorBidi"/>
          <w:sz w:val="24"/>
          <w:szCs w:val="24"/>
        </w:rPr>
        <w:t xml:space="preserve"> pay high pay packages to their VCs</w:t>
      </w:r>
      <w:r w:rsidR="00380856">
        <w:rPr>
          <w:rFonts w:asciiTheme="majorBidi" w:hAnsiTheme="majorBidi" w:cstheme="majorBidi"/>
          <w:sz w:val="24"/>
          <w:szCs w:val="24"/>
        </w:rPr>
        <w:t>.</w:t>
      </w:r>
      <w:r w:rsidR="009810AC">
        <w:rPr>
          <w:rFonts w:asciiTheme="majorBidi" w:hAnsiTheme="majorBidi" w:cstheme="majorBidi"/>
          <w:sz w:val="24"/>
          <w:szCs w:val="24"/>
        </w:rPr>
        <w:t xml:space="preserve"> </w:t>
      </w:r>
      <w:r w:rsidR="00380856">
        <w:rPr>
          <w:rFonts w:asciiTheme="majorBidi" w:hAnsiTheme="majorBidi" w:cstheme="majorBidi"/>
          <w:sz w:val="24"/>
          <w:szCs w:val="24"/>
        </w:rPr>
        <w:t xml:space="preserve">This is because they are more likely to </w:t>
      </w:r>
      <w:r w:rsidR="009C6487">
        <w:rPr>
          <w:rFonts w:asciiTheme="majorBidi" w:hAnsiTheme="majorBidi" w:cstheme="majorBidi"/>
          <w:sz w:val="24"/>
          <w:szCs w:val="24"/>
        </w:rPr>
        <w:t xml:space="preserve">be able to </w:t>
      </w:r>
      <w:r w:rsidR="00380856">
        <w:rPr>
          <w:rFonts w:asciiTheme="majorBidi" w:hAnsiTheme="majorBidi" w:cstheme="majorBidi"/>
          <w:sz w:val="24"/>
          <w:szCs w:val="24"/>
        </w:rPr>
        <w:t>offer evidence of achieving such short-term targets</w:t>
      </w:r>
      <w:r w:rsidR="00F7607A">
        <w:rPr>
          <w:rFonts w:asciiTheme="majorBidi" w:hAnsiTheme="majorBidi" w:cstheme="majorBidi"/>
          <w:sz w:val="24"/>
          <w:szCs w:val="24"/>
        </w:rPr>
        <w:t xml:space="preserve">, and thereby justifying the payment of </w:t>
      </w:r>
      <w:r w:rsidR="009C6487">
        <w:rPr>
          <w:rFonts w:asciiTheme="majorBidi" w:hAnsiTheme="majorBidi" w:cstheme="majorBidi"/>
          <w:sz w:val="24"/>
          <w:szCs w:val="24"/>
        </w:rPr>
        <w:t>equally</w:t>
      </w:r>
      <w:r w:rsidR="00F7607A">
        <w:rPr>
          <w:rFonts w:asciiTheme="majorBidi" w:hAnsiTheme="majorBidi" w:cstheme="majorBidi"/>
          <w:sz w:val="24"/>
          <w:szCs w:val="24"/>
        </w:rPr>
        <w:t xml:space="preserve"> high pay packages</w:t>
      </w:r>
      <w:r w:rsidR="00380856">
        <w:rPr>
          <w:rFonts w:asciiTheme="majorBidi" w:hAnsiTheme="majorBidi" w:cstheme="majorBidi"/>
          <w:sz w:val="24"/>
          <w:szCs w:val="24"/>
        </w:rPr>
        <w:t xml:space="preserve"> </w:t>
      </w:r>
      <w:r w:rsidR="009810AC">
        <w:rPr>
          <w:rFonts w:asciiTheme="majorBidi" w:hAnsiTheme="majorBidi" w:cstheme="majorBidi"/>
          <w:sz w:val="24"/>
          <w:szCs w:val="24"/>
        </w:rPr>
        <w:t>(</w:t>
      </w:r>
      <w:r w:rsidR="00C11DA9">
        <w:rPr>
          <w:rFonts w:asciiTheme="majorBidi" w:hAnsiTheme="majorBidi" w:cstheme="majorBidi"/>
          <w:sz w:val="24"/>
          <w:szCs w:val="24"/>
        </w:rPr>
        <w:t>Jenson</w:t>
      </w:r>
      <w:r w:rsidR="009810AC">
        <w:rPr>
          <w:rFonts w:asciiTheme="majorBidi" w:hAnsiTheme="majorBidi" w:cstheme="majorBidi"/>
          <w:sz w:val="24"/>
          <w:szCs w:val="24"/>
        </w:rPr>
        <w:t xml:space="preserve"> and Murphy, </w:t>
      </w:r>
      <w:r w:rsidR="00C11DA9">
        <w:rPr>
          <w:rFonts w:asciiTheme="majorBidi" w:hAnsiTheme="majorBidi" w:cstheme="majorBidi"/>
          <w:sz w:val="24"/>
          <w:szCs w:val="24"/>
        </w:rPr>
        <w:t>1990</w:t>
      </w:r>
      <w:r w:rsidR="009810AC">
        <w:rPr>
          <w:rFonts w:asciiTheme="majorBidi" w:hAnsiTheme="majorBidi" w:cstheme="majorBidi"/>
          <w:sz w:val="24"/>
          <w:szCs w:val="24"/>
        </w:rPr>
        <w:t xml:space="preserve">). Empirically, much of the extant literature has traditionally been conducted </w:t>
      </w:r>
      <w:r w:rsidR="00196089">
        <w:rPr>
          <w:rFonts w:asciiTheme="majorBidi" w:hAnsiTheme="majorBidi" w:cstheme="majorBidi"/>
          <w:sz w:val="24"/>
          <w:szCs w:val="24"/>
        </w:rPr>
        <w:t>i</w:t>
      </w:r>
      <w:r w:rsidR="009810AC">
        <w:rPr>
          <w:rFonts w:asciiTheme="majorBidi" w:hAnsiTheme="majorBidi" w:cstheme="majorBidi"/>
          <w:sz w:val="24"/>
          <w:szCs w:val="24"/>
        </w:rPr>
        <w:t>n</w:t>
      </w:r>
      <w:r w:rsidR="009810AC" w:rsidRPr="00653D88">
        <w:rPr>
          <w:rFonts w:asciiTheme="majorBidi" w:hAnsiTheme="majorBidi" w:cstheme="majorBidi"/>
          <w:sz w:val="24"/>
          <w:szCs w:val="24"/>
        </w:rPr>
        <w:t xml:space="preserve"> </w:t>
      </w:r>
      <w:r w:rsidR="009810AC">
        <w:rPr>
          <w:rFonts w:asciiTheme="majorBidi" w:hAnsiTheme="majorBidi" w:cstheme="majorBidi"/>
          <w:sz w:val="24"/>
          <w:szCs w:val="24"/>
        </w:rPr>
        <w:t>profitable organisations (Jensen and Murphy, 1990), and the findings of these studies support the predictions of OCT and propose that pay is positively influenced by an institution’s</w:t>
      </w:r>
      <w:r w:rsidR="00196089">
        <w:rPr>
          <w:rFonts w:asciiTheme="majorBidi" w:hAnsiTheme="majorBidi" w:cstheme="majorBidi"/>
          <w:sz w:val="24"/>
          <w:szCs w:val="24"/>
        </w:rPr>
        <w:t xml:space="preserve"> achievement of</w:t>
      </w:r>
      <w:r w:rsidR="009810AC">
        <w:rPr>
          <w:rFonts w:asciiTheme="majorBidi" w:hAnsiTheme="majorBidi" w:cstheme="majorBidi"/>
          <w:sz w:val="24"/>
          <w:szCs w:val="24"/>
        </w:rPr>
        <w:t xml:space="preserve"> short-term performance</w:t>
      </w:r>
      <w:r w:rsidR="00196089">
        <w:rPr>
          <w:rFonts w:asciiTheme="majorBidi" w:hAnsiTheme="majorBidi" w:cstheme="majorBidi"/>
          <w:sz w:val="24"/>
          <w:szCs w:val="24"/>
        </w:rPr>
        <w:t xml:space="preserve"> targets</w:t>
      </w:r>
      <w:r w:rsidR="009810AC">
        <w:rPr>
          <w:rFonts w:asciiTheme="majorBidi" w:hAnsiTheme="majorBidi" w:cstheme="majorBidi"/>
          <w:sz w:val="24"/>
          <w:szCs w:val="24"/>
        </w:rPr>
        <w:t>. In addition, prior studies have largely focused on the impact of financial performance</w:t>
      </w:r>
      <w:r w:rsidR="007B19E2">
        <w:rPr>
          <w:rFonts w:asciiTheme="majorBidi" w:hAnsiTheme="majorBidi" w:cstheme="majorBidi"/>
          <w:sz w:val="24"/>
          <w:szCs w:val="24"/>
        </w:rPr>
        <w:t xml:space="preserve"> instead of non-financial performance</w:t>
      </w:r>
      <w:r w:rsidR="009810AC">
        <w:rPr>
          <w:rFonts w:asciiTheme="majorBidi" w:hAnsiTheme="majorBidi" w:cstheme="majorBidi"/>
          <w:sz w:val="24"/>
          <w:szCs w:val="24"/>
        </w:rPr>
        <w:t xml:space="preserve"> on executive pay, and hence this</w:t>
      </w:r>
      <w:r w:rsidR="009810AC" w:rsidRPr="00511F36">
        <w:rPr>
          <w:rFonts w:asciiTheme="majorBidi" w:hAnsiTheme="majorBidi" w:cstheme="majorBidi"/>
          <w:sz w:val="24"/>
          <w:szCs w:val="24"/>
        </w:rPr>
        <w:t xml:space="preserve"> </w:t>
      </w:r>
      <w:r w:rsidR="009810AC">
        <w:rPr>
          <w:rFonts w:asciiTheme="majorBidi" w:hAnsiTheme="majorBidi" w:cstheme="majorBidi"/>
          <w:sz w:val="24"/>
          <w:szCs w:val="24"/>
        </w:rPr>
        <w:t>provides</w:t>
      </w:r>
      <w:r w:rsidR="009810AC" w:rsidRPr="00511F36">
        <w:rPr>
          <w:rFonts w:asciiTheme="majorBidi" w:hAnsiTheme="majorBidi" w:cstheme="majorBidi"/>
          <w:sz w:val="24"/>
          <w:szCs w:val="24"/>
        </w:rPr>
        <w:t xml:space="preserve"> a</w:t>
      </w:r>
      <w:r w:rsidR="009810AC">
        <w:rPr>
          <w:rFonts w:asciiTheme="majorBidi" w:hAnsiTheme="majorBidi" w:cstheme="majorBidi"/>
          <w:sz w:val="24"/>
          <w:szCs w:val="24"/>
        </w:rPr>
        <w:t xml:space="preserve"> great </w:t>
      </w:r>
      <w:r w:rsidR="009810AC" w:rsidRPr="00511F36">
        <w:rPr>
          <w:rFonts w:asciiTheme="majorBidi" w:hAnsiTheme="majorBidi" w:cstheme="majorBidi"/>
          <w:sz w:val="24"/>
          <w:szCs w:val="24"/>
        </w:rPr>
        <w:t xml:space="preserve">opportunity to make </w:t>
      </w:r>
      <w:r w:rsidR="009810AC">
        <w:rPr>
          <w:rFonts w:asciiTheme="majorBidi" w:hAnsiTheme="majorBidi" w:cstheme="majorBidi"/>
          <w:sz w:val="24"/>
          <w:szCs w:val="24"/>
        </w:rPr>
        <w:t>new</w:t>
      </w:r>
      <w:r w:rsidR="009810AC" w:rsidRPr="00511F36">
        <w:rPr>
          <w:rFonts w:asciiTheme="majorBidi" w:hAnsiTheme="majorBidi" w:cstheme="majorBidi"/>
          <w:sz w:val="24"/>
          <w:szCs w:val="24"/>
        </w:rPr>
        <w:t xml:space="preserve"> </w:t>
      </w:r>
      <w:r w:rsidR="009810AC">
        <w:rPr>
          <w:rFonts w:asciiTheme="majorBidi" w:hAnsiTheme="majorBidi" w:cstheme="majorBidi"/>
          <w:sz w:val="24"/>
          <w:szCs w:val="24"/>
        </w:rPr>
        <w:t>contributions to the literature</w:t>
      </w:r>
      <w:r w:rsidR="006D4CCE">
        <w:rPr>
          <w:rFonts w:asciiTheme="majorBidi" w:hAnsiTheme="majorBidi" w:cstheme="majorBidi"/>
          <w:sz w:val="24"/>
          <w:szCs w:val="24"/>
        </w:rPr>
        <w:t xml:space="preserve"> by examining the effects of </w:t>
      </w:r>
      <w:r w:rsidR="00542B6C">
        <w:rPr>
          <w:rFonts w:asciiTheme="majorBidi" w:hAnsiTheme="majorBidi" w:cstheme="majorBidi"/>
          <w:sz w:val="24"/>
          <w:szCs w:val="24"/>
        </w:rPr>
        <w:t xml:space="preserve">both financial and </w:t>
      </w:r>
      <w:r w:rsidR="006D4CCE">
        <w:rPr>
          <w:rFonts w:asciiTheme="majorBidi" w:hAnsiTheme="majorBidi" w:cstheme="majorBidi"/>
          <w:sz w:val="24"/>
          <w:szCs w:val="24"/>
        </w:rPr>
        <w:t>non-financial performance measures on VC pay</w:t>
      </w:r>
      <w:r w:rsidR="009810AC">
        <w:rPr>
          <w:rFonts w:asciiTheme="majorBidi" w:hAnsiTheme="majorBidi" w:cstheme="majorBidi"/>
          <w:sz w:val="24"/>
          <w:szCs w:val="24"/>
        </w:rPr>
        <w:t xml:space="preserve">. </w:t>
      </w:r>
    </w:p>
    <w:p w14:paraId="3F9273FD" w14:textId="2DAD8E07" w:rsidR="00CC76A6" w:rsidRDefault="009810AC" w:rsidP="001042E2">
      <w:pPr>
        <w:spacing w:after="0" w:line="48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For </w:t>
      </w:r>
      <w:proofErr w:type="gramStart"/>
      <w:r>
        <w:rPr>
          <w:rFonts w:asciiTheme="majorBidi" w:hAnsiTheme="majorBidi" w:cstheme="majorBidi"/>
          <w:sz w:val="24"/>
          <w:szCs w:val="24"/>
        </w:rPr>
        <w:t>example</w:t>
      </w:r>
      <w:proofErr w:type="gramEnd"/>
      <w:r>
        <w:rPr>
          <w:rFonts w:asciiTheme="majorBidi" w:hAnsiTheme="majorBidi" w:cstheme="majorBidi"/>
          <w:sz w:val="24"/>
          <w:szCs w:val="24"/>
        </w:rPr>
        <w:t xml:space="preserve"> and using a sample of 70 UK publicly listed corporations over the period 1981-</w:t>
      </w:r>
      <w:r w:rsidR="003655A8">
        <w:rPr>
          <w:rFonts w:asciiTheme="majorBidi" w:hAnsiTheme="majorBidi" w:cstheme="majorBidi"/>
          <w:sz w:val="24"/>
          <w:szCs w:val="24"/>
        </w:rPr>
        <w:t>19</w:t>
      </w:r>
      <w:r>
        <w:rPr>
          <w:rFonts w:asciiTheme="majorBidi" w:hAnsiTheme="majorBidi" w:cstheme="majorBidi"/>
          <w:sz w:val="24"/>
          <w:szCs w:val="24"/>
        </w:rPr>
        <w:t xml:space="preserve">89, Main et al. (1996) report a positive association between CEO pay and </w:t>
      </w:r>
      <w:r w:rsidR="0082656C">
        <w:rPr>
          <w:rFonts w:asciiTheme="majorBidi" w:hAnsiTheme="majorBidi" w:cstheme="majorBidi"/>
          <w:sz w:val="24"/>
          <w:szCs w:val="24"/>
        </w:rPr>
        <w:t xml:space="preserve">short-term </w:t>
      </w:r>
      <w:r>
        <w:rPr>
          <w:rFonts w:asciiTheme="majorBidi" w:hAnsiTheme="majorBidi" w:cstheme="majorBidi"/>
          <w:sz w:val="24"/>
          <w:szCs w:val="24"/>
        </w:rPr>
        <w:t xml:space="preserve">financial performance. </w:t>
      </w:r>
      <w:r w:rsidRPr="00EB0989">
        <w:rPr>
          <w:rFonts w:asciiTheme="majorBidi" w:hAnsiTheme="majorBidi" w:cstheme="majorBidi"/>
          <w:sz w:val="24"/>
          <w:szCs w:val="24"/>
        </w:rPr>
        <w:t xml:space="preserve">In </w:t>
      </w:r>
      <w:r w:rsidRPr="00F81159">
        <w:rPr>
          <w:rFonts w:ascii="Times New Roman" w:hAnsi="Times New Roman" w:cs="Times New Roman"/>
          <w:sz w:val="24"/>
          <w:szCs w:val="24"/>
        </w:rPr>
        <w:t xml:space="preserve">addition, </w:t>
      </w:r>
      <w:proofErr w:type="spellStart"/>
      <w:r w:rsidRPr="009D71F4">
        <w:rPr>
          <w:rFonts w:ascii="Times New Roman" w:hAnsi="Times New Roman" w:cs="Times New Roman"/>
          <w:sz w:val="24"/>
          <w:szCs w:val="24"/>
        </w:rPr>
        <w:t>Brickley</w:t>
      </w:r>
      <w:proofErr w:type="spellEnd"/>
      <w:r w:rsidRPr="009D71F4">
        <w:rPr>
          <w:rFonts w:ascii="Times New Roman" w:hAnsi="Times New Roman" w:cs="Times New Roman"/>
          <w:sz w:val="24"/>
          <w:szCs w:val="24"/>
        </w:rPr>
        <w:t xml:space="preserve"> and Van Horn</w:t>
      </w:r>
      <w:r>
        <w:rPr>
          <w:rFonts w:ascii="Times New Roman" w:hAnsi="Times New Roman" w:cs="Times New Roman"/>
          <w:sz w:val="24"/>
          <w:szCs w:val="24"/>
        </w:rPr>
        <w:t xml:space="preserve"> (2002) find a positive association between short-term </w:t>
      </w:r>
      <w:r w:rsidR="0082656C">
        <w:rPr>
          <w:rFonts w:ascii="Times New Roman" w:hAnsi="Times New Roman" w:cs="Times New Roman"/>
          <w:sz w:val="24"/>
          <w:szCs w:val="24"/>
        </w:rPr>
        <w:t xml:space="preserve">financial </w:t>
      </w:r>
      <w:r>
        <w:rPr>
          <w:rFonts w:ascii="Times New Roman" w:hAnsi="Times New Roman" w:cs="Times New Roman"/>
          <w:sz w:val="24"/>
          <w:szCs w:val="24"/>
        </w:rPr>
        <w:t>performance and CEO pay among 2,134 US non-profit hospitals</w:t>
      </w:r>
      <w:r w:rsidR="006D4CCE">
        <w:rPr>
          <w:rFonts w:ascii="Times New Roman" w:hAnsi="Times New Roman" w:cs="Times New Roman"/>
          <w:sz w:val="24"/>
          <w:szCs w:val="24"/>
        </w:rPr>
        <w:t>.</w:t>
      </w:r>
      <w:r>
        <w:rPr>
          <w:rFonts w:ascii="Times New Roman" w:hAnsi="Times New Roman" w:cs="Times New Roman"/>
          <w:sz w:val="24"/>
          <w:szCs w:val="24"/>
        </w:rPr>
        <w:t xml:space="preserve"> </w:t>
      </w:r>
      <w:r w:rsidR="006640A9">
        <w:rPr>
          <w:rFonts w:ascii="Times New Roman" w:hAnsi="Times New Roman" w:cs="Times New Roman"/>
          <w:sz w:val="24"/>
          <w:szCs w:val="24"/>
        </w:rPr>
        <w:t xml:space="preserve">Of closer relevance to </w:t>
      </w:r>
      <w:r w:rsidR="006D21FB">
        <w:rPr>
          <w:rFonts w:ascii="Times New Roman" w:hAnsi="Times New Roman" w:cs="Times New Roman"/>
          <w:sz w:val="24"/>
          <w:szCs w:val="24"/>
        </w:rPr>
        <w:t>our</w:t>
      </w:r>
      <w:r w:rsidR="006640A9">
        <w:rPr>
          <w:rFonts w:ascii="Times New Roman" w:hAnsi="Times New Roman" w:cs="Times New Roman"/>
          <w:sz w:val="24"/>
          <w:szCs w:val="24"/>
        </w:rPr>
        <w:t xml:space="preserve"> current study</w:t>
      </w:r>
      <w:r w:rsidR="00E00967">
        <w:rPr>
          <w:rFonts w:ascii="Times New Roman" w:hAnsi="Times New Roman" w:cs="Times New Roman"/>
          <w:sz w:val="24"/>
          <w:szCs w:val="24"/>
        </w:rPr>
        <w:t xml:space="preserve">, </w:t>
      </w:r>
      <w:r w:rsidR="00DE61C3">
        <w:rPr>
          <w:rFonts w:ascii="Times New Roman" w:hAnsi="Times New Roman" w:cs="Times New Roman"/>
          <w:sz w:val="24"/>
          <w:szCs w:val="24"/>
        </w:rPr>
        <w:t xml:space="preserve">a few </w:t>
      </w:r>
      <w:r w:rsidR="00E00967">
        <w:rPr>
          <w:rFonts w:ascii="Times New Roman" w:hAnsi="Times New Roman" w:cs="Times New Roman"/>
          <w:sz w:val="24"/>
          <w:szCs w:val="24"/>
        </w:rPr>
        <w:t xml:space="preserve">past studies have examined the effect of </w:t>
      </w:r>
      <w:r w:rsidR="00E00967" w:rsidRPr="00E00967">
        <w:rPr>
          <w:rFonts w:ascii="Times New Roman" w:hAnsi="Times New Roman" w:cs="Times New Roman"/>
          <w:sz w:val="24"/>
          <w:szCs w:val="24"/>
        </w:rPr>
        <w:t>short-term financial (</w:t>
      </w:r>
      <w:proofErr w:type="spellStart"/>
      <w:r w:rsidR="00EE1ACB" w:rsidRPr="00EE1ACB">
        <w:rPr>
          <w:rFonts w:ascii="Times New Roman" w:hAnsi="Times New Roman" w:cs="Times New Roman"/>
          <w:sz w:val="24"/>
          <w:szCs w:val="24"/>
        </w:rPr>
        <w:t>Johnes</w:t>
      </w:r>
      <w:proofErr w:type="spellEnd"/>
      <w:r w:rsidR="00EE1ACB" w:rsidRPr="00EE1ACB">
        <w:rPr>
          <w:rFonts w:ascii="Times New Roman" w:hAnsi="Times New Roman" w:cs="Times New Roman"/>
          <w:sz w:val="24"/>
          <w:szCs w:val="24"/>
        </w:rPr>
        <w:t xml:space="preserve"> and </w:t>
      </w:r>
      <w:proofErr w:type="spellStart"/>
      <w:r w:rsidR="00EE1ACB" w:rsidRPr="00EE1ACB">
        <w:rPr>
          <w:rFonts w:ascii="Times New Roman" w:hAnsi="Times New Roman" w:cs="Times New Roman"/>
          <w:sz w:val="24"/>
          <w:szCs w:val="24"/>
        </w:rPr>
        <w:t>Virmani</w:t>
      </w:r>
      <w:proofErr w:type="spellEnd"/>
      <w:r w:rsidR="00EE1ACB" w:rsidRPr="00EE1ACB">
        <w:rPr>
          <w:rFonts w:ascii="Times New Roman" w:hAnsi="Times New Roman" w:cs="Times New Roman"/>
          <w:sz w:val="24"/>
          <w:szCs w:val="24"/>
        </w:rPr>
        <w:t>, 2020</w:t>
      </w:r>
      <w:r w:rsidR="00E00967" w:rsidRPr="00E00967">
        <w:rPr>
          <w:rFonts w:ascii="Times New Roman" w:hAnsi="Times New Roman" w:cs="Times New Roman"/>
          <w:sz w:val="24"/>
          <w:szCs w:val="24"/>
        </w:rPr>
        <w:t xml:space="preserve">) </w:t>
      </w:r>
      <w:r w:rsidR="00E00967">
        <w:rPr>
          <w:rFonts w:ascii="Times New Roman" w:hAnsi="Times New Roman" w:cs="Times New Roman"/>
          <w:sz w:val="24"/>
          <w:szCs w:val="24"/>
        </w:rPr>
        <w:t>and</w:t>
      </w:r>
      <w:r w:rsidR="00D5657A">
        <w:rPr>
          <w:rFonts w:ascii="Times New Roman" w:hAnsi="Times New Roman" w:cs="Times New Roman"/>
          <w:sz w:val="24"/>
          <w:szCs w:val="24"/>
        </w:rPr>
        <w:t>/or</w:t>
      </w:r>
      <w:r w:rsidR="00E00967" w:rsidRPr="00E00967">
        <w:rPr>
          <w:rFonts w:ascii="Times New Roman" w:hAnsi="Times New Roman" w:cs="Times New Roman"/>
          <w:sz w:val="24"/>
          <w:szCs w:val="24"/>
        </w:rPr>
        <w:t xml:space="preserve"> reputational/ranking (Bugeja et al., 2021; De </w:t>
      </w:r>
      <w:proofErr w:type="spellStart"/>
      <w:r w:rsidR="00E00967" w:rsidRPr="00E00967">
        <w:rPr>
          <w:rFonts w:ascii="Times New Roman" w:hAnsi="Times New Roman" w:cs="Times New Roman"/>
          <w:sz w:val="24"/>
          <w:szCs w:val="24"/>
        </w:rPr>
        <w:lastRenderedPageBreak/>
        <w:t>Fraja</w:t>
      </w:r>
      <w:proofErr w:type="spellEnd"/>
      <w:r w:rsidR="00E00967" w:rsidRPr="00E00967">
        <w:rPr>
          <w:rFonts w:ascii="Times New Roman" w:hAnsi="Times New Roman" w:cs="Times New Roman"/>
          <w:sz w:val="24"/>
          <w:szCs w:val="24"/>
        </w:rPr>
        <w:t xml:space="preserve"> et al., 2017) performance</w:t>
      </w:r>
      <w:r w:rsidR="00E00967">
        <w:rPr>
          <w:rFonts w:ascii="Times New Roman" w:hAnsi="Times New Roman" w:cs="Times New Roman"/>
          <w:sz w:val="24"/>
          <w:szCs w:val="24"/>
        </w:rPr>
        <w:t xml:space="preserve"> on VC</w:t>
      </w:r>
      <w:r w:rsidR="003E6563">
        <w:rPr>
          <w:rFonts w:ascii="Times New Roman" w:hAnsi="Times New Roman" w:cs="Times New Roman"/>
          <w:sz w:val="24"/>
          <w:szCs w:val="24"/>
        </w:rPr>
        <w:t>s’</w:t>
      </w:r>
      <w:r w:rsidR="00E00967">
        <w:rPr>
          <w:rFonts w:ascii="Times New Roman" w:hAnsi="Times New Roman" w:cs="Times New Roman"/>
          <w:sz w:val="24"/>
          <w:szCs w:val="24"/>
        </w:rPr>
        <w:t xml:space="preserve"> pay, with the findings of most</w:t>
      </w:r>
      <w:r w:rsidR="00E00967" w:rsidRPr="00E00967">
        <w:rPr>
          <w:rFonts w:ascii="Times New Roman" w:hAnsi="Times New Roman" w:cs="Times New Roman"/>
          <w:sz w:val="24"/>
          <w:szCs w:val="24"/>
        </w:rPr>
        <w:t xml:space="preserve"> of these studies demonstrating that </w:t>
      </w:r>
      <w:r w:rsidR="00E00967">
        <w:rPr>
          <w:rFonts w:ascii="Times New Roman" w:hAnsi="Times New Roman" w:cs="Times New Roman"/>
          <w:sz w:val="24"/>
          <w:szCs w:val="24"/>
        </w:rPr>
        <w:t>HEIs short-term performance</w:t>
      </w:r>
      <w:r w:rsidR="00AC42AA">
        <w:rPr>
          <w:rFonts w:ascii="Times New Roman" w:hAnsi="Times New Roman" w:cs="Times New Roman"/>
          <w:sz w:val="24"/>
          <w:szCs w:val="24"/>
        </w:rPr>
        <w:t xml:space="preserve"> is</w:t>
      </w:r>
      <w:r w:rsidR="00E00967" w:rsidRPr="00E00967">
        <w:rPr>
          <w:rFonts w:ascii="Times New Roman" w:hAnsi="Times New Roman" w:cs="Times New Roman"/>
          <w:sz w:val="24"/>
          <w:szCs w:val="24"/>
        </w:rPr>
        <w:t xml:space="preserve"> positively </w:t>
      </w:r>
      <w:r w:rsidR="00AC42AA">
        <w:rPr>
          <w:rFonts w:ascii="Times New Roman" w:hAnsi="Times New Roman" w:cs="Times New Roman"/>
          <w:sz w:val="24"/>
          <w:szCs w:val="24"/>
        </w:rPr>
        <w:t>associated with VC</w:t>
      </w:r>
      <w:r w:rsidR="003E6563">
        <w:rPr>
          <w:rFonts w:ascii="Times New Roman" w:hAnsi="Times New Roman" w:cs="Times New Roman"/>
          <w:sz w:val="24"/>
          <w:szCs w:val="24"/>
        </w:rPr>
        <w:t>s’</w:t>
      </w:r>
      <w:r w:rsidR="00AC42AA">
        <w:rPr>
          <w:rFonts w:ascii="Times New Roman" w:hAnsi="Times New Roman" w:cs="Times New Roman"/>
          <w:sz w:val="24"/>
          <w:szCs w:val="24"/>
        </w:rPr>
        <w:t xml:space="preserve"> pay. For example, </w:t>
      </w:r>
      <w:r w:rsidR="001510B4">
        <w:rPr>
          <w:rFonts w:ascii="Times New Roman" w:hAnsi="Times New Roman" w:cs="Times New Roman"/>
          <w:sz w:val="24"/>
          <w:szCs w:val="24"/>
        </w:rPr>
        <w:t>Walker et al. (2019), who focused mainly on VC</w:t>
      </w:r>
      <w:r w:rsidR="003E6563">
        <w:rPr>
          <w:rFonts w:ascii="Times New Roman" w:hAnsi="Times New Roman" w:cs="Times New Roman"/>
          <w:sz w:val="24"/>
          <w:szCs w:val="24"/>
        </w:rPr>
        <w:t>s’</w:t>
      </w:r>
      <w:r w:rsidR="001510B4">
        <w:rPr>
          <w:rFonts w:ascii="Times New Roman" w:hAnsi="Times New Roman" w:cs="Times New Roman"/>
          <w:sz w:val="24"/>
          <w:szCs w:val="24"/>
        </w:rPr>
        <w:t xml:space="preserve"> basic pay, report that research publication performance is positively related to VC</w:t>
      </w:r>
      <w:r w:rsidR="003E6563">
        <w:rPr>
          <w:rFonts w:ascii="Times New Roman" w:hAnsi="Times New Roman" w:cs="Times New Roman"/>
          <w:sz w:val="24"/>
          <w:szCs w:val="24"/>
        </w:rPr>
        <w:t>s’</w:t>
      </w:r>
      <w:r w:rsidR="001510B4">
        <w:rPr>
          <w:rFonts w:ascii="Times New Roman" w:hAnsi="Times New Roman" w:cs="Times New Roman"/>
          <w:sz w:val="24"/>
          <w:szCs w:val="24"/>
        </w:rPr>
        <w:t xml:space="preserve"> basic pay among UK HEIs. Similarly, </w:t>
      </w:r>
      <w:proofErr w:type="spellStart"/>
      <w:r w:rsidR="00D5657A">
        <w:rPr>
          <w:rFonts w:ascii="Times New Roman" w:hAnsi="Times New Roman" w:cs="Times New Roman"/>
          <w:sz w:val="24"/>
          <w:szCs w:val="24"/>
        </w:rPr>
        <w:t>Bachan</w:t>
      </w:r>
      <w:proofErr w:type="spellEnd"/>
      <w:r w:rsidR="00D5657A">
        <w:rPr>
          <w:rFonts w:ascii="Times New Roman" w:hAnsi="Times New Roman" w:cs="Times New Roman"/>
          <w:sz w:val="24"/>
          <w:szCs w:val="24"/>
        </w:rPr>
        <w:t xml:space="preserve"> and Reilly (2015) report that </w:t>
      </w:r>
      <w:r w:rsidR="003E6563">
        <w:rPr>
          <w:rFonts w:ascii="Times New Roman" w:hAnsi="Times New Roman" w:cs="Times New Roman"/>
          <w:sz w:val="24"/>
          <w:szCs w:val="24"/>
        </w:rPr>
        <w:t xml:space="preserve">VCs’ pay is positively associated with </w:t>
      </w:r>
      <w:r w:rsidR="001D41F0">
        <w:rPr>
          <w:rFonts w:ascii="Times New Roman" w:hAnsi="Times New Roman" w:cs="Times New Roman"/>
          <w:sz w:val="24"/>
          <w:szCs w:val="24"/>
        </w:rPr>
        <w:t xml:space="preserve">HEIs’ </w:t>
      </w:r>
      <w:r w:rsidR="003E6563">
        <w:rPr>
          <w:rFonts w:ascii="Times New Roman" w:hAnsi="Times New Roman" w:cs="Times New Roman"/>
          <w:sz w:val="24"/>
          <w:szCs w:val="24"/>
        </w:rPr>
        <w:t>financial and research income</w:t>
      </w:r>
      <w:r w:rsidR="001D41F0">
        <w:rPr>
          <w:rFonts w:ascii="Times New Roman" w:hAnsi="Times New Roman" w:cs="Times New Roman"/>
          <w:sz w:val="24"/>
          <w:szCs w:val="24"/>
        </w:rPr>
        <w:t xml:space="preserve"> performance among 95 UK HEIs. </w:t>
      </w:r>
      <w:r w:rsidR="00CC76A6">
        <w:rPr>
          <w:rFonts w:ascii="Times New Roman" w:hAnsi="Times New Roman" w:cs="Times New Roman"/>
          <w:sz w:val="24"/>
          <w:szCs w:val="24"/>
        </w:rPr>
        <w:t>Nevertheless, these studies have mainly focused on the short-term</w:t>
      </w:r>
      <w:r w:rsidR="006D21FB">
        <w:rPr>
          <w:rFonts w:ascii="Times New Roman" w:hAnsi="Times New Roman" w:cs="Times New Roman"/>
          <w:sz w:val="24"/>
          <w:szCs w:val="24"/>
        </w:rPr>
        <w:t xml:space="preserve"> financial</w:t>
      </w:r>
      <w:r w:rsidR="00CC76A6">
        <w:rPr>
          <w:rFonts w:ascii="Times New Roman" w:hAnsi="Times New Roman" w:cs="Times New Roman"/>
          <w:sz w:val="24"/>
          <w:szCs w:val="24"/>
        </w:rPr>
        <w:t xml:space="preserve"> performance of HEIs, and surprisingly neglected the impact of HEIs’ long-term social performance on VCs pay. </w:t>
      </w:r>
      <w:r w:rsidR="005539F1">
        <w:rPr>
          <w:rFonts w:ascii="Times New Roman" w:hAnsi="Times New Roman" w:cs="Times New Roman"/>
          <w:sz w:val="24"/>
          <w:szCs w:val="24"/>
        </w:rPr>
        <w:t>T</w:t>
      </w:r>
      <w:r w:rsidR="00CC76A6">
        <w:rPr>
          <w:rFonts w:ascii="Times New Roman" w:hAnsi="Times New Roman" w:cs="Times New Roman"/>
          <w:sz w:val="24"/>
          <w:szCs w:val="24"/>
        </w:rPr>
        <w:t xml:space="preserve">herefore, </w:t>
      </w:r>
      <w:r w:rsidR="000C02FE">
        <w:rPr>
          <w:rFonts w:ascii="Times New Roman" w:hAnsi="Times New Roman" w:cs="Times New Roman"/>
          <w:sz w:val="24"/>
          <w:szCs w:val="24"/>
        </w:rPr>
        <w:t>the current</w:t>
      </w:r>
      <w:r w:rsidR="00CC76A6">
        <w:rPr>
          <w:rFonts w:ascii="Times New Roman" w:hAnsi="Times New Roman" w:cs="Times New Roman"/>
          <w:sz w:val="24"/>
          <w:szCs w:val="24"/>
        </w:rPr>
        <w:t xml:space="preserve"> study seeks to contribute to the extant literature by </w:t>
      </w:r>
      <w:r w:rsidR="005539F1" w:rsidRPr="005539F1">
        <w:rPr>
          <w:rFonts w:ascii="Times New Roman" w:hAnsi="Times New Roman" w:cs="Times New Roman"/>
          <w:sz w:val="24"/>
          <w:szCs w:val="24"/>
        </w:rPr>
        <w:t>focusing heavily on long-term social performance</w:t>
      </w:r>
      <w:r w:rsidR="000C02FE">
        <w:rPr>
          <w:rFonts w:ascii="Times New Roman" w:hAnsi="Times New Roman" w:cs="Times New Roman"/>
          <w:sz w:val="24"/>
          <w:szCs w:val="24"/>
        </w:rPr>
        <w:t xml:space="preserve"> measures</w:t>
      </w:r>
      <w:r w:rsidR="005539F1" w:rsidRPr="005539F1">
        <w:rPr>
          <w:rFonts w:ascii="Times New Roman" w:hAnsi="Times New Roman" w:cs="Times New Roman"/>
          <w:sz w:val="24"/>
          <w:szCs w:val="24"/>
        </w:rPr>
        <w:t xml:space="preserve">, in addition to short-term </w:t>
      </w:r>
      <w:r w:rsidR="0096347D">
        <w:rPr>
          <w:rFonts w:ascii="Times New Roman" w:hAnsi="Times New Roman" w:cs="Times New Roman"/>
          <w:sz w:val="24"/>
          <w:szCs w:val="24"/>
        </w:rPr>
        <w:t>financial/</w:t>
      </w:r>
      <w:r w:rsidR="005539F1" w:rsidRPr="005539F1">
        <w:rPr>
          <w:rFonts w:ascii="Times New Roman" w:hAnsi="Times New Roman" w:cs="Times New Roman"/>
          <w:sz w:val="24"/>
          <w:szCs w:val="24"/>
        </w:rPr>
        <w:t xml:space="preserve">reputational performance measures </w:t>
      </w:r>
      <w:r w:rsidR="000C02FE">
        <w:rPr>
          <w:rFonts w:ascii="Times New Roman" w:hAnsi="Times New Roman" w:cs="Times New Roman"/>
          <w:sz w:val="24"/>
          <w:szCs w:val="24"/>
        </w:rPr>
        <w:t>and their impact on VCs’ basic, non-basic and total pay</w:t>
      </w:r>
      <w:r w:rsidR="005539F1" w:rsidRPr="005539F1">
        <w:rPr>
          <w:rFonts w:ascii="Times New Roman" w:hAnsi="Times New Roman" w:cs="Times New Roman"/>
          <w:sz w:val="24"/>
          <w:szCs w:val="24"/>
        </w:rPr>
        <w:t>.</w:t>
      </w:r>
    </w:p>
    <w:p w14:paraId="2DB775C6" w14:textId="762E6B25" w:rsidR="001042E2" w:rsidRPr="007C2854" w:rsidRDefault="00910975" w:rsidP="001042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UK HEI context, </w:t>
      </w:r>
      <w:r w:rsidR="0095492B">
        <w:rPr>
          <w:rFonts w:ascii="Times New Roman" w:hAnsi="Times New Roman" w:cs="Times New Roman"/>
          <w:sz w:val="24"/>
          <w:szCs w:val="24"/>
        </w:rPr>
        <w:t xml:space="preserve">and </w:t>
      </w:r>
      <w:r>
        <w:rPr>
          <w:rFonts w:ascii="Times New Roman" w:hAnsi="Times New Roman" w:cs="Times New Roman"/>
          <w:sz w:val="24"/>
          <w:szCs w:val="24"/>
        </w:rPr>
        <w:t xml:space="preserve">as discussed earlier, the </w:t>
      </w:r>
      <w:proofErr w:type="spellStart"/>
      <w:r>
        <w:rPr>
          <w:rFonts w:ascii="Times New Roman" w:hAnsi="Times New Roman" w:cs="Times New Roman"/>
          <w:sz w:val="24"/>
          <w:szCs w:val="24"/>
        </w:rPr>
        <w:t>financi</w:t>
      </w:r>
      <w:r w:rsidR="00DE61C3">
        <w:rPr>
          <w:rFonts w:ascii="Times New Roman" w:hAnsi="Times New Roman" w:cs="Times New Roman"/>
          <w:sz w:val="24"/>
          <w:szCs w:val="24"/>
        </w:rPr>
        <w:t>a</w:t>
      </w:r>
      <w:r>
        <w:rPr>
          <w:rFonts w:ascii="Times New Roman" w:hAnsi="Times New Roman" w:cs="Times New Roman"/>
          <w:sz w:val="24"/>
          <w:szCs w:val="24"/>
        </w:rPr>
        <w:t>lisation</w:t>
      </w:r>
      <w:proofErr w:type="spellEnd"/>
      <w:r>
        <w:rPr>
          <w:rFonts w:ascii="Times New Roman" w:hAnsi="Times New Roman" w:cs="Times New Roman"/>
          <w:sz w:val="24"/>
          <w:szCs w:val="24"/>
        </w:rPr>
        <w:t>/marketisation of HE sector has increasingly encouraged the adoption of metric-driven approach</w:t>
      </w:r>
      <w:r w:rsidR="00630552">
        <w:rPr>
          <w:rFonts w:ascii="Times New Roman" w:hAnsi="Times New Roman" w:cs="Times New Roman"/>
          <w:sz w:val="24"/>
          <w:szCs w:val="24"/>
        </w:rPr>
        <w:t>es (</w:t>
      </w:r>
      <w:r w:rsidR="00BD456B">
        <w:rPr>
          <w:rFonts w:ascii="Times New Roman" w:hAnsi="Times New Roman" w:cs="Times New Roman"/>
          <w:sz w:val="24"/>
          <w:szCs w:val="24"/>
        </w:rPr>
        <w:t>financial/</w:t>
      </w:r>
      <w:r w:rsidR="00630552">
        <w:rPr>
          <w:rFonts w:ascii="Times New Roman" w:hAnsi="Times New Roman" w:cs="Times New Roman"/>
          <w:sz w:val="24"/>
          <w:szCs w:val="24"/>
        </w:rPr>
        <w:t>teaching/research rankings)</w:t>
      </w:r>
      <w:r>
        <w:rPr>
          <w:rFonts w:ascii="Times New Roman" w:hAnsi="Times New Roman" w:cs="Times New Roman"/>
          <w:sz w:val="24"/>
          <w:szCs w:val="24"/>
        </w:rPr>
        <w:t xml:space="preserve"> to assess the performance of HEIs</w:t>
      </w:r>
      <w:r w:rsidR="00630552">
        <w:rPr>
          <w:rFonts w:ascii="Times New Roman" w:hAnsi="Times New Roman" w:cs="Times New Roman"/>
          <w:sz w:val="24"/>
          <w:szCs w:val="24"/>
        </w:rPr>
        <w:t>. Consequently, this, arguably, has</w:t>
      </w:r>
      <w:r w:rsidR="00630552" w:rsidRPr="00630552">
        <w:rPr>
          <w:rFonts w:ascii="Times New Roman" w:hAnsi="Times New Roman" w:cs="Times New Roman"/>
          <w:sz w:val="24"/>
          <w:szCs w:val="24"/>
        </w:rPr>
        <w:t xml:space="preserve"> turned VCs to behave as value-maximising agent</w:t>
      </w:r>
      <w:r w:rsidR="00630552">
        <w:rPr>
          <w:rFonts w:ascii="Times New Roman" w:hAnsi="Times New Roman" w:cs="Times New Roman"/>
          <w:sz w:val="24"/>
          <w:szCs w:val="24"/>
        </w:rPr>
        <w:t>s</w:t>
      </w:r>
      <w:r w:rsidR="00630552" w:rsidRPr="00630552">
        <w:rPr>
          <w:rFonts w:ascii="Times New Roman" w:hAnsi="Times New Roman" w:cs="Times New Roman"/>
          <w:sz w:val="24"/>
          <w:szCs w:val="24"/>
        </w:rPr>
        <w:t xml:space="preserve">, like CEOs of corporations, by motivating them to focus </w:t>
      </w:r>
      <w:r w:rsidR="00016ABC">
        <w:rPr>
          <w:rFonts w:ascii="Times New Roman" w:hAnsi="Times New Roman" w:cs="Times New Roman"/>
          <w:sz w:val="24"/>
          <w:szCs w:val="24"/>
        </w:rPr>
        <w:t xml:space="preserve">more </w:t>
      </w:r>
      <w:r w:rsidR="00630552" w:rsidRPr="00630552">
        <w:rPr>
          <w:rFonts w:ascii="Times New Roman" w:hAnsi="Times New Roman" w:cs="Times New Roman"/>
          <w:sz w:val="24"/>
          <w:szCs w:val="24"/>
        </w:rPr>
        <w:t xml:space="preserve">on short-term </w:t>
      </w:r>
      <w:r w:rsidR="00BD456B">
        <w:rPr>
          <w:rFonts w:ascii="Times New Roman" w:hAnsi="Times New Roman" w:cs="Times New Roman"/>
          <w:sz w:val="24"/>
          <w:szCs w:val="24"/>
        </w:rPr>
        <w:t xml:space="preserve">financial/non-financial </w:t>
      </w:r>
      <w:r w:rsidR="00630552" w:rsidRPr="00630552">
        <w:rPr>
          <w:rFonts w:ascii="Times New Roman" w:hAnsi="Times New Roman" w:cs="Times New Roman"/>
          <w:sz w:val="24"/>
          <w:szCs w:val="24"/>
        </w:rPr>
        <w:t>performance oriented-metrics</w:t>
      </w:r>
      <w:r w:rsidR="00630552">
        <w:rPr>
          <w:rFonts w:ascii="Times New Roman" w:hAnsi="Times New Roman" w:cs="Times New Roman"/>
          <w:sz w:val="24"/>
          <w:szCs w:val="24"/>
        </w:rPr>
        <w:t xml:space="preserve"> </w:t>
      </w:r>
      <w:proofErr w:type="gramStart"/>
      <w:r w:rsidR="00630552">
        <w:rPr>
          <w:rFonts w:ascii="Times New Roman" w:hAnsi="Times New Roman" w:cs="Times New Roman"/>
          <w:sz w:val="24"/>
          <w:szCs w:val="24"/>
        </w:rPr>
        <w:t>in order to</w:t>
      </w:r>
      <w:proofErr w:type="gramEnd"/>
      <w:r w:rsidR="00630552">
        <w:rPr>
          <w:rFonts w:ascii="Times New Roman" w:hAnsi="Times New Roman" w:cs="Times New Roman"/>
          <w:sz w:val="24"/>
          <w:szCs w:val="24"/>
        </w:rPr>
        <w:t xml:space="preserve"> justify their high pay</w:t>
      </w:r>
      <w:r w:rsidR="001042E2">
        <w:rPr>
          <w:rFonts w:ascii="Times New Roman" w:hAnsi="Times New Roman" w:cs="Times New Roman"/>
          <w:sz w:val="24"/>
          <w:szCs w:val="24"/>
        </w:rPr>
        <w:t xml:space="preserve">, </w:t>
      </w:r>
      <w:r w:rsidR="001042E2">
        <w:rPr>
          <w:rFonts w:asciiTheme="majorBidi" w:hAnsiTheme="majorBidi" w:cstheme="majorBidi"/>
          <w:sz w:val="24"/>
          <w:szCs w:val="24"/>
        </w:rPr>
        <w:t>and thus, we hypothesis</w:t>
      </w:r>
      <w:r w:rsidR="00DF1EEA">
        <w:rPr>
          <w:rFonts w:asciiTheme="majorBidi" w:hAnsiTheme="majorBidi" w:cstheme="majorBidi"/>
          <w:sz w:val="24"/>
          <w:szCs w:val="24"/>
        </w:rPr>
        <w:t>e</w:t>
      </w:r>
      <w:r w:rsidR="001042E2">
        <w:rPr>
          <w:rFonts w:asciiTheme="majorBidi" w:hAnsiTheme="majorBidi" w:cstheme="majorBidi"/>
          <w:sz w:val="24"/>
          <w:szCs w:val="24"/>
        </w:rPr>
        <w:t xml:space="preserve"> that: </w:t>
      </w:r>
    </w:p>
    <w:p w14:paraId="6476C1E7" w14:textId="5C0C9666" w:rsidR="009810AC" w:rsidRDefault="009810AC" w:rsidP="009879E8">
      <w:pPr>
        <w:spacing w:line="240" w:lineRule="auto"/>
        <w:ind w:left="720"/>
        <w:jc w:val="both"/>
        <w:rPr>
          <w:rFonts w:asciiTheme="majorBidi" w:hAnsiTheme="majorBidi" w:cstheme="majorBidi"/>
          <w:sz w:val="24"/>
          <w:szCs w:val="24"/>
        </w:rPr>
      </w:pPr>
      <w:r w:rsidRPr="00511F36">
        <w:rPr>
          <w:rFonts w:asciiTheme="majorBidi" w:hAnsiTheme="majorBidi" w:cstheme="majorBidi"/>
          <w:i/>
          <w:iCs/>
          <w:sz w:val="24"/>
          <w:szCs w:val="24"/>
        </w:rPr>
        <w:t>H</w:t>
      </w:r>
      <w:r>
        <w:rPr>
          <w:rFonts w:asciiTheme="majorBidi" w:hAnsiTheme="majorBidi" w:cstheme="majorBidi"/>
          <w:i/>
          <w:iCs/>
          <w:sz w:val="24"/>
          <w:szCs w:val="24"/>
        </w:rPr>
        <w:t>ypothesis 1b</w:t>
      </w:r>
      <w:r w:rsidRPr="00511F36">
        <w:rPr>
          <w:rFonts w:asciiTheme="majorBidi" w:hAnsiTheme="majorBidi" w:cstheme="majorBidi"/>
          <w:i/>
          <w:iCs/>
          <w:sz w:val="24"/>
          <w:szCs w:val="24"/>
        </w:rPr>
        <w:t xml:space="preserve">: </w:t>
      </w:r>
      <w:r w:rsidRPr="008E605B">
        <w:rPr>
          <w:rFonts w:asciiTheme="majorBidi" w:hAnsiTheme="majorBidi" w:cstheme="majorBidi"/>
          <w:i/>
          <w:iCs/>
          <w:sz w:val="24"/>
          <w:szCs w:val="24"/>
        </w:rPr>
        <w:t xml:space="preserve">There is a </w:t>
      </w:r>
      <w:r>
        <w:rPr>
          <w:rFonts w:asciiTheme="majorBidi" w:hAnsiTheme="majorBidi" w:cstheme="majorBidi"/>
          <w:i/>
          <w:iCs/>
          <w:sz w:val="24"/>
          <w:szCs w:val="24"/>
        </w:rPr>
        <w:t>positive</w:t>
      </w:r>
      <w:r w:rsidRPr="000D6E7A">
        <w:rPr>
          <w:rFonts w:asciiTheme="majorBidi" w:hAnsiTheme="majorBidi" w:cstheme="majorBidi"/>
          <w:i/>
          <w:iCs/>
          <w:sz w:val="24"/>
          <w:szCs w:val="24"/>
        </w:rPr>
        <w:t xml:space="preserve"> </w:t>
      </w:r>
      <w:r w:rsidRPr="008E605B">
        <w:rPr>
          <w:rFonts w:asciiTheme="majorBidi" w:hAnsiTheme="majorBidi" w:cstheme="majorBidi"/>
          <w:i/>
          <w:iCs/>
          <w:sz w:val="24"/>
          <w:szCs w:val="24"/>
        </w:rPr>
        <w:t>association between</w:t>
      </w:r>
      <w:r>
        <w:rPr>
          <w:rFonts w:asciiTheme="majorBidi" w:hAnsiTheme="majorBidi" w:cstheme="majorBidi"/>
          <w:i/>
          <w:iCs/>
          <w:sz w:val="24"/>
          <w:szCs w:val="24"/>
        </w:rPr>
        <w:t xml:space="preserve"> VC pay and short-term performance </w:t>
      </w:r>
      <w:r w:rsidR="00D565F4">
        <w:rPr>
          <w:rFonts w:asciiTheme="majorBidi" w:hAnsiTheme="majorBidi" w:cstheme="majorBidi"/>
          <w:i/>
          <w:iCs/>
          <w:sz w:val="24"/>
          <w:szCs w:val="24"/>
        </w:rPr>
        <w:t>in</w:t>
      </w:r>
      <w:r>
        <w:rPr>
          <w:rFonts w:asciiTheme="majorBidi" w:hAnsiTheme="majorBidi" w:cstheme="majorBidi"/>
          <w:i/>
          <w:iCs/>
          <w:sz w:val="24"/>
          <w:szCs w:val="24"/>
        </w:rPr>
        <w:t xml:space="preserve"> HEIs</w:t>
      </w:r>
      <w:r w:rsidRPr="00511F36">
        <w:rPr>
          <w:rFonts w:asciiTheme="majorBidi" w:hAnsiTheme="majorBidi" w:cstheme="majorBidi"/>
          <w:sz w:val="24"/>
          <w:szCs w:val="24"/>
        </w:rPr>
        <w:t>.</w:t>
      </w:r>
    </w:p>
    <w:p w14:paraId="77471FDD" w14:textId="77777777" w:rsidR="006E16A1" w:rsidRDefault="006E16A1" w:rsidP="003026CF">
      <w:pPr>
        <w:spacing w:line="240" w:lineRule="auto"/>
        <w:jc w:val="both"/>
        <w:rPr>
          <w:rFonts w:asciiTheme="majorBidi" w:hAnsiTheme="majorBidi" w:cstheme="majorBidi"/>
          <w:sz w:val="24"/>
          <w:szCs w:val="24"/>
        </w:rPr>
      </w:pPr>
    </w:p>
    <w:p w14:paraId="7D7EA970" w14:textId="7E3AE956" w:rsidR="00BF2A01" w:rsidRPr="003026CF" w:rsidRDefault="003026CF" w:rsidP="006E16A1">
      <w:pPr>
        <w:spacing w:before="240" w:line="360" w:lineRule="auto"/>
        <w:jc w:val="both"/>
        <w:rPr>
          <w:rFonts w:asciiTheme="majorBidi" w:hAnsiTheme="majorBidi" w:cstheme="majorBidi"/>
          <w:b/>
          <w:bCs/>
          <w:i/>
          <w:sz w:val="24"/>
          <w:szCs w:val="24"/>
        </w:rPr>
      </w:pPr>
      <w:r w:rsidRPr="003026CF">
        <w:rPr>
          <w:rFonts w:asciiTheme="majorBidi" w:hAnsiTheme="majorBidi" w:cstheme="majorBidi"/>
          <w:b/>
          <w:bCs/>
          <w:i/>
          <w:sz w:val="24"/>
          <w:szCs w:val="24"/>
        </w:rPr>
        <w:t>The moderating e</w:t>
      </w:r>
      <w:r w:rsidR="00E969EA" w:rsidRPr="003026CF">
        <w:rPr>
          <w:rFonts w:asciiTheme="majorBidi" w:hAnsiTheme="majorBidi" w:cstheme="majorBidi"/>
          <w:b/>
          <w:bCs/>
          <w:i/>
          <w:sz w:val="24"/>
          <w:szCs w:val="24"/>
        </w:rPr>
        <w:t>ffect of</w:t>
      </w:r>
      <w:r w:rsidRPr="003026CF">
        <w:rPr>
          <w:rFonts w:asciiTheme="majorBidi" w:hAnsiTheme="majorBidi" w:cstheme="majorBidi"/>
          <w:b/>
          <w:bCs/>
          <w:i/>
          <w:sz w:val="24"/>
          <w:szCs w:val="24"/>
        </w:rPr>
        <w:t xml:space="preserve"> VC characteristics on the VC p</w:t>
      </w:r>
      <w:r w:rsidR="008F6C58" w:rsidRPr="003026CF">
        <w:rPr>
          <w:rFonts w:asciiTheme="majorBidi" w:hAnsiTheme="majorBidi" w:cstheme="majorBidi"/>
          <w:b/>
          <w:bCs/>
          <w:i/>
          <w:sz w:val="24"/>
          <w:szCs w:val="24"/>
        </w:rPr>
        <w:t>ay–</w:t>
      </w:r>
      <w:r w:rsidRPr="003026CF">
        <w:rPr>
          <w:rFonts w:asciiTheme="majorBidi" w:hAnsiTheme="majorBidi" w:cstheme="majorBidi"/>
          <w:b/>
          <w:bCs/>
          <w:i/>
          <w:sz w:val="24"/>
          <w:szCs w:val="24"/>
        </w:rPr>
        <w:t>performance n</w:t>
      </w:r>
      <w:r w:rsidR="00BF2A01" w:rsidRPr="003026CF">
        <w:rPr>
          <w:rFonts w:asciiTheme="majorBidi" w:hAnsiTheme="majorBidi" w:cstheme="majorBidi"/>
          <w:b/>
          <w:bCs/>
          <w:i/>
          <w:sz w:val="24"/>
          <w:szCs w:val="24"/>
        </w:rPr>
        <w:t>exus</w:t>
      </w:r>
    </w:p>
    <w:p w14:paraId="482762B9" w14:textId="61581DE0" w:rsidR="007664AA" w:rsidRDefault="00D12D32" w:rsidP="00FA3FB1">
      <w:pPr>
        <w:spacing w:after="0" w:line="480" w:lineRule="auto"/>
        <w:jc w:val="both"/>
        <w:rPr>
          <w:rFonts w:ascii="Times New Roman" w:hAnsi="Times New Roman" w:cs="Times New Roman"/>
          <w:sz w:val="24"/>
          <w:szCs w:val="24"/>
          <w:shd w:val="clear" w:color="auto" w:fill="FFFFFF"/>
        </w:rPr>
      </w:pPr>
      <w:r w:rsidRPr="00F3124A">
        <w:rPr>
          <w:rFonts w:ascii="Times New Roman" w:hAnsi="Times New Roman" w:cs="Times New Roman"/>
          <w:sz w:val="24"/>
          <w:szCs w:val="24"/>
        </w:rPr>
        <w:t xml:space="preserve">As </w:t>
      </w:r>
      <w:r w:rsidR="005D5D0E">
        <w:rPr>
          <w:rFonts w:ascii="Times New Roman" w:hAnsi="Times New Roman" w:cs="Times New Roman"/>
          <w:sz w:val="24"/>
          <w:szCs w:val="24"/>
        </w:rPr>
        <w:t>noted</w:t>
      </w:r>
      <w:r w:rsidRPr="00F3124A">
        <w:rPr>
          <w:rFonts w:ascii="Times New Roman" w:hAnsi="Times New Roman" w:cs="Times New Roman"/>
          <w:sz w:val="24"/>
          <w:szCs w:val="24"/>
        </w:rPr>
        <w:t xml:space="preserve"> above, prior studies have largely </w:t>
      </w:r>
      <w:r>
        <w:rPr>
          <w:rFonts w:ascii="Times New Roman" w:hAnsi="Times New Roman" w:cs="Times New Roman"/>
          <w:sz w:val="24"/>
          <w:szCs w:val="24"/>
        </w:rPr>
        <w:t xml:space="preserve">investigated </w:t>
      </w:r>
      <w:r w:rsidR="005D5D0E">
        <w:rPr>
          <w:rFonts w:ascii="Times New Roman" w:hAnsi="Times New Roman" w:cs="Times New Roman"/>
          <w:sz w:val="24"/>
          <w:szCs w:val="24"/>
        </w:rPr>
        <w:t xml:space="preserve">the direct link between pay </w:t>
      </w:r>
      <w:r w:rsidR="006D1910">
        <w:rPr>
          <w:rFonts w:ascii="Times New Roman" w:hAnsi="Times New Roman" w:cs="Times New Roman"/>
          <w:sz w:val="24"/>
          <w:szCs w:val="24"/>
        </w:rPr>
        <w:t xml:space="preserve">and performance </w:t>
      </w:r>
      <w:r w:rsidR="005D5D0E">
        <w:rPr>
          <w:rFonts w:ascii="Times New Roman" w:hAnsi="Times New Roman" w:cs="Times New Roman"/>
          <w:sz w:val="24"/>
          <w:szCs w:val="24"/>
        </w:rPr>
        <w:t>among profitable organisations and reported mixed results (</w:t>
      </w:r>
      <w:proofErr w:type="spellStart"/>
      <w:r w:rsidR="005D5D0E" w:rsidRPr="00DE3411">
        <w:rPr>
          <w:rFonts w:asciiTheme="majorBidi" w:hAnsiTheme="majorBidi" w:cstheme="majorBidi"/>
          <w:sz w:val="24"/>
          <w:szCs w:val="24"/>
        </w:rPr>
        <w:t>Focke</w:t>
      </w:r>
      <w:proofErr w:type="spellEnd"/>
      <w:r w:rsidR="005D5D0E" w:rsidRPr="00DE3411">
        <w:rPr>
          <w:rFonts w:asciiTheme="majorBidi" w:hAnsiTheme="majorBidi" w:cstheme="majorBidi"/>
          <w:sz w:val="24"/>
          <w:szCs w:val="24"/>
        </w:rPr>
        <w:t xml:space="preserve"> </w:t>
      </w:r>
      <w:r w:rsidR="005D5D0E">
        <w:rPr>
          <w:rFonts w:asciiTheme="majorBidi" w:hAnsiTheme="majorBidi" w:cstheme="majorBidi"/>
          <w:sz w:val="24"/>
          <w:szCs w:val="24"/>
        </w:rPr>
        <w:t xml:space="preserve">et al., 2017; </w:t>
      </w:r>
      <w:r w:rsidR="005D5D0E" w:rsidRPr="00F81159">
        <w:rPr>
          <w:rFonts w:asciiTheme="majorBidi" w:hAnsiTheme="majorBidi" w:cstheme="majorBidi"/>
          <w:sz w:val="24"/>
          <w:szCs w:val="24"/>
        </w:rPr>
        <w:t xml:space="preserve">McGuire </w:t>
      </w:r>
      <w:r w:rsidR="005D5D0E">
        <w:rPr>
          <w:rFonts w:asciiTheme="majorBidi" w:hAnsiTheme="majorBidi" w:cstheme="majorBidi"/>
          <w:sz w:val="24"/>
          <w:szCs w:val="24"/>
        </w:rPr>
        <w:t xml:space="preserve">et al., 2003). </w:t>
      </w:r>
      <w:r w:rsidR="00A4022E">
        <w:rPr>
          <w:rFonts w:asciiTheme="majorBidi" w:hAnsiTheme="majorBidi" w:cstheme="majorBidi"/>
          <w:sz w:val="24"/>
          <w:szCs w:val="24"/>
        </w:rPr>
        <w:t xml:space="preserve">A major weakness of these studies is that they failed to consider the moderating effect of senior management characteristics on this relationship. </w:t>
      </w:r>
      <w:r w:rsidR="00D46633">
        <w:rPr>
          <w:rFonts w:asciiTheme="majorBidi" w:hAnsiTheme="majorBidi" w:cstheme="majorBidi"/>
          <w:sz w:val="24"/>
          <w:szCs w:val="24"/>
        </w:rPr>
        <w:t xml:space="preserve">It has been argued that </w:t>
      </w:r>
      <w:r w:rsidR="005D5D0E">
        <w:rPr>
          <w:rFonts w:asciiTheme="majorBidi" w:hAnsiTheme="majorBidi" w:cstheme="majorBidi"/>
          <w:sz w:val="24"/>
          <w:szCs w:val="24"/>
        </w:rPr>
        <w:t xml:space="preserve">the extent to which </w:t>
      </w:r>
      <w:r w:rsidR="00E529D9">
        <w:rPr>
          <w:rFonts w:asciiTheme="majorBidi" w:hAnsiTheme="majorBidi" w:cstheme="majorBidi"/>
          <w:sz w:val="24"/>
          <w:szCs w:val="24"/>
        </w:rPr>
        <w:t>a</w:t>
      </w:r>
      <w:r w:rsidR="00D509A0">
        <w:rPr>
          <w:rFonts w:asciiTheme="majorBidi" w:hAnsiTheme="majorBidi" w:cstheme="majorBidi"/>
          <w:sz w:val="24"/>
          <w:szCs w:val="24"/>
        </w:rPr>
        <w:t xml:space="preserve"> HEI</w:t>
      </w:r>
      <w:r w:rsidR="00E529D9">
        <w:rPr>
          <w:rFonts w:asciiTheme="majorBidi" w:hAnsiTheme="majorBidi" w:cstheme="majorBidi"/>
          <w:sz w:val="24"/>
          <w:szCs w:val="24"/>
        </w:rPr>
        <w:t xml:space="preserve"> </w:t>
      </w:r>
      <w:r w:rsidR="005D5D0E">
        <w:rPr>
          <w:rFonts w:asciiTheme="majorBidi" w:hAnsiTheme="majorBidi" w:cstheme="majorBidi"/>
          <w:sz w:val="24"/>
          <w:szCs w:val="24"/>
        </w:rPr>
        <w:t xml:space="preserve">performance can influence senior management pay </w:t>
      </w:r>
      <w:r w:rsidR="00E529D9">
        <w:rPr>
          <w:rFonts w:asciiTheme="majorBidi" w:hAnsiTheme="majorBidi" w:cstheme="majorBidi"/>
          <w:sz w:val="24"/>
          <w:szCs w:val="24"/>
        </w:rPr>
        <w:t xml:space="preserve">may be contingent on </w:t>
      </w:r>
      <w:r w:rsidR="00A4022E">
        <w:rPr>
          <w:rFonts w:asciiTheme="majorBidi" w:hAnsiTheme="majorBidi" w:cstheme="majorBidi"/>
          <w:sz w:val="24"/>
          <w:szCs w:val="24"/>
        </w:rPr>
        <w:t>VC</w:t>
      </w:r>
      <w:r w:rsidR="00E529D9">
        <w:rPr>
          <w:rFonts w:asciiTheme="majorBidi" w:hAnsiTheme="majorBidi" w:cstheme="majorBidi"/>
          <w:sz w:val="24"/>
          <w:szCs w:val="24"/>
        </w:rPr>
        <w:t xml:space="preserve"> attributes</w:t>
      </w:r>
      <w:r w:rsidR="00A4022E">
        <w:rPr>
          <w:rFonts w:asciiTheme="majorBidi" w:hAnsiTheme="majorBidi" w:cstheme="majorBidi"/>
          <w:sz w:val="24"/>
          <w:szCs w:val="24"/>
        </w:rPr>
        <w:t>, such as damehood/knighthood and tenure</w:t>
      </w:r>
      <w:r w:rsidR="00E529D9">
        <w:rPr>
          <w:rFonts w:asciiTheme="majorBidi" w:hAnsiTheme="majorBidi" w:cstheme="majorBidi"/>
          <w:sz w:val="24"/>
          <w:szCs w:val="24"/>
        </w:rPr>
        <w:t xml:space="preserve"> (</w:t>
      </w:r>
      <w:r w:rsidR="00A4022E" w:rsidRPr="00A4022E">
        <w:rPr>
          <w:rFonts w:asciiTheme="majorBidi" w:hAnsiTheme="majorBidi" w:cstheme="majorBidi"/>
          <w:sz w:val="24"/>
          <w:szCs w:val="24"/>
        </w:rPr>
        <w:t>Breakwell</w:t>
      </w:r>
      <w:r w:rsidR="00A4022E">
        <w:rPr>
          <w:rFonts w:asciiTheme="majorBidi" w:hAnsiTheme="majorBidi" w:cstheme="majorBidi"/>
          <w:sz w:val="24"/>
          <w:szCs w:val="24"/>
        </w:rPr>
        <w:t xml:space="preserve"> and </w:t>
      </w:r>
      <w:proofErr w:type="spellStart"/>
      <w:r w:rsidR="00A4022E" w:rsidRPr="00A4022E">
        <w:rPr>
          <w:rFonts w:asciiTheme="majorBidi" w:hAnsiTheme="majorBidi" w:cstheme="majorBidi"/>
          <w:sz w:val="24"/>
          <w:szCs w:val="24"/>
        </w:rPr>
        <w:lastRenderedPageBreak/>
        <w:t>Tytherleigh</w:t>
      </w:r>
      <w:proofErr w:type="spellEnd"/>
      <w:r w:rsidR="00A4022E" w:rsidRPr="00A4022E">
        <w:rPr>
          <w:rFonts w:asciiTheme="majorBidi" w:hAnsiTheme="majorBidi" w:cstheme="majorBidi"/>
          <w:sz w:val="24"/>
          <w:szCs w:val="24"/>
        </w:rPr>
        <w:t>, 2010</w:t>
      </w:r>
      <w:r w:rsidR="00D509A0" w:rsidRPr="00A4022E">
        <w:rPr>
          <w:rFonts w:asciiTheme="majorBidi" w:hAnsiTheme="majorBidi" w:cstheme="majorBidi"/>
          <w:sz w:val="24"/>
          <w:szCs w:val="24"/>
        </w:rPr>
        <w:t>).</w:t>
      </w:r>
      <w:r w:rsidR="00D46633">
        <w:rPr>
          <w:rFonts w:asciiTheme="majorBidi" w:hAnsiTheme="majorBidi" w:cstheme="majorBidi"/>
          <w:sz w:val="24"/>
          <w:szCs w:val="24"/>
        </w:rPr>
        <w:t xml:space="preserve"> Consequently, this study seeks to</w:t>
      </w:r>
      <w:r w:rsidR="009201EA">
        <w:rPr>
          <w:rFonts w:asciiTheme="majorBidi" w:hAnsiTheme="majorBidi" w:cstheme="majorBidi"/>
          <w:sz w:val="24"/>
          <w:szCs w:val="24"/>
        </w:rPr>
        <w:t xml:space="preserve"> contribute to extant literature by</w:t>
      </w:r>
      <w:r w:rsidR="00D46633">
        <w:rPr>
          <w:rFonts w:asciiTheme="majorBidi" w:hAnsiTheme="majorBidi" w:cstheme="majorBidi"/>
          <w:sz w:val="24"/>
          <w:szCs w:val="24"/>
        </w:rPr>
        <w:t xml:space="preserve"> examin</w:t>
      </w:r>
      <w:r w:rsidR="009201EA">
        <w:rPr>
          <w:rFonts w:asciiTheme="majorBidi" w:hAnsiTheme="majorBidi" w:cstheme="majorBidi"/>
          <w:sz w:val="24"/>
          <w:szCs w:val="24"/>
        </w:rPr>
        <w:t>ing</w:t>
      </w:r>
      <w:r w:rsidR="00D46633">
        <w:rPr>
          <w:rFonts w:asciiTheme="majorBidi" w:hAnsiTheme="majorBidi" w:cstheme="majorBidi"/>
          <w:sz w:val="24"/>
          <w:szCs w:val="24"/>
        </w:rPr>
        <w:t xml:space="preserve"> the moderating impact of VC attributes (damehood/knighthood, </w:t>
      </w:r>
      <w:r w:rsidR="00D46633" w:rsidRPr="00511F36">
        <w:rPr>
          <w:rFonts w:asciiTheme="majorBidi" w:hAnsiTheme="majorBidi" w:cstheme="majorBidi"/>
          <w:sz w:val="24"/>
          <w:szCs w:val="24"/>
        </w:rPr>
        <w:t>age</w:t>
      </w:r>
      <w:r w:rsidR="00D46633">
        <w:rPr>
          <w:rFonts w:asciiTheme="majorBidi" w:hAnsiTheme="majorBidi" w:cstheme="majorBidi"/>
          <w:sz w:val="24"/>
          <w:szCs w:val="24"/>
        </w:rPr>
        <w:t>, gender, academic discipline/</w:t>
      </w:r>
      <w:proofErr w:type="gramStart"/>
      <w:r w:rsidR="00D46633">
        <w:rPr>
          <w:rFonts w:asciiTheme="majorBidi" w:hAnsiTheme="majorBidi" w:cstheme="majorBidi"/>
          <w:sz w:val="24"/>
          <w:szCs w:val="24"/>
        </w:rPr>
        <w:t>specialism</w:t>
      </w:r>
      <w:proofErr w:type="gramEnd"/>
      <w:r w:rsidR="00D46633">
        <w:rPr>
          <w:rFonts w:asciiTheme="majorBidi" w:hAnsiTheme="majorBidi" w:cstheme="majorBidi"/>
          <w:sz w:val="24"/>
          <w:szCs w:val="24"/>
        </w:rPr>
        <w:t xml:space="preserve"> and tenure) on the </w:t>
      </w:r>
      <w:r w:rsidR="00565AA7">
        <w:rPr>
          <w:rFonts w:asciiTheme="majorBidi" w:hAnsiTheme="majorBidi" w:cstheme="majorBidi"/>
          <w:sz w:val="24"/>
          <w:szCs w:val="24"/>
        </w:rPr>
        <w:t>pay–</w:t>
      </w:r>
      <w:r w:rsidR="00D46633">
        <w:rPr>
          <w:rFonts w:asciiTheme="majorBidi" w:hAnsiTheme="majorBidi" w:cstheme="majorBidi"/>
          <w:sz w:val="24"/>
          <w:szCs w:val="24"/>
        </w:rPr>
        <w:t xml:space="preserve">performance nexus. </w:t>
      </w:r>
      <w:r w:rsidR="0020082B">
        <w:rPr>
          <w:rFonts w:asciiTheme="majorBidi" w:hAnsiTheme="majorBidi" w:cstheme="majorBidi"/>
          <w:sz w:val="24"/>
          <w:szCs w:val="24"/>
        </w:rPr>
        <w:t xml:space="preserve">These five VC attributes have been selected </w:t>
      </w:r>
      <w:r w:rsidR="00677905">
        <w:rPr>
          <w:rFonts w:asciiTheme="majorBidi" w:hAnsiTheme="majorBidi" w:cstheme="majorBidi"/>
          <w:sz w:val="24"/>
          <w:szCs w:val="24"/>
        </w:rPr>
        <w:t>due to two reasons</w:t>
      </w:r>
      <w:r w:rsidR="0076214E">
        <w:rPr>
          <w:rFonts w:asciiTheme="majorBidi" w:hAnsiTheme="majorBidi" w:cstheme="majorBidi"/>
          <w:sz w:val="24"/>
          <w:szCs w:val="24"/>
        </w:rPr>
        <w:t>,</w:t>
      </w:r>
      <w:r w:rsidR="00063365">
        <w:rPr>
          <w:rFonts w:asciiTheme="majorBidi" w:hAnsiTheme="majorBidi" w:cstheme="majorBidi"/>
          <w:sz w:val="24"/>
          <w:szCs w:val="24"/>
        </w:rPr>
        <w:t xml:space="preserve"> </w:t>
      </w:r>
      <w:r w:rsidR="00677905">
        <w:rPr>
          <w:rFonts w:asciiTheme="majorBidi" w:hAnsiTheme="majorBidi" w:cstheme="majorBidi"/>
          <w:sz w:val="24"/>
          <w:szCs w:val="24"/>
        </w:rPr>
        <w:t>the</w:t>
      </w:r>
      <w:r w:rsidR="004156EB">
        <w:rPr>
          <w:rFonts w:asciiTheme="majorBidi" w:hAnsiTheme="majorBidi" w:cstheme="majorBidi"/>
          <w:sz w:val="24"/>
          <w:szCs w:val="24"/>
        </w:rPr>
        <w:t>y</w:t>
      </w:r>
      <w:r w:rsidR="0076214E">
        <w:rPr>
          <w:rFonts w:asciiTheme="majorBidi" w:hAnsiTheme="majorBidi" w:cstheme="majorBidi"/>
          <w:sz w:val="24"/>
          <w:szCs w:val="24"/>
        </w:rPr>
        <w:t>:</w:t>
      </w:r>
      <w:r w:rsidR="0020082B">
        <w:rPr>
          <w:rFonts w:asciiTheme="majorBidi" w:hAnsiTheme="majorBidi" w:cstheme="majorBidi"/>
          <w:sz w:val="24"/>
          <w:szCs w:val="24"/>
        </w:rPr>
        <w:t xml:space="preserve"> </w:t>
      </w:r>
      <w:r w:rsidR="00063365">
        <w:rPr>
          <w:rFonts w:asciiTheme="majorBidi" w:hAnsiTheme="majorBidi" w:cstheme="majorBidi"/>
          <w:sz w:val="24"/>
          <w:szCs w:val="24"/>
        </w:rPr>
        <w:t xml:space="preserve">(i) </w:t>
      </w:r>
      <w:r w:rsidR="0020082B">
        <w:rPr>
          <w:rFonts w:asciiTheme="majorBidi" w:hAnsiTheme="majorBidi" w:cstheme="majorBidi"/>
          <w:sz w:val="24"/>
          <w:szCs w:val="24"/>
        </w:rPr>
        <w:t xml:space="preserve">can be objectively measured/captured </w:t>
      </w:r>
      <w:r w:rsidR="00677905">
        <w:rPr>
          <w:rFonts w:asciiTheme="majorBidi" w:hAnsiTheme="majorBidi" w:cstheme="majorBidi"/>
          <w:sz w:val="24"/>
          <w:szCs w:val="24"/>
        </w:rPr>
        <w:t>(</w:t>
      </w:r>
      <w:r w:rsidR="00677905">
        <w:rPr>
          <w:rFonts w:asciiTheme="majorBidi" w:eastAsia="Times New Roman" w:hAnsiTheme="majorBidi" w:cstheme="majorBidi"/>
          <w:sz w:val="24"/>
          <w:szCs w:val="24"/>
          <w:lang w:eastAsia="en-GB"/>
        </w:rPr>
        <w:t xml:space="preserve">Breakwell </w:t>
      </w:r>
      <w:r w:rsidR="00677905" w:rsidRPr="005E07D6">
        <w:rPr>
          <w:rFonts w:asciiTheme="majorBidi" w:eastAsia="Times New Roman" w:hAnsiTheme="majorBidi" w:cstheme="majorBidi"/>
          <w:sz w:val="24"/>
          <w:szCs w:val="24"/>
          <w:lang w:eastAsia="en-GB"/>
        </w:rPr>
        <w:t xml:space="preserve">&amp; </w:t>
      </w:r>
      <w:proofErr w:type="spellStart"/>
      <w:r w:rsidR="00677905" w:rsidRPr="005E07D6">
        <w:rPr>
          <w:rFonts w:asciiTheme="majorBidi" w:eastAsia="Times New Roman" w:hAnsiTheme="majorBidi" w:cstheme="majorBidi"/>
          <w:sz w:val="24"/>
          <w:szCs w:val="24"/>
          <w:lang w:eastAsia="en-GB"/>
        </w:rPr>
        <w:t>Tytherleigh</w:t>
      </w:r>
      <w:proofErr w:type="spellEnd"/>
      <w:r w:rsidR="00677905">
        <w:rPr>
          <w:rFonts w:asciiTheme="majorBidi" w:eastAsia="Times New Roman" w:hAnsiTheme="majorBidi" w:cstheme="majorBidi"/>
          <w:sz w:val="24"/>
          <w:szCs w:val="24"/>
          <w:lang w:eastAsia="en-GB"/>
        </w:rPr>
        <w:t xml:space="preserve">, 2010); and (ii) have been </w:t>
      </w:r>
      <w:r w:rsidR="00677905" w:rsidRPr="00B80067">
        <w:rPr>
          <w:rFonts w:asciiTheme="majorBidi" w:eastAsia="Times New Roman" w:hAnsiTheme="majorBidi" w:cstheme="majorBidi"/>
          <w:sz w:val="24"/>
          <w:szCs w:val="24"/>
          <w:lang w:eastAsia="en-GB"/>
        </w:rPr>
        <w:t>examined by prior studies</w:t>
      </w:r>
      <w:r w:rsidR="00D44BA6">
        <w:rPr>
          <w:rFonts w:asciiTheme="majorBidi" w:eastAsia="Times New Roman" w:hAnsiTheme="majorBidi" w:cstheme="majorBidi"/>
          <w:sz w:val="24"/>
          <w:szCs w:val="24"/>
          <w:lang w:eastAsia="en-GB"/>
        </w:rPr>
        <w:t>, albeit within different research context</w:t>
      </w:r>
      <w:r w:rsidR="00111B34">
        <w:rPr>
          <w:rFonts w:asciiTheme="majorBidi" w:eastAsia="Times New Roman" w:hAnsiTheme="majorBidi" w:cstheme="majorBidi"/>
          <w:sz w:val="24"/>
          <w:szCs w:val="24"/>
          <w:lang w:eastAsia="en-GB"/>
        </w:rPr>
        <w:t>s</w:t>
      </w:r>
      <w:r w:rsidR="00677905" w:rsidRPr="00B80067">
        <w:rPr>
          <w:rFonts w:asciiTheme="majorBidi" w:eastAsia="Times New Roman" w:hAnsiTheme="majorBidi" w:cstheme="majorBidi"/>
          <w:sz w:val="24"/>
          <w:szCs w:val="24"/>
          <w:lang w:eastAsia="en-GB"/>
        </w:rPr>
        <w:t xml:space="preserve"> (</w:t>
      </w:r>
      <w:r w:rsidR="009B7EA5" w:rsidRPr="008060C2">
        <w:rPr>
          <w:rFonts w:asciiTheme="majorBidi" w:hAnsiTheme="majorBidi" w:cstheme="majorBidi"/>
          <w:sz w:val="24"/>
          <w:szCs w:val="24"/>
          <w:shd w:val="clear" w:color="auto" w:fill="FFFFFF"/>
        </w:rPr>
        <w:t xml:space="preserve">Adams and </w:t>
      </w:r>
      <w:r w:rsidR="009B7EA5" w:rsidRPr="008060C2">
        <w:rPr>
          <w:rFonts w:ascii="Times New Roman" w:hAnsi="Times New Roman" w:cs="Times New Roman"/>
          <w:sz w:val="24"/>
          <w:szCs w:val="24"/>
          <w:shd w:val="clear" w:color="auto" w:fill="FFFFFF"/>
        </w:rPr>
        <w:t>Ferreira</w:t>
      </w:r>
      <w:r w:rsidR="009B7EA5" w:rsidRPr="008060C2">
        <w:rPr>
          <w:rFonts w:asciiTheme="majorBidi" w:hAnsiTheme="majorBidi" w:cstheme="majorBidi"/>
          <w:sz w:val="24"/>
          <w:szCs w:val="24"/>
          <w:shd w:val="clear" w:color="auto" w:fill="FFFFFF"/>
        </w:rPr>
        <w:t>, 2009</w:t>
      </w:r>
      <w:r w:rsidR="00F07AD3" w:rsidRPr="00B80067">
        <w:rPr>
          <w:rFonts w:ascii="Times New Roman" w:hAnsi="Times New Roman" w:cs="Times New Roman"/>
          <w:sz w:val="24"/>
          <w:szCs w:val="24"/>
          <w:shd w:val="clear" w:color="auto" w:fill="FFFFFF"/>
        </w:rPr>
        <w:t xml:space="preserve">). </w:t>
      </w:r>
    </w:p>
    <w:p w14:paraId="547CD2B5" w14:textId="525210B7" w:rsidR="007664AA" w:rsidRDefault="00D46633" w:rsidP="007664AA">
      <w:pPr>
        <w:spacing w:after="0" w:line="480" w:lineRule="auto"/>
        <w:ind w:firstLine="720"/>
        <w:jc w:val="both"/>
        <w:rPr>
          <w:rFonts w:ascii="Times New Roman" w:hAnsi="Times New Roman" w:cs="Times New Roman"/>
          <w:sz w:val="24"/>
          <w:szCs w:val="24"/>
          <w:shd w:val="clear" w:color="auto" w:fill="FFFFFF"/>
        </w:rPr>
      </w:pPr>
      <w:r w:rsidRPr="00BD456B">
        <w:rPr>
          <w:rFonts w:asciiTheme="majorBidi" w:hAnsiTheme="majorBidi" w:cstheme="majorBidi"/>
          <w:sz w:val="24"/>
          <w:szCs w:val="24"/>
        </w:rPr>
        <w:t xml:space="preserve">Theoretically, </w:t>
      </w:r>
      <w:r w:rsidR="008060C2" w:rsidRPr="00BD456B">
        <w:rPr>
          <w:rFonts w:asciiTheme="majorBidi" w:hAnsiTheme="majorBidi" w:cstheme="majorBidi"/>
          <w:sz w:val="24"/>
          <w:szCs w:val="24"/>
        </w:rPr>
        <w:t xml:space="preserve">PT </w:t>
      </w:r>
      <w:r w:rsidR="00C14349" w:rsidRPr="00BD456B">
        <w:rPr>
          <w:rFonts w:asciiTheme="majorBidi" w:hAnsiTheme="majorBidi" w:cstheme="majorBidi"/>
          <w:sz w:val="24"/>
          <w:szCs w:val="24"/>
        </w:rPr>
        <w:t>suggests that long-tenured</w:t>
      </w:r>
      <w:r w:rsidR="002F3716" w:rsidRPr="00BD456B">
        <w:rPr>
          <w:rFonts w:asciiTheme="majorBidi" w:hAnsiTheme="majorBidi" w:cstheme="majorBidi"/>
          <w:sz w:val="24"/>
          <w:szCs w:val="24"/>
        </w:rPr>
        <w:t xml:space="preserve">, </w:t>
      </w:r>
      <w:proofErr w:type="gramStart"/>
      <w:r w:rsidR="002F3716" w:rsidRPr="00BD456B">
        <w:rPr>
          <w:rFonts w:asciiTheme="majorBidi" w:hAnsiTheme="majorBidi" w:cstheme="majorBidi"/>
          <w:sz w:val="24"/>
          <w:szCs w:val="24"/>
        </w:rPr>
        <w:t>reputable</w:t>
      </w:r>
      <w:proofErr w:type="gramEnd"/>
      <w:r w:rsidR="00C14349" w:rsidRPr="00BD456B">
        <w:rPr>
          <w:rFonts w:asciiTheme="majorBidi" w:hAnsiTheme="majorBidi" w:cstheme="majorBidi"/>
          <w:sz w:val="24"/>
          <w:szCs w:val="24"/>
        </w:rPr>
        <w:t xml:space="preserve"> and older directors </w:t>
      </w:r>
      <w:r w:rsidR="00843BBD" w:rsidRPr="00BD456B">
        <w:rPr>
          <w:rFonts w:asciiTheme="majorBidi" w:hAnsiTheme="majorBidi" w:cstheme="majorBidi"/>
          <w:sz w:val="24"/>
          <w:szCs w:val="24"/>
        </w:rPr>
        <w:t>may</w:t>
      </w:r>
      <w:r w:rsidR="002F3716" w:rsidRPr="00BD456B">
        <w:rPr>
          <w:rFonts w:asciiTheme="majorBidi" w:hAnsiTheme="majorBidi" w:cstheme="majorBidi"/>
          <w:sz w:val="24"/>
          <w:szCs w:val="24"/>
        </w:rPr>
        <w:t xml:space="preserve"> often </w:t>
      </w:r>
      <w:r w:rsidR="00843BBD" w:rsidRPr="007D350B">
        <w:rPr>
          <w:rFonts w:asciiTheme="majorBidi" w:hAnsiTheme="majorBidi" w:cstheme="majorBidi"/>
          <w:sz w:val="24"/>
          <w:szCs w:val="24"/>
        </w:rPr>
        <w:t xml:space="preserve">be </w:t>
      </w:r>
      <w:r w:rsidR="002F3716" w:rsidRPr="007D350B">
        <w:rPr>
          <w:rFonts w:asciiTheme="majorBidi" w:hAnsiTheme="majorBidi" w:cstheme="majorBidi"/>
          <w:sz w:val="24"/>
          <w:szCs w:val="24"/>
        </w:rPr>
        <w:t xml:space="preserve">committed to meet and represent the expectations of stakeholders in order to maintain and improve their </w:t>
      </w:r>
      <w:r w:rsidR="00446F37" w:rsidRPr="007D350B">
        <w:rPr>
          <w:rFonts w:asciiTheme="majorBidi" w:hAnsiTheme="majorBidi" w:cstheme="majorBidi"/>
          <w:sz w:val="24"/>
          <w:szCs w:val="24"/>
        </w:rPr>
        <w:t xml:space="preserve">social </w:t>
      </w:r>
      <w:r w:rsidR="002F3716" w:rsidRPr="007D350B">
        <w:rPr>
          <w:rFonts w:asciiTheme="majorBidi" w:hAnsiTheme="majorBidi" w:cstheme="majorBidi"/>
          <w:sz w:val="24"/>
          <w:szCs w:val="24"/>
        </w:rPr>
        <w:t xml:space="preserve">status in the labour market </w:t>
      </w:r>
      <w:r w:rsidR="00C14349" w:rsidRPr="007D350B">
        <w:rPr>
          <w:rFonts w:asciiTheme="majorBidi" w:hAnsiTheme="majorBidi" w:cstheme="majorBidi"/>
          <w:sz w:val="24"/>
          <w:szCs w:val="24"/>
        </w:rPr>
        <w:t>(</w:t>
      </w:r>
      <w:r w:rsidR="00DA1FE2" w:rsidRPr="007D350B">
        <w:rPr>
          <w:rFonts w:asciiTheme="majorBidi" w:hAnsiTheme="majorBidi" w:cstheme="majorBidi"/>
          <w:sz w:val="24"/>
          <w:szCs w:val="24"/>
          <w:shd w:val="clear" w:color="auto" w:fill="FFFFFF"/>
        </w:rPr>
        <w:t>Milbourn</w:t>
      </w:r>
      <w:r w:rsidR="00DA1FE2" w:rsidRPr="007D350B">
        <w:rPr>
          <w:rFonts w:ascii="Times New Roman" w:hAnsi="Times New Roman" w:cs="Times New Roman"/>
          <w:sz w:val="24"/>
          <w:szCs w:val="24"/>
          <w:shd w:val="clear" w:color="auto" w:fill="FFFFFF"/>
        </w:rPr>
        <w:t>, 2003</w:t>
      </w:r>
      <w:r w:rsidR="0015400E" w:rsidRPr="007D350B">
        <w:rPr>
          <w:rFonts w:ascii="Times New Roman" w:hAnsi="Times New Roman" w:cs="Times New Roman"/>
          <w:sz w:val="24"/>
          <w:szCs w:val="24"/>
        </w:rPr>
        <w:t>)</w:t>
      </w:r>
      <w:r w:rsidR="00BD456B">
        <w:rPr>
          <w:rFonts w:ascii="Times New Roman" w:hAnsi="Times New Roman" w:cs="Times New Roman"/>
          <w:sz w:val="24"/>
          <w:szCs w:val="24"/>
        </w:rPr>
        <w:t>.</w:t>
      </w:r>
      <w:r w:rsidR="0015400E" w:rsidRPr="007D350B">
        <w:rPr>
          <w:rFonts w:ascii="Times New Roman" w:hAnsi="Times New Roman" w:cs="Times New Roman"/>
          <w:sz w:val="24"/>
          <w:szCs w:val="24"/>
        </w:rPr>
        <w:t xml:space="preserve"> </w:t>
      </w:r>
      <w:r w:rsidR="00BD456B">
        <w:rPr>
          <w:rFonts w:ascii="Times New Roman" w:hAnsi="Times New Roman" w:cs="Times New Roman"/>
          <w:sz w:val="24"/>
          <w:szCs w:val="24"/>
        </w:rPr>
        <w:t>H</w:t>
      </w:r>
      <w:r w:rsidR="0015400E" w:rsidRPr="007D350B">
        <w:rPr>
          <w:rFonts w:ascii="Times New Roman" w:hAnsi="Times New Roman" w:cs="Times New Roman"/>
          <w:sz w:val="24"/>
          <w:szCs w:val="24"/>
        </w:rPr>
        <w:t xml:space="preserve">ence, </w:t>
      </w:r>
      <w:r w:rsidR="008060C2" w:rsidRPr="007D350B">
        <w:rPr>
          <w:rFonts w:asciiTheme="majorBidi" w:hAnsiTheme="majorBidi" w:cstheme="majorBidi"/>
          <w:sz w:val="24"/>
          <w:szCs w:val="24"/>
        </w:rPr>
        <w:t xml:space="preserve">PT </w:t>
      </w:r>
      <w:r w:rsidR="002F3716" w:rsidRPr="007D350B">
        <w:rPr>
          <w:rFonts w:asciiTheme="majorBidi" w:hAnsiTheme="majorBidi" w:cstheme="majorBidi"/>
          <w:sz w:val="24"/>
          <w:szCs w:val="24"/>
        </w:rPr>
        <w:t xml:space="preserve">predicts that older, </w:t>
      </w:r>
      <w:proofErr w:type="gramStart"/>
      <w:r w:rsidR="002F3716" w:rsidRPr="007D350B">
        <w:rPr>
          <w:rFonts w:asciiTheme="majorBidi" w:hAnsiTheme="majorBidi" w:cstheme="majorBidi"/>
          <w:sz w:val="24"/>
          <w:szCs w:val="24"/>
        </w:rPr>
        <w:t>reputable</w:t>
      </w:r>
      <w:proofErr w:type="gramEnd"/>
      <w:r w:rsidR="002F3716" w:rsidRPr="007D350B">
        <w:rPr>
          <w:rFonts w:asciiTheme="majorBidi" w:hAnsiTheme="majorBidi" w:cstheme="majorBidi"/>
          <w:sz w:val="24"/>
          <w:szCs w:val="24"/>
        </w:rPr>
        <w:t xml:space="preserve"> and long-tenured VCs </w:t>
      </w:r>
      <w:r w:rsidR="0015400E" w:rsidRPr="007D350B">
        <w:rPr>
          <w:rFonts w:asciiTheme="majorBidi" w:hAnsiTheme="majorBidi" w:cstheme="majorBidi"/>
          <w:sz w:val="24"/>
          <w:szCs w:val="24"/>
        </w:rPr>
        <w:t xml:space="preserve">are </w:t>
      </w:r>
      <w:r w:rsidR="003D726C" w:rsidRPr="007D350B">
        <w:rPr>
          <w:rFonts w:asciiTheme="majorBidi" w:hAnsiTheme="majorBidi" w:cstheme="majorBidi"/>
          <w:sz w:val="24"/>
          <w:szCs w:val="24"/>
        </w:rPr>
        <w:t>likely</w:t>
      </w:r>
      <w:r w:rsidR="0015400E" w:rsidRPr="007D350B">
        <w:rPr>
          <w:rFonts w:asciiTheme="majorBidi" w:hAnsiTheme="majorBidi" w:cstheme="majorBidi"/>
          <w:sz w:val="24"/>
          <w:szCs w:val="24"/>
        </w:rPr>
        <w:t xml:space="preserve"> to accept </w:t>
      </w:r>
      <w:r w:rsidR="002F3716" w:rsidRPr="007D350B">
        <w:rPr>
          <w:rFonts w:asciiTheme="majorBidi" w:hAnsiTheme="majorBidi" w:cstheme="majorBidi"/>
          <w:sz w:val="24"/>
          <w:szCs w:val="24"/>
        </w:rPr>
        <w:t>pay packages that are linked to their institutions</w:t>
      </w:r>
      <w:r w:rsidR="0015400E" w:rsidRPr="007D350B">
        <w:rPr>
          <w:rFonts w:asciiTheme="majorBidi" w:hAnsiTheme="majorBidi" w:cstheme="majorBidi"/>
          <w:sz w:val="24"/>
          <w:szCs w:val="24"/>
        </w:rPr>
        <w:t>’</w:t>
      </w:r>
      <w:r w:rsidR="002F3716" w:rsidRPr="007D350B">
        <w:rPr>
          <w:rFonts w:asciiTheme="majorBidi" w:hAnsiTheme="majorBidi" w:cstheme="majorBidi"/>
          <w:sz w:val="24"/>
          <w:szCs w:val="24"/>
        </w:rPr>
        <w:t xml:space="preserve"> performance</w:t>
      </w:r>
      <w:r w:rsidR="0015400E" w:rsidRPr="007D350B">
        <w:rPr>
          <w:rFonts w:asciiTheme="majorBidi" w:hAnsiTheme="majorBidi" w:cstheme="majorBidi"/>
          <w:sz w:val="24"/>
          <w:szCs w:val="24"/>
        </w:rPr>
        <w:t>, and this can impact positively on the pay</w:t>
      </w:r>
      <w:r w:rsidR="004C5C0E" w:rsidRPr="007D350B">
        <w:rPr>
          <w:rFonts w:asciiTheme="majorBidi" w:hAnsiTheme="majorBidi" w:cstheme="majorBidi"/>
          <w:sz w:val="24"/>
          <w:szCs w:val="24"/>
        </w:rPr>
        <w:t>–performance</w:t>
      </w:r>
      <w:r w:rsidR="0015400E" w:rsidRPr="007D350B">
        <w:rPr>
          <w:rFonts w:asciiTheme="majorBidi" w:hAnsiTheme="majorBidi" w:cstheme="majorBidi"/>
          <w:sz w:val="24"/>
          <w:szCs w:val="24"/>
        </w:rPr>
        <w:t xml:space="preserve"> nexus</w:t>
      </w:r>
      <w:r w:rsidR="002F3716" w:rsidRPr="007D350B">
        <w:rPr>
          <w:rFonts w:asciiTheme="majorBidi" w:hAnsiTheme="majorBidi" w:cstheme="majorBidi"/>
          <w:sz w:val="24"/>
          <w:szCs w:val="24"/>
        </w:rPr>
        <w:t>.</w:t>
      </w:r>
      <w:r w:rsidR="002F3716">
        <w:rPr>
          <w:rFonts w:asciiTheme="majorBidi" w:hAnsiTheme="majorBidi" w:cstheme="majorBidi"/>
          <w:sz w:val="24"/>
          <w:szCs w:val="24"/>
        </w:rPr>
        <w:t xml:space="preserve"> By contrast, </w:t>
      </w:r>
      <w:r w:rsidR="008060C2">
        <w:rPr>
          <w:rFonts w:asciiTheme="majorBidi" w:hAnsiTheme="majorBidi" w:cstheme="majorBidi"/>
          <w:sz w:val="24"/>
          <w:szCs w:val="24"/>
        </w:rPr>
        <w:t xml:space="preserve">OCT </w:t>
      </w:r>
      <w:r w:rsidR="00715B9C">
        <w:rPr>
          <w:rFonts w:asciiTheme="majorBidi" w:hAnsiTheme="majorBidi" w:cstheme="majorBidi"/>
          <w:sz w:val="24"/>
          <w:szCs w:val="24"/>
        </w:rPr>
        <w:t xml:space="preserve">indicates that long-tenured, older and reputable directors often </w:t>
      </w:r>
      <w:r w:rsidR="0015400E">
        <w:rPr>
          <w:rFonts w:asciiTheme="majorBidi" w:hAnsiTheme="majorBidi" w:cstheme="majorBidi"/>
          <w:sz w:val="24"/>
          <w:szCs w:val="24"/>
        </w:rPr>
        <w:t>possess high status in the labour market</w:t>
      </w:r>
      <w:r w:rsidR="00715B9C">
        <w:rPr>
          <w:rFonts w:asciiTheme="majorBidi" w:hAnsiTheme="majorBidi" w:cstheme="majorBidi"/>
          <w:sz w:val="24"/>
          <w:szCs w:val="24"/>
        </w:rPr>
        <w:t xml:space="preserve">, since they </w:t>
      </w:r>
      <w:r w:rsidR="00572E17">
        <w:rPr>
          <w:rFonts w:asciiTheme="majorBidi" w:hAnsiTheme="majorBidi" w:cstheme="majorBidi"/>
          <w:sz w:val="24"/>
          <w:szCs w:val="24"/>
        </w:rPr>
        <w:t>usually</w:t>
      </w:r>
      <w:r w:rsidR="00715B9C">
        <w:rPr>
          <w:rFonts w:asciiTheme="majorBidi" w:hAnsiTheme="majorBidi" w:cstheme="majorBidi"/>
          <w:sz w:val="24"/>
          <w:szCs w:val="24"/>
        </w:rPr>
        <w:t xml:space="preserve"> have greater skills, knowledge and experience that </w:t>
      </w:r>
      <w:r w:rsidR="0015400E">
        <w:rPr>
          <w:rFonts w:asciiTheme="majorBidi" w:hAnsiTheme="majorBidi" w:cstheme="majorBidi"/>
          <w:sz w:val="24"/>
          <w:szCs w:val="24"/>
        </w:rPr>
        <w:t>are necessary to business competitive</w:t>
      </w:r>
      <w:r w:rsidR="00DA1FE2">
        <w:rPr>
          <w:rFonts w:asciiTheme="majorBidi" w:hAnsiTheme="majorBidi" w:cstheme="majorBidi"/>
          <w:sz w:val="24"/>
          <w:szCs w:val="24"/>
        </w:rPr>
        <w:t>ness</w:t>
      </w:r>
      <w:r w:rsidR="0015400E">
        <w:rPr>
          <w:rFonts w:asciiTheme="majorBidi" w:hAnsiTheme="majorBidi" w:cstheme="majorBidi"/>
          <w:sz w:val="24"/>
          <w:szCs w:val="24"/>
        </w:rPr>
        <w:t xml:space="preserve"> and success (</w:t>
      </w:r>
      <w:proofErr w:type="spellStart"/>
      <w:r w:rsidR="003D726C" w:rsidRPr="008060C2">
        <w:rPr>
          <w:rFonts w:asciiTheme="majorBidi" w:eastAsia="Times New Roman" w:hAnsiTheme="majorBidi" w:cstheme="majorBidi"/>
          <w:sz w:val="24"/>
          <w:szCs w:val="24"/>
          <w:lang w:eastAsia="en-GB"/>
        </w:rPr>
        <w:t>Brickley</w:t>
      </w:r>
      <w:proofErr w:type="spellEnd"/>
      <w:r w:rsidR="003D726C" w:rsidRPr="008060C2">
        <w:rPr>
          <w:rFonts w:asciiTheme="majorBidi" w:eastAsia="Times New Roman" w:hAnsiTheme="majorBidi" w:cstheme="majorBidi"/>
          <w:sz w:val="24"/>
          <w:szCs w:val="24"/>
          <w:lang w:eastAsia="en-GB"/>
        </w:rPr>
        <w:t xml:space="preserve">  et al., 2010</w:t>
      </w:r>
      <w:r w:rsidR="0015400E" w:rsidRPr="008060C2">
        <w:rPr>
          <w:rFonts w:ascii="Times New Roman" w:hAnsi="Times New Roman" w:cs="Times New Roman"/>
          <w:sz w:val="24"/>
          <w:szCs w:val="24"/>
          <w:shd w:val="clear" w:color="auto" w:fill="FFFFFF"/>
        </w:rPr>
        <w:t>), and thus</w:t>
      </w:r>
      <w:r w:rsidR="00715B9C" w:rsidRPr="008060C2">
        <w:rPr>
          <w:rFonts w:ascii="Times New Roman" w:hAnsi="Times New Roman" w:cs="Times New Roman"/>
          <w:sz w:val="24"/>
          <w:szCs w:val="24"/>
          <w:shd w:val="clear" w:color="auto" w:fill="FFFFFF"/>
        </w:rPr>
        <w:t xml:space="preserve"> </w:t>
      </w:r>
      <w:r w:rsidR="008060C2">
        <w:rPr>
          <w:rFonts w:ascii="Times New Roman" w:hAnsi="Times New Roman" w:cs="Times New Roman"/>
          <w:sz w:val="24"/>
          <w:szCs w:val="24"/>
          <w:shd w:val="clear" w:color="auto" w:fill="FFFFFF"/>
        </w:rPr>
        <w:t>OCT</w:t>
      </w:r>
      <w:r w:rsidR="008060C2" w:rsidRPr="008060C2">
        <w:rPr>
          <w:rFonts w:ascii="Times New Roman" w:hAnsi="Times New Roman" w:cs="Times New Roman"/>
          <w:sz w:val="24"/>
          <w:szCs w:val="24"/>
          <w:shd w:val="clear" w:color="auto" w:fill="FFFFFF"/>
        </w:rPr>
        <w:t xml:space="preserve"> </w:t>
      </w:r>
      <w:r w:rsidR="00715B9C" w:rsidRPr="008060C2">
        <w:rPr>
          <w:rFonts w:ascii="Times New Roman" w:hAnsi="Times New Roman" w:cs="Times New Roman"/>
          <w:sz w:val="24"/>
          <w:szCs w:val="24"/>
          <w:shd w:val="clear" w:color="auto" w:fill="FFFFFF"/>
        </w:rPr>
        <w:t xml:space="preserve">expects that long-tenured, reputable and older VCs </w:t>
      </w:r>
      <w:r w:rsidR="007664AA">
        <w:rPr>
          <w:rFonts w:ascii="Times New Roman" w:hAnsi="Times New Roman" w:cs="Times New Roman"/>
          <w:sz w:val="24"/>
          <w:szCs w:val="24"/>
          <w:shd w:val="clear" w:color="auto" w:fill="FFFFFF"/>
        </w:rPr>
        <w:t>may</w:t>
      </w:r>
      <w:r w:rsidR="00715B9C" w:rsidRPr="008060C2">
        <w:rPr>
          <w:rFonts w:ascii="Times New Roman" w:hAnsi="Times New Roman" w:cs="Times New Roman"/>
          <w:sz w:val="24"/>
          <w:szCs w:val="24"/>
          <w:shd w:val="clear" w:color="auto" w:fill="FFFFFF"/>
        </w:rPr>
        <w:t xml:space="preserve"> </w:t>
      </w:r>
      <w:r w:rsidR="003D726C" w:rsidRPr="008060C2">
        <w:rPr>
          <w:rFonts w:ascii="Times New Roman" w:hAnsi="Times New Roman" w:cs="Times New Roman"/>
          <w:sz w:val="24"/>
          <w:szCs w:val="24"/>
          <w:shd w:val="clear" w:color="auto" w:fill="FFFFFF"/>
        </w:rPr>
        <w:t xml:space="preserve">receive high pay packages that </w:t>
      </w:r>
      <w:r w:rsidR="007664AA">
        <w:rPr>
          <w:rFonts w:ascii="Times New Roman" w:hAnsi="Times New Roman" w:cs="Times New Roman"/>
          <w:sz w:val="24"/>
          <w:szCs w:val="24"/>
          <w:shd w:val="clear" w:color="auto" w:fill="FFFFFF"/>
        </w:rPr>
        <w:t>may</w:t>
      </w:r>
      <w:r w:rsidR="003D726C" w:rsidRPr="008060C2">
        <w:rPr>
          <w:rFonts w:ascii="Times New Roman" w:hAnsi="Times New Roman" w:cs="Times New Roman"/>
          <w:sz w:val="24"/>
          <w:szCs w:val="24"/>
          <w:shd w:val="clear" w:color="auto" w:fill="FFFFFF"/>
        </w:rPr>
        <w:t xml:space="preserve"> not necessarily</w:t>
      </w:r>
      <w:r w:rsidR="007664AA">
        <w:rPr>
          <w:rFonts w:ascii="Times New Roman" w:hAnsi="Times New Roman" w:cs="Times New Roman"/>
          <w:sz w:val="24"/>
          <w:szCs w:val="24"/>
          <w:shd w:val="clear" w:color="auto" w:fill="FFFFFF"/>
        </w:rPr>
        <w:t xml:space="preserve"> be</w:t>
      </w:r>
      <w:r w:rsidR="003D726C" w:rsidRPr="008060C2">
        <w:rPr>
          <w:rFonts w:ascii="Times New Roman" w:hAnsi="Times New Roman" w:cs="Times New Roman"/>
          <w:sz w:val="24"/>
          <w:szCs w:val="24"/>
          <w:shd w:val="clear" w:color="auto" w:fill="FFFFFF"/>
        </w:rPr>
        <w:t xml:space="preserve"> linked to their institutions’ performance, which can weaken the pay</w:t>
      </w:r>
      <w:r w:rsidR="004C5C0E" w:rsidRPr="008060C2">
        <w:rPr>
          <w:rFonts w:ascii="Times New Roman" w:hAnsi="Times New Roman" w:cs="Times New Roman"/>
          <w:sz w:val="24"/>
          <w:szCs w:val="24"/>
          <w:shd w:val="clear" w:color="auto" w:fill="FFFFFF"/>
        </w:rPr>
        <w:t>–performance</w:t>
      </w:r>
      <w:r w:rsidR="003D726C" w:rsidRPr="008060C2">
        <w:rPr>
          <w:rFonts w:ascii="Times New Roman" w:hAnsi="Times New Roman" w:cs="Times New Roman"/>
          <w:sz w:val="24"/>
          <w:szCs w:val="24"/>
          <w:shd w:val="clear" w:color="auto" w:fill="FFFFFF"/>
        </w:rPr>
        <w:t xml:space="preserve"> nexus. </w:t>
      </w:r>
      <w:bookmarkStart w:id="1" w:name="_Hlk64614600"/>
    </w:p>
    <w:p w14:paraId="29A9B6F9" w14:textId="1D42E39B" w:rsidR="00377A98" w:rsidRPr="00136229" w:rsidRDefault="00747C03" w:rsidP="00C85572">
      <w:pPr>
        <w:spacing w:after="0" w:line="480" w:lineRule="auto"/>
        <w:ind w:firstLine="720"/>
        <w:jc w:val="both"/>
        <w:rPr>
          <w:rFonts w:asciiTheme="majorBidi" w:hAnsiTheme="majorBidi" w:cstheme="majorBidi"/>
          <w:sz w:val="24"/>
          <w:szCs w:val="24"/>
          <w:shd w:val="clear" w:color="auto" w:fill="FFFFFF"/>
        </w:rPr>
      </w:pPr>
      <w:r w:rsidRPr="008060C2">
        <w:rPr>
          <w:rFonts w:ascii="Times New Roman" w:hAnsi="Times New Roman" w:cs="Times New Roman"/>
          <w:sz w:val="24"/>
          <w:szCs w:val="24"/>
          <w:shd w:val="clear" w:color="auto" w:fill="FFFFFF"/>
        </w:rPr>
        <w:t xml:space="preserve">With respect to VC gender, and from </w:t>
      </w:r>
      <w:r w:rsidR="00136229">
        <w:rPr>
          <w:rFonts w:ascii="Times New Roman" w:hAnsi="Times New Roman" w:cs="Times New Roman"/>
          <w:sz w:val="24"/>
          <w:szCs w:val="24"/>
          <w:shd w:val="clear" w:color="auto" w:fill="FFFFFF"/>
        </w:rPr>
        <w:t>PT</w:t>
      </w:r>
      <w:r w:rsidRPr="008060C2">
        <w:rPr>
          <w:rFonts w:ascii="Times New Roman" w:hAnsi="Times New Roman" w:cs="Times New Roman"/>
          <w:sz w:val="24"/>
          <w:szCs w:val="24"/>
          <w:shd w:val="clear" w:color="auto" w:fill="FFFFFF"/>
        </w:rPr>
        <w:t xml:space="preserve"> perspective, appointing female directors can enhance boardroom efficiency/independence by bringing diverse insights, </w:t>
      </w:r>
      <w:proofErr w:type="gramStart"/>
      <w:r w:rsidRPr="008060C2">
        <w:rPr>
          <w:rFonts w:ascii="Times New Roman" w:hAnsi="Times New Roman" w:cs="Times New Roman"/>
          <w:sz w:val="24"/>
          <w:szCs w:val="24"/>
          <w:shd w:val="clear" w:color="auto" w:fill="FFFFFF"/>
        </w:rPr>
        <w:t>perspectives</w:t>
      </w:r>
      <w:proofErr w:type="gramEnd"/>
      <w:r w:rsidR="001D3CBE" w:rsidRPr="008060C2">
        <w:rPr>
          <w:rFonts w:ascii="Times New Roman" w:hAnsi="Times New Roman" w:cs="Times New Roman"/>
          <w:sz w:val="24"/>
          <w:szCs w:val="24"/>
          <w:shd w:val="clear" w:color="auto" w:fill="FFFFFF"/>
        </w:rPr>
        <w:t xml:space="preserve"> and business contracts</w:t>
      </w:r>
      <w:r w:rsidRPr="008060C2">
        <w:rPr>
          <w:rFonts w:ascii="Times New Roman" w:hAnsi="Times New Roman" w:cs="Times New Roman"/>
          <w:sz w:val="24"/>
          <w:szCs w:val="24"/>
          <w:shd w:val="clear" w:color="auto" w:fill="FFFFFF"/>
        </w:rPr>
        <w:t xml:space="preserve"> to a board (</w:t>
      </w:r>
      <w:r w:rsidRPr="008060C2">
        <w:rPr>
          <w:rFonts w:asciiTheme="majorBidi" w:hAnsiTheme="majorBidi" w:cstheme="majorBidi"/>
          <w:sz w:val="24"/>
          <w:szCs w:val="24"/>
          <w:shd w:val="clear" w:color="auto" w:fill="FFFFFF"/>
        </w:rPr>
        <w:t xml:space="preserve">Adams and </w:t>
      </w:r>
      <w:r w:rsidR="00744174" w:rsidRPr="008060C2">
        <w:rPr>
          <w:rFonts w:ascii="Times New Roman" w:hAnsi="Times New Roman" w:cs="Times New Roman"/>
          <w:sz w:val="24"/>
          <w:szCs w:val="24"/>
          <w:shd w:val="clear" w:color="auto" w:fill="FFFFFF"/>
        </w:rPr>
        <w:t>Ferreira</w:t>
      </w:r>
      <w:r w:rsidRPr="008060C2">
        <w:rPr>
          <w:rFonts w:asciiTheme="majorBidi" w:hAnsiTheme="majorBidi" w:cstheme="majorBidi"/>
          <w:sz w:val="24"/>
          <w:szCs w:val="24"/>
          <w:shd w:val="clear" w:color="auto" w:fill="FFFFFF"/>
        </w:rPr>
        <w:t xml:space="preserve">, 2009), and </w:t>
      </w:r>
      <w:r w:rsidR="001D3CBE" w:rsidRPr="008060C2">
        <w:rPr>
          <w:rFonts w:asciiTheme="majorBidi" w:hAnsiTheme="majorBidi" w:cstheme="majorBidi"/>
          <w:sz w:val="24"/>
          <w:szCs w:val="24"/>
          <w:shd w:val="clear" w:color="auto" w:fill="FFFFFF"/>
        </w:rPr>
        <w:t xml:space="preserve">this </w:t>
      </w:r>
      <w:r w:rsidR="001D3CBE">
        <w:rPr>
          <w:rFonts w:asciiTheme="majorBidi" w:hAnsiTheme="majorBidi" w:cstheme="majorBidi"/>
          <w:sz w:val="24"/>
          <w:szCs w:val="24"/>
          <w:shd w:val="clear" w:color="auto" w:fill="FFFFFF"/>
        </w:rPr>
        <w:t xml:space="preserve">in turn can improve the </w:t>
      </w:r>
      <w:r w:rsidR="00F547A0">
        <w:rPr>
          <w:rFonts w:asciiTheme="majorBidi" w:hAnsiTheme="majorBidi" w:cstheme="majorBidi"/>
          <w:sz w:val="24"/>
          <w:szCs w:val="24"/>
          <w:shd w:val="clear" w:color="auto" w:fill="FFFFFF"/>
        </w:rPr>
        <w:t>pay–</w:t>
      </w:r>
      <w:r w:rsidR="001D3CBE">
        <w:rPr>
          <w:rFonts w:asciiTheme="majorBidi" w:hAnsiTheme="majorBidi" w:cstheme="majorBidi"/>
          <w:sz w:val="24"/>
          <w:szCs w:val="24"/>
          <w:shd w:val="clear" w:color="auto" w:fill="FFFFFF"/>
        </w:rPr>
        <w:t xml:space="preserve">performance relationship. In contrast, </w:t>
      </w:r>
      <w:r w:rsidR="008060C2">
        <w:rPr>
          <w:rFonts w:asciiTheme="majorBidi" w:hAnsiTheme="majorBidi" w:cstheme="majorBidi"/>
          <w:sz w:val="24"/>
          <w:szCs w:val="24"/>
          <w:shd w:val="clear" w:color="auto" w:fill="FFFFFF"/>
        </w:rPr>
        <w:t xml:space="preserve">OCT </w:t>
      </w:r>
      <w:r w:rsidR="002E3008">
        <w:rPr>
          <w:rFonts w:asciiTheme="majorBidi" w:hAnsiTheme="majorBidi" w:cstheme="majorBidi"/>
          <w:sz w:val="24"/>
          <w:szCs w:val="24"/>
          <w:shd w:val="clear" w:color="auto" w:fill="FFFFFF"/>
        </w:rPr>
        <w:t xml:space="preserve">suggests that </w:t>
      </w:r>
      <w:r w:rsidR="00782B21">
        <w:rPr>
          <w:rFonts w:asciiTheme="majorBidi" w:hAnsiTheme="majorBidi" w:cstheme="majorBidi"/>
          <w:sz w:val="24"/>
          <w:szCs w:val="24"/>
          <w:shd w:val="clear" w:color="auto" w:fill="FFFFFF"/>
        </w:rPr>
        <w:t xml:space="preserve">female directors </w:t>
      </w:r>
      <w:r w:rsidR="0015045C">
        <w:rPr>
          <w:rFonts w:asciiTheme="majorBidi" w:hAnsiTheme="majorBidi" w:cstheme="majorBidi"/>
          <w:sz w:val="24"/>
          <w:szCs w:val="24"/>
          <w:shd w:val="clear" w:color="auto" w:fill="FFFFFF"/>
        </w:rPr>
        <w:t xml:space="preserve">tend to be </w:t>
      </w:r>
      <w:r w:rsidR="007015F2">
        <w:rPr>
          <w:rFonts w:asciiTheme="majorBidi" w:hAnsiTheme="majorBidi" w:cstheme="majorBidi"/>
          <w:sz w:val="24"/>
          <w:szCs w:val="24"/>
          <w:shd w:val="clear" w:color="auto" w:fill="FFFFFF"/>
        </w:rPr>
        <w:t>less firm</w:t>
      </w:r>
      <w:r w:rsidR="0015045C" w:rsidRPr="0015045C">
        <w:rPr>
          <w:rFonts w:asciiTheme="majorBidi" w:hAnsiTheme="majorBidi" w:cstheme="majorBidi"/>
          <w:sz w:val="24"/>
          <w:szCs w:val="24"/>
          <w:shd w:val="clear" w:color="auto" w:fill="FFFFFF"/>
        </w:rPr>
        <w:t xml:space="preserve"> in their pay negotiations than male directors (</w:t>
      </w:r>
      <w:r w:rsidR="00B06100" w:rsidRPr="008060C2">
        <w:rPr>
          <w:rFonts w:asciiTheme="majorBidi" w:hAnsiTheme="majorBidi" w:cstheme="majorBidi"/>
          <w:sz w:val="24"/>
          <w:szCs w:val="24"/>
          <w:shd w:val="clear" w:color="auto" w:fill="FFFFFF"/>
        </w:rPr>
        <w:t xml:space="preserve">Adams and </w:t>
      </w:r>
      <w:r w:rsidR="00B06100" w:rsidRPr="008060C2">
        <w:rPr>
          <w:rFonts w:ascii="Times New Roman" w:hAnsi="Times New Roman" w:cs="Times New Roman"/>
          <w:sz w:val="24"/>
          <w:szCs w:val="24"/>
          <w:shd w:val="clear" w:color="auto" w:fill="FFFFFF"/>
        </w:rPr>
        <w:t>Ferreira</w:t>
      </w:r>
      <w:r w:rsidR="00B06100" w:rsidRPr="008060C2">
        <w:rPr>
          <w:rFonts w:asciiTheme="majorBidi" w:hAnsiTheme="majorBidi" w:cstheme="majorBidi"/>
          <w:sz w:val="24"/>
          <w:szCs w:val="24"/>
          <w:shd w:val="clear" w:color="auto" w:fill="FFFFFF"/>
        </w:rPr>
        <w:t>, 2009</w:t>
      </w:r>
      <w:r w:rsidR="0015045C" w:rsidRPr="0015045C">
        <w:rPr>
          <w:rFonts w:asciiTheme="majorBidi" w:hAnsiTheme="majorBidi" w:cstheme="majorBidi"/>
          <w:sz w:val="24"/>
          <w:szCs w:val="24"/>
          <w:shd w:val="clear" w:color="auto" w:fill="FFFFFF"/>
        </w:rPr>
        <w:t>), and this in turn can weaken the pay–performance nexus</w:t>
      </w:r>
      <w:r w:rsidR="00857A34">
        <w:rPr>
          <w:rFonts w:asciiTheme="majorBidi" w:hAnsiTheme="majorBidi" w:cstheme="majorBidi"/>
          <w:sz w:val="24"/>
          <w:szCs w:val="24"/>
        </w:rPr>
        <w:t xml:space="preserve">. </w:t>
      </w:r>
      <w:bookmarkEnd w:id="1"/>
      <w:r w:rsidR="00446F37">
        <w:rPr>
          <w:rFonts w:asciiTheme="majorBidi" w:hAnsiTheme="majorBidi" w:cstheme="majorBidi"/>
          <w:sz w:val="24"/>
          <w:szCs w:val="24"/>
        </w:rPr>
        <w:t>F</w:t>
      </w:r>
      <w:r w:rsidR="003C2A85">
        <w:rPr>
          <w:rFonts w:asciiTheme="majorBidi" w:hAnsiTheme="majorBidi" w:cstheme="majorBidi"/>
          <w:sz w:val="24"/>
          <w:szCs w:val="24"/>
        </w:rPr>
        <w:t xml:space="preserve">urther, and in terms </w:t>
      </w:r>
      <w:r w:rsidR="003C2A85" w:rsidRPr="008E26FF">
        <w:rPr>
          <w:rFonts w:asciiTheme="majorBidi" w:hAnsiTheme="majorBidi" w:cstheme="majorBidi"/>
          <w:sz w:val="24"/>
          <w:szCs w:val="24"/>
        </w:rPr>
        <w:t xml:space="preserve">of academic discipline/specialism, </w:t>
      </w:r>
      <w:r w:rsidR="008E26FF" w:rsidRPr="008E26FF">
        <w:rPr>
          <w:rFonts w:asciiTheme="majorBidi" w:hAnsiTheme="majorBidi" w:cstheme="majorBidi"/>
          <w:sz w:val="24"/>
          <w:szCs w:val="24"/>
        </w:rPr>
        <w:t xml:space="preserve">PT </w:t>
      </w:r>
      <w:r w:rsidR="003C2A85" w:rsidRPr="008E26FF">
        <w:rPr>
          <w:rFonts w:asciiTheme="majorBidi" w:hAnsiTheme="majorBidi" w:cstheme="majorBidi"/>
          <w:sz w:val="24"/>
          <w:szCs w:val="24"/>
        </w:rPr>
        <w:t xml:space="preserve">proposes that </w:t>
      </w:r>
      <w:r w:rsidR="00421C2E" w:rsidRPr="008E26FF">
        <w:rPr>
          <w:rFonts w:asciiTheme="majorBidi" w:hAnsiTheme="majorBidi" w:cstheme="majorBidi"/>
          <w:sz w:val="24"/>
          <w:szCs w:val="24"/>
        </w:rPr>
        <w:t xml:space="preserve">generalist directors </w:t>
      </w:r>
      <w:r w:rsidR="00111B34">
        <w:rPr>
          <w:rFonts w:asciiTheme="majorBidi" w:hAnsiTheme="majorBidi" w:cstheme="majorBidi"/>
          <w:sz w:val="24"/>
          <w:szCs w:val="24"/>
          <w:shd w:val="clear" w:color="auto" w:fill="FFFFFF"/>
        </w:rPr>
        <w:t xml:space="preserve">tend to be </w:t>
      </w:r>
      <w:r w:rsidR="00421C2E" w:rsidRPr="008E26FF">
        <w:rPr>
          <w:rFonts w:asciiTheme="majorBidi" w:hAnsiTheme="majorBidi" w:cstheme="majorBidi"/>
          <w:sz w:val="24"/>
          <w:szCs w:val="24"/>
          <w:shd w:val="clear" w:color="auto" w:fill="FFFFFF"/>
        </w:rPr>
        <w:t>more motivated to maintain and/or further develop their reputation within the job market</w:t>
      </w:r>
      <w:r w:rsidR="00085B2E">
        <w:rPr>
          <w:rFonts w:asciiTheme="majorBidi" w:hAnsiTheme="majorBidi" w:cstheme="majorBidi"/>
          <w:sz w:val="24"/>
          <w:szCs w:val="24"/>
          <w:shd w:val="clear" w:color="auto" w:fill="FFFFFF"/>
        </w:rPr>
        <w:t xml:space="preserve"> </w:t>
      </w:r>
      <w:r w:rsidR="00085B2E" w:rsidRPr="008E26FF">
        <w:rPr>
          <w:rFonts w:asciiTheme="majorBidi" w:hAnsiTheme="majorBidi" w:cstheme="majorBidi"/>
          <w:sz w:val="24"/>
          <w:szCs w:val="24"/>
        </w:rPr>
        <w:t>(</w:t>
      </w:r>
      <w:r w:rsidR="00085B2E">
        <w:rPr>
          <w:rFonts w:asciiTheme="majorBidi" w:hAnsiTheme="majorBidi" w:cstheme="majorBidi"/>
          <w:sz w:val="24"/>
          <w:szCs w:val="24"/>
        </w:rPr>
        <w:t>Bone, 2006</w:t>
      </w:r>
      <w:r w:rsidR="00085B2E" w:rsidRPr="008E26FF">
        <w:rPr>
          <w:rFonts w:asciiTheme="majorBidi" w:hAnsiTheme="majorBidi" w:cstheme="majorBidi"/>
          <w:sz w:val="24"/>
          <w:szCs w:val="24"/>
          <w:shd w:val="clear" w:color="auto" w:fill="FFFFFF"/>
        </w:rPr>
        <w:t>)</w:t>
      </w:r>
      <w:r w:rsidR="00421C2E" w:rsidRPr="008E26FF">
        <w:rPr>
          <w:rFonts w:asciiTheme="majorBidi" w:hAnsiTheme="majorBidi" w:cstheme="majorBidi"/>
          <w:sz w:val="24"/>
          <w:szCs w:val="24"/>
          <w:shd w:val="clear" w:color="auto" w:fill="FFFFFF"/>
        </w:rPr>
        <w:t xml:space="preserve">, and thereby they </w:t>
      </w:r>
      <w:r w:rsidR="00D91171">
        <w:rPr>
          <w:rFonts w:asciiTheme="majorBidi" w:hAnsiTheme="majorBidi" w:cstheme="majorBidi"/>
          <w:sz w:val="24"/>
          <w:szCs w:val="24"/>
          <w:shd w:val="clear" w:color="auto" w:fill="FFFFFF"/>
        </w:rPr>
        <w:t>may be more</w:t>
      </w:r>
      <w:r w:rsidR="000674BD" w:rsidRPr="008E26FF">
        <w:rPr>
          <w:rFonts w:asciiTheme="majorBidi" w:hAnsiTheme="majorBidi" w:cstheme="majorBidi"/>
          <w:sz w:val="24"/>
          <w:szCs w:val="24"/>
          <w:shd w:val="clear" w:color="auto" w:fill="FFFFFF"/>
        </w:rPr>
        <w:t xml:space="preserve"> </w:t>
      </w:r>
      <w:r w:rsidR="005E3218" w:rsidRPr="008E26FF">
        <w:rPr>
          <w:rFonts w:asciiTheme="majorBidi" w:hAnsiTheme="majorBidi" w:cstheme="majorBidi"/>
          <w:sz w:val="24"/>
          <w:szCs w:val="24"/>
          <w:shd w:val="clear" w:color="auto" w:fill="FFFFFF"/>
        </w:rPr>
        <w:t>inclined</w:t>
      </w:r>
      <w:r w:rsidR="00421C2E" w:rsidRPr="008E26FF">
        <w:rPr>
          <w:rFonts w:asciiTheme="majorBidi" w:hAnsiTheme="majorBidi" w:cstheme="majorBidi"/>
          <w:sz w:val="24"/>
          <w:szCs w:val="24"/>
          <w:shd w:val="clear" w:color="auto" w:fill="FFFFFF"/>
        </w:rPr>
        <w:t xml:space="preserve"> to ensure that their pay reflects the performance of their institutions</w:t>
      </w:r>
      <w:r w:rsidR="00377A98" w:rsidRPr="008E26FF">
        <w:rPr>
          <w:rFonts w:asciiTheme="majorBidi" w:hAnsiTheme="majorBidi" w:cstheme="majorBidi"/>
          <w:sz w:val="24"/>
          <w:szCs w:val="24"/>
          <w:shd w:val="clear" w:color="auto" w:fill="FFFFFF"/>
        </w:rPr>
        <w:t xml:space="preserve">. </w:t>
      </w:r>
      <w:r w:rsidR="00377A98" w:rsidRPr="00B46ED5">
        <w:rPr>
          <w:rFonts w:asciiTheme="majorBidi" w:hAnsiTheme="majorBidi" w:cstheme="majorBidi"/>
          <w:sz w:val="24"/>
          <w:szCs w:val="24"/>
          <w:shd w:val="clear" w:color="auto" w:fill="FFFFFF"/>
        </w:rPr>
        <w:t>By contra</w:t>
      </w:r>
      <w:r w:rsidR="00FA0FED" w:rsidRPr="00B46ED5">
        <w:rPr>
          <w:rFonts w:asciiTheme="majorBidi" w:hAnsiTheme="majorBidi" w:cstheme="majorBidi"/>
          <w:sz w:val="24"/>
          <w:szCs w:val="24"/>
          <w:shd w:val="clear" w:color="auto" w:fill="FFFFFF"/>
        </w:rPr>
        <w:t>st</w:t>
      </w:r>
      <w:r w:rsidR="00377A98" w:rsidRPr="00B46ED5">
        <w:rPr>
          <w:rFonts w:asciiTheme="majorBidi" w:hAnsiTheme="majorBidi" w:cstheme="majorBidi"/>
          <w:sz w:val="24"/>
          <w:szCs w:val="24"/>
          <w:shd w:val="clear" w:color="auto" w:fill="FFFFFF"/>
        </w:rPr>
        <w:t xml:space="preserve">, </w:t>
      </w:r>
      <w:r w:rsidR="008E26FF" w:rsidRPr="00B46ED5">
        <w:rPr>
          <w:rFonts w:ascii="Times New Roman" w:hAnsi="Times New Roman" w:cs="Times New Roman"/>
          <w:sz w:val="24"/>
          <w:szCs w:val="24"/>
          <w:shd w:val="clear" w:color="auto" w:fill="FFFFFF"/>
        </w:rPr>
        <w:t xml:space="preserve">OCT </w:t>
      </w:r>
      <w:r w:rsidR="00377A98" w:rsidRPr="00B46ED5">
        <w:rPr>
          <w:rFonts w:ascii="Times New Roman" w:hAnsi="Times New Roman" w:cs="Times New Roman"/>
          <w:sz w:val="24"/>
          <w:szCs w:val="24"/>
          <w:shd w:val="clear" w:color="auto" w:fill="FFFFFF"/>
        </w:rPr>
        <w:lastRenderedPageBreak/>
        <w:t xml:space="preserve">indicates that </w:t>
      </w:r>
      <w:r w:rsidR="00377A98" w:rsidRPr="00B46ED5">
        <w:rPr>
          <w:rFonts w:asciiTheme="majorBidi" w:hAnsiTheme="majorBidi" w:cstheme="majorBidi"/>
          <w:sz w:val="24"/>
          <w:szCs w:val="24"/>
        </w:rPr>
        <w:t xml:space="preserve">generalist directors tend to have diverse experiences across different industries, greater </w:t>
      </w:r>
      <w:proofErr w:type="gramStart"/>
      <w:r w:rsidR="00377A98" w:rsidRPr="00B46ED5">
        <w:rPr>
          <w:rFonts w:asciiTheme="majorBidi" w:hAnsiTheme="majorBidi" w:cstheme="majorBidi"/>
          <w:sz w:val="24"/>
          <w:szCs w:val="24"/>
        </w:rPr>
        <w:t>expertise</w:t>
      </w:r>
      <w:proofErr w:type="gramEnd"/>
      <w:r w:rsidR="00377A98" w:rsidRPr="00B46ED5">
        <w:rPr>
          <w:rFonts w:asciiTheme="majorBidi" w:hAnsiTheme="majorBidi" w:cstheme="majorBidi"/>
          <w:sz w:val="24"/>
          <w:szCs w:val="24"/>
        </w:rPr>
        <w:t xml:space="preserve"> and better business networks than specialist directors</w:t>
      </w:r>
      <w:r w:rsidR="00D80B9F" w:rsidRPr="007D350B">
        <w:rPr>
          <w:rFonts w:asciiTheme="majorBidi" w:hAnsiTheme="majorBidi" w:cstheme="majorBidi"/>
          <w:sz w:val="24"/>
          <w:szCs w:val="24"/>
        </w:rPr>
        <w:t xml:space="preserve"> (</w:t>
      </w:r>
      <w:proofErr w:type="spellStart"/>
      <w:r w:rsidR="00D80B9F" w:rsidRPr="007D350B">
        <w:rPr>
          <w:rFonts w:asciiTheme="majorBidi" w:hAnsiTheme="majorBidi" w:cstheme="majorBidi"/>
          <w:sz w:val="24"/>
          <w:szCs w:val="24"/>
          <w:shd w:val="clear" w:color="auto" w:fill="FFFFFF"/>
        </w:rPr>
        <w:t>Custódio</w:t>
      </w:r>
      <w:proofErr w:type="spellEnd"/>
      <w:r w:rsidR="00D80B9F" w:rsidRPr="007D350B">
        <w:rPr>
          <w:rFonts w:asciiTheme="majorBidi" w:hAnsiTheme="majorBidi" w:cstheme="majorBidi"/>
          <w:sz w:val="24"/>
          <w:szCs w:val="24"/>
          <w:shd w:val="clear" w:color="auto" w:fill="FFFFFF"/>
        </w:rPr>
        <w:t xml:space="preserve"> et al., 2013</w:t>
      </w:r>
      <w:r w:rsidR="00D80B9F" w:rsidRPr="007D350B">
        <w:rPr>
          <w:rFonts w:asciiTheme="majorBidi" w:hAnsiTheme="majorBidi" w:cstheme="majorBidi"/>
          <w:sz w:val="24"/>
          <w:szCs w:val="24"/>
        </w:rPr>
        <w:t>).</w:t>
      </w:r>
      <w:r w:rsidR="00377A98" w:rsidRPr="007D350B">
        <w:rPr>
          <w:rFonts w:asciiTheme="majorBidi" w:hAnsiTheme="majorBidi" w:cstheme="majorBidi"/>
          <w:sz w:val="24"/>
          <w:szCs w:val="24"/>
        </w:rPr>
        <w:t xml:space="preserve"> </w:t>
      </w:r>
      <w:r w:rsidR="00D80B9F" w:rsidRPr="007D350B">
        <w:rPr>
          <w:rFonts w:asciiTheme="majorBidi" w:hAnsiTheme="majorBidi" w:cstheme="majorBidi"/>
          <w:sz w:val="24"/>
          <w:szCs w:val="24"/>
        </w:rPr>
        <w:t>Having such expertise</w:t>
      </w:r>
      <w:r w:rsidR="00377A98" w:rsidRPr="00B46ED5">
        <w:rPr>
          <w:rFonts w:asciiTheme="majorBidi" w:hAnsiTheme="majorBidi" w:cstheme="majorBidi"/>
          <w:sz w:val="24"/>
          <w:szCs w:val="24"/>
        </w:rPr>
        <w:t xml:space="preserve"> is</w:t>
      </w:r>
      <w:r w:rsidR="00FA0FED" w:rsidRPr="00B46ED5">
        <w:rPr>
          <w:rFonts w:asciiTheme="majorBidi" w:hAnsiTheme="majorBidi" w:cstheme="majorBidi"/>
          <w:sz w:val="24"/>
          <w:szCs w:val="24"/>
        </w:rPr>
        <w:t xml:space="preserve"> usually</w:t>
      </w:r>
      <w:r w:rsidR="00377A98" w:rsidRPr="00B46ED5">
        <w:rPr>
          <w:rFonts w:asciiTheme="majorBidi" w:hAnsiTheme="majorBidi" w:cstheme="majorBidi"/>
          <w:sz w:val="24"/>
          <w:szCs w:val="24"/>
        </w:rPr>
        <w:t xml:space="preserve"> necessary to deal with uncertainty, operational </w:t>
      </w:r>
      <w:proofErr w:type="gramStart"/>
      <w:r w:rsidR="00377A98" w:rsidRPr="00B46ED5">
        <w:rPr>
          <w:rFonts w:asciiTheme="majorBidi" w:hAnsiTheme="majorBidi" w:cstheme="majorBidi"/>
          <w:sz w:val="24"/>
          <w:szCs w:val="24"/>
        </w:rPr>
        <w:t>complexity</w:t>
      </w:r>
      <w:proofErr w:type="gramEnd"/>
      <w:r w:rsidR="00377A98" w:rsidRPr="00B46ED5">
        <w:rPr>
          <w:rFonts w:asciiTheme="majorBidi" w:hAnsiTheme="majorBidi" w:cstheme="majorBidi"/>
          <w:sz w:val="24"/>
          <w:szCs w:val="24"/>
        </w:rPr>
        <w:t xml:space="preserve"> and competition</w:t>
      </w:r>
      <w:r w:rsidR="007E56CD" w:rsidRPr="007D350B">
        <w:rPr>
          <w:rFonts w:asciiTheme="majorBidi" w:hAnsiTheme="majorBidi" w:cstheme="majorBidi"/>
          <w:sz w:val="24"/>
          <w:szCs w:val="24"/>
        </w:rPr>
        <w:t xml:space="preserve"> </w:t>
      </w:r>
      <w:r w:rsidR="007E56CD" w:rsidRPr="007D350B">
        <w:rPr>
          <w:rFonts w:ascii="Times New Roman" w:hAnsi="Times New Roman" w:cs="Times New Roman"/>
          <w:sz w:val="24"/>
          <w:szCs w:val="24"/>
          <w:shd w:val="clear" w:color="auto" w:fill="FFFFFF"/>
        </w:rPr>
        <w:t>(</w:t>
      </w:r>
      <w:r w:rsidR="00D80B9F" w:rsidRPr="007D350B">
        <w:rPr>
          <w:rFonts w:asciiTheme="majorBidi" w:hAnsiTheme="majorBidi" w:cstheme="majorBidi"/>
          <w:sz w:val="24"/>
          <w:szCs w:val="24"/>
          <w:shd w:val="clear" w:color="auto" w:fill="FFFFFF"/>
        </w:rPr>
        <w:t>Milbourn 2003</w:t>
      </w:r>
      <w:r w:rsidR="007E56CD" w:rsidRPr="007D350B">
        <w:rPr>
          <w:rFonts w:ascii="Times New Roman" w:hAnsi="Times New Roman" w:cs="Times New Roman"/>
          <w:sz w:val="24"/>
          <w:szCs w:val="24"/>
          <w:shd w:val="clear" w:color="auto" w:fill="FFFFFF"/>
        </w:rPr>
        <w:t>)</w:t>
      </w:r>
      <w:r w:rsidR="00377A98" w:rsidRPr="007D350B">
        <w:rPr>
          <w:rFonts w:asciiTheme="majorBidi" w:hAnsiTheme="majorBidi" w:cstheme="majorBidi"/>
          <w:sz w:val="24"/>
          <w:szCs w:val="24"/>
        </w:rPr>
        <w:t>, and thus they may receive high pay packages that</w:t>
      </w:r>
      <w:r w:rsidR="000674BD" w:rsidRPr="007D350B">
        <w:rPr>
          <w:rFonts w:asciiTheme="majorBidi" w:hAnsiTheme="majorBidi" w:cstheme="majorBidi"/>
          <w:sz w:val="24"/>
          <w:szCs w:val="24"/>
        </w:rPr>
        <w:t xml:space="preserve"> may</w:t>
      </w:r>
      <w:r w:rsidR="00377A98" w:rsidRPr="007D350B">
        <w:rPr>
          <w:rFonts w:asciiTheme="majorBidi" w:hAnsiTheme="majorBidi" w:cstheme="majorBidi"/>
          <w:sz w:val="24"/>
          <w:szCs w:val="24"/>
        </w:rPr>
        <w:t xml:space="preserve"> not necessarily reflect </w:t>
      </w:r>
      <w:r w:rsidR="00377A98" w:rsidRPr="007D350B">
        <w:rPr>
          <w:rFonts w:ascii="Times New Roman" w:hAnsi="Times New Roman" w:cs="Times New Roman"/>
          <w:sz w:val="24"/>
          <w:szCs w:val="24"/>
          <w:shd w:val="clear" w:color="auto" w:fill="FFFFFF"/>
        </w:rPr>
        <w:t>their institutions</w:t>
      </w:r>
      <w:r w:rsidR="00FA0FED" w:rsidRPr="007D350B">
        <w:rPr>
          <w:rFonts w:ascii="Times New Roman" w:hAnsi="Times New Roman" w:cs="Times New Roman"/>
          <w:sz w:val="24"/>
          <w:szCs w:val="24"/>
          <w:shd w:val="clear" w:color="auto" w:fill="FFFFFF"/>
        </w:rPr>
        <w:t>’</w:t>
      </w:r>
      <w:r w:rsidR="00377A98" w:rsidRPr="007D350B">
        <w:rPr>
          <w:rFonts w:ascii="Times New Roman" w:hAnsi="Times New Roman" w:cs="Times New Roman"/>
          <w:sz w:val="24"/>
          <w:szCs w:val="24"/>
          <w:shd w:val="clear" w:color="auto" w:fill="FFFFFF"/>
        </w:rPr>
        <w:t xml:space="preserve"> performance.</w:t>
      </w:r>
      <w:r w:rsidR="00377A98" w:rsidRPr="008E26FF">
        <w:rPr>
          <w:rFonts w:ascii="Times New Roman" w:hAnsi="Times New Roman" w:cs="Times New Roman"/>
          <w:sz w:val="24"/>
          <w:szCs w:val="24"/>
          <w:shd w:val="clear" w:color="auto" w:fill="FFFFFF"/>
        </w:rPr>
        <w:t xml:space="preserve"> </w:t>
      </w:r>
    </w:p>
    <w:p w14:paraId="3B7CD6DE" w14:textId="2A2284C8" w:rsidR="00022138" w:rsidRDefault="00122411" w:rsidP="00F30166">
      <w:pPr>
        <w:spacing w:line="480" w:lineRule="auto"/>
        <w:ind w:firstLine="720"/>
        <w:jc w:val="both"/>
        <w:rPr>
          <w:rFonts w:asciiTheme="majorBidi" w:hAnsiTheme="majorBidi" w:cstheme="majorBidi"/>
          <w:sz w:val="24"/>
          <w:szCs w:val="24"/>
          <w:shd w:val="clear" w:color="auto" w:fill="FFFFFF"/>
        </w:rPr>
      </w:pPr>
      <w:r w:rsidRPr="00B80067">
        <w:rPr>
          <w:rFonts w:asciiTheme="majorBidi" w:hAnsiTheme="majorBidi" w:cstheme="majorBidi"/>
          <w:sz w:val="24"/>
          <w:szCs w:val="24"/>
          <w:shd w:val="clear" w:color="auto" w:fill="FFFFFF"/>
        </w:rPr>
        <w:t xml:space="preserve">Empirically, </w:t>
      </w:r>
      <w:r w:rsidR="003557B1" w:rsidRPr="00B80067">
        <w:rPr>
          <w:rFonts w:asciiTheme="majorBidi" w:hAnsiTheme="majorBidi" w:cstheme="majorBidi"/>
          <w:sz w:val="24"/>
          <w:szCs w:val="24"/>
          <w:shd w:val="clear" w:color="auto" w:fill="FFFFFF"/>
        </w:rPr>
        <w:t xml:space="preserve">there is </w:t>
      </w:r>
      <w:r w:rsidR="009B727D" w:rsidRPr="00B80067">
        <w:rPr>
          <w:rFonts w:asciiTheme="majorBidi" w:hAnsiTheme="majorBidi" w:cstheme="majorBidi"/>
          <w:sz w:val="24"/>
          <w:szCs w:val="24"/>
          <w:shd w:val="clear" w:color="auto" w:fill="FFFFFF"/>
        </w:rPr>
        <w:t xml:space="preserve">scarcity of studies </w:t>
      </w:r>
      <w:r w:rsidR="003557B1" w:rsidRPr="00B80067">
        <w:rPr>
          <w:rFonts w:asciiTheme="majorBidi" w:hAnsiTheme="majorBidi" w:cstheme="majorBidi"/>
          <w:sz w:val="24"/>
          <w:szCs w:val="24"/>
          <w:shd w:val="clear" w:color="auto" w:fill="FFFFFF"/>
        </w:rPr>
        <w:t xml:space="preserve">investigating the moderating </w:t>
      </w:r>
      <w:r w:rsidR="001E476B" w:rsidRPr="00B80067">
        <w:rPr>
          <w:rFonts w:asciiTheme="majorBidi" w:hAnsiTheme="majorBidi" w:cstheme="majorBidi"/>
          <w:sz w:val="24"/>
          <w:szCs w:val="24"/>
          <w:shd w:val="clear" w:color="auto" w:fill="FFFFFF"/>
        </w:rPr>
        <w:t>influence</w:t>
      </w:r>
      <w:r w:rsidR="003557B1" w:rsidRPr="00B80067">
        <w:rPr>
          <w:rFonts w:asciiTheme="majorBidi" w:hAnsiTheme="majorBidi" w:cstheme="majorBidi"/>
          <w:sz w:val="24"/>
          <w:szCs w:val="24"/>
          <w:shd w:val="clear" w:color="auto" w:fill="FFFFFF"/>
        </w:rPr>
        <w:t xml:space="preserve"> of </w:t>
      </w:r>
      <w:r w:rsidR="009B2A3C" w:rsidRPr="00B80067">
        <w:rPr>
          <w:rFonts w:asciiTheme="majorBidi" w:hAnsiTheme="majorBidi" w:cstheme="majorBidi"/>
          <w:sz w:val="24"/>
          <w:szCs w:val="24"/>
          <w:shd w:val="clear" w:color="auto" w:fill="FFFFFF"/>
        </w:rPr>
        <w:t>manager</w:t>
      </w:r>
      <w:r w:rsidR="008932C7" w:rsidRPr="00B80067">
        <w:rPr>
          <w:rFonts w:asciiTheme="majorBidi" w:hAnsiTheme="majorBidi" w:cstheme="majorBidi"/>
          <w:sz w:val="24"/>
          <w:szCs w:val="24"/>
          <w:shd w:val="clear" w:color="auto" w:fill="FFFFFF"/>
        </w:rPr>
        <w:t>ial</w:t>
      </w:r>
      <w:r w:rsidR="003557B1" w:rsidRPr="00B80067">
        <w:rPr>
          <w:rFonts w:asciiTheme="majorBidi" w:hAnsiTheme="majorBidi" w:cstheme="majorBidi"/>
          <w:sz w:val="24"/>
          <w:szCs w:val="24"/>
          <w:shd w:val="clear" w:color="auto" w:fill="FFFFFF"/>
        </w:rPr>
        <w:t xml:space="preserve"> characteristics on the </w:t>
      </w:r>
      <w:r w:rsidR="00446F37" w:rsidRPr="00B80067">
        <w:rPr>
          <w:rFonts w:asciiTheme="majorBidi" w:hAnsiTheme="majorBidi" w:cstheme="majorBidi"/>
          <w:sz w:val="24"/>
          <w:szCs w:val="24"/>
          <w:shd w:val="clear" w:color="auto" w:fill="FFFFFF"/>
        </w:rPr>
        <w:t>pay</w:t>
      </w:r>
      <w:r w:rsidR="00CF595A" w:rsidRPr="00B80067">
        <w:rPr>
          <w:rFonts w:asciiTheme="majorBidi" w:hAnsiTheme="majorBidi" w:cstheme="majorBidi"/>
          <w:sz w:val="24"/>
          <w:szCs w:val="24"/>
          <w:shd w:val="clear" w:color="auto" w:fill="FFFFFF"/>
        </w:rPr>
        <w:t>–performance</w:t>
      </w:r>
      <w:r w:rsidR="003557B1" w:rsidRPr="00B80067">
        <w:rPr>
          <w:rFonts w:asciiTheme="majorBidi" w:hAnsiTheme="majorBidi" w:cstheme="majorBidi"/>
          <w:sz w:val="24"/>
          <w:szCs w:val="24"/>
          <w:shd w:val="clear" w:color="auto" w:fill="FFFFFF"/>
        </w:rPr>
        <w:t xml:space="preserve"> </w:t>
      </w:r>
      <w:r w:rsidR="009B727D" w:rsidRPr="00B80067">
        <w:rPr>
          <w:rFonts w:asciiTheme="majorBidi" w:hAnsiTheme="majorBidi" w:cstheme="majorBidi"/>
          <w:sz w:val="24"/>
          <w:szCs w:val="24"/>
          <w:shd w:val="clear" w:color="auto" w:fill="FFFFFF"/>
        </w:rPr>
        <w:t>relationship</w:t>
      </w:r>
      <w:r w:rsidR="003557B1" w:rsidRPr="00B80067">
        <w:rPr>
          <w:rFonts w:asciiTheme="majorBidi" w:hAnsiTheme="majorBidi" w:cstheme="majorBidi"/>
          <w:sz w:val="24"/>
          <w:szCs w:val="24"/>
          <w:shd w:val="clear" w:color="auto" w:fill="FFFFFF"/>
        </w:rPr>
        <w:t xml:space="preserve"> generally, but </w:t>
      </w:r>
      <w:r w:rsidR="009B727D" w:rsidRPr="00B80067">
        <w:rPr>
          <w:rFonts w:asciiTheme="majorBidi" w:hAnsiTheme="majorBidi" w:cstheme="majorBidi"/>
          <w:sz w:val="24"/>
          <w:szCs w:val="24"/>
          <w:shd w:val="clear" w:color="auto" w:fill="FFFFFF"/>
        </w:rPr>
        <w:t>particularly</w:t>
      </w:r>
      <w:r w:rsidR="003557B1" w:rsidRPr="00B80067">
        <w:rPr>
          <w:rFonts w:asciiTheme="majorBidi" w:hAnsiTheme="majorBidi" w:cstheme="majorBidi"/>
          <w:sz w:val="24"/>
          <w:szCs w:val="24"/>
          <w:shd w:val="clear" w:color="auto" w:fill="FFFFFF"/>
        </w:rPr>
        <w:t xml:space="preserve"> in </w:t>
      </w:r>
      <w:r w:rsidR="008932C7" w:rsidRPr="00B80067">
        <w:rPr>
          <w:rFonts w:asciiTheme="majorBidi" w:hAnsiTheme="majorBidi" w:cstheme="majorBidi"/>
          <w:sz w:val="24"/>
          <w:szCs w:val="24"/>
          <w:shd w:val="clear" w:color="auto" w:fill="FFFFFF"/>
        </w:rPr>
        <w:t xml:space="preserve">the </w:t>
      </w:r>
      <w:r w:rsidR="003557B1" w:rsidRPr="00B80067">
        <w:rPr>
          <w:rFonts w:asciiTheme="majorBidi" w:hAnsiTheme="majorBidi" w:cstheme="majorBidi"/>
          <w:sz w:val="24"/>
          <w:szCs w:val="24"/>
          <w:shd w:val="clear" w:color="auto" w:fill="FFFFFF"/>
        </w:rPr>
        <w:t xml:space="preserve">HE </w:t>
      </w:r>
      <w:proofErr w:type="gramStart"/>
      <w:r w:rsidR="003557B1" w:rsidRPr="00B80067">
        <w:rPr>
          <w:rFonts w:asciiTheme="majorBidi" w:hAnsiTheme="majorBidi" w:cstheme="majorBidi"/>
          <w:sz w:val="24"/>
          <w:szCs w:val="24"/>
          <w:shd w:val="clear" w:color="auto" w:fill="FFFFFF"/>
        </w:rPr>
        <w:t>sector</w:t>
      </w:r>
      <w:proofErr w:type="gramEnd"/>
      <w:r w:rsidR="003557B1" w:rsidRPr="00B80067">
        <w:rPr>
          <w:rFonts w:asciiTheme="majorBidi" w:hAnsiTheme="majorBidi" w:cstheme="majorBidi"/>
          <w:sz w:val="24"/>
          <w:szCs w:val="24"/>
          <w:shd w:val="clear" w:color="auto" w:fill="FFFFFF"/>
        </w:rPr>
        <w:t xml:space="preserve">, and thereby our study </w:t>
      </w:r>
      <w:r w:rsidR="009B727D" w:rsidRPr="00B80067">
        <w:rPr>
          <w:rFonts w:asciiTheme="majorBidi" w:hAnsiTheme="majorBidi" w:cstheme="majorBidi"/>
          <w:sz w:val="24"/>
          <w:szCs w:val="24"/>
          <w:shd w:val="clear" w:color="auto" w:fill="FFFFFF"/>
        </w:rPr>
        <w:t>attempts</w:t>
      </w:r>
      <w:r w:rsidR="003557B1" w:rsidRPr="00B80067">
        <w:rPr>
          <w:rFonts w:asciiTheme="majorBidi" w:hAnsiTheme="majorBidi" w:cstheme="majorBidi"/>
          <w:sz w:val="24"/>
          <w:szCs w:val="24"/>
          <w:shd w:val="clear" w:color="auto" w:fill="FFFFFF"/>
        </w:rPr>
        <w:t xml:space="preserve"> to make original contribution</w:t>
      </w:r>
      <w:r w:rsidR="001354B8" w:rsidRPr="00B80067">
        <w:rPr>
          <w:rFonts w:asciiTheme="majorBidi" w:hAnsiTheme="majorBidi" w:cstheme="majorBidi"/>
          <w:sz w:val="24"/>
          <w:szCs w:val="24"/>
          <w:shd w:val="clear" w:color="auto" w:fill="FFFFFF"/>
        </w:rPr>
        <w:t>s</w:t>
      </w:r>
      <w:r w:rsidR="003557B1" w:rsidRPr="00B80067">
        <w:rPr>
          <w:rFonts w:asciiTheme="majorBidi" w:hAnsiTheme="majorBidi" w:cstheme="majorBidi"/>
          <w:sz w:val="24"/>
          <w:szCs w:val="24"/>
          <w:shd w:val="clear" w:color="auto" w:fill="FFFFFF"/>
        </w:rPr>
        <w:t xml:space="preserve"> </w:t>
      </w:r>
      <w:r w:rsidR="00B46ED5">
        <w:rPr>
          <w:rFonts w:asciiTheme="majorBidi" w:hAnsiTheme="majorBidi" w:cstheme="majorBidi"/>
          <w:sz w:val="24"/>
          <w:szCs w:val="24"/>
          <w:shd w:val="clear" w:color="auto" w:fill="FFFFFF"/>
        </w:rPr>
        <w:t>in</w:t>
      </w:r>
      <w:r w:rsidR="003557B1" w:rsidRPr="00B80067">
        <w:rPr>
          <w:rFonts w:asciiTheme="majorBidi" w:hAnsiTheme="majorBidi" w:cstheme="majorBidi"/>
          <w:sz w:val="24"/>
          <w:szCs w:val="24"/>
          <w:shd w:val="clear" w:color="auto" w:fill="FFFFFF"/>
        </w:rPr>
        <w:t xml:space="preserve"> </w:t>
      </w:r>
      <w:r w:rsidR="00077A4A" w:rsidRPr="00B80067">
        <w:rPr>
          <w:rFonts w:asciiTheme="majorBidi" w:hAnsiTheme="majorBidi" w:cstheme="majorBidi"/>
          <w:sz w:val="24"/>
          <w:szCs w:val="24"/>
          <w:shd w:val="clear" w:color="auto" w:fill="FFFFFF"/>
        </w:rPr>
        <w:t>this area of research</w:t>
      </w:r>
      <w:r w:rsidR="003557B1" w:rsidRPr="00B80067">
        <w:rPr>
          <w:rFonts w:asciiTheme="majorBidi" w:hAnsiTheme="majorBidi" w:cstheme="majorBidi"/>
          <w:sz w:val="24"/>
          <w:szCs w:val="24"/>
        </w:rPr>
        <w:t xml:space="preserve">. </w:t>
      </w:r>
      <w:r w:rsidR="00DA19A7" w:rsidRPr="00B80067">
        <w:rPr>
          <w:rFonts w:asciiTheme="majorBidi" w:hAnsiTheme="majorBidi" w:cstheme="majorBidi"/>
          <w:sz w:val="24"/>
          <w:szCs w:val="24"/>
          <w:shd w:val="clear" w:color="auto" w:fill="FFFFFF"/>
        </w:rPr>
        <w:t>The</w:t>
      </w:r>
      <w:r w:rsidR="00035AE6" w:rsidRPr="00B80067">
        <w:rPr>
          <w:rFonts w:asciiTheme="majorBidi" w:hAnsiTheme="majorBidi" w:cstheme="majorBidi"/>
          <w:sz w:val="24"/>
          <w:szCs w:val="24"/>
          <w:shd w:val="clear" w:color="auto" w:fill="FFFFFF"/>
        </w:rPr>
        <w:t xml:space="preserve"> existing </w:t>
      </w:r>
      <w:r w:rsidR="00DA19A7" w:rsidRPr="00B80067">
        <w:rPr>
          <w:rFonts w:asciiTheme="majorBidi" w:hAnsiTheme="majorBidi" w:cstheme="majorBidi"/>
          <w:sz w:val="24"/>
          <w:szCs w:val="24"/>
          <w:shd w:val="clear" w:color="auto" w:fill="FFFFFF"/>
        </w:rPr>
        <w:t xml:space="preserve">empirical </w:t>
      </w:r>
      <w:r w:rsidR="00035AE6" w:rsidRPr="00B80067">
        <w:rPr>
          <w:rFonts w:asciiTheme="majorBidi" w:hAnsiTheme="majorBidi" w:cstheme="majorBidi"/>
          <w:sz w:val="24"/>
          <w:szCs w:val="24"/>
          <w:shd w:val="clear" w:color="auto" w:fill="FFFFFF"/>
        </w:rPr>
        <w:t xml:space="preserve">evidence is </w:t>
      </w:r>
      <w:r w:rsidR="00077A4A" w:rsidRPr="00B80067">
        <w:rPr>
          <w:rFonts w:asciiTheme="majorBidi" w:hAnsiTheme="majorBidi" w:cstheme="majorBidi"/>
          <w:sz w:val="24"/>
          <w:szCs w:val="24"/>
          <w:shd w:val="clear" w:color="auto" w:fill="FFFFFF"/>
        </w:rPr>
        <w:t xml:space="preserve">generally </w:t>
      </w:r>
      <w:r w:rsidR="00035AE6" w:rsidRPr="00B80067">
        <w:rPr>
          <w:rFonts w:asciiTheme="majorBidi" w:hAnsiTheme="majorBidi" w:cstheme="majorBidi"/>
          <w:sz w:val="24"/>
          <w:szCs w:val="24"/>
          <w:shd w:val="clear" w:color="auto" w:fill="FFFFFF"/>
        </w:rPr>
        <w:t xml:space="preserve">consistent with the </w:t>
      </w:r>
      <w:r w:rsidR="001B7497" w:rsidRPr="00B80067">
        <w:rPr>
          <w:rFonts w:asciiTheme="majorBidi" w:hAnsiTheme="majorBidi" w:cstheme="majorBidi"/>
          <w:sz w:val="24"/>
          <w:szCs w:val="24"/>
          <w:shd w:val="clear" w:color="auto" w:fill="FFFFFF"/>
        </w:rPr>
        <w:t>expectation</w:t>
      </w:r>
      <w:r w:rsidR="00035AE6" w:rsidRPr="00B80067">
        <w:rPr>
          <w:rFonts w:asciiTheme="majorBidi" w:hAnsiTheme="majorBidi" w:cstheme="majorBidi"/>
          <w:sz w:val="24"/>
          <w:szCs w:val="24"/>
          <w:shd w:val="clear" w:color="auto" w:fill="FFFFFF"/>
        </w:rPr>
        <w:t xml:space="preserve"> </w:t>
      </w:r>
      <w:r w:rsidR="00077A4A" w:rsidRPr="00B80067">
        <w:rPr>
          <w:rFonts w:asciiTheme="majorBidi" w:hAnsiTheme="majorBidi" w:cstheme="majorBidi"/>
          <w:sz w:val="24"/>
          <w:szCs w:val="24"/>
          <w:shd w:val="clear" w:color="auto" w:fill="FFFFFF"/>
        </w:rPr>
        <w:t xml:space="preserve">of OCT and PT that HEIs’ top management attributes may moderate the link between </w:t>
      </w:r>
      <w:r w:rsidR="002C3300" w:rsidRPr="00B80067">
        <w:rPr>
          <w:rFonts w:asciiTheme="majorBidi" w:hAnsiTheme="majorBidi" w:cstheme="majorBidi"/>
          <w:sz w:val="24"/>
          <w:szCs w:val="24"/>
          <w:shd w:val="clear" w:color="auto" w:fill="FFFFFF"/>
        </w:rPr>
        <w:t xml:space="preserve">pay and </w:t>
      </w:r>
      <w:r w:rsidR="00077A4A" w:rsidRPr="00B80067">
        <w:rPr>
          <w:rFonts w:asciiTheme="majorBidi" w:hAnsiTheme="majorBidi" w:cstheme="majorBidi"/>
          <w:sz w:val="24"/>
          <w:szCs w:val="24"/>
          <w:shd w:val="clear" w:color="auto" w:fill="FFFFFF"/>
        </w:rPr>
        <w:t xml:space="preserve">performance </w:t>
      </w:r>
      <w:r w:rsidR="00170BDF" w:rsidRPr="00B80067">
        <w:rPr>
          <w:rFonts w:asciiTheme="majorBidi" w:hAnsiTheme="majorBidi" w:cstheme="majorBidi"/>
          <w:sz w:val="24"/>
          <w:szCs w:val="24"/>
          <w:shd w:val="clear" w:color="auto" w:fill="FFFFFF"/>
        </w:rPr>
        <w:t>(</w:t>
      </w:r>
      <w:proofErr w:type="spellStart"/>
      <w:r w:rsidR="00170BDF" w:rsidRPr="00B80067">
        <w:rPr>
          <w:rFonts w:asciiTheme="majorBidi" w:hAnsiTheme="majorBidi" w:cstheme="majorBidi"/>
          <w:sz w:val="24"/>
          <w:szCs w:val="24"/>
          <w:shd w:val="clear" w:color="auto" w:fill="FFFFFF"/>
        </w:rPr>
        <w:t>Custódio</w:t>
      </w:r>
      <w:proofErr w:type="spellEnd"/>
      <w:r w:rsidR="00170BDF" w:rsidRPr="00B80067">
        <w:rPr>
          <w:rFonts w:asciiTheme="majorBidi" w:hAnsiTheme="majorBidi" w:cstheme="majorBidi"/>
          <w:sz w:val="24"/>
          <w:szCs w:val="24"/>
          <w:shd w:val="clear" w:color="auto" w:fill="FFFFFF"/>
        </w:rPr>
        <w:t xml:space="preserve"> et al., 2013). For example, </w:t>
      </w:r>
      <w:proofErr w:type="spellStart"/>
      <w:r w:rsidR="00170BDF">
        <w:rPr>
          <w:rFonts w:asciiTheme="majorBidi" w:hAnsiTheme="majorBidi" w:cstheme="majorBidi"/>
          <w:sz w:val="24"/>
          <w:szCs w:val="24"/>
          <w:shd w:val="clear" w:color="auto" w:fill="FFFFFF"/>
        </w:rPr>
        <w:t>Custódio</w:t>
      </w:r>
      <w:proofErr w:type="spellEnd"/>
      <w:r w:rsidR="00170BDF">
        <w:rPr>
          <w:rFonts w:asciiTheme="majorBidi" w:hAnsiTheme="majorBidi" w:cstheme="majorBidi"/>
          <w:sz w:val="24"/>
          <w:szCs w:val="24"/>
          <w:shd w:val="clear" w:color="auto" w:fill="FFFFFF"/>
        </w:rPr>
        <w:t xml:space="preserve"> et al. (2013) report that US </w:t>
      </w:r>
      <w:r w:rsidR="00D55D2E">
        <w:rPr>
          <w:rFonts w:asciiTheme="majorBidi" w:hAnsiTheme="majorBidi" w:cstheme="majorBidi"/>
          <w:sz w:val="24"/>
          <w:szCs w:val="24"/>
          <w:shd w:val="clear" w:color="auto" w:fill="FFFFFF"/>
        </w:rPr>
        <w:t xml:space="preserve">public listed </w:t>
      </w:r>
      <w:r w:rsidR="00170BDF">
        <w:rPr>
          <w:rFonts w:asciiTheme="majorBidi" w:hAnsiTheme="majorBidi" w:cstheme="majorBidi"/>
          <w:sz w:val="24"/>
          <w:szCs w:val="24"/>
          <w:shd w:val="clear" w:color="auto" w:fill="FFFFFF"/>
        </w:rPr>
        <w:t xml:space="preserve">firms tend to pay generalist </w:t>
      </w:r>
      <w:r w:rsidR="00CE1DA8">
        <w:rPr>
          <w:rFonts w:asciiTheme="majorBidi" w:hAnsiTheme="majorBidi" w:cstheme="majorBidi"/>
          <w:sz w:val="24"/>
          <w:szCs w:val="24"/>
          <w:shd w:val="clear" w:color="auto" w:fill="FFFFFF"/>
        </w:rPr>
        <w:t>CEOs</w:t>
      </w:r>
      <w:r w:rsidR="00C46957">
        <w:rPr>
          <w:rFonts w:asciiTheme="majorBidi" w:hAnsiTheme="majorBidi" w:cstheme="majorBidi"/>
          <w:sz w:val="24"/>
          <w:szCs w:val="24"/>
          <w:shd w:val="clear" w:color="auto" w:fill="FFFFFF"/>
        </w:rPr>
        <w:t xml:space="preserve"> excessively</w:t>
      </w:r>
      <w:r w:rsidR="007B2C51">
        <w:rPr>
          <w:rFonts w:asciiTheme="majorBidi" w:hAnsiTheme="majorBidi" w:cstheme="majorBidi"/>
          <w:sz w:val="24"/>
          <w:szCs w:val="24"/>
          <w:shd w:val="clear" w:color="auto" w:fill="FFFFFF"/>
        </w:rPr>
        <w:t xml:space="preserve"> high</w:t>
      </w:r>
      <w:r w:rsidR="00C46957">
        <w:rPr>
          <w:rFonts w:asciiTheme="majorBidi" w:hAnsiTheme="majorBidi" w:cstheme="majorBidi"/>
          <w:sz w:val="24"/>
          <w:szCs w:val="24"/>
          <w:shd w:val="clear" w:color="auto" w:fill="FFFFFF"/>
        </w:rPr>
        <w:t xml:space="preserve"> pay packages, which </w:t>
      </w:r>
      <w:r w:rsidR="001B7497">
        <w:rPr>
          <w:rFonts w:asciiTheme="majorBidi" w:hAnsiTheme="majorBidi" w:cstheme="majorBidi"/>
          <w:sz w:val="24"/>
          <w:szCs w:val="24"/>
          <w:shd w:val="clear" w:color="auto" w:fill="FFFFFF"/>
        </w:rPr>
        <w:t>do</w:t>
      </w:r>
      <w:r w:rsidR="00170BDF">
        <w:rPr>
          <w:rFonts w:asciiTheme="majorBidi" w:hAnsiTheme="majorBidi" w:cstheme="majorBidi"/>
          <w:sz w:val="24"/>
          <w:szCs w:val="24"/>
          <w:shd w:val="clear" w:color="auto" w:fill="FFFFFF"/>
        </w:rPr>
        <w:t xml:space="preserve"> not </w:t>
      </w:r>
      <w:r w:rsidR="00697E0A">
        <w:rPr>
          <w:rFonts w:asciiTheme="majorBidi" w:hAnsiTheme="majorBidi" w:cstheme="majorBidi"/>
          <w:sz w:val="24"/>
          <w:szCs w:val="24"/>
          <w:shd w:val="clear" w:color="auto" w:fill="FFFFFF"/>
        </w:rPr>
        <w:t xml:space="preserve">necessarily </w:t>
      </w:r>
      <w:r w:rsidR="001B7497">
        <w:rPr>
          <w:rFonts w:asciiTheme="majorBidi" w:hAnsiTheme="majorBidi" w:cstheme="majorBidi"/>
          <w:sz w:val="24"/>
          <w:szCs w:val="24"/>
          <w:shd w:val="clear" w:color="auto" w:fill="FFFFFF"/>
        </w:rPr>
        <w:t>relate</w:t>
      </w:r>
      <w:r w:rsidR="00170BDF">
        <w:rPr>
          <w:rFonts w:asciiTheme="majorBidi" w:hAnsiTheme="majorBidi" w:cstheme="majorBidi"/>
          <w:sz w:val="24"/>
          <w:szCs w:val="24"/>
          <w:shd w:val="clear" w:color="auto" w:fill="FFFFFF"/>
        </w:rPr>
        <w:t xml:space="preserve"> to performance. Similarly, </w:t>
      </w:r>
      <w:proofErr w:type="spellStart"/>
      <w:r w:rsidR="002B3505" w:rsidRPr="00F976DB">
        <w:rPr>
          <w:rFonts w:asciiTheme="majorBidi" w:hAnsiTheme="majorBidi" w:cstheme="majorBidi"/>
          <w:sz w:val="24"/>
          <w:szCs w:val="24"/>
        </w:rPr>
        <w:t>Bebchuk</w:t>
      </w:r>
      <w:proofErr w:type="spellEnd"/>
      <w:r w:rsidR="002B3505" w:rsidRPr="00F976DB">
        <w:rPr>
          <w:rFonts w:asciiTheme="majorBidi" w:hAnsiTheme="majorBidi" w:cstheme="majorBidi"/>
          <w:sz w:val="24"/>
          <w:szCs w:val="24"/>
        </w:rPr>
        <w:t xml:space="preserve"> et al</w:t>
      </w:r>
      <w:r w:rsidR="002B3505">
        <w:rPr>
          <w:rFonts w:asciiTheme="majorBidi" w:hAnsiTheme="majorBidi" w:cstheme="majorBidi"/>
          <w:sz w:val="24"/>
          <w:szCs w:val="24"/>
        </w:rPr>
        <w:t>. (2002)</w:t>
      </w:r>
      <w:r w:rsidR="00D55D2E" w:rsidRPr="00D55D2E">
        <w:rPr>
          <w:rFonts w:asciiTheme="majorBidi" w:hAnsiTheme="majorBidi" w:cstheme="majorBidi"/>
          <w:sz w:val="24"/>
          <w:szCs w:val="24"/>
          <w:shd w:val="clear" w:color="auto" w:fill="FFFFFF"/>
        </w:rPr>
        <w:t xml:space="preserve"> </w:t>
      </w:r>
      <w:r w:rsidR="00D55D2E">
        <w:rPr>
          <w:rFonts w:asciiTheme="majorBidi" w:hAnsiTheme="majorBidi" w:cstheme="majorBidi"/>
          <w:sz w:val="24"/>
          <w:szCs w:val="24"/>
          <w:shd w:val="clear" w:color="auto" w:fill="FFFFFF"/>
        </w:rPr>
        <w:t xml:space="preserve">report that long-tenured </w:t>
      </w:r>
      <w:r w:rsidR="001B7497">
        <w:rPr>
          <w:rFonts w:asciiTheme="majorBidi" w:hAnsiTheme="majorBidi" w:cstheme="majorBidi"/>
          <w:sz w:val="24"/>
          <w:szCs w:val="24"/>
          <w:shd w:val="clear" w:color="auto" w:fill="FFFFFF"/>
        </w:rPr>
        <w:t>managers</w:t>
      </w:r>
      <w:r w:rsidR="00D55D2E">
        <w:rPr>
          <w:rFonts w:asciiTheme="majorBidi" w:hAnsiTheme="majorBidi" w:cstheme="majorBidi"/>
          <w:sz w:val="24"/>
          <w:szCs w:val="24"/>
          <w:shd w:val="clear" w:color="auto" w:fill="FFFFFF"/>
        </w:rPr>
        <w:t xml:space="preserve"> </w:t>
      </w:r>
      <w:r w:rsidR="001B7497">
        <w:rPr>
          <w:rFonts w:asciiTheme="majorBidi" w:hAnsiTheme="majorBidi" w:cstheme="majorBidi"/>
          <w:sz w:val="24"/>
          <w:szCs w:val="24"/>
          <w:shd w:val="clear" w:color="auto" w:fill="FFFFFF"/>
        </w:rPr>
        <w:t>often</w:t>
      </w:r>
      <w:r w:rsidR="00D55D2E">
        <w:rPr>
          <w:rFonts w:asciiTheme="majorBidi" w:hAnsiTheme="majorBidi" w:cstheme="majorBidi"/>
          <w:sz w:val="24"/>
          <w:szCs w:val="24"/>
          <w:shd w:val="clear" w:color="auto" w:fill="FFFFFF"/>
        </w:rPr>
        <w:t xml:space="preserve"> receive overly generous pay packages that </w:t>
      </w:r>
      <w:r w:rsidR="001B7497">
        <w:rPr>
          <w:rFonts w:asciiTheme="majorBidi" w:hAnsiTheme="majorBidi" w:cstheme="majorBidi"/>
          <w:sz w:val="24"/>
          <w:szCs w:val="24"/>
          <w:shd w:val="clear" w:color="auto" w:fill="FFFFFF"/>
        </w:rPr>
        <w:t>do not</w:t>
      </w:r>
      <w:r w:rsidR="006A6C3D">
        <w:rPr>
          <w:rFonts w:asciiTheme="majorBidi" w:hAnsiTheme="majorBidi" w:cstheme="majorBidi"/>
          <w:sz w:val="24"/>
          <w:szCs w:val="24"/>
          <w:shd w:val="clear" w:color="auto" w:fill="FFFFFF"/>
        </w:rPr>
        <w:t xml:space="preserve"> necessarily</w:t>
      </w:r>
      <w:r w:rsidR="001B7497">
        <w:rPr>
          <w:rFonts w:asciiTheme="majorBidi" w:hAnsiTheme="majorBidi" w:cstheme="majorBidi"/>
          <w:sz w:val="24"/>
          <w:szCs w:val="24"/>
          <w:shd w:val="clear" w:color="auto" w:fill="FFFFFF"/>
        </w:rPr>
        <w:t xml:space="preserve"> relate</w:t>
      </w:r>
      <w:r w:rsidR="00D55D2E">
        <w:rPr>
          <w:rFonts w:asciiTheme="majorBidi" w:hAnsiTheme="majorBidi" w:cstheme="majorBidi"/>
          <w:sz w:val="24"/>
          <w:szCs w:val="24"/>
          <w:shd w:val="clear" w:color="auto" w:fill="FFFFFF"/>
        </w:rPr>
        <w:t xml:space="preserve"> to their performance</w:t>
      </w:r>
      <w:r w:rsidR="001B7497">
        <w:rPr>
          <w:rFonts w:asciiTheme="majorBidi" w:hAnsiTheme="majorBidi" w:cstheme="majorBidi"/>
          <w:sz w:val="24"/>
          <w:szCs w:val="24"/>
          <w:shd w:val="clear" w:color="auto" w:fill="FFFFFF"/>
        </w:rPr>
        <w:t xml:space="preserve"> among </w:t>
      </w:r>
      <w:r w:rsidR="002B3505">
        <w:rPr>
          <w:rFonts w:asciiTheme="majorBidi" w:hAnsiTheme="majorBidi" w:cstheme="majorBidi"/>
          <w:sz w:val="24"/>
          <w:szCs w:val="24"/>
          <w:shd w:val="clear" w:color="auto" w:fill="FFFFFF"/>
        </w:rPr>
        <w:t>US</w:t>
      </w:r>
      <w:r w:rsidR="001B7497">
        <w:rPr>
          <w:rFonts w:asciiTheme="majorBidi" w:hAnsiTheme="majorBidi" w:cstheme="majorBidi"/>
          <w:sz w:val="24"/>
          <w:szCs w:val="24"/>
          <w:shd w:val="clear" w:color="auto" w:fill="FFFFFF"/>
        </w:rPr>
        <w:t xml:space="preserve"> publicly listed corporations</w:t>
      </w:r>
      <w:r w:rsidR="00D55D2E">
        <w:rPr>
          <w:rFonts w:asciiTheme="majorBidi" w:hAnsiTheme="majorBidi" w:cstheme="majorBidi"/>
          <w:sz w:val="24"/>
          <w:szCs w:val="24"/>
          <w:shd w:val="clear" w:color="auto" w:fill="FFFFFF"/>
        </w:rPr>
        <w:t xml:space="preserve">. </w:t>
      </w:r>
      <w:r w:rsidR="00BF13B9">
        <w:rPr>
          <w:rFonts w:asciiTheme="majorBidi" w:hAnsiTheme="majorBidi" w:cstheme="majorBidi"/>
          <w:sz w:val="24"/>
          <w:szCs w:val="24"/>
          <w:shd w:val="clear" w:color="auto" w:fill="FFFFFF"/>
        </w:rPr>
        <w:t>With respect to the</w:t>
      </w:r>
      <w:r w:rsidR="00CB6586">
        <w:rPr>
          <w:rFonts w:asciiTheme="majorBidi" w:hAnsiTheme="majorBidi" w:cstheme="majorBidi"/>
          <w:sz w:val="24"/>
          <w:szCs w:val="24"/>
          <w:shd w:val="clear" w:color="auto" w:fill="FFFFFF"/>
        </w:rPr>
        <w:t xml:space="preserve"> </w:t>
      </w:r>
      <w:r w:rsidR="00022138">
        <w:rPr>
          <w:rFonts w:asciiTheme="majorBidi" w:hAnsiTheme="majorBidi" w:cstheme="majorBidi"/>
          <w:sz w:val="24"/>
          <w:szCs w:val="24"/>
          <w:shd w:val="clear" w:color="auto" w:fill="FFFFFF"/>
        </w:rPr>
        <w:t>age of directors</w:t>
      </w:r>
      <w:r w:rsidR="00CB6586">
        <w:rPr>
          <w:rFonts w:asciiTheme="majorBidi" w:hAnsiTheme="majorBidi" w:cstheme="majorBidi"/>
          <w:sz w:val="24"/>
          <w:szCs w:val="24"/>
          <w:shd w:val="clear" w:color="auto" w:fill="FFFFFF"/>
        </w:rPr>
        <w:t xml:space="preserve">, </w:t>
      </w:r>
      <w:proofErr w:type="spellStart"/>
      <w:r w:rsidR="00BF13B9" w:rsidRPr="00BF13B9">
        <w:rPr>
          <w:rFonts w:asciiTheme="majorBidi" w:hAnsiTheme="majorBidi" w:cstheme="majorBidi"/>
          <w:sz w:val="24"/>
          <w:szCs w:val="24"/>
          <w:shd w:val="clear" w:color="auto" w:fill="FFFFFF"/>
        </w:rPr>
        <w:t>Brickley</w:t>
      </w:r>
      <w:proofErr w:type="spellEnd"/>
      <w:r w:rsidR="00BF13B9" w:rsidRPr="00BF13B9">
        <w:rPr>
          <w:rFonts w:asciiTheme="majorBidi" w:hAnsiTheme="majorBidi" w:cstheme="majorBidi"/>
          <w:sz w:val="24"/>
          <w:szCs w:val="24"/>
          <w:shd w:val="clear" w:color="auto" w:fill="FFFFFF"/>
        </w:rPr>
        <w:t xml:space="preserve"> et al. (2010) </w:t>
      </w:r>
      <w:r w:rsidR="007F15DB">
        <w:rPr>
          <w:rFonts w:asciiTheme="majorBidi" w:hAnsiTheme="majorBidi" w:cstheme="majorBidi"/>
          <w:sz w:val="24"/>
          <w:szCs w:val="24"/>
          <w:shd w:val="clear" w:color="auto" w:fill="FFFFFF"/>
        </w:rPr>
        <w:t>report</w:t>
      </w:r>
      <w:r w:rsidR="00BF13B9">
        <w:rPr>
          <w:rFonts w:asciiTheme="majorBidi" w:hAnsiTheme="majorBidi" w:cstheme="majorBidi"/>
          <w:sz w:val="24"/>
          <w:szCs w:val="24"/>
          <w:shd w:val="clear" w:color="auto" w:fill="FFFFFF"/>
        </w:rPr>
        <w:t xml:space="preserve"> no </w:t>
      </w:r>
      <w:r w:rsidR="007F15DB">
        <w:rPr>
          <w:rFonts w:asciiTheme="majorBidi" w:hAnsiTheme="majorBidi" w:cstheme="majorBidi"/>
          <w:sz w:val="24"/>
          <w:szCs w:val="24"/>
          <w:shd w:val="clear" w:color="auto" w:fill="FFFFFF"/>
        </w:rPr>
        <w:t>link</w:t>
      </w:r>
      <w:r w:rsidR="00BF13B9">
        <w:rPr>
          <w:rFonts w:asciiTheme="majorBidi" w:hAnsiTheme="majorBidi" w:cstheme="majorBidi"/>
          <w:sz w:val="24"/>
          <w:szCs w:val="24"/>
          <w:shd w:val="clear" w:color="auto" w:fill="FFFFFF"/>
        </w:rPr>
        <w:t xml:space="preserve"> between CEO age and pay among 3</w:t>
      </w:r>
      <w:r w:rsidR="00753F62">
        <w:rPr>
          <w:rFonts w:asciiTheme="majorBidi" w:hAnsiTheme="majorBidi" w:cstheme="majorBidi"/>
          <w:sz w:val="24"/>
          <w:szCs w:val="24"/>
          <w:shd w:val="clear" w:color="auto" w:fill="FFFFFF"/>
        </w:rPr>
        <w:t>08 US non-profit hospitals</w:t>
      </w:r>
      <w:r w:rsidR="00BF13B9">
        <w:rPr>
          <w:rFonts w:asciiTheme="majorBidi" w:hAnsiTheme="majorBidi" w:cstheme="majorBidi"/>
          <w:sz w:val="24"/>
          <w:szCs w:val="24"/>
          <w:shd w:val="clear" w:color="auto" w:fill="FFFFFF"/>
        </w:rPr>
        <w:t>. With reference to director reputation</w:t>
      </w:r>
      <w:r w:rsidR="006C09BB">
        <w:rPr>
          <w:rFonts w:asciiTheme="majorBidi" w:hAnsiTheme="majorBidi" w:cstheme="majorBidi"/>
          <w:sz w:val="24"/>
          <w:szCs w:val="24"/>
          <w:shd w:val="clear" w:color="auto" w:fill="FFFFFF"/>
        </w:rPr>
        <w:t xml:space="preserve"> (Damehood/Knighthood)</w:t>
      </w:r>
      <w:r w:rsidR="00BF13B9">
        <w:rPr>
          <w:rFonts w:asciiTheme="majorBidi" w:hAnsiTheme="majorBidi" w:cstheme="majorBidi"/>
          <w:sz w:val="24"/>
          <w:szCs w:val="24"/>
          <w:shd w:val="clear" w:color="auto" w:fill="FFFFFF"/>
        </w:rPr>
        <w:t xml:space="preserve">, </w:t>
      </w:r>
      <w:bookmarkStart w:id="2" w:name="_Hlk105160786"/>
      <w:r w:rsidR="0081586F" w:rsidRPr="00FA11A0">
        <w:rPr>
          <w:rFonts w:asciiTheme="majorBidi" w:hAnsiTheme="majorBidi" w:cstheme="majorBidi"/>
          <w:sz w:val="24"/>
          <w:szCs w:val="24"/>
          <w:shd w:val="clear" w:color="auto" w:fill="FFFFFF"/>
        </w:rPr>
        <w:t>Milbourn (2003</w:t>
      </w:r>
      <w:bookmarkEnd w:id="2"/>
      <w:r w:rsidR="0081586F" w:rsidRPr="00FA11A0">
        <w:rPr>
          <w:rFonts w:asciiTheme="majorBidi" w:hAnsiTheme="majorBidi" w:cstheme="majorBidi"/>
          <w:sz w:val="24"/>
          <w:szCs w:val="24"/>
          <w:shd w:val="clear" w:color="auto" w:fill="FFFFFF"/>
        </w:rPr>
        <w:t xml:space="preserve">) </w:t>
      </w:r>
      <w:r w:rsidR="00BF13B9">
        <w:rPr>
          <w:rFonts w:asciiTheme="majorBidi" w:hAnsiTheme="majorBidi" w:cstheme="majorBidi"/>
          <w:sz w:val="24"/>
          <w:szCs w:val="24"/>
          <w:shd w:val="clear" w:color="auto" w:fill="FFFFFF"/>
        </w:rPr>
        <w:t>find</w:t>
      </w:r>
      <w:r w:rsidR="009978EA">
        <w:rPr>
          <w:rFonts w:asciiTheme="majorBidi" w:hAnsiTheme="majorBidi" w:cstheme="majorBidi"/>
          <w:sz w:val="24"/>
          <w:szCs w:val="24"/>
          <w:shd w:val="clear" w:color="auto" w:fill="FFFFFF"/>
        </w:rPr>
        <w:t>s</w:t>
      </w:r>
      <w:r w:rsidR="00BF13B9">
        <w:rPr>
          <w:rFonts w:asciiTheme="majorBidi" w:hAnsiTheme="majorBidi" w:cstheme="majorBidi"/>
          <w:sz w:val="24"/>
          <w:szCs w:val="24"/>
          <w:shd w:val="clear" w:color="auto" w:fill="FFFFFF"/>
        </w:rPr>
        <w:t xml:space="preserve"> that CEO reputation has a positive and significant moderating effect of the </w:t>
      </w:r>
      <w:r w:rsidR="00FA11A0">
        <w:rPr>
          <w:rFonts w:asciiTheme="majorBidi" w:hAnsiTheme="majorBidi" w:cstheme="majorBidi"/>
          <w:sz w:val="24"/>
          <w:szCs w:val="24"/>
          <w:shd w:val="clear" w:color="auto" w:fill="FFFFFF"/>
        </w:rPr>
        <w:t xml:space="preserve">stock-based pay sensitivities </w:t>
      </w:r>
      <w:r w:rsidR="00BF13B9">
        <w:rPr>
          <w:rFonts w:asciiTheme="majorBidi" w:hAnsiTheme="majorBidi" w:cstheme="majorBidi"/>
          <w:sz w:val="24"/>
          <w:szCs w:val="24"/>
          <w:shd w:val="clear" w:color="auto" w:fill="FFFFFF"/>
        </w:rPr>
        <w:t xml:space="preserve">among </w:t>
      </w:r>
      <w:r w:rsidR="00FA11A0">
        <w:rPr>
          <w:rFonts w:asciiTheme="majorBidi" w:hAnsiTheme="majorBidi" w:cstheme="majorBidi"/>
          <w:sz w:val="24"/>
          <w:szCs w:val="24"/>
          <w:shd w:val="clear" w:color="auto" w:fill="FFFFFF"/>
        </w:rPr>
        <w:t>US</w:t>
      </w:r>
      <w:r w:rsidR="00BF13B9">
        <w:rPr>
          <w:rFonts w:asciiTheme="majorBidi" w:hAnsiTheme="majorBidi" w:cstheme="majorBidi"/>
          <w:sz w:val="24"/>
          <w:szCs w:val="24"/>
          <w:shd w:val="clear" w:color="auto" w:fill="FFFFFF"/>
        </w:rPr>
        <w:t xml:space="preserve"> </w:t>
      </w:r>
      <w:r w:rsidR="00DA1FE2" w:rsidRPr="008E26FF">
        <w:rPr>
          <w:rFonts w:asciiTheme="majorBidi" w:hAnsiTheme="majorBidi" w:cstheme="majorBidi"/>
          <w:sz w:val="24"/>
          <w:szCs w:val="24"/>
          <w:shd w:val="clear" w:color="auto" w:fill="FFFFFF"/>
        </w:rPr>
        <w:t>publicly</w:t>
      </w:r>
      <w:r w:rsidR="00597327" w:rsidRPr="008E26FF">
        <w:rPr>
          <w:rFonts w:asciiTheme="majorBidi" w:hAnsiTheme="majorBidi" w:cstheme="majorBidi"/>
          <w:sz w:val="24"/>
          <w:szCs w:val="24"/>
          <w:shd w:val="clear" w:color="auto" w:fill="FFFFFF"/>
        </w:rPr>
        <w:t xml:space="preserve"> listed corporations</w:t>
      </w:r>
      <w:r w:rsidR="00BF13B9" w:rsidRPr="008E26FF">
        <w:rPr>
          <w:rFonts w:asciiTheme="majorBidi" w:hAnsiTheme="majorBidi" w:cstheme="majorBidi"/>
          <w:sz w:val="24"/>
          <w:szCs w:val="24"/>
          <w:shd w:val="clear" w:color="auto" w:fill="FFFFFF"/>
        </w:rPr>
        <w:t xml:space="preserve">. Finally, and </w:t>
      </w:r>
      <w:r w:rsidR="00B93230">
        <w:rPr>
          <w:rFonts w:asciiTheme="majorBidi" w:hAnsiTheme="majorBidi" w:cstheme="majorBidi"/>
          <w:sz w:val="24"/>
          <w:szCs w:val="24"/>
          <w:shd w:val="clear" w:color="auto" w:fill="FFFFFF"/>
        </w:rPr>
        <w:t>in terms of</w:t>
      </w:r>
      <w:r w:rsidR="00BF13B9" w:rsidRPr="008E26FF">
        <w:rPr>
          <w:rFonts w:asciiTheme="majorBidi" w:hAnsiTheme="majorBidi" w:cstheme="majorBidi"/>
          <w:sz w:val="24"/>
          <w:szCs w:val="24"/>
          <w:shd w:val="clear" w:color="auto" w:fill="FFFFFF"/>
        </w:rPr>
        <w:t xml:space="preserve"> </w:t>
      </w:r>
      <w:r w:rsidR="00C61CC3" w:rsidRPr="008E26FF">
        <w:rPr>
          <w:rFonts w:asciiTheme="majorBidi" w:hAnsiTheme="majorBidi" w:cstheme="majorBidi"/>
          <w:sz w:val="24"/>
          <w:szCs w:val="24"/>
          <w:shd w:val="clear" w:color="auto" w:fill="FFFFFF"/>
        </w:rPr>
        <w:t xml:space="preserve">executive </w:t>
      </w:r>
      <w:r w:rsidR="00BF13B9" w:rsidRPr="008E26FF">
        <w:rPr>
          <w:rFonts w:asciiTheme="majorBidi" w:hAnsiTheme="majorBidi" w:cstheme="majorBidi"/>
          <w:sz w:val="24"/>
          <w:szCs w:val="24"/>
          <w:shd w:val="clear" w:color="auto" w:fill="FFFFFF"/>
        </w:rPr>
        <w:t xml:space="preserve">gender, </w:t>
      </w:r>
      <w:r w:rsidR="007D0DDB" w:rsidRPr="008E26FF">
        <w:rPr>
          <w:rFonts w:asciiTheme="majorBidi" w:hAnsiTheme="majorBidi" w:cstheme="majorBidi"/>
          <w:sz w:val="24"/>
          <w:szCs w:val="24"/>
          <w:shd w:val="clear" w:color="auto" w:fill="FFFFFF"/>
        </w:rPr>
        <w:t>the f</w:t>
      </w:r>
      <w:r w:rsidR="00E22707" w:rsidRPr="008E26FF">
        <w:rPr>
          <w:rFonts w:asciiTheme="majorBidi" w:hAnsiTheme="majorBidi" w:cstheme="majorBidi"/>
          <w:sz w:val="24"/>
          <w:szCs w:val="24"/>
          <w:shd w:val="clear" w:color="auto" w:fill="FFFFFF"/>
        </w:rPr>
        <w:t>inding</w:t>
      </w:r>
      <w:r w:rsidR="00843BBD">
        <w:rPr>
          <w:rFonts w:asciiTheme="majorBidi" w:hAnsiTheme="majorBidi" w:cstheme="majorBidi"/>
          <w:sz w:val="24"/>
          <w:szCs w:val="24"/>
          <w:shd w:val="clear" w:color="auto" w:fill="FFFFFF"/>
        </w:rPr>
        <w:t>s</w:t>
      </w:r>
      <w:r w:rsidR="00E22707" w:rsidRPr="008E26FF">
        <w:rPr>
          <w:rFonts w:asciiTheme="majorBidi" w:hAnsiTheme="majorBidi" w:cstheme="majorBidi"/>
          <w:sz w:val="24"/>
          <w:szCs w:val="24"/>
          <w:shd w:val="clear" w:color="auto" w:fill="FFFFFF"/>
        </w:rPr>
        <w:t xml:space="preserve"> of prior studies (Adams and</w:t>
      </w:r>
      <w:r w:rsidR="007D0DDB" w:rsidRPr="008E26FF">
        <w:rPr>
          <w:rFonts w:asciiTheme="majorBidi" w:hAnsiTheme="majorBidi" w:cstheme="majorBidi"/>
          <w:sz w:val="24"/>
          <w:szCs w:val="24"/>
          <w:shd w:val="clear" w:color="auto" w:fill="FFFFFF"/>
        </w:rPr>
        <w:t xml:space="preserve"> </w:t>
      </w:r>
      <w:r w:rsidR="00744174" w:rsidRPr="008E26FF">
        <w:rPr>
          <w:rFonts w:ascii="Times New Roman" w:hAnsi="Times New Roman" w:cs="Times New Roman"/>
          <w:sz w:val="24"/>
          <w:szCs w:val="24"/>
          <w:shd w:val="clear" w:color="auto" w:fill="FFFFFF"/>
        </w:rPr>
        <w:t>Ferreira</w:t>
      </w:r>
      <w:r w:rsidR="007D0DDB" w:rsidRPr="008E26FF">
        <w:rPr>
          <w:rFonts w:asciiTheme="majorBidi" w:hAnsiTheme="majorBidi" w:cstheme="majorBidi"/>
          <w:sz w:val="24"/>
          <w:szCs w:val="24"/>
          <w:shd w:val="clear" w:color="auto" w:fill="FFFFFF"/>
        </w:rPr>
        <w:t>, 2009</w:t>
      </w:r>
      <w:r w:rsidR="00C61CC3" w:rsidRPr="008E26FF">
        <w:rPr>
          <w:rFonts w:asciiTheme="majorBidi" w:hAnsiTheme="majorBidi" w:cstheme="majorBidi"/>
          <w:sz w:val="24"/>
          <w:szCs w:val="24"/>
          <w:shd w:val="clear" w:color="auto" w:fill="FFFFFF"/>
        </w:rPr>
        <w:t xml:space="preserve">) suggest that gender diversity </w:t>
      </w:r>
      <w:r w:rsidR="00597327" w:rsidRPr="008E26FF">
        <w:rPr>
          <w:rFonts w:asciiTheme="majorBidi" w:hAnsiTheme="majorBidi" w:cstheme="majorBidi"/>
          <w:sz w:val="24"/>
          <w:szCs w:val="24"/>
          <w:shd w:val="clear" w:color="auto" w:fill="FFFFFF"/>
        </w:rPr>
        <w:t>may</w:t>
      </w:r>
      <w:r w:rsidR="00C61CC3" w:rsidRPr="008E26FF">
        <w:rPr>
          <w:rFonts w:asciiTheme="majorBidi" w:hAnsiTheme="majorBidi" w:cstheme="majorBidi"/>
          <w:sz w:val="24"/>
          <w:szCs w:val="24"/>
          <w:shd w:val="clear" w:color="auto" w:fill="FFFFFF"/>
        </w:rPr>
        <w:t xml:space="preserve"> </w:t>
      </w:r>
      <w:r w:rsidR="00597327" w:rsidRPr="008E26FF">
        <w:rPr>
          <w:rFonts w:asciiTheme="majorBidi" w:hAnsiTheme="majorBidi" w:cstheme="majorBidi"/>
          <w:sz w:val="24"/>
          <w:szCs w:val="24"/>
          <w:shd w:val="clear" w:color="auto" w:fill="FFFFFF"/>
        </w:rPr>
        <w:t>enhance</w:t>
      </w:r>
      <w:r w:rsidR="00C61CC3" w:rsidRPr="008E26FF">
        <w:rPr>
          <w:rFonts w:asciiTheme="majorBidi" w:hAnsiTheme="majorBidi" w:cstheme="majorBidi"/>
          <w:sz w:val="24"/>
          <w:szCs w:val="24"/>
          <w:shd w:val="clear" w:color="auto" w:fill="FFFFFF"/>
        </w:rPr>
        <w:t xml:space="preserve"> board</w:t>
      </w:r>
      <w:r w:rsidR="00597327" w:rsidRPr="008E26FF">
        <w:rPr>
          <w:rFonts w:asciiTheme="majorBidi" w:hAnsiTheme="majorBidi" w:cstheme="majorBidi"/>
          <w:sz w:val="24"/>
          <w:szCs w:val="24"/>
          <w:shd w:val="clear" w:color="auto" w:fill="FFFFFF"/>
        </w:rPr>
        <w:t>room</w:t>
      </w:r>
      <w:r w:rsidR="00C61CC3" w:rsidRPr="008E26FF">
        <w:rPr>
          <w:rFonts w:asciiTheme="majorBidi" w:hAnsiTheme="majorBidi" w:cstheme="majorBidi"/>
          <w:sz w:val="24"/>
          <w:szCs w:val="24"/>
          <w:shd w:val="clear" w:color="auto" w:fill="FFFFFF"/>
        </w:rPr>
        <w:t xml:space="preserve"> </w:t>
      </w:r>
      <w:r w:rsidR="00597327" w:rsidRPr="008E26FF">
        <w:rPr>
          <w:rFonts w:asciiTheme="majorBidi" w:hAnsiTheme="majorBidi" w:cstheme="majorBidi"/>
          <w:sz w:val="24"/>
          <w:szCs w:val="24"/>
          <w:shd w:val="clear" w:color="auto" w:fill="FFFFFF"/>
        </w:rPr>
        <w:t>efficiency</w:t>
      </w:r>
      <w:r w:rsidR="00C61CC3" w:rsidRPr="008E26FF">
        <w:rPr>
          <w:rFonts w:asciiTheme="majorBidi" w:hAnsiTheme="majorBidi" w:cstheme="majorBidi"/>
          <w:sz w:val="24"/>
          <w:szCs w:val="24"/>
          <w:shd w:val="clear" w:color="auto" w:fill="FFFFFF"/>
        </w:rPr>
        <w:t xml:space="preserve"> by increasing managerial </w:t>
      </w:r>
      <w:r w:rsidR="00C61CC3">
        <w:rPr>
          <w:rFonts w:asciiTheme="majorBidi" w:hAnsiTheme="majorBidi" w:cstheme="majorBidi"/>
          <w:sz w:val="24"/>
          <w:szCs w:val="24"/>
          <w:shd w:val="clear" w:color="auto" w:fill="FFFFFF"/>
        </w:rPr>
        <w:t>monitoring</w:t>
      </w:r>
      <w:r w:rsidR="008D508D">
        <w:rPr>
          <w:rFonts w:asciiTheme="majorBidi" w:hAnsiTheme="majorBidi" w:cstheme="majorBidi"/>
          <w:sz w:val="24"/>
          <w:szCs w:val="24"/>
          <w:shd w:val="clear" w:color="auto" w:fill="FFFFFF"/>
        </w:rPr>
        <w:t>,</w:t>
      </w:r>
      <w:r w:rsidR="00C61CC3">
        <w:rPr>
          <w:rFonts w:asciiTheme="majorBidi" w:hAnsiTheme="majorBidi" w:cstheme="majorBidi"/>
          <w:sz w:val="24"/>
          <w:szCs w:val="24"/>
          <w:shd w:val="clear" w:color="auto" w:fill="FFFFFF"/>
        </w:rPr>
        <w:t xml:space="preserve"> </w:t>
      </w:r>
      <w:r w:rsidR="008D508D">
        <w:rPr>
          <w:rFonts w:asciiTheme="majorBidi" w:hAnsiTheme="majorBidi" w:cstheme="majorBidi"/>
          <w:sz w:val="24"/>
          <w:szCs w:val="24"/>
          <w:shd w:val="clear" w:color="auto" w:fill="FFFFFF"/>
        </w:rPr>
        <w:t xml:space="preserve">which </w:t>
      </w:r>
      <w:r w:rsidR="00C61CC3">
        <w:rPr>
          <w:rFonts w:asciiTheme="majorBidi" w:hAnsiTheme="majorBidi" w:cstheme="majorBidi"/>
          <w:sz w:val="24"/>
          <w:szCs w:val="24"/>
          <w:shd w:val="clear" w:color="auto" w:fill="FFFFFF"/>
        </w:rPr>
        <w:t xml:space="preserve">can </w:t>
      </w:r>
      <w:r w:rsidR="008B38BD">
        <w:rPr>
          <w:rFonts w:asciiTheme="majorBidi" w:hAnsiTheme="majorBidi" w:cstheme="majorBidi"/>
          <w:sz w:val="24"/>
          <w:szCs w:val="24"/>
          <w:shd w:val="clear" w:color="auto" w:fill="FFFFFF"/>
        </w:rPr>
        <w:t>improve the performance</w:t>
      </w:r>
      <w:r w:rsidR="00F30166">
        <w:rPr>
          <w:rFonts w:asciiTheme="majorBidi" w:hAnsiTheme="majorBidi" w:cstheme="majorBidi"/>
          <w:sz w:val="24"/>
          <w:szCs w:val="24"/>
          <w:shd w:val="clear" w:color="auto" w:fill="FFFFFF"/>
        </w:rPr>
        <w:t>–</w:t>
      </w:r>
      <w:r w:rsidR="008B38BD">
        <w:rPr>
          <w:rFonts w:asciiTheme="majorBidi" w:hAnsiTheme="majorBidi" w:cstheme="majorBidi"/>
          <w:sz w:val="24"/>
          <w:szCs w:val="24"/>
          <w:shd w:val="clear" w:color="auto" w:fill="FFFFFF"/>
        </w:rPr>
        <w:t xml:space="preserve">pay </w:t>
      </w:r>
      <w:r w:rsidR="006C13AC">
        <w:rPr>
          <w:rFonts w:asciiTheme="majorBidi" w:hAnsiTheme="majorBidi" w:cstheme="majorBidi"/>
          <w:sz w:val="24"/>
          <w:szCs w:val="24"/>
          <w:shd w:val="clear" w:color="auto" w:fill="FFFFFF"/>
        </w:rPr>
        <w:t>linkage</w:t>
      </w:r>
      <w:r w:rsidR="00C61CC3">
        <w:rPr>
          <w:rFonts w:asciiTheme="majorBidi" w:hAnsiTheme="majorBidi" w:cstheme="majorBidi"/>
          <w:sz w:val="24"/>
          <w:szCs w:val="24"/>
          <w:shd w:val="clear" w:color="auto" w:fill="FFFFFF"/>
        </w:rPr>
        <w:t xml:space="preserve">. Therefore, and given that </w:t>
      </w:r>
      <w:r w:rsidR="00E905C7">
        <w:rPr>
          <w:rFonts w:asciiTheme="majorBidi" w:hAnsiTheme="majorBidi" w:cstheme="majorBidi"/>
          <w:sz w:val="24"/>
          <w:szCs w:val="24"/>
          <w:shd w:val="clear" w:color="auto" w:fill="FFFFFF"/>
        </w:rPr>
        <w:t>VC characteristics are</w:t>
      </w:r>
      <w:r w:rsidR="00C61CC3">
        <w:rPr>
          <w:rFonts w:asciiTheme="majorBidi" w:hAnsiTheme="majorBidi" w:cstheme="majorBidi"/>
          <w:sz w:val="24"/>
          <w:szCs w:val="24"/>
          <w:shd w:val="clear" w:color="auto" w:fill="FFFFFF"/>
        </w:rPr>
        <w:t xml:space="preserve"> expected to moderate the link between </w:t>
      </w:r>
      <w:r w:rsidR="00E905C7">
        <w:rPr>
          <w:rFonts w:asciiTheme="majorBidi" w:hAnsiTheme="majorBidi" w:cstheme="majorBidi"/>
          <w:sz w:val="24"/>
          <w:szCs w:val="24"/>
          <w:shd w:val="clear" w:color="auto" w:fill="FFFFFF"/>
        </w:rPr>
        <w:t>pay</w:t>
      </w:r>
      <w:r w:rsidR="00FA7C02">
        <w:rPr>
          <w:rFonts w:asciiTheme="majorBidi" w:hAnsiTheme="majorBidi" w:cstheme="majorBidi"/>
          <w:sz w:val="24"/>
          <w:szCs w:val="24"/>
          <w:shd w:val="clear" w:color="auto" w:fill="FFFFFF"/>
        </w:rPr>
        <w:t xml:space="preserve"> and performance</w:t>
      </w:r>
      <w:r w:rsidR="00C61CC3">
        <w:rPr>
          <w:rFonts w:asciiTheme="majorBidi" w:hAnsiTheme="majorBidi" w:cstheme="majorBidi"/>
          <w:sz w:val="24"/>
          <w:szCs w:val="24"/>
          <w:shd w:val="clear" w:color="auto" w:fill="FFFFFF"/>
        </w:rPr>
        <w:t xml:space="preserve">, </w:t>
      </w:r>
      <w:r w:rsidR="006B37C5">
        <w:rPr>
          <w:rFonts w:asciiTheme="majorBidi" w:hAnsiTheme="majorBidi" w:cstheme="majorBidi"/>
          <w:sz w:val="24"/>
          <w:szCs w:val="24"/>
          <w:shd w:val="clear" w:color="auto" w:fill="FFFFFF"/>
        </w:rPr>
        <w:t xml:space="preserve">but no prior empirical evidence regarding this, </w:t>
      </w:r>
      <w:r w:rsidR="00C61CC3">
        <w:rPr>
          <w:rFonts w:asciiTheme="majorBidi" w:hAnsiTheme="majorBidi" w:cstheme="majorBidi"/>
          <w:sz w:val="24"/>
          <w:szCs w:val="24"/>
          <w:shd w:val="clear" w:color="auto" w:fill="FFFFFF"/>
        </w:rPr>
        <w:t xml:space="preserve">our </w:t>
      </w:r>
      <w:r w:rsidR="00833502">
        <w:rPr>
          <w:rFonts w:asciiTheme="majorBidi" w:hAnsiTheme="majorBidi" w:cstheme="majorBidi"/>
          <w:sz w:val="24"/>
          <w:szCs w:val="24"/>
          <w:shd w:val="clear" w:color="auto" w:fill="FFFFFF"/>
        </w:rPr>
        <w:t>final</w:t>
      </w:r>
      <w:r w:rsidR="00C61CC3">
        <w:rPr>
          <w:rFonts w:asciiTheme="majorBidi" w:hAnsiTheme="majorBidi" w:cstheme="majorBidi"/>
          <w:sz w:val="24"/>
          <w:szCs w:val="24"/>
          <w:shd w:val="clear" w:color="auto" w:fill="FFFFFF"/>
        </w:rPr>
        <w:t xml:space="preserve"> hypothesis to be tested </w:t>
      </w:r>
      <w:r w:rsidR="006C09BB">
        <w:rPr>
          <w:rFonts w:asciiTheme="majorBidi" w:hAnsiTheme="majorBidi" w:cstheme="majorBidi"/>
          <w:sz w:val="24"/>
          <w:szCs w:val="24"/>
          <w:shd w:val="clear" w:color="auto" w:fill="FFFFFF"/>
        </w:rPr>
        <w:t>i</w:t>
      </w:r>
      <w:r w:rsidR="00C61CC3">
        <w:rPr>
          <w:rFonts w:asciiTheme="majorBidi" w:hAnsiTheme="majorBidi" w:cstheme="majorBidi"/>
          <w:sz w:val="24"/>
          <w:szCs w:val="24"/>
          <w:shd w:val="clear" w:color="auto" w:fill="FFFFFF"/>
        </w:rPr>
        <w:t>s that:</w:t>
      </w:r>
    </w:p>
    <w:p w14:paraId="2A036BD6" w14:textId="0C5EE703" w:rsidR="003026CF" w:rsidRDefault="00C61CC3" w:rsidP="009879E8">
      <w:pPr>
        <w:spacing w:line="240" w:lineRule="auto"/>
        <w:ind w:left="720"/>
        <w:jc w:val="both"/>
        <w:rPr>
          <w:rFonts w:asciiTheme="majorBidi" w:hAnsiTheme="majorBidi" w:cstheme="majorBidi"/>
          <w:i/>
          <w:iCs/>
          <w:sz w:val="24"/>
          <w:szCs w:val="24"/>
        </w:rPr>
      </w:pPr>
      <w:r w:rsidRPr="00511F36">
        <w:rPr>
          <w:rFonts w:asciiTheme="majorBidi" w:hAnsiTheme="majorBidi" w:cstheme="majorBidi"/>
          <w:i/>
          <w:iCs/>
          <w:sz w:val="24"/>
          <w:szCs w:val="24"/>
        </w:rPr>
        <w:t>H</w:t>
      </w:r>
      <w:r w:rsidR="003026CF">
        <w:rPr>
          <w:rFonts w:asciiTheme="majorBidi" w:hAnsiTheme="majorBidi" w:cstheme="majorBidi"/>
          <w:i/>
          <w:iCs/>
          <w:sz w:val="24"/>
          <w:szCs w:val="24"/>
        </w:rPr>
        <w:t xml:space="preserve">ypothesis </w:t>
      </w:r>
      <w:r>
        <w:rPr>
          <w:rFonts w:asciiTheme="majorBidi" w:hAnsiTheme="majorBidi" w:cstheme="majorBidi"/>
          <w:i/>
          <w:iCs/>
          <w:sz w:val="24"/>
          <w:szCs w:val="24"/>
        </w:rPr>
        <w:t>2</w:t>
      </w:r>
      <w:r w:rsidRPr="00511F36">
        <w:rPr>
          <w:rFonts w:asciiTheme="majorBidi" w:hAnsiTheme="majorBidi" w:cstheme="majorBidi"/>
          <w:i/>
          <w:iCs/>
          <w:sz w:val="24"/>
          <w:szCs w:val="24"/>
        </w:rPr>
        <w:t xml:space="preserve">: </w:t>
      </w:r>
      <w:r>
        <w:rPr>
          <w:rFonts w:asciiTheme="majorBidi" w:hAnsiTheme="majorBidi" w:cstheme="majorBidi"/>
          <w:i/>
          <w:iCs/>
          <w:sz w:val="24"/>
          <w:szCs w:val="24"/>
        </w:rPr>
        <w:t xml:space="preserve">VC </w:t>
      </w:r>
      <w:r w:rsidR="00FA7C02">
        <w:rPr>
          <w:rFonts w:asciiTheme="majorBidi" w:hAnsiTheme="majorBidi" w:cstheme="majorBidi"/>
          <w:i/>
          <w:iCs/>
          <w:sz w:val="24"/>
          <w:szCs w:val="24"/>
        </w:rPr>
        <w:t>characteristics significantly moderate</w:t>
      </w:r>
      <w:r>
        <w:rPr>
          <w:rFonts w:asciiTheme="majorBidi" w:hAnsiTheme="majorBidi" w:cstheme="majorBidi"/>
          <w:i/>
          <w:iCs/>
          <w:sz w:val="24"/>
          <w:szCs w:val="24"/>
        </w:rPr>
        <w:t xml:space="preserve"> the link between </w:t>
      </w:r>
      <w:r w:rsidR="00824003">
        <w:rPr>
          <w:rFonts w:asciiTheme="majorBidi" w:hAnsiTheme="majorBidi" w:cstheme="majorBidi"/>
          <w:i/>
          <w:iCs/>
          <w:sz w:val="24"/>
          <w:szCs w:val="24"/>
        </w:rPr>
        <w:t>VC pay and long</w:t>
      </w:r>
      <w:r w:rsidR="000C6770">
        <w:rPr>
          <w:rFonts w:asciiTheme="majorBidi" w:hAnsiTheme="majorBidi" w:cstheme="majorBidi"/>
          <w:i/>
          <w:iCs/>
          <w:sz w:val="24"/>
          <w:szCs w:val="24"/>
        </w:rPr>
        <w:t>-</w:t>
      </w:r>
      <w:r w:rsidR="00824003">
        <w:rPr>
          <w:rFonts w:asciiTheme="majorBidi" w:hAnsiTheme="majorBidi" w:cstheme="majorBidi"/>
          <w:i/>
          <w:iCs/>
          <w:sz w:val="24"/>
          <w:szCs w:val="24"/>
        </w:rPr>
        <w:t xml:space="preserve">/short-term </w:t>
      </w:r>
      <w:r w:rsidR="00077A4A">
        <w:rPr>
          <w:rFonts w:asciiTheme="majorBidi" w:hAnsiTheme="majorBidi" w:cstheme="majorBidi"/>
          <w:i/>
          <w:iCs/>
          <w:sz w:val="24"/>
          <w:szCs w:val="24"/>
        </w:rPr>
        <w:t>performance</w:t>
      </w:r>
      <w:r w:rsidR="00E42321">
        <w:rPr>
          <w:rFonts w:asciiTheme="majorBidi" w:hAnsiTheme="majorBidi" w:cstheme="majorBidi"/>
          <w:i/>
          <w:iCs/>
          <w:sz w:val="24"/>
          <w:szCs w:val="24"/>
        </w:rPr>
        <w:t xml:space="preserve"> </w:t>
      </w:r>
      <w:r w:rsidR="00D565F4">
        <w:rPr>
          <w:rFonts w:asciiTheme="majorBidi" w:hAnsiTheme="majorBidi" w:cstheme="majorBidi"/>
          <w:i/>
          <w:iCs/>
          <w:sz w:val="24"/>
          <w:szCs w:val="24"/>
        </w:rPr>
        <w:t>in</w:t>
      </w:r>
      <w:r w:rsidR="00E42321">
        <w:rPr>
          <w:rFonts w:asciiTheme="majorBidi" w:hAnsiTheme="majorBidi" w:cstheme="majorBidi"/>
          <w:i/>
          <w:iCs/>
          <w:sz w:val="24"/>
          <w:szCs w:val="24"/>
        </w:rPr>
        <w:t xml:space="preserve"> HEIs</w:t>
      </w:r>
      <w:r>
        <w:rPr>
          <w:rFonts w:asciiTheme="majorBidi" w:hAnsiTheme="majorBidi" w:cstheme="majorBidi"/>
          <w:i/>
          <w:iCs/>
          <w:sz w:val="24"/>
          <w:szCs w:val="24"/>
        </w:rPr>
        <w:t>.</w:t>
      </w:r>
    </w:p>
    <w:p w14:paraId="415CC2BF" w14:textId="77777777" w:rsidR="00FA3FB1" w:rsidRPr="00FA3FB1" w:rsidRDefault="00FA3FB1" w:rsidP="003026CF">
      <w:pPr>
        <w:spacing w:line="240" w:lineRule="auto"/>
        <w:jc w:val="both"/>
        <w:rPr>
          <w:rFonts w:asciiTheme="majorBidi" w:hAnsiTheme="majorBidi" w:cstheme="majorBidi"/>
          <w:i/>
          <w:iCs/>
          <w:sz w:val="24"/>
          <w:szCs w:val="24"/>
        </w:rPr>
      </w:pPr>
    </w:p>
    <w:p w14:paraId="3D2E4369" w14:textId="20816DEE" w:rsidR="00FC14CF" w:rsidRPr="009F142E" w:rsidRDefault="00270135" w:rsidP="002006D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M</w:t>
      </w:r>
      <w:r w:rsidR="003026CF">
        <w:rPr>
          <w:rFonts w:asciiTheme="majorBidi" w:hAnsiTheme="majorBidi" w:cstheme="majorBidi"/>
          <w:b/>
          <w:bCs/>
          <w:sz w:val="24"/>
          <w:szCs w:val="24"/>
        </w:rPr>
        <w:t>ethodology</w:t>
      </w:r>
    </w:p>
    <w:p w14:paraId="68CEE448" w14:textId="68718899" w:rsidR="00FC14CF" w:rsidRPr="003026CF" w:rsidRDefault="00917488" w:rsidP="002006D4">
      <w:pPr>
        <w:spacing w:before="240" w:line="360" w:lineRule="auto"/>
        <w:jc w:val="both"/>
        <w:rPr>
          <w:rFonts w:asciiTheme="majorBidi" w:hAnsiTheme="majorBidi" w:cstheme="majorBidi"/>
          <w:b/>
          <w:bCs/>
          <w:i/>
          <w:sz w:val="24"/>
          <w:szCs w:val="24"/>
        </w:rPr>
      </w:pPr>
      <w:r w:rsidRPr="003026CF">
        <w:rPr>
          <w:rFonts w:asciiTheme="majorBidi" w:hAnsiTheme="majorBidi" w:cstheme="majorBidi"/>
          <w:b/>
          <w:bCs/>
          <w:i/>
          <w:sz w:val="24"/>
          <w:szCs w:val="24"/>
        </w:rPr>
        <w:t xml:space="preserve">Data </w:t>
      </w:r>
      <w:r w:rsidR="003026CF" w:rsidRPr="003026CF">
        <w:rPr>
          <w:rFonts w:asciiTheme="majorBidi" w:hAnsiTheme="majorBidi" w:cstheme="majorBidi"/>
          <w:b/>
          <w:bCs/>
          <w:i/>
          <w:sz w:val="24"/>
          <w:szCs w:val="24"/>
        </w:rPr>
        <w:t>and s</w:t>
      </w:r>
      <w:r w:rsidR="00B3527A" w:rsidRPr="003026CF">
        <w:rPr>
          <w:rFonts w:asciiTheme="majorBidi" w:hAnsiTheme="majorBidi" w:cstheme="majorBidi"/>
          <w:b/>
          <w:bCs/>
          <w:i/>
          <w:sz w:val="24"/>
          <w:szCs w:val="24"/>
        </w:rPr>
        <w:t>ample</w:t>
      </w:r>
      <w:r w:rsidRPr="003026CF">
        <w:rPr>
          <w:rFonts w:asciiTheme="majorBidi" w:hAnsiTheme="majorBidi" w:cstheme="majorBidi"/>
          <w:b/>
          <w:bCs/>
          <w:i/>
          <w:sz w:val="24"/>
          <w:szCs w:val="24"/>
        </w:rPr>
        <w:t xml:space="preserve"> </w:t>
      </w:r>
    </w:p>
    <w:p w14:paraId="1718DA0D" w14:textId="70E30A9D" w:rsidR="007A7782" w:rsidRDefault="007A7782" w:rsidP="00FA3FB1">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To test </w:t>
      </w:r>
      <w:r w:rsidR="00E55EF3">
        <w:rPr>
          <w:rFonts w:asciiTheme="majorBidi" w:hAnsiTheme="majorBidi" w:cstheme="majorBidi"/>
          <w:sz w:val="24"/>
          <w:szCs w:val="24"/>
        </w:rPr>
        <w:t>our</w:t>
      </w:r>
      <w:r>
        <w:rPr>
          <w:rFonts w:asciiTheme="majorBidi" w:hAnsiTheme="majorBidi" w:cstheme="majorBidi"/>
          <w:sz w:val="24"/>
          <w:szCs w:val="24"/>
        </w:rPr>
        <w:t xml:space="preserve"> hypotheses, we first identified the list of all UK HEIs using </w:t>
      </w:r>
      <w:r w:rsidR="00B3527A">
        <w:rPr>
          <w:rFonts w:asciiTheme="majorBidi" w:hAnsiTheme="majorBidi" w:cstheme="majorBidi"/>
          <w:sz w:val="24"/>
          <w:szCs w:val="24"/>
        </w:rPr>
        <w:t xml:space="preserve">the </w:t>
      </w:r>
      <w:r w:rsidRPr="00511F36">
        <w:rPr>
          <w:rFonts w:asciiTheme="majorBidi" w:hAnsiTheme="majorBidi" w:cstheme="majorBidi"/>
          <w:sz w:val="24"/>
          <w:szCs w:val="24"/>
        </w:rPr>
        <w:t>Higher Education Statistics Agency (HESA</w:t>
      </w:r>
      <w:r>
        <w:rPr>
          <w:rFonts w:asciiTheme="majorBidi" w:hAnsiTheme="majorBidi" w:cstheme="majorBidi"/>
          <w:sz w:val="24"/>
          <w:szCs w:val="24"/>
        </w:rPr>
        <w:t>) website as at</w:t>
      </w:r>
      <w:r w:rsidR="00DF407B">
        <w:rPr>
          <w:rFonts w:asciiTheme="majorBidi" w:hAnsiTheme="majorBidi" w:cstheme="majorBidi"/>
          <w:sz w:val="24"/>
          <w:szCs w:val="24"/>
        </w:rPr>
        <w:t xml:space="preserve"> 31/07/2014</w:t>
      </w:r>
      <w:r w:rsidR="00B3527A">
        <w:rPr>
          <w:rFonts w:asciiTheme="majorBidi" w:hAnsiTheme="majorBidi" w:cstheme="majorBidi"/>
          <w:sz w:val="24"/>
          <w:szCs w:val="24"/>
        </w:rPr>
        <w:t>. There were 164 HEIs, consisting of universities, universit</w:t>
      </w:r>
      <w:r w:rsidR="00FC6253">
        <w:rPr>
          <w:rFonts w:asciiTheme="majorBidi" w:hAnsiTheme="majorBidi" w:cstheme="majorBidi"/>
          <w:sz w:val="24"/>
          <w:szCs w:val="24"/>
        </w:rPr>
        <w:t>y</w:t>
      </w:r>
      <w:r w:rsidR="00B3527A">
        <w:rPr>
          <w:rFonts w:asciiTheme="majorBidi" w:hAnsiTheme="majorBidi" w:cstheme="majorBidi"/>
          <w:sz w:val="24"/>
          <w:szCs w:val="24"/>
        </w:rPr>
        <w:t xml:space="preserve"> colleges and other HEIs. HEIs </w:t>
      </w:r>
      <w:r w:rsidR="007A699B">
        <w:rPr>
          <w:rFonts w:asciiTheme="majorBidi" w:hAnsiTheme="majorBidi" w:cstheme="majorBidi"/>
          <w:sz w:val="24"/>
          <w:szCs w:val="24"/>
        </w:rPr>
        <w:t>inc</w:t>
      </w:r>
      <w:r w:rsidR="00F95E90">
        <w:rPr>
          <w:rFonts w:asciiTheme="majorBidi" w:hAnsiTheme="majorBidi" w:cstheme="majorBidi"/>
          <w:sz w:val="24"/>
          <w:szCs w:val="24"/>
        </w:rPr>
        <w:t>luded</w:t>
      </w:r>
      <w:r w:rsidR="00B3527A">
        <w:rPr>
          <w:rFonts w:asciiTheme="majorBidi" w:hAnsiTheme="majorBidi" w:cstheme="majorBidi"/>
          <w:sz w:val="24"/>
          <w:szCs w:val="24"/>
        </w:rPr>
        <w:t xml:space="preserve"> in our final sample need</w:t>
      </w:r>
      <w:r w:rsidR="00C439B5">
        <w:rPr>
          <w:rFonts w:asciiTheme="majorBidi" w:hAnsiTheme="majorBidi" w:cstheme="majorBidi"/>
          <w:sz w:val="24"/>
          <w:szCs w:val="24"/>
        </w:rPr>
        <w:t>ed</w:t>
      </w:r>
      <w:r w:rsidR="00B3527A">
        <w:rPr>
          <w:rFonts w:asciiTheme="majorBidi" w:hAnsiTheme="majorBidi" w:cstheme="majorBidi"/>
          <w:sz w:val="24"/>
          <w:szCs w:val="24"/>
        </w:rPr>
        <w:t xml:space="preserve"> to have annual reports for all </w:t>
      </w:r>
      <w:r w:rsidR="007A699B">
        <w:rPr>
          <w:rFonts w:asciiTheme="majorBidi" w:hAnsiTheme="majorBidi" w:cstheme="majorBidi"/>
          <w:sz w:val="24"/>
          <w:szCs w:val="24"/>
        </w:rPr>
        <w:t>the period</w:t>
      </w:r>
      <w:r w:rsidR="00B3527A">
        <w:rPr>
          <w:rFonts w:asciiTheme="majorBidi" w:hAnsiTheme="majorBidi" w:cstheme="majorBidi"/>
          <w:sz w:val="24"/>
          <w:szCs w:val="24"/>
        </w:rPr>
        <w:t xml:space="preserve"> of investigation from 2009 to 2014 and this resulted in excluding 47 HEIs with missing annual reports for one or more years. </w:t>
      </w:r>
      <w:r w:rsidR="001C4D11">
        <w:rPr>
          <w:rFonts w:asciiTheme="majorBidi" w:hAnsiTheme="majorBidi" w:cstheme="majorBidi"/>
          <w:sz w:val="24"/>
          <w:szCs w:val="24"/>
        </w:rPr>
        <w:t>Therefore, our final sample consists of 117 institutions made up of 3, 8, 16 and 90 Northern Irish, Welsh, Scottish and English HEIs</w:t>
      </w:r>
      <w:r w:rsidR="008517DB">
        <w:rPr>
          <w:rFonts w:asciiTheme="majorBidi" w:hAnsiTheme="majorBidi" w:cstheme="majorBidi"/>
          <w:sz w:val="24"/>
          <w:szCs w:val="24"/>
        </w:rPr>
        <w:t xml:space="preserve"> (</w:t>
      </w:r>
      <w:r w:rsidR="008517DB" w:rsidRPr="00511F36">
        <w:rPr>
          <w:rFonts w:asciiTheme="majorBidi" w:hAnsiTheme="majorBidi" w:cstheme="majorBidi"/>
          <w:sz w:val="24"/>
          <w:szCs w:val="24"/>
        </w:rPr>
        <w:t>58 Pre-</w:t>
      </w:r>
      <w:r w:rsidR="00F95E90">
        <w:rPr>
          <w:rFonts w:asciiTheme="majorBidi" w:hAnsiTheme="majorBidi" w:cstheme="majorBidi"/>
          <w:sz w:val="24"/>
          <w:szCs w:val="24"/>
        </w:rPr>
        <w:t>1992</w:t>
      </w:r>
      <w:r w:rsidR="008517DB" w:rsidRPr="00511F36">
        <w:rPr>
          <w:rFonts w:asciiTheme="majorBidi" w:hAnsiTheme="majorBidi" w:cstheme="majorBidi"/>
          <w:sz w:val="24"/>
          <w:szCs w:val="24"/>
        </w:rPr>
        <w:t xml:space="preserve"> and 59 </w:t>
      </w:r>
      <w:proofErr w:type="gramStart"/>
      <w:r w:rsidR="008517DB" w:rsidRPr="00511F36">
        <w:rPr>
          <w:rFonts w:asciiTheme="majorBidi" w:hAnsiTheme="majorBidi" w:cstheme="majorBidi"/>
          <w:sz w:val="24"/>
          <w:szCs w:val="24"/>
        </w:rPr>
        <w:t>Post-1992</w:t>
      </w:r>
      <w:proofErr w:type="gramEnd"/>
      <w:r w:rsidR="008517DB">
        <w:rPr>
          <w:rFonts w:asciiTheme="majorBidi" w:hAnsiTheme="majorBidi" w:cstheme="majorBidi"/>
          <w:sz w:val="24"/>
          <w:szCs w:val="24"/>
        </w:rPr>
        <w:t>)</w:t>
      </w:r>
      <w:r w:rsidR="001C4D11">
        <w:rPr>
          <w:rFonts w:asciiTheme="majorBidi" w:hAnsiTheme="majorBidi" w:cstheme="majorBidi"/>
          <w:sz w:val="24"/>
          <w:szCs w:val="24"/>
        </w:rPr>
        <w:t>.</w:t>
      </w:r>
      <w:r w:rsidR="0093677B">
        <w:rPr>
          <w:rFonts w:asciiTheme="majorBidi" w:hAnsiTheme="majorBidi" w:cstheme="majorBidi"/>
          <w:sz w:val="24"/>
          <w:szCs w:val="24"/>
        </w:rPr>
        <w:t xml:space="preserve"> We started our analysis in 2009 because the 2007/08 global crisis </w:t>
      </w:r>
      <w:r w:rsidR="00710A9D">
        <w:rPr>
          <w:rFonts w:asciiTheme="majorBidi" w:hAnsiTheme="majorBidi" w:cstheme="majorBidi"/>
          <w:sz w:val="24"/>
          <w:szCs w:val="24"/>
        </w:rPr>
        <w:t>ha</w:t>
      </w:r>
      <w:r w:rsidR="002F4ED1">
        <w:rPr>
          <w:rFonts w:asciiTheme="majorBidi" w:hAnsiTheme="majorBidi" w:cstheme="majorBidi"/>
          <w:sz w:val="24"/>
          <w:szCs w:val="24"/>
        </w:rPr>
        <w:t>d</w:t>
      </w:r>
      <w:r w:rsidR="00710A9D">
        <w:rPr>
          <w:rFonts w:asciiTheme="majorBidi" w:hAnsiTheme="majorBidi" w:cstheme="majorBidi"/>
          <w:sz w:val="24"/>
          <w:szCs w:val="24"/>
        </w:rPr>
        <w:t xml:space="preserve"> led to significant cuts in terms of funding available to HEIs (</w:t>
      </w:r>
      <w:r w:rsidR="001F2831" w:rsidRPr="00237B98">
        <w:rPr>
          <w:rFonts w:asciiTheme="majorBidi" w:hAnsiTheme="majorBidi" w:cstheme="majorBidi"/>
          <w:sz w:val="24"/>
          <w:szCs w:val="24"/>
          <w:shd w:val="clear" w:color="auto" w:fill="FFFFFF"/>
        </w:rPr>
        <w:t>Geiger</w:t>
      </w:r>
      <w:r w:rsidR="001F2831">
        <w:rPr>
          <w:rFonts w:asciiTheme="majorBidi" w:hAnsiTheme="majorBidi" w:cstheme="majorBidi"/>
          <w:sz w:val="24"/>
          <w:szCs w:val="24"/>
          <w:shd w:val="clear" w:color="auto" w:fill="FFFFFF"/>
        </w:rPr>
        <w:t>, 2004</w:t>
      </w:r>
      <w:r w:rsidR="00710A9D">
        <w:rPr>
          <w:rFonts w:asciiTheme="majorBidi" w:hAnsiTheme="majorBidi" w:cstheme="majorBidi"/>
          <w:sz w:val="24"/>
          <w:szCs w:val="24"/>
        </w:rPr>
        <w:t>), as well as the labour</w:t>
      </w:r>
      <w:r w:rsidR="005E3218">
        <w:rPr>
          <w:rFonts w:asciiTheme="majorBidi" w:hAnsiTheme="majorBidi" w:cstheme="majorBidi"/>
          <w:sz w:val="24"/>
          <w:szCs w:val="24"/>
        </w:rPr>
        <w:t>-</w:t>
      </w:r>
      <w:r w:rsidR="00710A9D">
        <w:rPr>
          <w:rFonts w:asciiTheme="majorBidi" w:hAnsiTheme="majorBidi" w:cstheme="majorBidi"/>
          <w:sz w:val="24"/>
          <w:szCs w:val="24"/>
        </w:rPr>
        <w:t>intensive nature of manually collect</w:t>
      </w:r>
      <w:r w:rsidR="0022671D">
        <w:rPr>
          <w:rFonts w:asciiTheme="majorBidi" w:hAnsiTheme="majorBidi" w:cstheme="majorBidi"/>
          <w:sz w:val="24"/>
          <w:szCs w:val="24"/>
        </w:rPr>
        <w:t>ing the required</w:t>
      </w:r>
      <w:r w:rsidR="00710A9D">
        <w:rPr>
          <w:rFonts w:asciiTheme="majorBidi" w:hAnsiTheme="majorBidi" w:cstheme="majorBidi"/>
          <w:sz w:val="24"/>
          <w:szCs w:val="24"/>
        </w:rPr>
        <w:t xml:space="preserve"> data. </w:t>
      </w:r>
      <w:r w:rsidR="004724F9">
        <w:rPr>
          <w:rFonts w:asciiTheme="majorBidi" w:hAnsiTheme="majorBidi" w:cstheme="majorBidi"/>
          <w:sz w:val="24"/>
          <w:szCs w:val="24"/>
        </w:rPr>
        <w:t>The analysis</w:t>
      </w:r>
      <w:r w:rsidR="00710A9D">
        <w:rPr>
          <w:rFonts w:asciiTheme="majorBidi" w:hAnsiTheme="majorBidi" w:cstheme="majorBidi"/>
          <w:sz w:val="24"/>
          <w:szCs w:val="24"/>
        </w:rPr>
        <w:t xml:space="preserve"> ends in 2014 </w:t>
      </w:r>
      <w:proofErr w:type="spellStart"/>
      <w:r w:rsidR="005E7E99">
        <w:rPr>
          <w:rFonts w:asciiTheme="majorBidi" w:hAnsiTheme="majorBidi" w:cstheme="majorBidi"/>
          <w:sz w:val="24"/>
          <w:szCs w:val="24"/>
        </w:rPr>
        <w:t>becuase</w:t>
      </w:r>
      <w:proofErr w:type="spellEnd"/>
      <w:r w:rsidR="00710A9D">
        <w:rPr>
          <w:rFonts w:asciiTheme="majorBidi" w:hAnsiTheme="majorBidi" w:cstheme="majorBidi"/>
          <w:sz w:val="24"/>
          <w:szCs w:val="24"/>
        </w:rPr>
        <w:t xml:space="preserve"> it </w:t>
      </w:r>
      <w:r w:rsidR="008517DB">
        <w:rPr>
          <w:rFonts w:asciiTheme="majorBidi" w:hAnsiTheme="majorBidi" w:cstheme="majorBidi"/>
          <w:sz w:val="24"/>
          <w:szCs w:val="24"/>
        </w:rPr>
        <w:t xml:space="preserve">was the last year </w:t>
      </w:r>
      <w:r w:rsidR="00EE419C">
        <w:rPr>
          <w:rFonts w:asciiTheme="majorBidi" w:hAnsiTheme="majorBidi" w:cstheme="majorBidi"/>
          <w:sz w:val="24"/>
          <w:szCs w:val="24"/>
        </w:rPr>
        <w:t>for which the required data was available when our data collection started</w:t>
      </w:r>
      <w:r w:rsidR="008517DB">
        <w:rPr>
          <w:rFonts w:asciiTheme="majorBidi" w:hAnsiTheme="majorBidi" w:cstheme="majorBidi"/>
          <w:sz w:val="24"/>
          <w:szCs w:val="24"/>
        </w:rPr>
        <w:t xml:space="preserve">. </w:t>
      </w:r>
    </w:p>
    <w:p w14:paraId="46A38CDC" w14:textId="426F54AA" w:rsidR="008517DB" w:rsidRPr="00765FD7" w:rsidRDefault="008517DB" w:rsidP="00765FD7">
      <w:pPr>
        <w:spacing w:line="480" w:lineRule="auto"/>
        <w:ind w:firstLine="720"/>
        <w:jc w:val="both"/>
        <w:rPr>
          <w:rFonts w:asciiTheme="majorBidi" w:hAnsiTheme="majorBidi" w:cstheme="majorBidi"/>
          <w:i/>
          <w:iCs/>
          <w:sz w:val="24"/>
          <w:szCs w:val="24"/>
        </w:rPr>
      </w:pPr>
      <w:r>
        <w:rPr>
          <w:rFonts w:asciiTheme="majorBidi" w:hAnsiTheme="majorBidi" w:cstheme="majorBidi"/>
          <w:sz w:val="24"/>
          <w:szCs w:val="24"/>
        </w:rPr>
        <w:t xml:space="preserve">We utilised annual reports to collect data </w:t>
      </w:r>
      <w:r w:rsidR="004D5B77">
        <w:rPr>
          <w:rFonts w:asciiTheme="majorBidi" w:hAnsiTheme="majorBidi" w:cstheme="majorBidi"/>
          <w:sz w:val="24"/>
          <w:szCs w:val="24"/>
        </w:rPr>
        <w:t>relating to</w:t>
      </w:r>
      <w:r>
        <w:rPr>
          <w:rFonts w:asciiTheme="majorBidi" w:hAnsiTheme="majorBidi" w:cstheme="majorBidi"/>
          <w:sz w:val="24"/>
          <w:szCs w:val="24"/>
        </w:rPr>
        <w:t xml:space="preserve"> VC basic and non-basic pay, </w:t>
      </w:r>
      <w:r w:rsidR="00E55EF3">
        <w:rPr>
          <w:rFonts w:asciiTheme="majorBidi" w:hAnsiTheme="majorBidi" w:cstheme="majorBidi"/>
          <w:sz w:val="24"/>
          <w:szCs w:val="24"/>
        </w:rPr>
        <w:t>community</w:t>
      </w:r>
      <w:r w:rsidR="00F9094B">
        <w:rPr>
          <w:rFonts w:asciiTheme="majorBidi" w:hAnsiTheme="majorBidi" w:cstheme="majorBidi"/>
          <w:sz w:val="24"/>
          <w:szCs w:val="24"/>
        </w:rPr>
        <w:t>/social</w:t>
      </w:r>
      <w:r w:rsidR="00E55EF3">
        <w:rPr>
          <w:rFonts w:asciiTheme="majorBidi" w:hAnsiTheme="majorBidi" w:cstheme="majorBidi"/>
          <w:sz w:val="24"/>
          <w:szCs w:val="24"/>
        </w:rPr>
        <w:t xml:space="preserve"> contribution</w:t>
      </w:r>
      <w:r w:rsidR="00F9094B">
        <w:rPr>
          <w:rFonts w:asciiTheme="majorBidi" w:hAnsiTheme="majorBidi" w:cstheme="majorBidi"/>
          <w:sz w:val="24"/>
          <w:szCs w:val="24"/>
        </w:rPr>
        <w:t>s</w:t>
      </w:r>
      <w:r w:rsidR="00E55EF3">
        <w:rPr>
          <w:rFonts w:asciiTheme="majorBidi" w:hAnsiTheme="majorBidi" w:cstheme="majorBidi"/>
          <w:sz w:val="24"/>
          <w:szCs w:val="24"/>
        </w:rPr>
        <w:t xml:space="preserve"> index</w:t>
      </w:r>
      <w:r w:rsidR="00BF0920">
        <w:rPr>
          <w:rFonts w:asciiTheme="majorBidi" w:hAnsiTheme="majorBidi" w:cstheme="majorBidi"/>
          <w:sz w:val="24"/>
          <w:szCs w:val="24"/>
        </w:rPr>
        <w:t xml:space="preserve"> (7 items, each scored 0 or 1; see </w:t>
      </w:r>
      <w:r w:rsidR="005B6920">
        <w:rPr>
          <w:rFonts w:asciiTheme="majorBidi" w:hAnsiTheme="majorBidi" w:cstheme="majorBidi"/>
          <w:sz w:val="24"/>
          <w:szCs w:val="24"/>
        </w:rPr>
        <w:t xml:space="preserve">the </w:t>
      </w:r>
      <w:r w:rsidR="00156195" w:rsidRPr="009879E8">
        <w:rPr>
          <w:rFonts w:asciiTheme="majorBidi" w:hAnsiTheme="majorBidi" w:cstheme="majorBidi"/>
          <w:b/>
          <w:bCs/>
          <w:i/>
          <w:iCs/>
          <w:sz w:val="24"/>
          <w:szCs w:val="24"/>
        </w:rPr>
        <w:t>o</w:t>
      </w:r>
      <w:r w:rsidR="00BF0920" w:rsidRPr="009879E8">
        <w:rPr>
          <w:rFonts w:asciiTheme="majorBidi" w:hAnsiTheme="majorBidi" w:cstheme="majorBidi"/>
          <w:b/>
          <w:bCs/>
          <w:i/>
          <w:iCs/>
          <w:sz w:val="24"/>
          <w:szCs w:val="24"/>
        </w:rPr>
        <w:t>nline Appendix 1</w:t>
      </w:r>
      <w:r w:rsidR="00BF0920">
        <w:rPr>
          <w:rFonts w:asciiTheme="majorBidi" w:hAnsiTheme="majorBidi" w:cstheme="majorBidi"/>
          <w:sz w:val="24"/>
          <w:szCs w:val="24"/>
        </w:rPr>
        <w:t>)</w:t>
      </w:r>
      <w:r w:rsidR="00E55EF3">
        <w:rPr>
          <w:rFonts w:asciiTheme="majorBidi" w:hAnsiTheme="majorBidi" w:cstheme="majorBidi"/>
          <w:sz w:val="24"/>
          <w:szCs w:val="24"/>
        </w:rPr>
        <w:t xml:space="preserve">, </w:t>
      </w:r>
      <w:r>
        <w:rPr>
          <w:rFonts w:asciiTheme="majorBidi" w:hAnsiTheme="majorBidi" w:cstheme="majorBidi"/>
          <w:sz w:val="24"/>
          <w:szCs w:val="24"/>
        </w:rPr>
        <w:t>corporate governance and</w:t>
      </w:r>
      <w:r w:rsidR="00FB281B">
        <w:rPr>
          <w:rFonts w:asciiTheme="majorBidi" w:hAnsiTheme="majorBidi" w:cstheme="majorBidi"/>
          <w:sz w:val="24"/>
          <w:szCs w:val="24"/>
        </w:rPr>
        <w:t xml:space="preserve"> HEI</w:t>
      </w:r>
      <w:r w:rsidR="00021342">
        <w:rPr>
          <w:rFonts w:asciiTheme="majorBidi" w:hAnsiTheme="majorBidi" w:cstheme="majorBidi"/>
          <w:sz w:val="24"/>
          <w:szCs w:val="24"/>
        </w:rPr>
        <w:t>s</w:t>
      </w:r>
      <w:r>
        <w:rPr>
          <w:rFonts w:asciiTheme="majorBidi" w:hAnsiTheme="majorBidi" w:cstheme="majorBidi"/>
          <w:sz w:val="24"/>
          <w:szCs w:val="24"/>
        </w:rPr>
        <w:t xml:space="preserve"> financial </w:t>
      </w:r>
      <w:r w:rsidR="00E91A4D">
        <w:rPr>
          <w:rFonts w:asciiTheme="majorBidi" w:hAnsiTheme="majorBidi" w:cstheme="majorBidi"/>
          <w:sz w:val="24"/>
          <w:szCs w:val="24"/>
        </w:rPr>
        <w:t>data</w:t>
      </w:r>
      <w:r>
        <w:rPr>
          <w:rFonts w:asciiTheme="majorBidi" w:hAnsiTheme="majorBidi" w:cstheme="majorBidi"/>
          <w:sz w:val="24"/>
          <w:szCs w:val="24"/>
        </w:rPr>
        <w:t xml:space="preserve">. </w:t>
      </w:r>
      <w:r w:rsidR="00E55EF3">
        <w:rPr>
          <w:rFonts w:asciiTheme="majorBidi" w:hAnsiTheme="majorBidi" w:cstheme="majorBidi"/>
          <w:sz w:val="24"/>
          <w:szCs w:val="24"/>
        </w:rPr>
        <w:t>In addition, we used HEIs’ websites to collect data on gender pay gap. HESA website has also been used to collect data relating to: (i) the proportion of young</w:t>
      </w:r>
      <w:r w:rsidR="005E3218">
        <w:rPr>
          <w:rFonts w:asciiTheme="majorBidi" w:hAnsiTheme="majorBidi" w:cstheme="majorBidi"/>
          <w:sz w:val="24"/>
          <w:szCs w:val="24"/>
        </w:rPr>
        <w:t xml:space="preserve"> </w:t>
      </w:r>
      <w:r w:rsidR="00E55EF3">
        <w:rPr>
          <w:rFonts w:asciiTheme="majorBidi" w:hAnsiTheme="majorBidi" w:cstheme="majorBidi"/>
          <w:sz w:val="24"/>
          <w:szCs w:val="24"/>
        </w:rPr>
        <w:t xml:space="preserve">staff; </w:t>
      </w:r>
      <w:r w:rsidR="005E3218">
        <w:rPr>
          <w:rFonts w:asciiTheme="majorBidi" w:hAnsiTheme="majorBidi" w:cstheme="majorBidi"/>
          <w:sz w:val="24"/>
          <w:szCs w:val="24"/>
        </w:rPr>
        <w:t xml:space="preserve">and </w:t>
      </w:r>
      <w:r w:rsidR="00E55EF3">
        <w:rPr>
          <w:rFonts w:asciiTheme="majorBidi" w:hAnsiTheme="majorBidi" w:cstheme="majorBidi"/>
          <w:sz w:val="24"/>
          <w:szCs w:val="24"/>
        </w:rPr>
        <w:t xml:space="preserve">(ii) non-continuation of students in HE. Further, </w:t>
      </w:r>
      <w:r>
        <w:rPr>
          <w:rFonts w:asciiTheme="majorBidi" w:hAnsiTheme="majorBidi" w:cstheme="majorBidi"/>
          <w:sz w:val="24"/>
          <w:szCs w:val="24"/>
        </w:rPr>
        <w:t>the following sources</w:t>
      </w:r>
      <w:r w:rsidR="00E55EF3">
        <w:rPr>
          <w:rFonts w:asciiTheme="majorBidi" w:hAnsiTheme="majorBidi" w:cstheme="majorBidi"/>
          <w:sz w:val="24"/>
          <w:szCs w:val="24"/>
        </w:rPr>
        <w:t xml:space="preserve"> have also been used</w:t>
      </w:r>
      <w:r>
        <w:rPr>
          <w:rFonts w:asciiTheme="majorBidi" w:hAnsiTheme="majorBidi" w:cstheme="majorBidi"/>
          <w:sz w:val="24"/>
          <w:szCs w:val="24"/>
        </w:rPr>
        <w:t xml:space="preserve"> to collect</w:t>
      </w:r>
      <w:r w:rsidR="00021342">
        <w:rPr>
          <w:rFonts w:asciiTheme="majorBidi" w:hAnsiTheme="majorBidi" w:cstheme="majorBidi"/>
          <w:sz w:val="24"/>
          <w:szCs w:val="24"/>
        </w:rPr>
        <w:t xml:space="preserve"> data on HEIs</w:t>
      </w:r>
      <w:r>
        <w:rPr>
          <w:rFonts w:asciiTheme="majorBidi" w:hAnsiTheme="majorBidi" w:cstheme="majorBidi"/>
          <w:sz w:val="24"/>
          <w:szCs w:val="24"/>
        </w:rPr>
        <w:t xml:space="preserve"> </w:t>
      </w:r>
      <w:r w:rsidR="00E55EF3">
        <w:rPr>
          <w:rFonts w:asciiTheme="majorBidi" w:hAnsiTheme="majorBidi" w:cstheme="majorBidi"/>
          <w:sz w:val="24"/>
          <w:szCs w:val="24"/>
        </w:rPr>
        <w:t>short-term</w:t>
      </w:r>
      <w:r>
        <w:rPr>
          <w:rFonts w:asciiTheme="majorBidi" w:hAnsiTheme="majorBidi" w:cstheme="majorBidi"/>
          <w:sz w:val="24"/>
          <w:szCs w:val="24"/>
        </w:rPr>
        <w:t xml:space="preserve"> performance: (i) </w:t>
      </w:r>
      <w:proofErr w:type="spellStart"/>
      <w:r w:rsidR="005D0C45" w:rsidRPr="005D0C45">
        <w:rPr>
          <w:rFonts w:asciiTheme="majorBidi" w:hAnsiTheme="majorBidi" w:cstheme="majorBidi"/>
          <w:bCs/>
          <w:sz w:val="24"/>
          <w:szCs w:val="24"/>
        </w:rPr>
        <w:t>Quacquarelli</w:t>
      </w:r>
      <w:proofErr w:type="spellEnd"/>
      <w:r w:rsidR="005D0C45" w:rsidRPr="005D0C45">
        <w:rPr>
          <w:rFonts w:asciiTheme="majorBidi" w:hAnsiTheme="majorBidi" w:cstheme="majorBidi"/>
          <w:bCs/>
          <w:sz w:val="24"/>
          <w:szCs w:val="24"/>
        </w:rPr>
        <w:t xml:space="preserve"> Symonds</w:t>
      </w:r>
      <w:r w:rsidR="00765FD7">
        <w:rPr>
          <w:rFonts w:asciiTheme="majorBidi" w:hAnsiTheme="majorBidi" w:cstheme="majorBidi"/>
          <w:bCs/>
          <w:sz w:val="24"/>
          <w:szCs w:val="24"/>
        </w:rPr>
        <w:t xml:space="preserve"> – </w:t>
      </w:r>
      <w:r w:rsidR="00765FD7">
        <w:rPr>
          <w:rFonts w:asciiTheme="majorBidi" w:hAnsiTheme="majorBidi" w:cstheme="majorBidi"/>
          <w:bCs/>
          <w:i/>
          <w:iCs/>
          <w:sz w:val="24"/>
          <w:szCs w:val="24"/>
        </w:rPr>
        <w:t>QS</w:t>
      </w:r>
      <w:r w:rsidR="005D0C45">
        <w:rPr>
          <w:rFonts w:asciiTheme="majorBidi" w:hAnsiTheme="majorBidi" w:cstheme="majorBidi"/>
          <w:bCs/>
          <w:sz w:val="24"/>
          <w:szCs w:val="24"/>
        </w:rPr>
        <w:t xml:space="preserve"> and the</w:t>
      </w:r>
      <w:r w:rsidR="005D0C45" w:rsidRPr="005D0C45">
        <w:rPr>
          <w:rFonts w:asciiTheme="majorBidi" w:hAnsiTheme="majorBidi" w:cstheme="majorBidi"/>
          <w:bCs/>
          <w:sz w:val="24"/>
          <w:szCs w:val="24"/>
        </w:rPr>
        <w:t xml:space="preserve"> Times Higher Education</w:t>
      </w:r>
      <w:r w:rsidR="00765FD7">
        <w:rPr>
          <w:rFonts w:asciiTheme="majorBidi" w:hAnsiTheme="majorBidi" w:cstheme="majorBidi"/>
          <w:i/>
          <w:iCs/>
          <w:sz w:val="24"/>
          <w:szCs w:val="24"/>
        </w:rPr>
        <w:t xml:space="preserve"> –</w:t>
      </w:r>
      <w:r w:rsidRPr="00136229">
        <w:rPr>
          <w:rFonts w:asciiTheme="majorBidi" w:hAnsiTheme="majorBidi" w:cstheme="majorBidi"/>
          <w:i/>
          <w:iCs/>
          <w:sz w:val="24"/>
          <w:szCs w:val="24"/>
        </w:rPr>
        <w:t>THE</w:t>
      </w:r>
      <w:r>
        <w:rPr>
          <w:rFonts w:asciiTheme="majorBidi" w:hAnsiTheme="majorBidi" w:cstheme="majorBidi"/>
          <w:sz w:val="24"/>
          <w:szCs w:val="24"/>
        </w:rPr>
        <w:t xml:space="preserve"> world university rankings to </w:t>
      </w:r>
      <w:r w:rsidRPr="00765FD7">
        <w:rPr>
          <w:rFonts w:asciiTheme="majorBidi" w:hAnsiTheme="majorBidi" w:cstheme="majorBidi"/>
          <w:sz w:val="24"/>
          <w:szCs w:val="24"/>
        </w:rPr>
        <w:t xml:space="preserve">measure reputation; </w:t>
      </w:r>
      <w:r w:rsidR="005E3218" w:rsidRPr="00765FD7">
        <w:rPr>
          <w:rFonts w:asciiTheme="majorBidi" w:hAnsiTheme="majorBidi" w:cstheme="majorBidi"/>
          <w:sz w:val="24"/>
          <w:szCs w:val="24"/>
        </w:rPr>
        <w:t xml:space="preserve">and </w:t>
      </w:r>
      <w:r w:rsidRPr="00765FD7">
        <w:rPr>
          <w:rFonts w:asciiTheme="majorBidi" w:hAnsiTheme="majorBidi" w:cstheme="majorBidi"/>
          <w:sz w:val="24"/>
          <w:szCs w:val="24"/>
        </w:rPr>
        <w:t>(ii) The Complete University Guide (</w:t>
      </w:r>
      <w:r w:rsidRPr="00765FD7">
        <w:rPr>
          <w:rFonts w:asciiTheme="majorBidi" w:hAnsiTheme="majorBidi" w:cstheme="majorBidi"/>
          <w:i/>
          <w:iCs/>
          <w:sz w:val="24"/>
          <w:szCs w:val="24"/>
        </w:rPr>
        <w:t>CUG</w:t>
      </w:r>
      <w:r w:rsidRPr="00765FD7">
        <w:rPr>
          <w:rFonts w:asciiTheme="majorBidi" w:hAnsiTheme="majorBidi" w:cstheme="majorBidi"/>
          <w:sz w:val="24"/>
          <w:szCs w:val="24"/>
        </w:rPr>
        <w:t>)</w:t>
      </w:r>
      <w:r w:rsidR="005E3218" w:rsidRPr="00765FD7">
        <w:rPr>
          <w:rFonts w:asciiTheme="majorBidi" w:hAnsiTheme="majorBidi" w:cstheme="majorBidi"/>
          <w:sz w:val="24"/>
          <w:szCs w:val="24"/>
        </w:rPr>
        <w:t xml:space="preserve"> and</w:t>
      </w:r>
      <w:r w:rsidRPr="00765FD7">
        <w:rPr>
          <w:rFonts w:asciiTheme="majorBidi" w:hAnsiTheme="majorBidi" w:cstheme="majorBidi"/>
          <w:sz w:val="24"/>
          <w:szCs w:val="24"/>
        </w:rPr>
        <w:t xml:space="preserve"> the Guardian </w:t>
      </w:r>
      <w:r w:rsidR="00383496" w:rsidRPr="00765FD7">
        <w:rPr>
          <w:rFonts w:asciiTheme="majorBidi" w:hAnsiTheme="majorBidi" w:cstheme="majorBidi"/>
          <w:sz w:val="24"/>
          <w:szCs w:val="24"/>
        </w:rPr>
        <w:t xml:space="preserve">University Guide </w:t>
      </w:r>
      <w:r w:rsidRPr="00765FD7">
        <w:rPr>
          <w:rFonts w:asciiTheme="majorBidi" w:hAnsiTheme="majorBidi" w:cstheme="majorBidi"/>
          <w:sz w:val="24"/>
          <w:szCs w:val="24"/>
        </w:rPr>
        <w:t>(</w:t>
      </w:r>
      <w:r w:rsidRPr="00765FD7">
        <w:rPr>
          <w:rFonts w:asciiTheme="majorBidi" w:hAnsiTheme="majorBidi" w:cstheme="majorBidi"/>
          <w:i/>
          <w:iCs/>
          <w:sz w:val="24"/>
          <w:szCs w:val="24"/>
        </w:rPr>
        <w:t>G</w:t>
      </w:r>
      <w:r w:rsidR="00383496" w:rsidRPr="00765FD7">
        <w:rPr>
          <w:rFonts w:asciiTheme="majorBidi" w:hAnsiTheme="majorBidi" w:cstheme="majorBidi"/>
          <w:i/>
          <w:iCs/>
          <w:sz w:val="24"/>
          <w:szCs w:val="24"/>
        </w:rPr>
        <w:t>UG</w:t>
      </w:r>
      <w:r w:rsidRPr="00765FD7">
        <w:rPr>
          <w:rFonts w:asciiTheme="majorBidi" w:hAnsiTheme="majorBidi" w:cstheme="majorBidi"/>
          <w:sz w:val="24"/>
          <w:szCs w:val="24"/>
        </w:rPr>
        <w:t>) to measure teaching quality.</w:t>
      </w:r>
      <w:r>
        <w:rPr>
          <w:rFonts w:asciiTheme="majorBidi" w:hAnsiTheme="majorBidi" w:cstheme="majorBidi"/>
          <w:sz w:val="24"/>
          <w:szCs w:val="24"/>
        </w:rPr>
        <w:t xml:space="preserve"> Data on VC characteristics was collected using both annual reports and HEI</w:t>
      </w:r>
      <w:r w:rsidR="00537B47">
        <w:rPr>
          <w:rFonts w:asciiTheme="majorBidi" w:hAnsiTheme="majorBidi" w:cstheme="majorBidi"/>
          <w:sz w:val="24"/>
          <w:szCs w:val="24"/>
        </w:rPr>
        <w:t>s</w:t>
      </w:r>
      <w:r w:rsidR="00383496">
        <w:rPr>
          <w:rFonts w:asciiTheme="majorBidi" w:hAnsiTheme="majorBidi" w:cstheme="majorBidi"/>
          <w:sz w:val="24"/>
          <w:szCs w:val="24"/>
        </w:rPr>
        <w:t>’</w:t>
      </w:r>
      <w:r>
        <w:rPr>
          <w:rFonts w:asciiTheme="majorBidi" w:hAnsiTheme="majorBidi" w:cstheme="majorBidi"/>
          <w:sz w:val="24"/>
          <w:szCs w:val="24"/>
        </w:rPr>
        <w:t xml:space="preserve"> website</w:t>
      </w:r>
      <w:r w:rsidR="00537B47">
        <w:rPr>
          <w:rFonts w:asciiTheme="majorBidi" w:hAnsiTheme="majorBidi" w:cstheme="majorBidi"/>
          <w:sz w:val="24"/>
          <w:szCs w:val="24"/>
        </w:rPr>
        <w:t>s</w:t>
      </w:r>
      <w:r>
        <w:rPr>
          <w:rFonts w:asciiTheme="majorBidi" w:hAnsiTheme="majorBidi" w:cstheme="majorBidi"/>
          <w:sz w:val="24"/>
          <w:szCs w:val="24"/>
        </w:rPr>
        <w:t>.</w:t>
      </w:r>
    </w:p>
    <w:p w14:paraId="1698331A" w14:textId="5C24B542" w:rsidR="00FC14CF" w:rsidRPr="003026CF" w:rsidRDefault="00B3527A" w:rsidP="00FA3FB1">
      <w:pPr>
        <w:spacing w:before="240" w:line="480" w:lineRule="auto"/>
        <w:jc w:val="both"/>
        <w:rPr>
          <w:rFonts w:asciiTheme="majorBidi" w:hAnsiTheme="majorBidi" w:cstheme="majorBidi"/>
          <w:b/>
          <w:bCs/>
          <w:i/>
          <w:sz w:val="24"/>
          <w:szCs w:val="24"/>
        </w:rPr>
      </w:pPr>
      <w:r w:rsidRPr="003026CF">
        <w:rPr>
          <w:rFonts w:asciiTheme="majorBidi" w:hAnsiTheme="majorBidi" w:cstheme="majorBidi"/>
          <w:b/>
          <w:bCs/>
          <w:i/>
          <w:sz w:val="24"/>
          <w:szCs w:val="24"/>
        </w:rPr>
        <w:t xml:space="preserve">Research </w:t>
      </w:r>
      <w:r w:rsidR="003026CF" w:rsidRPr="003026CF">
        <w:rPr>
          <w:rFonts w:asciiTheme="majorBidi" w:hAnsiTheme="majorBidi" w:cstheme="majorBidi"/>
          <w:b/>
          <w:bCs/>
          <w:i/>
          <w:sz w:val="24"/>
          <w:szCs w:val="24"/>
        </w:rPr>
        <w:t>variables and m</w:t>
      </w:r>
      <w:r w:rsidR="00AE034E" w:rsidRPr="003026CF">
        <w:rPr>
          <w:rFonts w:asciiTheme="majorBidi" w:hAnsiTheme="majorBidi" w:cstheme="majorBidi"/>
          <w:b/>
          <w:bCs/>
          <w:i/>
          <w:sz w:val="24"/>
          <w:szCs w:val="24"/>
        </w:rPr>
        <w:t xml:space="preserve">odel </w:t>
      </w:r>
    </w:p>
    <w:p w14:paraId="15D0BD7C" w14:textId="1963744C" w:rsidR="00424333" w:rsidRPr="00424333" w:rsidRDefault="006608CA" w:rsidP="00FA3FB1">
      <w:pPr>
        <w:spacing w:after="0" w:line="480" w:lineRule="auto"/>
        <w:jc w:val="both"/>
        <w:rPr>
          <w:rFonts w:ascii="Times New Roman" w:hAnsi="Times New Roman" w:cs="Times New Roman"/>
          <w:sz w:val="24"/>
          <w:szCs w:val="24"/>
          <w:shd w:val="clear" w:color="auto" w:fill="FFFFFF"/>
        </w:rPr>
      </w:pPr>
      <w:r w:rsidRPr="009810AC">
        <w:rPr>
          <w:rFonts w:asciiTheme="majorBidi" w:hAnsiTheme="majorBidi" w:cstheme="majorBidi"/>
          <w:sz w:val="24"/>
          <w:szCs w:val="24"/>
        </w:rPr>
        <w:lastRenderedPageBreak/>
        <w:t xml:space="preserve">To test </w:t>
      </w:r>
      <w:r w:rsidRPr="009810AC">
        <w:rPr>
          <w:rFonts w:asciiTheme="majorBidi" w:hAnsiTheme="majorBidi" w:cstheme="majorBidi"/>
          <w:i/>
          <w:iCs/>
          <w:sz w:val="24"/>
          <w:szCs w:val="24"/>
        </w:rPr>
        <w:t>H1</w:t>
      </w:r>
      <w:r w:rsidR="00866164" w:rsidRPr="009810AC">
        <w:rPr>
          <w:rFonts w:asciiTheme="majorBidi" w:hAnsiTheme="majorBidi" w:cstheme="majorBidi"/>
          <w:i/>
          <w:iCs/>
          <w:sz w:val="24"/>
          <w:szCs w:val="24"/>
        </w:rPr>
        <w:t>a</w:t>
      </w:r>
      <w:r w:rsidR="00EE50DF">
        <w:rPr>
          <w:rFonts w:asciiTheme="majorBidi" w:hAnsiTheme="majorBidi" w:cstheme="majorBidi"/>
          <w:i/>
          <w:iCs/>
          <w:sz w:val="24"/>
          <w:szCs w:val="24"/>
        </w:rPr>
        <w:t>/</w:t>
      </w:r>
      <w:r w:rsidR="00866164" w:rsidRPr="009810AC">
        <w:rPr>
          <w:rFonts w:asciiTheme="majorBidi" w:hAnsiTheme="majorBidi" w:cstheme="majorBidi"/>
          <w:i/>
          <w:iCs/>
          <w:sz w:val="24"/>
          <w:szCs w:val="24"/>
        </w:rPr>
        <w:t>b</w:t>
      </w:r>
      <w:r w:rsidRPr="009810AC">
        <w:rPr>
          <w:rFonts w:asciiTheme="majorBidi" w:hAnsiTheme="majorBidi" w:cstheme="majorBidi"/>
          <w:sz w:val="24"/>
          <w:szCs w:val="24"/>
        </w:rPr>
        <w:t xml:space="preserve"> </w:t>
      </w:r>
      <w:r w:rsidR="00383496" w:rsidRPr="009810AC">
        <w:rPr>
          <w:rFonts w:asciiTheme="majorBidi" w:hAnsiTheme="majorBidi" w:cstheme="majorBidi"/>
          <w:sz w:val="24"/>
          <w:szCs w:val="24"/>
        </w:rPr>
        <w:t>and</w:t>
      </w:r>
      <w:r w:rsidRPr="009810AC">
        <w:rPr>
          <w:rFonts w:asciiTheme="majorBidi" w:hAnsiTheme="majorBidi" w:cstheme="majorBidi"/>
          <w:sz w:val="24"/>
          <w:szCs w:val="24"/>
        </w:rPr>
        <w:t xml:space="preserve"> </w:t>
      </w:r>
      <w:r w:rsidRPr="009810AC">
        <w:rPr>
          <w:rFonts w:asciiTheme="majorBidi" w:hAnsiTheme="majorBidi" w:cstheme="majorBidi"/>
          <w:i/>
          <w:iCs/>
          <w:sz w:val="24"/>
          <w:szCs w:val="24"/>
        </w:rPr>
        <w:t>H2</w:t>
      </w:r>
      <w:r w:rsidR="00383496" w:rsidRPr="009810AC">
        <w:rPr>
          <w:rFonts w:asciiTheme="majorBidi" w:hAnsiTheme="majorBidi" w:cstheme="majorBidi"/>
          <w:iCs/>
          <w:sz w:val="24"/>
          <w:szCs w:val="24"/>
        </w:rPr>
        <w:t>,</w:t>
      </w:r>
      <w:r w:rsidRPr="009810AC">
        <w:rPr>
          <w:rFonts w:asciiTheme="majorBidi" w:hAnsiTheme="majorBidi" w:cstheme="majorBidi"/>
          <w:sz w:val="24"/>
          <w:szCs w:val="24"/>
        </w:rPr>
        <w:t xml:space="preserve"> we </w:t>
      </w:r>
      <w:r w:rsidR="00A600CC" w:rsidRPr="009810AC">
        <w:rPr>
          <w:rFonts w:asciiTheme="majorBidi" w:hAnsiTheme="majorBidi" w:cstheme="majorBidi"/>
          <w:sz w:val="24"/>
          <w:szCs w:val="24"/>
        </w:rPr>
        <w:t>created our research model</w:t>
      </w:r>
      <w:r w:rsidR="00F07106">
        <w:rPr>
          <w:rFonts w:asciiTheme="majorBidi" w:hAnsiTheme="majorBidi" w:cstheme="majorBidi"/>
          <w:sz w:val="24"/>
          <w:szCs w:val="24"/>
        </w:rPr>
        <w:t>s</w:t>
      </w:r>
      <w:r w:rsidR="00A600CC" w:rsidRPr="009810AC">
        <w:rPr>
          <w:rFonts w:asciiTheme="majorBidi" w:hAnsiTheme="majorBidi" w:cstheme="majorBidi"/>
          <w:sz w:val="24"/>
          <w:szCs w:val="24"/>
        </w:rPr>
        <w:t xml:space="preserve"> and variables as follows</w:t>
      </w:r>
      <w:r w:rsidRPr="009810AC">
        <w:rPr>
          <w:rFonts w:asciiTheme="majorBidi" w:hAnsiTheme="majorBidi" w:cstheme="majorBidi"/>
          <w:sz w:val="24"/>
          <w:szCs w:val="24"/>
        </w:rPr>
        <w:t xml:space="preserve">. </w:t>
      </w:r>
      <w:r w:rsidR="00D429A9" w:rsidRPr="009810AC">
        <w:rPr>
          <w:rFonts w:asciiTheme="majorBidi" w:hAnsiTheme="majorBidi" w:cstheme="majorBidi"/>
          <w:sz w:val="24"/>
          <w:szCs w:val="24"/>
        </w:rPr>
        <w:t xml:space="preserve">First, </w:t>
      </w:r>
      <w:r w:rsidR="00122D4F" w:rsidRPr="009810AC">
        <w:rPr>
          <w:rFonts w:asciiTheme="majorBidi" w:hAnsiTheme="majorBidi" w:cstheme="majorBidi"/>
          <w:sz w:val="24"/>
          <w:szCs w:val="24"/>
        </w:rPr>
        <w:t xml:space="preserve">to investigate </w:t>
      </w:r>
      <w:r w:rsidR="00446F37" w:rsidRPr="009810AC">
        <w:rPr>
          <w:rFonts w:asciiTheme="majorBidi" w:hAnsiTheme="majorBidi" w:cstheme="majorBidi"/>
          <w:sz w:val="24"/>
          <w:szCs w:val="24"/>
        </w:rPr>
        <w:t>VC pay</w:t>
      </w:r>
      <w:r w:rsidR="00DE3D57" w:rsidRPr="009810AC">
        <w:rPr>
          <w:rFonts w:asciiTheme="majorBidi" w:hAnsiTheme="majorBidi" w:cstheme="majorBidi"/>
          <w:sz w:val="24"/>
          <w:szCs w:val="24"/>
        </w:rPr>
        <w:t>–performance</w:t>
      </w:r>
      <w:r w:rsidR="00B11836" w:rsidRPr="009810AC">
        <w:rPr>
          <w:rFonts w:asciiTheme="majorBidi" w:hAnsiTheme="majorBidi" w:cstheme="majorBidi"/>
          <w:sz w:val="24"/>
          <w:szCs w:val="24"/>
        </w:rPr>
        <w:t xml:space="preserve"> link</w:t>
      </w:r>
      <w:r w:rsidR="00177CFD" w:rsidRPr="009810AC">
        <w:rPr>
          <w:rFonts w:asciiTheme="majorBidi" w:hAnsiTheme="majorBidi" w:cstheme="majorBidi"/>
          <w:sz w:val="24"/>
          <w:szCs w:val="24"/>
        </w:rPr>
        <w:t xml:space="preserve"> (</w:t>
      </w:r>
      <w:r w:rsidR="00177CFD" w:rsidRPr="009810AC">
        <w:rPr>
          <w:rFonts w:asciiTheme="majorBidi" w:hAnsiTheme="majorBidi" w:cstheme="majorBidi"/>
          <w:i/>
          <w:iCs/>
          <w:sz w:val="24"/>
          <w:szCs w:val="24"/>
        </w:rPr>
        <w:t>H1</w:t>
      </w:r>
      <w:r w:rsidR="00866164" w:rsidRPr="009810AC">
        <w:rPr>
          <w:rFonts w:asciiTheme="majorBidi" w:hAnsiTheme="majorBidi" w:cstheme="majorBidi"/>
          <w:i/>
          <w:iCs/>
          <w:sz w:val="24"/>
          <w:szCs w:val="24"/>
        </w:rPr>
        <w:t>a</w:t>
      </w:r>
      <w:r w:rsidR="00446F37" w:rsidRPr="009810AC">
        <w:rPr>
          <w:rFonts w:asciiTheme="majorBidi" w:hAnsiTheme="majorBidi" w:cstheme="majorBidi"/>
          <w:i/>
          <w:iCs/>
          <w:sz w:val="24"/>
          <w:szCs w:val="24"/>
        </w:rPr>
        <w:t>/</w:t>
      </w:r>
      <w:r w:rsidR="00866164" w:rsidRPr="009810AC">
        <w:rPr>
          <w:rFonts w:asciiTheme="majorBidi" w:hAnsiTheme="majorBidi" w:cstheme="majorBidi"/>
          <w:i/>
          <w:iCs/>
          <w:sz w:val="24"/>
          <w:szCs w:val="24"/>
        </w:rPr>
        <w:t>b</w:t>
      </w:r>
      <w:r w:rsidR="00177CFD" w:rsidRPr="009810AC">
        <w:rPr>
          <w:rFonts w:asciiTheme="majorBidi" w:hAnsiTheme="majorBidi" w:cstheme="majorBidi"/>
          <w:sz w:val="24"/>
          <w:szCs w:val="24"/>
        </w:rPr>
        <w:t>)</w:t>
      </w:r>
      <w:r w:rsidR="00122D4F" w:rsidRPr="009810AC">
        <w:rPr>
          <w:rFonts w:asciiTheme="majorBidi" w:hAnsiTheme="majorBidi" w:cstheme="majorBidi"/>
          <w:sz w:val="24"/>
          <w:szCs w:val="24"/>
        </w:rPr>
        <w:t xml:space="preserve">, </w:t>
      </w:r>
      <w:r w:rsidR="00121BB9" w:rsidRPr="009810AC">
        <w:rPr>
          <w:rFonts w:asciiTheme="majorBidi" w:hAnsiTheme="majorBidi" w:cstheme="majorBidi"/>
          <w:sz w:val="24"/>
          <w:szCs w:val="24"/>
        </w:rPr>
        <w:t xml:space="preserve">our main dependent variable is VC pay. </w:t>
      </w:r>
      <w:r w:rsidR="002720BE">
        <w:rPr>
          <w:rFonts w:asciiTheme="majorBidi" w:hAnsiTheme="majorBidi" w:cstheme="majorBidi"/>
          <w:sz w:val="24"/>
          <w:szCs w:val="24"/>
        </w:rPr>
        <w:t>F</w:t>
      </w:r>
      <w:r w:rsidR="00D12296">
        <w:rPr>
          <w:rFonts w:asciiTheme="majorBidi" w:hAnsiTheme="majorBidi" w:cstheme="majorBidi"/>
          <w:sz w:val="24"/>
          <w:szCs w:val="24"/>
        </w:rPr>
        <w:t>ollowing classification provide</w:t>
      </w:r>
      <w:r w:rsidR="00DA3340">
        <w:rPr>
          <w:rFonts w:asciiTheme="majorBidi" w:hAnsiTheme="majorBidi" w:cstheme="majorBidi"/>
          <w:sz w:val="24"/>
          <w:szCs w:val="24"/>
        </w:rPr>
        <w:t>d by</w:t>
      </w:r>
      <w:r w:rsidR="00D12296">
        <w:rPr>
          <w:rFonts w:asciiTheme="majorBidi" w:hAnsiTheme="majorBidi" w:cstheme="majorBidi"/>
          <w:sz w:val="24"/>
          <w:szCs w:val="24"/>
        </w:rPr>
        <w:t xml:space="preserve"> </w:t>
      </w:r>
      <w:r w:rsidR="00DA3340">
        <w:rPr>
          <w:rFonts w:asciiTheme="majorBidi" w:hAnsiTheme="majorBidi" w:cstheme="majorBidi"/>
          <w:sz w:val="24"/>
          <w:szCs w:val="24"/>
        </w:rPr>
        <w:t xml:space="preserve">the </w:t>
      </w:r>
      <w:r w:rsidR="00D12296" w:rsidRPr="00D12296">
        <w:rPr>
          <w:rFonts w:asciiTheme="majorBidi" w:hAnsiTheme="majorBidi" w:cstheme="majorBidi"/>
          <w:sz w:val="24"/>
          <w:szCs w:val="24"/>
        </w:rPr>
        <w:t>C</w:t>
      </w:r>
      <w:r w:rsidR="00DA3340">
        <w:rPr>
          <w:rFonts w:asciiTheme="majorBidi" w:hAnsiTheme="majorBidi" w:cstheme="majorBidi"/>
          <w:sz w:val="24"/>
          <w:szCs w:val="24"/>
        </w:rPr>
        <w:t>UC</w:t>
      </w:r>
      <w:r w:rsidR="00D12296" w:rsidRPr="00D12296">
        <w:rPr>
          <w:rFonts w:asciiTheme="majorBidi" w:hAnsiTheme="majorBidi" w:cstheme="majorBidi"/>
          <w:sz w:val="24"/>
          <w:szCs w:val="24"/>
        </w:rPr>
        <w:t xml:space="preserve"> </w:t>
      </w:r>
      <w:r w:rsidR="00D12296">
        <w:rPr>
          <w:rFonts w:asciiTheme="majorBidi" w:hAnsiTheme="majorBidi" w:cstheme="majorBidi"/>
          <w:sz w:val="24"/>
          <w:szCs w:val="24"/>
        </w:rPr>
        <w:t>(</w:t>
      </w:r>
      <w:r w:rsidR="00D12296" w:rsidRPr="00D12296">
        <w:rPr>
          <w:rFonts w:asciiTheme="majorBidi" w:hAnsiTheme="majorBidi" w:cstheme="majorBidi"/>
          <w:sz w:val="24"/>
          <w:szCs w:val="24"/>
        </w:rPr>
        <w:t>2018</w:t>
      </w:r>
      <w:r w:rsidR="00D12296">
        <w:rPr>
          <w:rFonts w:asciiTheme="majorBidi" w:hAnsiTheme="majorBidi" w:cstheme="majorBidi"/>
          <w:sz w:val="24"/>
          <w:szCs w:val="24"/>
        </w:rPr>
        <w:t xml:space="preserve">, </w:t>
      </w:r>
      <w:r w:rsidR="00D12296" w:rsidRPr="00D12296">
        <w:rPr>
          <w:rFonts w:asciiTheme="majorBidi" w:hAnsiTheme="majorBidi" w:cstheme="majorBidi"/>
          <w:sz w:val="24"/>
          <w:szCs w:val="24"/>
        </w:rPr>
        <w:t>2021)</w:t>
      </w:r>
      <w:r w:rsidR="00D12296">
        <w:rPr>
          <w:rFonts w:asciiTheme="majorBidi" w:hAnsiTheme="majorBidi" w:cstheme="majorBidi"/>
          <w:sz w:val="24"/>
          <w:szCs w:val="24"/>
        </w:rPr>
        <w:t xml:space="preserve">, we define VC pay </w:t>
      </w:r>
      <w:r w:rsidR="00D12296" w:rsidRPr="00D12296">
        <w:rPr>
          <w:rFonts w:asciiTheme="majorBidi" w:hAnsiTheme="majorBidi" w:cstheme="majorBidi"/>
          <w:sz w:val="24"/>
          <w:szCs w:val="24"/>
        </w:rPr>
        <w:t xml:space="preserve">as </w:t>
      </w:r>
      <w:r w:rsidR="00D12296" w:rsidRPr="00D12296">
        <w:rPr>
          <w:rFonts w:asciiTheme="majorBidi" w:hAnsiTheme="majorBidi" w:cstheme="majorBidi"/>
          <w:i/>
          <w:iCs/>
          <w:sz w:val="24"/>
          <w:szCs w:val="24"/>
        </w:rPr>
        <w:t>total pay, consisting of: (i) basic (salary); and (ii) non-basic (bonuses</w:t>
      </w:r>
      <w:r w:rsidR="004E4360">
        <w:rPr>
          <w:rFonts w:asciiTheme="majorBidi" w:hAnsiTheme="majorBidi" w:cstheme="majorBidi"/>
          <w:i/>
          <w:iCs/>
          <w:sz w:val="24"/>
          <w:szCs w:val="24"/>
        </w:rPr>
        <w:t>;</w:t>
      </w:r>
      <w:r w:rsidR="00D12296" w:rsidRPr="00D12296">
        <w:rPr>
          <w:rFonts w:asciiTheme="majorBidi" w:hAnsiTheme="majorBidi" w:cstheme="majorBidi"/>
          <w:i/>
          <w:iCs/>
          <w:sz w:val="24"/>
          <w:szCs w:val="24"/>
        </w:rPr>
        <w:t xml:space="preserve"> healthcare, </w:t>
      </w:r>
      <w:proofErr w:type="gramStart"/>
      <w:r w:rsidR="00D12296" w:rsidRPr="00D12296">
        <w:rPr>
          <w:rFonts w:asciiTheme="majorBidi" w:hAnsiTheme="majorBidi" w:cstheme="majorBidi"/>
          <w:i/>
          <w:iCs/>
          <w:sz w:val="24"/>
          <w:szCs w:val="24"/>
        </w:rPr>
        <w:t>housing</w:t>
      </w:r>
      <w:proofErr w:type="gramEnd"/>
      <w:r w:rsidR="00D12296" w:rsidRPr="00D12296">
        <w:rPr>
          <w:rFonts w:asciiTheme="majorBidi" w:hAnsiTheme="majorBidi" w:cstheme="majorBidi"/>
          <w:i/>
          <w:iCs/>
          <w:sz w:val="24"/>
          <w:szCs w:val="24"/>
        </w:rPr>
        <w:t xml:space="preserve"> and transport allowance; pension contributions</w:t>
      </w:r>
      <w:r w:rsidR="004E4360">
        <w:rPr>
          <w:rFonts w:asciiTheme="majorBidi" w:hAnsiTheme="majorBidi" w:cstheme="majorBidi"/>
          <w:i/>
          <w:iCs/>
          <w:sz w:val="24"/>
          <w:szCs w:val="24"/>
        </w:rPr>
        <w:t>;</w:t>
      </w:r>
      <w:r w:rsidR="00D12296" w:rsidRPr="00D12296">
        <w:rPr>
          <w:rFonts w:asciiTheme="majorBidi" w:hAnsiTheme="majorBidi" w:cstheme="majorBidi"/>
          <w:i/>
          <w:iCs/>
          <w:sz w:val="24"/>
          <w:szCs w:val="24"/>
        </w:rPr>
        <w:t xml:space="preserve"> and other in-kind benefits) pay</w:t>
      </w:r>
      <w:r w:rsidR="00D12296">
        <w:rPr>
          <w:rFonts w:asciiTheme="majorBidi" w:hAnsiTheme="majorBidi" w:cstheme="majorBidi"/>
          <w:sz w:val="24"/>
          <w:szCs w:val="24"/>
        </w:rPr>
        <w:t xml:space="preserve">. </w:t>
      </w:r>
      <w:r w:rsidR="00285C74">
        <w:rPr>
          <w:rFonts w:asciiTheme="majorBidi" w:hAnsiTheme="majorBidi" w:cstheme="majorBidi"/>
          <w:sz w:val="24"/>
          <w:szCs w:val="24"/>
        </w:rPr>
        <w:t>F</w:t>
      </w:r>
      <w:r w:rsidR="00D12296">
        <w:rPr>
          <w:rFonts w:asciiTheme="majorBidi" w:hAnsiTheme="majorBidi" w:cstheme="majorBidi"/>
          <w:sz w:val="24"/>
          <w:szCs w:val="24"/>
        </w:rPr>
        <w:t>urther, and following prior studies (</w:t>
      </w:r>
      <w:r w:rsidR="002E4212" w:rsidRPr="002E4212">
        <w:rPr>
          <w:rFonts w:asciiTheme="majorBidi" w:hAnsiTheme="majorBidi" w:cstheme="majorBidi"/>
          <w:sz w:val="24"/>
          <w:szCs w:val="24"/>
          <w:lang w:val="en-US"/>
        </w:rPr>
        <w:t>Schaefer, 1998</w:t>
      </w:r>
      <w:r w:rsidR="00D12296">
        <w:rPr>
          <w:rFonts w:asciiTheme="majorBidi" w:hAnsiTheme="majorBidi" w:cstheme="majorBidi"/>
          <w:sz w:val="24"/>
          <w:szCs w:val="24"/>
        </w:rPr>
        <w:t>), VC pay is scaled by HEIs’ total income to control for an</w:t>
      </w:r>
      <w:r w:rsidR="00285C74">
        <w:rPr>
          <w:rFonts w:asciiTheme="majorBidi" w:hAnsiTheme="majorBidi" w:cstheme="majorBidi"/>
          <w:sz w:val="24"/>
          <w:szCs w:val="24"/>
        </w:rPr>
        <w:t>y</w:t>
      </w:r>
      <w:r w:rsidR="00D12296">
        <w:rPr>
          <w:rFonts w:asciiTheme="majorBidi" w:hAnsiTheme="majorBidi" w:cstheme="majorBidi"/>
          <w:sz w:val="24"/>
          <w:szCs w:val="24"/>
        </w:rPr>
        <w:t xml:space="preserve"> possible size-effects. </w:t>
      </w:r>
      <w:r w:rsidR="00EF491C" w:rsidRPr="009810AC">
        <w:rPr>
          <w:rFonts w:ascii="Times New Roman" w:eastAsia="Calibri" w:hAnsi="Times New Roman" w:cs="Times New Roman"/>
          <w:bCs/>
          <w:sz w:val="24"/>
          <w:szCs w:val="24"/>
        </w:rPr>
        <w:t xml:space="preserve">Second, </w:t>
      </w:r>
      <w:r w:rsidR="00D429A9" w:rsidRPr="009810AC">
        <w:rPr>
          <w:rFonts w:asciiTheme="majorBidi" w:hAnsiTheme="majorBidi" w:cstheme="majorBidi"/>
          <w:sz w:val="24"/>
          <w:szCs w:val="24"/>
        </w:rPr>
        <w:t xml:space="preserve">our main </w:t>
      </w:r>
      <w:r w:rsidR="006A5F61" w:rsidRPr="009810AC">
        <w:rPr>
          <w:rFonts w:asciiTheme="majorBidi" w:hAnsiTheme="majorBidi" w:cstheme="majorBidi"/>
          <w:sz w:val="24"/>
          <w:szCs w:val="24"/>
        </w:rPr>
        <w:t>explanatory</w:t>
      </w:r>
      <w:r w:rsidR="00D429A9" w:rsidRPr="009810AC">
        <w:rPr>
          <w:rFonts w:asciiTheme="majorBidi" w:hAnsiTheme="majorBidi" w:cstheme="majorBidi"/>
          <w:sz w:val="24"/>
          <w:szCs w:val="24"/>
        </w:rPr>
        <w:t xml:space="preserve"> variable is HEIs</w:t>
      </w:r>
      <w:r w:rsidR="00383496" w:rsidRPr="009810AC">
        <w:rPr>
          <w:rFonts w:asciiTheme="majorBidi" w:hAnsiTheme="majorBidi" w:cstheme="majorBidi"/>
          <w:sz w:val="24"/>
          <w:szCs w:val="24"/>
        </w:rPr>
        <w:t>’</w:t>
      </w:r>
      <w:r w:rsidR="00D429A9" w:rsidRPr="009810AC">
        <w:rPr>
          <w:rFonts w:asciiTheme="majorBidi" w:hAnsiTheme="majorBidi" w:cstheme="majorBidi"/>
          <w:sz w:val="24"/>
          <w:szCs w:val="24"/>
        </w:rPr>
        <w:t xml:space="preserve"> </w:t>
      </w:r>
      <w:r w:rsidR="001140DA" w:rsidRPr="009810AC">
        <w:rPr>
          <w:rFonts w:asciiTheme="majorBidi" w:hAnsiTheme="majorBidi" w:cstheme="majorBidi"/>
          <w:sz w:val="24"/>
          <w:szCs w:val="24"/>
        </w:rPr>
        <w:t xml:space="preserve">long- and short-term </w:t>
      </w:r>
      <w:r w:rsidR="00D429A9" w:rsidRPr="009810AC">
        <w:rPr>
          <w:rFonts w:asciiTheme="majorBidi" w:hAnsiTheme="majorBidi" w:cstheme="majorBidi"/>
          <w:sz w:val="24"/>
          <w:szCs w:val="24"/>
        </w:rPr>
        <w:t>performance.</w:t>
      </w:r>
      <w:r w:rsidR="00195120" w:rsidRPr="009810AC">
        <w:rPr>
          <w:rFonts w:asciiTheme="majorBidi" w:hAnsiTheme="majorBidi" w:cstheme="majorBidi"/>
          <w:sz w:val="24"/>
          <w:szCs w:val="24"/>
        </w:rPr>
        <w:t xml:space="preserve"> </w:t>
      </w:r>
      <w:r w:rsidR="0070686B" w:rsidRPr="009810AC">
        <w:rPr>
          <w:rFonts w:asciiTheme="majorBidi" w:hAnsiTheme="majorBidi" w:cstheme="majorBidi"/>
          <w:sz w:val="24"/>
          <w:szCs w:val="24"/>
        </w:rPr>
        <w:t xml:space="preserve">We used </w:t>
      </w:r>
      <w:r w:rsidR="00F07C7B" w:rsidRPr="009810AC">
        <w:rPr>
          <w:rFonts w:asciiTheme="majorBidi" w:hAnsiTheme="majorBidi" w:cstheme="majorBidi"/>
          <w:sz w:val="24"/>
          <w:szCs w:val="24"/>
        </w:rPr>
        <w:t xml:space="preserve">four </w:t>
      </w:r>
      <w:r w:rsidR="0070686B" w:rsidRPr="009810AC">
        <w:rPr>
          <w:rFonts w:asciiTheme="majorBidi" w:hAnsiTheme="majorBidi" w:cstheme="majorBidi"/>
          <w:sz w:val="24"/>
          <w:szCs w:val="24"/>
        </w:rPr>
        <w:t>social outcomes</w:t>
      </w:r>
      <w:r w:rsidR="00653249" w:rsidRPr="009810AC">
        <w:rPr>
          <w:rFonts w:asciiTheme="majorBidi" w:hAnsiTheme="majorBidi" w:cstheme="majorBidi"/>
          <w:sz w:val="24"/>
          <w:szCs w:val="24"/>
        </w:rPr>
        <w:t xml:space="preserve"> to measure long-term</w:t>
      </w:r>
      <w:r w:rsidR="0070686B" w:rsidRPr="009810AC">
        <w:rPr>
          <w:rFonts w:asciiTheme="majorBidi" w:hAnsiTheme="majorBidi" w:cstheme="majorBidi"/>
          <w:sz w:val="24"/>
          <w:szCs w:val="24"/>
        </w:rPr>
        <w:t xml:space="preserve"> </w:t>
      </w:r>
      <w:r w:rsidR="00AB32A1">
        <w:rPr>
          <w:rFonts w:asciiTheme="majorBidi" w:hAnsiTheme="majorBidi" w:cstheme="majorBidi"/>
          <w:sz w:val="24"/>
          <w:szCs w:val="24"/>
        </w:rPr>
        <w:t xml:space="preserve">social </w:t>
      </w:r>
      <w:r w:rsidR="0070686B" w:rsidRPr="009810AC">
        <w:rPr>
          <w:rFonts w:asciiTheme="majorBidi" w:hAnsiTheme="majorBidi" w:cstheme="majorBidi"/>
          <w:sz w:val="24"/>
          <w:szCs w:val="24"/>
        </w:rPr>
        <w:t>performance</w:t>
      </w:r>
      <w:r w:rsidR="000742F1">
        <w:rPr>
          <w:rFonts w:asciiTheme="majorBidi" w:hAnsiTheme="majorBidi" w:cstheme="majorBidi"/>
          <w:sz w:val="24"/>
          <w:szCs w:val="24"/>
        </w:rPr>
        <w:t xml:space="preserve">. </w:t>
      </w:r>
      <w:r w:rsidR="00D95369">
        <w:rPr>
          <w:rFonts w:ascii="Times New Roman" w:hAnsi="Times New Roman" w:cs="Times New Roman"/>
          <w:sz w:val="24"/>
          <w:szCs w:val="24"/>
        </w:rPr>
        <w:t xml:space="preserve">First, </w:t>
      </w:r>
      <w:r w:rsidR="00D95369" w:rsidRPr="00D95369">
        <w:rPr>
          <w:rFonts w:asciiTheme="majorBidi" w:hAnsiTheme="majorBidi" w:cstheme="majorBidi"/>
          <w:sz w:val="24"/>
          <w:szCs w:val="24"/>
        </w:rPr>
        <w:t>we employed HESA performance indicator relating to non-continuation in HE (</w:t>
      </w:r>
      <w:r w:rsidR="00D95369" w:rsidRPr="00D95369">
        <w:rPr>
          <w:rFonts w:asciiTheme="majorBidi" w:hAnsiTheme="majorBidi" w:cstheme="majorBidi"/>
          <w:i/>
          <w:iCs/>
          <w:sz w:val="24"/>
          <w:szCs w:val="24"/>
        </w:rPr>
        <w:t>NLHE</w:t>
      </w:r>
      <w:r w:rsidR="00D95369" w:rsidRPr="00D95369">
        <w:rPr>
          <w:rFonts w:asciiTheme="majorBidi" w:hAnsiTheme="majorBidi" w:cstheme="majorBidi"/>
          <w:sz w:val="24"/>
          <w:szCs w:val="24"/>
        </w:rPr>
        <w:t xml:space="preserve">), to capture UK HEIs’ support for student retention. </w:t>
      </w:r>
      <w:r w:rsidR="00D95369">
        <w:rPr>
          <w:rFonts w:asciiTheme="majorBidi" w:hAnsiTheme="majorBidi" w:cstheme="majorBidi"/>
          <w:sz w:val="24"/>
          <w:szCs w:val="24"/>
        </w:rPr>
        <w:t>Second</w:t>
      </w:r>
      <w:r w:rsidR="00D95369" w:rsidRPr="00D95369">
        <w:rPr>
          <w:rFonts w:asciiTheme="majorBidi" w:hAnsiTheme="majorBidi" w:cstheme="majorBidi"/>
          <w:sz w:val="24"/>
          <w:szCs w:val="24"/>
        </w:rPr>
        <w:t>, we developed a</w:t>
      </w:r>
      <w:r w:rsidR="009329F9">
        <w:rPr>
          <w:rFonts w:asciiTheme="majorBidi" w:hAnsiTheme="majorBidi" w:cstheme="majorBidi"/>
          <w:sz w:val="24"/>
          <w:szCs w:val="24"/>
        </w:rPr>
        <w:t xml:space="preserve"> broader social contribution </w:t>
      </w:r>
      <w:r w:rsidR="00D95369" w:rsidRPr="00D95369">
        <w:rPr>
          <w:rFonts w:asciiTheme="majorBidi" w:hAnsiTheme="majorBidi" w:cstheme="majorBidi"/>
          <w:sz w:val="24"/>
          <w:szCs w:val="24"/>
        </w:rPr>
        <w:t xml:space="preserve">index, named </w:t>
      </w:r>
      <w:r w:rsidR="00D95369" w:rsidRPr="009329F9">
        <w:rPr>
          <w:rFonts w:asciiTheme="majorBidi" w:hAnsiTheme="majorBidi" w:cstheme="majorBidi"/>
          <w:i/>
          <w:iCs/>
          <w:sz w:val="24"/>
          <w:szCs w:val="24"/>
        </w:rPr>
        <w:t>Community/Social Contribution Index</w:t>
      </w:r>
      <w:r w:rsidR="00D95369" w:rsidRPr="00D95369">
        <w:rPr>
          <w:rFonts w:asciiTheme="majorBidi" w:hAnsiTheme="majorBidi" w:cstheme="majorBidi"/>
          <w:sz w:val="24"/>
          <w:szCs w:val="24"/>
        </w:rPr>
        <w:t xml:space="preserve"> (</w:t>
      </w:r>
      <w:r w:rsidR="00D95369" w:rsidRPr="00D95369">
        <w:rPr>
          <w:rFonts w:asciiTheme="majorBidi" w:hAnsiTheme="majorBidi" w:cstheme="majorBidi"/>
          <w:i/>
          <w:iCs/>
          <w:sz w:val="24"/>
          <w:szCs w:val="24"/>
        </w:rPr>
        <w:t>CCI</w:t>
      </w:r>
      <w:r w:rsidR="00D95369" w:rsidRPr="00D95369">
        <w:rPr>
          <w:rFonts w:asciiTheme="majorBidi" w:hAnsiTheme="majorBidi" w:cstheme="majorBidi"/>
          <w:sz w:val="24"/>
          <w:szCs w:val="24"/>
        </w:rPr>
        <w:t xml:space="preserve">). </w:t>
      </w:r>
      <w:r w:rsidR="00D95369" w:rsidRPr="009810AC">
        <w:rPr>
          <w:rFonts w:asciiTheme="majorBidi" w:hAnsiTheme="majorBidi" w:cstheme="majorBidi"/>
          <w:sz w:val="24"/>
          <w:szCs w:val="24"/>
        </w:rPr>
        <w:t xml:space="preserve">The </w:t>
      </w:r>
      <w:r w:rsidR="00D95369">
        <w:rPr>
          <w:rFonts w:asciiTheme="majorBidi" w:hAnsiTheme="majorBidi" w:cstheme="majorBidi"/>
          <w:sz w:val="24"/>
          <w:szCs w:val="24"/>
        </w:rPr>
        <w:t>third</w:t>
      </w:r>
      <w:r w:rsidR="00D95369" w:rsidRPr="009810AC">
        <w:rPr>
          <w:rFonts w:asciiTheme="majorBidi" w:hAnsiTheme="majorBidi" w:cstheme="majorBidi"/>
          <w:sz w:val="24"/>
          <w:szCs w:val="24"/>
        </w:rPr>
        <w:t xml:space="preserve"> social outcome is</w:t>
      </w:r>
      <w:r w:rsidR="00D95369">
        <w:rPr>
          <w:rFonts w:asciiTheme="majorBidi" w:hAnsiTheme="majorBidi" w:cstheme="majorBidi"/>
          <w:sz w:val="24"/>
          <w:szCs w:val="24"/>
        </w:rPr>
        <w:t xml:space="preserve"> </w:t>
      </w:r>
      <w:r w:rsidR="00263A5C" w:rsidRPr="009810AC">
        <w:rPr>
          <w:rFonts w:asciiTheme="majorBidi" w:hAnsiTheme="majorBidi" w:cstheme="majorBidi"/>
          <w:sz w:val="24"/>
          <w:szCs w:val="24"/>
        </w:rPr>
        <w:t>gender pay gap (</w:t>
      </w:r>
      <w:r w:rsidR="00263A5C" w:rsidRPr="009810AC">
        <w:rPr>
          <w:rFonts w:asciiTheme="majorBidi" w:hAnsiTheme="majorBidi" w:cstheme="majorBidi"/>
          <w:i/>
          <w:iCs/>
          <w:sz w:val="24"/>
          <w:szCs w:val="24"/>
        </w:rPr>
        <w:t>GPG</w:t>
      </w:r>
      <w:r w:rsidR="00263A5C" w:rsidRPr="009810AC">
        <w:rPr>
          <w:rFonts w:asciiTheme="majorBidi" w:hAnsiTheme="majorBidi" w:cstheme="majorBidi"/>
          <w:sz w:val="24"/>
          <w:szCs w:val="24"/>
        </w:rPr>
        <w:t xml:space="preserve">), </w:t>
      </w:r>
      <w:r w:rsidR="00BE3768" w:rsidRPr="009810AC">
        <w:rPr>
          <w:rFonts w:asciiTheme="majorBidi" w:hAnsiTheme="majorBidi" w:cstheme="majorBidi"/>
          <w:sz w:val="24"/>
          <w:szCs w:val="24"/>
        </w:rPr>
        <w:t xml:space="preserve">which is measured as the average difference between </w:t>
      </w:r>
      <w:r w:rsidR="00481CFF" w:rsidRPr="009810AC">
        <w:rPr>
          <w:rFonts w:asciiTheme="majorBidi" w:hAnsiTheme="majorBidi" w:cstheme="majorBidi"/>
          <w:sz w:val="24"/>
          <w:szCs w:val="24"/>
        </w:rPr>
        <w:t>males</w:t>
      </w:r>
      <w:r w:rsidR="00BE3768" w:rsidRPr="009810AC">
        <w:rPr>
          <w:rFonts w:asciiTheme="majorBidi" w:hAnsiTheme="majorBidi" w:cstheme="majorBidi"/>
          <w:sz w:val="24"/>
          <w:szCs w:val="24"/>
        </w:rPr>
        <w:t xml:space="preserve"> and </w:t>
      </w:r>
      <w:r w:rsidR="00481CFF" w:rsidRPr="009810AC">
        <w:rPr>
          <w:rFonts w:asciiTheme="majorBidi" w:hAnsiTheme="majorBidi" w:cstheme="majorBidi"/>
          <w:sz w:val="24"/>
          <w:szCs w:val="24"/>
        </w:rPr>
        <w:t>females</w:t>
      </w:r>
      <w:r w:rsidR="00F07106">
        <w:rPr>
          <w:rFonts w:asciiTheme="majorBidi" w:hAnsiTheme="majorBidi" w:cstheme="majorBidi"/>
          <w:sz w:val="24"/>
          <w:szCs w:val="24"/>
        </w:rPr>
        <w:t>’</w:t>
      </w:r>
      <w:r w:rsidR="00BE3768" w:rsidRPr="009810AC">
        <w:rPr>
          <w:rFonts w:asciiTheme="majorBidi" w:hAnsiTheme="majorBidi" w:cstheme="majorBidi"/>
          <w:sz w:val="24"/>
          <w:szCs w:val="24"/>
        </w:rPr>
        <w:t xml:space="preserve"> earning</w:t>
      </w:r>
      <w:r w:rsidR="00F07106">
        <w:rPr>
          <w:rFonts w:asciiTheme="majorBidi" w:hAnsiTheme="majorBidi" w:cstheme="majorBidi"/>
          <w:sz w:val="24"/>
          <w:szCs w:val="24"/>
        </w:rPr>
        <w:t>s</w:t>
      </w:r>
      <w:r w:rsidR="00BE3768" w:rsidRPr="009810AC">
        <w:rPr>
          <w:rFonts w:asciiTheme="majorBidi" w:hAnsiTheme="majorBidi" w:cstheme="majorBidi"/>
          <w:sz w:val="24"/>
          <w:szCs w:val="24"/>
        </w:rPr>
        <w:t xml:space="preserve"> divided by </w:t>
      </w:r>
      <w:r w:rsidR="00481CFF" w:rsidRPr="009810AC">
        <w:rPr>
          <w:rFonts w:asciiTheme="majorBidi" w:hAnsiTheme="majorBidi" w:cstheme="majorBidi"/>
          <w:sz w:val="24"/>
          <w:szCs w:val="24"/>
        </w:rPr>
        <w:t>males</w:t>
      </w:r>
      <w:r w:rsidR="00F07106">
        <w:rPr>
          <w:rFonts w:asciiTheme="majorBidi" w:hAnsiTheme="majorBidi" w:cstheme="majorBidi"/>
          <w:sz w:val="24"/>
          <w:szCs w:val="24"/>
        </w:rPr>
        <w:t>’</w:t>
      </w:r>
      <w:r w:rsidR="00BE3768" w:rsidRPr="009810AC">
        <w:rPr>
          <w:rFonts w:asciiTheme="majorBidi" w:hAnsiTheme="majorBidi" w:cstheme="majorBidi"/>
          <w:sz w:val="24"/>
          <w:szCs w:val="24"/>
        </w:rPr>
        <w:t xml:space="preserve"> earning</w:t>
      </w:r>
      <w:r w:rsidR="00F07106">
        <w:rPr>
          <w:rFonts w:asciiTheme="majorBidi" w:hAnsiTheme="majorBidi" w:cstheme="majorBidi"/>
          <w:sz w:val="24"/>
          <w:szCs w:val="24"/>
        </w:rPr>
        <w:t>s</w:t>
      </w:r>
      <w:r w:rsidR="00BE3768" w:rsidRPr="009810AC">
        <w:rPr>
          <w:rFonts w:asciiTheme="majorBidi" w:hAnsiTheme="majorBidi" w:cstheme="majorBidi"/>
          <w:sz w:val="24"/>
          <w:szCs w:val="24"/>
        </w:rPr>
        <w:t xml:space="preserve"> </w:t>
      </w:r>
      <w:r w:rsidR="005C1BF3" w:rsidRPr="009810AC">
        <w:rPr>
          <w:rFonts w:asciiTheme="majorBidi" w:hAnsiTheme="majorBidi" w:cstheme="majorBidi"/>
          <w:sz w:val="24"/>
          <w:szCs w:val="24"/>
        </w:rPr>
        <w:t>(</w:t>
      </w:r>
      <w:r w:rsidR="005C1BF3" w:rsidRPr="009810AC">
        <w:rPr>
          <w:rFonts w:asciiTheme="majorBidi" w:hAnsiTheme="majorBidi" w:cstheme="majorBidi"/>
          <w:sz w:val="24"/>
          <w:szCs w:val="24"/>
          <w:shd w:val="clear" w:color="auto" w:fill="FFFFFF"/>
        </w:rPr>
        <w:t>Gerber and Cheung, 2008</w:t>
      </w:r>
      <w:r w:rsidR="005C1BF3" w:rsidRPr="009810AC">
        <w:rPr>
          <w:rFonts w:ascii="Times New Roman" w:hAnsi="Times New Roman" w:cs="Times New Roman"/>
          <w:sz w:val="24"/>
          <w:szCs w:val="24"/>
          <w:shd w:val="clear" w:color="auto" w:fill="FFFFFF"/>
        </w:rPr>
        <w:t xml:space="preserve">). </w:t>
      </w:r>
      <w:r w:rsidR="00D95369">
        <w:rPr>
          <w:rFonts w:ascii="Times New Roman" w:hAnsi="Times New Roman" w:cs="Times New Roman"/>
          <w:sz w:val="24"/>
          <w:szCs w:val="24"/>
          <w:shd w:val="clear" w:color="auto" w:fill="FFFFFF"/>
        </w:rPr>
        <w:t>Finally</w:t>
      </w:r>
      <w:r w:rsidR="000377DF">
        <w:rPr>
          <w:rFonts w:ascii="Times New Roman" w:hAnsi="Times New Roman" w:cs="Times New Roman"/>
          <w:sz w:val="24"/>
          <w:szCs w:val="24"/>
          <w:shd w:val="clear" w:color="auto" w:fill="FFFFFF"/>
        </w:rPr>
        <w:t>,</w:t>
      </w:r>
      <w:r w:rsidR="005C1BF3" w:rsidRPr="009810AC">
        <w:rPr>
          <w:rFonts w:ascii="Times New Roman" w:hAnsi="Times New Roman" w:cs="Times New Roman"/>
          <w:sz w:val="24"/>
          <w:szCs w:val="24"/>
          <w:shd w:val="clear" w:color="auto" w:fill="FFFFFF"/>
        </w:rPr>
        <w:t xml:space="preserve"> </w:t>
      </w:r>
      <w:r w:rsidR="00CA7FC1" w:rsidRPr="009810AC">
        <w:rPr>
          <w:rFonts w:ascii="Times New Roman" w:hAnsi="Times New Roman" w:cs="Times New Roman"/>
          <w:sz w:val="24"/>
          <w:szCs w:val="24"/>
          <w:shd w:val="clear" w:color="auto" w:fill="FFFFFF"/>
        </w:rPr>
        <w:t>and following</w:t>
      </w:r>
      <w:r w:rsidR="00B51B79">
        <w:rPr>
          <w:rFonts w:ascii="Times New Roman" w:hAnsi="Times New Roman" w:cs="Times New Roman"/>
          <w:sz w:val="24"/>
          <w:szCs w:val="24"/>
          <w:shd w:val="clear" w:color="auto" w:fill="FFFFFF"/>
        </w:rPr>
        <w:t xml:space="preserve"> classification provided by HESA and </w:t>
      </w:r>
      <w:r w:rsidR="00CA7FC1" w:rsidRPr="009810AC">
        <w:rPr>
          <w:rFonts w:ascii="Times New Roman" w:hAnsi="Times New Roman" w:cs="Times New Roman"/>
          <w:sz w:val="24"/>
          <w:szCs w:val="24"/>
          <w:shd w:val="clear" w:color="auto" w:fill="FFFFFF"/>
        </w:rPr>
        <w:t>p</w:t>
      </w:r>
      <w:r w:rsidR="00636431">
        <w:rPr>
          <w:rFonts w:ascii="Times New Roman" w:hAnsi="Times New Roman" w:cs="Times New Roman"/>
          <w:sz w:val="24"/>
          <w:szCs w:val="24"/>
          <w:shd w:val="clear" w:color="auto" w:fill="FFFFFF"/>
        </w:rPr>
        <w:t>ast evidence</w:t>
      </w:r>
      <w:r w:rsidR="00CA7FC1" w:rsidRPr="009810AC">
        <w:rPr>
          <w:rFonts w:ascii="Times New Roman" w:hAnsi="Times New Roman" w:cs="Times New Roman"/>
          <w:sz w:val="24"/>
          <w:szCs w:val="24"/>
          <w:shd w:val="clear" w:color="auto" w:fill="FFFFFF"/>
        </w:rPr>
        <w:t xml:space="preserve"> (</w:t>
      </w:r>
      <w:proofErr w:type="spellStart"/>
      <w:r w:rsidR="006007E8">
        <w:rPr>
          <w:rFonts w:ascii="Times New Roman" w:hAnsi="Times New Roman" w:cs="Times New Roman"/>
          <w:sz w:val="24"/>
          <w:szCs w:val="24"/>
          <w:shd w:val="clear" w:color="auto" w:fill="FFFFFF"/>
        </w:rPr>
        <w:t>Ballo</w:t>
      </w:r>
      <w:proofErr w:type="spellEnd"/>
      <w:r w:rsidR="006007E8">
        <w:rPr>
          <w:rFonts w:ascii="Times New Roman" w:hAnsi="Times New Roman" w:cs="Times New Roman"/>
          <w:sz w:val="24"/>
          <w:szCs w:val="24"/>
          <w:shd w:val="clear" w:color="auto" w:fill="FFFFFF"/>
        </w:rPr>
        <w:t>, 2020)</w:t>
      </w:r>
      <w:r w:rsidR="00CA7FC1" w:rsidRPr="009810AC">
        <w:rPr>
          <w:rFonts w:ascii="Times New Roman" w:hAnsi="Times New Roman" w:cs="Times New Roman"/>
          <w:sz w:val="24"/>
          <w:szCs w:val="24"/>
          <w:shd w:val="clear" w:color="auto" w:fill="FFFFFF"/>
        </w:rPr>
        <w:t xml:space="preserve">, </w:t>
      </w:r>
      <w:r w:rsidR="005C1BF3" w:rsidRPr="009810AC">
        <w:rPr>
          <w:rFonts w:ascii="Times New Roman" w:hAnsi="Times New Roman" w:cs="Times New Roman"/>
          <w:sz w:val="24"/>
          <w:szCs w:val="24"/>
          <w:shd w:val="clear" w:color="auto" w:fill="FFFFFF"/>
        </w:rPr>
        <w:t>we computed the proportion of young</w:t>
      </w:r>
      <w:r w:rsidR="00B51B79" w:rsidRPr="00B51B79">
        <w:rPr>
          <w:rFonts w:ascii="Times New Roman" w:hAnsi="Times New Roman" w:cs="Times New Roman"/>
          <w:sz w:val="24"/>
          <w:szCs w:val="24"/>
          <w:shd w:val="clear" w:color="auto" w:fill="FFFFFF"/>
        </w:rPr>
        <w:t xml:space="preserve"> academic and non-academic</w:t>
      </w:r>
      <w:r w:rsidR="00E74B07" w:rsidRPr="009810AC">
        <w:rPr>
          <w:rFonts w:ascii="Times New Roman" w:hAnsi="Times New Roman" w:cs="Times New Roman"/>
          <w:sz w:val="24"/>
          <w:szCs w:val="24"/>
          <w:shd w:val="clear" w:color="auto" w:fill="FFFFFF"/>
        </w:rPr>
        <w:t xml:space="preserve"> (</w:t>
      </w:r>
      <w:r w:rsidR="00E74B07" w:rsidRPr="009810AC">
        <w:rPr>
          <w:rFonts w:ascii="Times New Roman" w:hAnsi="Times New Roman" w:cs="Times New Roman"/>
          <w:i/>
          <w:iCs/>
          <w:sz w:val="24"/>
          <w:szCs w:val="24"/>
          <w:shd w:val="clear" w:color="auto" w:fill="FFFFFF"/>
        </w:rPr>
        <w:t>PYS</w:t>
      </w:r>
      <w:r w:rsidR="00E74B07" w:rsidRPr="009810AC">
        <w:rPr>
          <w:rFonts w:ascii="Times New Roman" w:hAnsi="Times New Roman" w:cs="Times New Roman"/>
          <w:sz w:val="24"/>
          <w:szCs w:val="24"/>
          <w:shd w:val="clear" w:color="auto" w:fill="FFFFFF"/>
        </w:rPr>
        <w:t>)</w:t>
      </w:r>
      <w:r w:rsidR="00F07106">
        <w:rPr>
          <w:rFonts w:ascii="Times New Roman" w:hAnsi="Times New Roman" w:cs="Times New Roman"/>
          <w:sz w:val="24"/>
          <w:szCs w:val="24"/>
          <w:shd w:val="clear" w:color="auto" w:fill="FFFFFF"/>
        </w:rPr>
        <w:t xml:space="preserve"> </w:t>
      </w:r>
      <w:r w:rsidR="005C1BF3" w:rsidRPr="009810AC">
        <w:rPr>
          <w:rFonts w:ascii="Times New Roman" w:hAnsi="Times New Roman" w:cs="Times New Roman"/>
          <w:sz w:val="24"/>
          <w:szCs w:val="24"/>
          <w:shd w:val="clear" w:color="auto" w:fill="FFFFFF"/>
        </w:rPr>
        <w:t xml:space="preserve">staff to the total number of </w:t>
      </w:r>
      <w:r w:rsidR="00550211">
        <w:rPr>
          <w:rFonts w:ascii="Times New Roman" w:hAnsi="Times New Roman" w:cs="Times New Roman"/>
          <w:sz w:val="24"/>
          <w:szCs w:val="24"/>
          <w:shd w:val="clear" w:color="auto" w:fill="FFFFFF"/>
        </w:rPr>
        <w:t xml:space="preserve">academic and non-academic </w:t>
      </w:r>
      <w:r w:rsidR="005C1BF3" w:rsidRPr="009810AC">
        <w:rPr>
          <w:rFonts w:ascii="Times New Roman" w:hAnsi="Times New Roman" w:cs="Times New Roman"/>
          <w:sz w:val="24"/>
          <w:szCs w:val="24"/>
          <w:shd w:val="clear" w:color="auto" w:fill="FFFFFF"/>
        </w:rPr>
        <w:t>staff</w:t>
      </w:r>
      <w:r w:rsidR="006007E8">
        <w:rPr>
          <w:rFonts w:ascii="Times New Roman" w:hAnsi="Times New Roman" w:cs="Times New Roman"/>
          <w:sz w:val="24"/>
          <w:szCs w:val="24"/>
          <w:shd w:val="clear" w:color="auto" w:fill="FFFFFF"/>
        </w:rPr>
        <w:t xml:space="preserve"> aged 35 </w:t>
      </w:r>
      <w:r w:rsidR="00B51B79">
        <w:rPr>
          <w:rFonts w:ascii="Times New Roman" w:hAnsi="Times New Roman" w:cs="Times New Roman"/>
          <w:sz w:val="24"/>
          <w:szCs w:val="24"/>
          <w:shd w:val="clear" w:color="auto" w:fill="FFFFFF"/>
        </w:rPr>
        <w:t xml:space="preserve">and under </w:t>
      </w:r>
      <w:proofErr w:type="gramStart"/>
      <w:r w:rsidR="00E74B07" w:rsidRPr="009810AC">
        <w:rPr>
          <w:rFonts w:ascii="Times New Roman" w:hAnsi="Times New Roman" w:cs="Times New Roman"/>
          <w:sz w:val="24"/>
          <w:szCs w:val="24"/>
          <w:shd w:val="clear" w:color="auto" w:fill="FFFFFF"/>
        </w:rPr>
        <w:t>in order to</w:t>
      </w:r>
      <w:proofErr w:type="gramEnd"/>
      <w:r w:rsidR="00E74B07" w:rsidRPr="009810AC">
        <w:rPr>
          <w:rFonts w:ascii="Times New Roman" w:hAnsi="Times New Roman" w:cs="Times New Roman"/>
          <w:sz w:val="24"/>
          <w:szCs w:val="24"/>
          <w:shd w:val="clear" w:color="auto" w:fill="FFFFFF"/>
        </w:rPr>
        <w:t xml:space="preserve"> measure HEIs</w:t>
      </w:r>
      <w:r w:rsidR="00CA7FC1" w:rsidRPr="009810AC">
        <w:rPr>
          <w:rFonts w:ascii="Times New Roman" w:hAnsi="Times New Roman" w:cs="Times New Roman"/>
          <w:sz w:val="24"/>
          <w:szCs w:val="24"/>
          <w:shd w:val="clear" w:color="auto" w:fill="FFFFFF"/>
        </w:rPr>
        <w:t>’</w:t>
      </w:r>
      <w:r w:rsidR="00E74B07" w:rsidRPr="009810AC">
        <w:rPr>
          <w:rFonts w:ascii="Times New Roman" w:hAnsi="Times New Roman" w:cs="Times New Roman"/>
          <w:sz w:val="24"/>
          <w:szCs w:val="24"/>
          <w:shd w:val="clear" w:color="auto" w:fill="FFFFFF"/>
        </w:rPr>
        <w:t xml:space="preserve"> contribution to the </w:t>
      </w:r>
      <w:r w:rsidR="00CA7FC1" w:rsidRPr="009810AC">
        <w:rPr>
          <w:rFonts w:ascii="Times New Roman" w:hAnsi="Times New Roman" w:cs="Times New Roman"/>
          <w:sz w:val="24"/>
          <w:szCs w:val="24"/>
          <w:shd w:val="clear" w:color="auto" w:fill="FFFFFF"/>
        </w:rPr>
        <w:t>employment of young</w:t>
      </w:r>
      <w:r w:rsidR="00370A56" w:rsidRPr="009810AC">
        <w:rPr>
          <w:rFonts w:ascii="Times New Roman" w:hAnsi="Times New Roman" w:cs="Times New Roman"/>
          <w:sz w:val="24"/>
          <w:szCs w:val="24"/>
          <w:shd w:val="clear" w:color="auto" w:fill="FFFFFF"/>
        </w:rPr>
        <w:t xml:space="preserve"> </w:t>
      </w:r>
      <w:r w:rsidR="00CA7FC1" w:rsidRPr="009810AC">
        <w:rPr>
          <w:rFonts w:ascii="Times New Roman" w:hAnsi="Times New Roman" w:cs="Times New Roman"/>
          <w:sz w:val="24"/>
          <w:szCs w:val="24"/>
          <w:shd w:val="clear" w:color="auto" w:fill="FFFFFF"/>
        </w:rPr>
        <w:t>staff</w:t>
      </w:r>
      <w:r w:rsidR="00B51B79">
        <w:rPr>
          <w:rStyle w:val="FootnoteReference"/>
          <w:rFonts w:ascii="Times New Roman" w:hAnsi="Times New Roman" w:cs="Times New Roman"/>
          <w:sz w:val="24"/>
          <w:szCs w:val="24"/>
          <w:shd w:val="clear" w:color="auto" w:fill="FFFFFF"/>
        </w:rPr>
        <w:footnoteReference w:id="4"/>
      </w:r>
      <w:r w:rsidR="00CA7FC1" w:rsidRPr="009810AC">
        <w:rPr>
          <w:rFonts w:ascii="Times New Roman" w:hAnsi="Times New Roman" w:cs="Times New Roman"/>
          <w:sz w:val="24"/>
          <w:szCs w:val="24"/>
          <w:shd w:val="clear" w:color="auto" w:fill="FFFFFF"/>
        </w:rPr>
        <w:t xml:space="preserve">. </w:t>
      </w:r>
    </w:p>
    <w:p w14:paraId="3357468C" w14:textId="2D1B1BFB" w:rsidR="00FC14CF" w:rsidRPr="007C224C" w:rsidRDefault="00BD7BD5" w:rsidP="008113B5">
      <w:pPr>
        <w:spacing w:after="0" w:line="480" w:lineRule="auto"/>
        <w:ind w:firstLine="720"/>
        <w:jc w:val="both"/>
        <w:rPr>
          <w:rFonts w:asciiTheme="majorBidi" w:hAnsiTheme="majorBidi" w:cstheme="majorBidi"/>
          <w:sz w:val="24"/>
          <w:szCs w:val="24"/>
        </w:rPr>
      </w:pPr>
      <w:r>
        <w:rPr>
          <w:rFonts w:ascii="Times New Roman" w:hAnsi="Times New Roman" w:cs="Times New Roman"/>
          <w:sz w:val="24"/>
          <w:szCs w:val="24"/>
          <w:shd w:val="clear" w:color="auto" w:fill="FFFFFF"/>
        </w:rPr>
        <w:t>On the other hand, w</w:t>
      </w:r>
      <w:r w:rsidR="008F2946" w:rsidRPr="009810AC">
        <w:rPr>
          <w:rFonts w:ascii="Times New Roman" w:hAnsi="Times New Roman" w:cs="Times New Roman"/>
          <w:sz w:val="24"/>
          <w:szCs w:val="24"/>
          <w:shd w:val="clear" w:color="auto" w:fill="FFFFFF"/>
        </w:rPr>
        <w:t xml:space="preserve">e </w:t>
      </w:r>
      <w:r w:rsidR="008F2946" w:rsidRPr="009810AC">
        <w:rPr>
          <w:rFonts w:asciiTheme="majorBidi" w:hAnsiTheme="majorBidi" w:cstheme="majorBidi"/>
          <w:sz w:val="24"/>
          <w:szCs w:val="24"/>
        </w:rPr>
        <w:t xml:space="preserve">use </w:t>
      </w:r>
      <w:r w:rsidR="00370A56" w:rsidRPr="009810AC">
        <w:rPr>
          <w:rFonts w:asciiTheme="majorBidi" w:hAnsiTheme="majorBidi" w:cstheme="majorBidi"/>
          <w:sz w:val="24"/>
          <w:szCs w:val="24"/>
        </w:rPr>
        <w:t xml:space="preserve">two </w:t>
      </w:r>
      <w:r w:rsidR="008F2946" w:rsidRPr="009810AC">
        <w:rPr>
          <w:rFonts w:asciiTheme="majorBidi" w:hAnsiTheme="majorBidi" w:cstheme="majorBidi"/>
          <w:sz w:val="24"/>
          <w:szCs w:val="24"/>
        </w:rPr>
        <w:t xml:space="preserve">main proxies encompassing various elements relating to </w:t>
      </w:r>
      <w:r w:rsidR="00D95369">
        <w:rPr>
          <w:rFonts w:asciiTheme="majorBidi" w:hAnsiTheme="majorBidi" w:cstheme="majorBidi"/>
          <w:sz w:val="24"/>
          <w:szCs w:val="24"/>
        </w:rPr>
        <w:t>reputation</w:t>
      </w:r>
      <w:r w:rsidR="00FF375E">
        <w:rPr>
          <w:rFonts w:asciiTheme="majorBidi" w:hAnsiTheme="majorBidi" w:cstheme="majorBidi"/>
          <w:sz w:val="24"/>
          <w:szCs w:val="24"/>
        </w:rPr>
        <w:t>/</w:t>
      </w:r>
      <w:r w:rsidR="008F2946" w:rsidRPr="009810AC">
        <w:rPr>
          <w:rFonts w:asciiTheme="majorBidi" w:hAnsiTheme="majorBidi" w:cstheme="majorBidi"/>
          <w:sz w:val="24"/>
          <w:szCs w:val="24"/>
        </w:rPr>
        <w:t xml:space="preserve">teaching quality, to measure </w:t>
      </w:r>
      <w:r w:rsidR="00BA3F08" w:rsidRPr="009810AC">
        <w:rPr>
          <w:rFonts w:asciiTheme="majorBidi" w:hAnsiTheme="majorBidi" w:cstheme="majorBidi"/>
          <w:sz w:val="24"/>
          <w:szCs w:val="24"/>
        </w:rPr>
        <w:t>HEIs short-term performance (</w:t>
      </w:r>
      <w:proofErr w:type="spellStart"/>
      <w:r w:rsidR="00794E56">
        <w:rPr>
          <w:rFonts w:ascii="Times New Roman" w:hAnsi="Times New Roman" w:cs="Times New Roman"/>
          <w:sz w:val="24"/>
          <w:szCs w:val="24"/>
          <w:shd w:val="clear" w:color="auto" w:fill="FFFFFF"/>
        </w:rPr>
        <w:t>Dowsett</w:t>
      </w:r>
      <w:proofErr w:type="spellEnd"/>
      <w:r w:rsidR="00794E56">
        <w:rPr>
          <w:rFonts w:ascii="Times New Roman" w:hAnsi="Times New Roman" w:cs="Times New Roman"/>
          <w:sz w:val="24"/>
          <w:szCs w:val="24"/>
          <w:shd w:val="clear" w:color="auto" w:fill="FFFFFF"/>
        </w:rPr>
        <w:t>, 2020</w:t>
      </w:r>
      <w:r w:rsidR="00BA3F08" w:rsidRPr="009810AC">
        <w:rPr>
          <w:rFonts w:ascii="Times New Roman" w:hAnsi="Times New Roman" w:cs="Times New Roman"/>
          <w:sz w:val="24"/>
          <w:szCs w:val="24"/>
          <w:shd w:val="clear" w:color="auto" w:fill="FFFFFF"/>
        </w:rPr>
        <w:t xml:space="preserve">). </w:t>
      </w:r>
      <w:r w:rsidR="007121AD" w:rsidRPr="009810AC">
        <w:rPr>
          <w:rFonts w:asciiTheme="majorBidi" w:hAnsiTheme="majorBidi" w:cstheme="majorBidi"/>
          <w:sz w:val="24"/>
          <w:szCs w:val="24"/>
        </w:rPr>
        <w:t xml:space="preserve">The first set of </w:t>
      </w:r>
      <w:r>
        <w:rPr>
          <w:rFonts w:asciiTheme="majorBidi" w:hAnsiTheme="majorBidi" w:cstheme="majorBidi"/>
          <w:sz w:val="24"/>
          <w:szCs w:val="24"/>
        </w:rPr>
        <w:t xml:space="preserve">short-term </w:t>
      </w:r>
      <w:r w:rsidR="007121AD" w:rsidRPr="009810AC">
        <w:rPr>
          <w:rFonts w:asciiTheme="majorBidi" w:hAnsiTheme="majorBidi" w:cstheme="majorBidi"/>
          <w:sz w:val="24"/>
          <w:szCs w:val="24"/>
        </w:rPr>
        <w:t xml:space="preserve">measures relating to </w:t>
      </w:r>
      <w:r w:rsidR="00852F88" w:rsidRPr="009810AC">
        <w:rPr>
          <w:rFonts w:asciiTheme="majorBidi" w:hAnsiTheme="majorBidi" w:cstheme="majorBidi"/>
          <w:sz w:val="24"/>
          <w:szCs w:val="24"/>
        </w:rPr>
        <w:t xml:space="preserve">HEIs reputation </w:t>
      </w:r>
      <w:r w:rsidR="007121AD" w:rsidRPr="009810AC">
        <w:rPr>
          <w:rFonts w:asciiTheme="majorBidi" w:hAnsiTheme="majorBidi" w:cstheme="majorBidi"/>
          <w:sz w:val="24"/>
          <w:szCs w:val="24"/>
        </w:rPr>
        <w:t>comes from</w:t>
      </w:r>
      <w:r w:rsidR="00852F88" w:rsidRPr="009810AC">
        <w:rPr>
          <w:rFonts w:asciiTheme="majorBidi" w:hAnsiTheme="majorBidi" w:cstheme="majorBidi"/>
          <w:sz w:val="24"/>
          <w:szCs w:val="24"/>
        </w:rPr>
        <w:t xml:space="preserve"> both </w:t>
      </w:r>
      <w:r w:rsidR="00852F88" w:rsidRPr="00E70299">
        <w:rPr>
          <w:rFonts w:asciiTheme="majorBidi" w:hAnsiTheme="majorBidi" w:cstheme="majorBidi"/>
          <w:i/>
          <w:iCs/>
          <w:sz w:val="24"/>
          <w:szCs w:val="24"/>
        </w:rPr>
        <w:t>QS</w:t>
      </w:r>
      <w:r w:rsidR="00852F88" w:rsidRPr="009810AC">
        <w:rPr>
          <w:rFonts w:asciiTheme="majorBidi" w:hAnsiTheme="majorBidi" w:cstheme="majorBidi"/>
          <w:sz w:val="24"/>
          <w:szCs w:val="24"/>
        </w:rPr>
        <w:t xml:space="preserve"> and </w:t>
      </w:r>
      <w:r w:rsidR="00852F88" w:rsidRPr="00E70299">
        <w:rPr>
          <w:rFonts w:asciiTheme="majorBidi" w:hAnsiTheme="majorBidi" w:cstheme="majorBidi"/>
          <w:i/>
          <w:iCs/>
          <w:sz w:val="24"/>
          <w:szCs w:val="24"/>
        </w:rPr>
        <w:t>THE</w:t>
      </w:r>
      <w:r w:rsidR="00852F88" w:rsidRPr="009810AC">
        <w:rPr>
          <w:rFonts w:asciiTheme="majorBidi" w:hAnsiTheme="majorBidi" w:cstheme="majorBidi"/>
          <w:sz w:val="24"/>
          <w:szCs w:val="24"/>
        </w:rPr>
        <w:t xml:space="preserve"> world university </w:t>
      </w:r>
      <w:r w:rsidR="00852F88">
        <w:rPr>
          <w:rFonts w:asciiTheme="majorBidi" w:hAnsiTheme="majorBidi" w:cstheme="majorBidi"/>
          <w:sz w:val="24"/>
          <w:szCs w:val="24"/>
        </w:rPr>
        <w:t xml:space="preserve">rankings. </w:t>
      </w:r>
      <w:r w:rsidR="005325DC">
        <w:rPr>
          <w:rFonts w:asciiTheme="majorBidi" w:hAnsiTheme="majorBidi" w:cstheme="majorBidi"/>
          <w:sz w:val="24"/>
          <w:szCs w:val="24"/>
        </w:rPr>
        <w:t xml:space="preserve">The </w:t>
      </w:r>
      <w:r w:rsidR="00D95369">
        <w:rPr>
          <w:rFonts w:asciiTheme="majorBidi" w:hAnsiTheme="majorBidi" w:cstheme="majorBidi"/>
          <w:sz w:val="24"/>
          <w:szCs w:val="24"/>
        </w:rPr>
        <w:t xml:space="preserve">second </w:t>
      </w:r>
      <w:r w:rsidR="005325DC">
        <w:rPr>
          <w:rFonts w:asciiTheme="majorBidi" w:hAnsiTheme="majorBidi" w:cstheme="majorBidi"/>
          <w:sz w:val="24"/>
          <w:szCs w:val="24"/>
        </w:rPr>
        <w:t xml:space="preserve">set of </w:t>
      </w:r>
      <w:r w:rsidR="00E70299">
        <w:rPr>
          <w:rFonts w:asciiTheme="majorBidi" w:hAnsiTheme="majorBidi" w:cstheme="majorBidi"/>
          <w:sz w:val="24"/>
          <w:szCs w:val="24"/>
        </w:rPr>
        <w:t xml:space="preserve">short-term </w:t>
      </w:r>
      <w:r w:rsidR="005325DC">
        <w:rPr>
          <w:rFonts w:asciiTheme="majorBidi" w:hAnsiTheme="majorBidi" w:cstheme="majorBidi"/>
          <w:sz w:val="24"/>
          <w:szCs w:val="24"/>
        </w:rPr>
        <w:t>measures relating to teaching quality comes from nationally published league tables (</w:t>
      </w:r>
      <w:r w:rsidR="008C3424" w:rsidRPr="001B44B8">
        <w:rPr>
          <w:rFonts w:asciiTheme="majorBidi" w:hAnsiTheme="majorBidi" w:cstheme="majorBidi"/>
          <w:i/>
          <w:iCs/>
          <w:sz w:val="24"/>
          <w:szCs w:val="24"/>
        </w:rPr>
        <w:t>CUG</w:t>
      </w:r>
      <w:r w:rsidR="005325DC">
        <w:rPr>
          <w:rFonts w:asciiTheme="majorBidi" w:hAnsiTheme="majorBidi" w:cstheme="majorBidi"/>
          <w:sz w:val="24"/>
          <w:szCs w:val="24"/>
        </w:rPr>
        <w:t xml:space="preserve">; </w:t>
      </w:r>
      <w:r w:rsidR="00370A56">
        <w:rPr>
          <w:rFonts w:asciiTheme="majorBidi" w:hAnsiTheme="majorBidi" w:cstheme="majorBidi"/>
          <w:sz w:val="24"/>
          <w:szCs w:val="24"/>
        </w:rPr>
        <w:t>and</w:t>
      </w:r>
      <w:r w:rsidR="005325DC">
        <w:rPr>
          <w:rFonts w:asciiTheme="majorBidi" w:hAnsiTheme="majorBidi" w:cstheme="majorBidi"/>
          <w:sz w:val="24"/>
          <w:szCs w:val="24"/>
        </w:rPr>
        <w:t xml:space="preserve"> </w:t>
      </w:r>
      <w:r w:rsidR="005325DC" w:rsidRPr="001B44B8">
        <w:rPr>
          <w:rFonts w:asciiTheme="majorBidi" w:hAnsiTheme="majorBidi" w:cstheme="majorBidi"/>
          <w:i/>
          <w:iCs/>
          <w:sz w:val="24"/>
          <w:szCs w:val="24"/>
        </w:rPr>
        <w:t>G</w:t>
      </w:r>
      <w:r w:rsidR="000F7435">
        <w:rPr>
          <w:rFonts w:asciiTheme="majorBidi" w:hAnsiTheme="majorBidi" w:cstheme="majorBidi"/>
          <w:i/>
          <w:iCs/>
          <w:sz w:val="24"/>
          <w:szCs w:val="24"/>
        </w:rPr>
        <w:t>UG</w:t>
      </w:r>
      <w:r w:rsidR="00370A56">
        <w:rPr>
          <w:rFonts w:asciiTheme="majorBidi" w:hAnsiTheme="majorBidi" w:cstheme="majorBidi"/>
          <w:i/>
          <w:iCs/>
          <w:sz w:val="24"/>
          <w:szCs w:val="24"/>
        </w:rPr>
        <w:t xml:space="preserve"> </w:t>
      </w:r>
      <w:r w:rsidR="00370A56">
        <w:rPr>
          <w:rFonts w:asciiTheme="majorBidi" w:hAnsiTheme="majorBidi" w:cstheme="majorBidi"/>
          <w:sz w:val="24"/>
          <w:szCs w:val="24"/>
        </w:rPr>
        <w:t>rankings</w:t>
      </w:r>
      <w:r w:rsidR="005325DC">
        <w:rPr>
          <w:rFonts w:asciiTheme="majorBidi" w:hAnsiTheme="majorBidi" w:cstheme="majorBidi"/>
          <w:sz w:val="24"/>
          <w:szCs w:val="24"/>
        </w:rPr>
        <w:t xml:space="preserve">). </w:t>
      </w:r>
    </w:p>
    <w:p w14:paraId="4F4D7675" w14:textId="517985E4" w:rsidR="00F12DFF" w:rsidRDefault="00EF491C" w:rsidP="00163CA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Third</w:t>
      </w:r>
      <w:r w:rsidR="00E70299">
        <w:rPr>
          <w:rFonts w:asciiTheme="majorBidi" w:hAnsiTheme="majorBidi" w:cstheme="majorBidi"/>
          <w:sz w:val="24"/>
          <w:szCs w:val="24"/>
        </w:rPr>
        <w:t>,</w:t>
      </w:r>
      <w:r>
        <w:rPr>
          <w:rFonts w:asciiTheme="majorBidi" w:hAnsiTheme="majorBidi" w:cstheme="majorBidi"/>
          <w:sz w:val="24"/>
          <w:szCs w:val="24"/>
        </w:rPr>
        <w:t xml:space="preserve"> </w:t>
      </w:r>
      <w:r w:rsidR="00177CFD">
        <w:rPr>
          <w:rFonts w:asciiTheme="majorBidi" w:hAnsiTheme="majorBidi" w:cstheme="majorBidi"/>
          <w:sz w:val="24"/>
          <w:szCs w:val="24"/>
        </w:rPr>
        <w:t>and to</w:t>
      </w:r>
      <w:r w:rsidR="008A7FD9">
        <w:rPr>
          <w:rFonts w:asciiTheme="majorBidi" w:hAnsiTheme="majorBidi" w:cstheme="majorBidi"/>
          <w:sz w:val="24"/>
          <w:szCs w:val="24"/>
        </w:rPr>
        <w:t xml:space="preserve"> </w:t>
      </w:r>
      <w:r w:rsidR="00B576AE">
        <w:rPr>
          <w:rFonts w:asciiTheme="majorBidi" w:hAnsiTheme="majorBidi" w:cstheme="majorBidi"/>
          <w:sz w:val="24"/>
          <w:szCs w:val="24"/>
        </w:rPr>
        <w:t xml:space="preserve">test </w:t>
      </w:r>
      <w:r w:rsidR="008A7FD9">
        <w:rPr>
          <w:rFonts w:asciiTheme="majorBidi" w:hAnsiTheme="majorBidi" w:cstheme="majorBidi"/>
          <w:sz w:val="24"/>
          <w:szCs w:val="24"/>
        </w:rPr>
        <w:t xml:space="preserve">our </w:t>
      </w:r>
      <w:r w:rsidR="00CF7A82">
        <w:rPr>
          <w:rFonts w:asciiTheme="majorBidi" w:hAnsiTheme="majorBidi" w:cstheme="majorBidi"/>
          <w:sz w:val="24"/>
          <w:szCs w:val="24"/>
        </w:rPr>
        <w:t xml:space="preserve">second </w:t>
      </w:r>
      <w:r w:rsidR="008A7FD9">
        <w:rPr>
          <w:rFonts w:asciiTheme="majorBidi" w:hAnsiTheme="majorBidi" w:cstheme="majorBidi"/>
          <w:sz w:val="24"/>
          <w:szCs w:val="24"/>
        </w:rPr>
        <w:t>research hypothesis (</w:t>
      </w:r>
      <w:r w:rsidR="00177CFD">
        <w:rPr>
          <w:rFonts w:asciiTheme="majorBidi" w:hAnsiTheme="majorBidi" w:cstheme="majorBidi"/>
          <w:i/>
          <w:iCs/>
          <w:sz w:val="24"/>
          <w:szCs w:val="24"/>
        </w:rPr>
        <w:t>H2</w:t>
      </w:r>
      <w:r w:rsidR="008A7FD9">
        <w:rPr>
          <w:rFonts w:asciiTheme="majorBidi" w:hAnsiTheme="majorBidi" w:cstheme="majorBidi"/>
          <w:sz w:val="24"/>
          <w:szCs w:val="24"/>
        </w:rPr>
        <w:t>) relating to</w:t>
      </w:r>
      <w:r w:rsidR="00177CFD">
        <w:rPr>
          <w:rFonts w:asciiTheme="majorBidi" w:hAnsiTheme="majorBidi" w:cstheme="majorBidi"/>
          <w:i/>
          <w:iCs/>
          <w:sz w:val="24"/>
          <w:szCs w:val="24"/>
        </w:rPr>
        <w:t xml:space="preserve"> </w:t>
      </w:r>
      <w:r w:rsidR="00177CFD">
        <w:rPr>
          <w:rFonts w:asciiTheme="majorBidi" w:hAnsiTheme="majorBidi" w:cstheme="majorBidi"/>
          <w:sz w:val="24"/>
          <w:szCs w:val="24"/>
        </w:rPr>
        <w:t>whether VC characteristics moderate the</w:t>
      </w:r>
      <w:r w:rsidR="00163CAA">
        <w:rPr>
          <w:rFonts w:asciiTheme="majorBidi" w:hAnsiTheme="majorBidi" w:cstheme="majorBidi"/>
          <w:sz w:val="24"/>
          <w:szCs w:val="24"/>
        </w:rPr>
        <w:t xml:space="preserve"> pay–performance</w:t>
      </w:r>
      <w:r w:rsidR="00177CFD">
        <w:rPr>
          <w:rFonts w:asciiTheme="majorBidi" w:hAnsiTheme="majorBidi" w:cstheme="majorBidi"/>
          <w:sz w:val="24"/>
          <w:szCs w:val="24"/>
        </w:rPr>
        <w:t xml:space="preserve"> nexus, we create</w:t>
      </w:r>
      <w:r w:rsidR="00B576AE">
        <w:rPr>
          <w:rFonts w:asciiTheme="majorBidi" w:hAnsiTheme="majorBidi" w:cstheme="majorBidi"/>
          <w:sz w:val="24"/>
          <w:szCs w:val="24"/>
        </w:rPr>
        <w:t>d</w:t>
      </w:r>
      <w:r w:rsidR="00177CFD">
        <w:rPr>
          <w:rFonts w:asciiTheme="majorBidi" w:hAnsiTheme="majorBidi" w:cstheme="majorBidi"/>
          <w:sz w:val="24"/>
          <w:szCs w:val="24"/>
        </w:rPr>
        <w:t xml:space="preserve"> interaction variables </w:t>
      </w:r>
      <w:r w:rsidR="00700B7F">
        <w:rPr>
          <w:rFonts w:asciiTheme="majorBidi" w:hAnsiTheme="majorBidi" w:cstheme="majorBidi"/>
          <w:sz w:val="24"/>
          <w:szCs w:val="24"/>
        </w:rPr>
        <w:t xml:space="preserve">between </w:t>
      </w:r>
      <w:r w:rsidR="00670C5F">
        <w:rPr>
          <w:rFonts w:asciiTheme="majorBidi" w:hAnsiTheme="majorBidi" w:cstheme="majorBidi"/>
          <w:sz w:val="24"/>
          <w:szCs w:val="24"/>
        </w:rPr>
        <w:t xml:space="preserve">the </w:t>
      </w:r>
      <w:r w:rsidR="00700B7F">
        <w:rPr>
          <w:rFonts w:asciiTheme="majorBidi" w:hAnsiTheme="majorBidi" w:cstheme="majorBidi"/>
          <w:sz w:val="24"/>
          <w:szCs w:val="24"/>
        </w:rPr>
        <w:t xml:space="preserve">VC characteristics (damehood/knighthood </w:t>
      </w:r>
      <w:r w:rsidR="00F42A38">
        <w:rPr>
          <w:rFonts w:asciiTheme="majorBidi" w:hAnsiTheme="majorBidi" w:cstheme="majorBidi"/>
          <w:sz w:val="24"/>
          <w:szCs w:val="24"/>
        </w:rPr>
        <w:t xml:space="preserve">status </w:t>
      </w:r>
      <w:r w:rsidR="00700B7F">
        <w:rPr>
          <w:rFonts w:asciiTheme="majorBidi" w:hAnsiTheme="majorBidi" w:cstheme="majorBidi"/>
          <w:sz w:val="24"/>
          <w:szCs w:val="24"/>
        </w:rPr>
        <w:t xml:space="preserve">– </w:t>
      </w:r>
      <w:r w:rsidR="001B44B8">
        <w:rPr>
          <w:rFonts w:asciiTheme="majorBidi" w:hAnsiTheme="majorBidi" w:cstheme="majorBidi"/>
          <w:i/>
          <w:iCs/>
          <w:sz w:val="24"/>
          <w:szCs w:val="24"/>
        </w:rPr>
        <w:t>DAM</w:t>
      </w:r>
      <w:r w:rsidR="00700B7F">
        <w:rPr>
          <w:rFonts w:asciiTheme="majorBidi" w:hAnsiTheme="majorBidi" w:cstheme="majorBidi"/>
          <w:sz w:val="24"/>
          <w:szCs w:val="24"/>
        </w:rPr>
        <w:t xml:space="preserve">, gender – </w:t>
      </w:r>
      <w:r w:rsidR="00700B7F" w:rsidRPr="001B44B8">
        <w:rPr>
          <w:rFonts w:asciiTheme="majorBidi" w:hAnsiTheme="majorBidi" w:cstheme="majorBidi"/>
          <w:i/>
          <w:iCs/>
          <w:sz w:val="24"/>
          <w:szCs w:val="24"/>
        </w:rPr>
        <w:t>GEN</w:t>
      </w:r>
      <w:r w:rsidR="00700B7F">
        <w:rPr>
          <w:rFonts w:asciiTheme="majorBidi" w:hAnsiTheme="majorBidi" w:cstheme="majorBidi"/>
          <w:sz w:val="24"/>
          <w:szCs w:val="24"/>
        </w:rPr>
        <w:t xml:space="preserve">, age – </w:t>
      </w:r>
      <w:r w:rsidR="00700B7F" w:rsidRPr="001B44B8">
        <w:rPr>
          <w:rFonts w:asciiTheme="majorBidi" w:hAnsiTheme="majorBidi" w:cstheme="majorBidi"/>
          <w:i/>
          <w:iCs/>
          <w:sz w:val="24"/>
          <w:szCs w:val="24"/>
        </w:rPr>
        <w:t>AGE</w:t>
      </w:r>
      <w:r w:rsidR="00700B7F">
        <w:rPr>
          <w:rFonts w:asciiTheme="majorBidi" w:hAnsiTheme="majorBidi" w:cstheme="majorBidi"/>
          <w:sz w:val="24"/>
          <w:szCs w:val="24"/>
        </w:rPr>
        <w:t xml:space="preserve">, educational background – </w:t>
      </w:r>
      <w:r w:rsidR="00700B7F" w:rsidRPr="001B44B8">
        <w:rPr>
          <w:rFonts w:asciiTheme="majorBidi" w:hAnsiTheme="majorBidi" w:cstheme="majorBidi"/>
          <w:i/>
          <w:iCs/>
          <w:sz w:val="24"/>
          <w:szCs w:val="24"/>
        </w:rPr>
        <w:t>EDU</w:t>
      </w:r>
      <w:r w:rsidR="00700B7F">
        <w:rPr>
          <w:rFonts w:asciiTheme="majorBidi" w:hAnsiTheme="majorBidi" w:cstheme="majorBidi"/>
          <w:sz w:val="24"/>
          <w:szCs w:val="24"/>
        </w:rPr>
        <w:t xml:space="preserve">, and tenure – </w:t>
      </w:r>
      <w:r w:rsidR="00700B7F" w:rsidRPr="001B44B8">
        <w:rPr>
          <w:rFonts w:asciiTheme="majorBidi" w:hAnsiTheme="majorBidi" w:cstheme="majorBidi"/>
          <w:i/>
          <w:iCs/>
          <w:sz w:val="24"/>
          <w:szCs w:val="24"/>
        </w:rPr>
        <w:t>TEN</w:t>
      </w:r>
      <w:r w:rsidR="00700B7F">
        <w:rPr>
          <w:rFonts w:asciiTheme="majorBidi" w:hAnsiTheme="majorBidi" w:cstheme="majorBidi"/>
          <w:sz w:val="24"/>
          <w:szCs w:val="24"/>
        </w:rPr>
        <w:t xml:space="preserve">) and HEIs’ </w:t>
      </w:r>
      <w:r w:rsidR="002F45CC">
        <w:rPr>
          <w:rFonts w:asciiTheme="majorBidi" w:hAnsiTheme="majorBidi" w:cstheme="majorBidi"/>
          <w:sz w:val="24"/>
          <w:szCs w:val="24"/>
        </w:rPr>
        <w:t>long-term (</w:t>
      </w:r>
      <w:r w:rsidR="00D95369" w:rsidRPr="00D95369">
        <w:rPr>
          <w:rFonts w:asciiTheme="majorBidi" w:hAnsiTheme="majorBidi" w:cstheme="majorBidi"/>
          <w:i/>
          <w:iCs/>
          <w:sz w:val="24"/>
          <w:szCs w:val="24"/>
        </w:rPr>
        <w:t>NLHE</w:t>
      </w:r>
      <w:r w:rsidR="00D95369">
        <w:rPr>
          <w:rFonts w:asciiTheme="majorBidi" w:hAnsiTheme="majorBidi" w:cstheme="majorBidi"/>
          <w:sz w:val="24"/>
          <w:szCs w:val="24"/>
        </w:rPr>
        <w:t xml:space="preserve">, </w:t>
      </w:r>
      <w:r w:rsidR="00D95369" w:rsidRPr="00D95369">
        <w:rPr>
          <w:rFonts w:asciiTheme="majorBidi" w:hAnsiTheme="majorBidi" w:cstheme="majorBidi"/>
          <w:i/>
          <w:iCs/>
          <w:sz w:val="24"/>
          <w:szCs w:val="24"/>
        </w:rPr>
        <w:t>CCI</w:t>
      </w:r>
      <w:r w:rsidR="00D95369">
        <w:rPr>
          <w:rFonts w:asciiTheme="majorBidi" w:hAnsiTheme="majorBidi" w:cstheme="majorBidi"/>
          <w:sz w:val="24"/>
          <w:szCs w:val="24"/>
        </w:rPr>
        <w:t xml:space="preserve">, </w:t>
      </w:r>
      <w:r w:rsidR="002F45CC">
        <w:rPr>
          <w:rFonts w:asciiTheme="majorBidi" w:hAnsiTheme="majorBidi" w:cstheme="majorBidi"/>
          <w:i/>
          <w:iCs/>
          <w:sz w:val="24"/>
          <w:szCs w:val="24"/>
        </w:rPr>
        <w:t>GPG</w:t>
      </w:r>
      <w:r w:rsidR="00D95369">
        <w:rPr>
          <w:rFonts w:asciiTheme="majorBidi" w:hAnsiTheme="majorBidi" w:cstheme="majorBidi"/>
          <w:sz w:val="24"/>
          <w:szCs w:val="24"/>
        </w:rPr>
        <w:t xml:space="preserve"> and </w:t>
      </w:r>
      <w:r w:rsidR="002F45CC" w:rsidRPr="00F26853">
        <w:rPr>
          <w:rFonts w:ascii="Times New Roman" w:hAnsi="Times New Roman" w:cs="Times New Roman"/>
          <w:i/>
          <w:iCs/>
          <w:color w:val="222222"/>
          <w:sz w:val="24"/>
          <w:szCs w:val="24"/>
          <w:shd w:val="clear" w:color="auto" w:fill="FFFFFF"/>
        </w:rPr>
        <w:t>PYS</w:t>
      </w:r>
      <w:r w:rsidR="002F45CC">
        <w:rPr>
          <w:rFonts w:ascii="Times New Roman" w:hAnsi="Times New Roman" w:cs="Times New Roman"/>
          <w:color w:val="222222"/>
          <w:sz w:val="24"/>
          <w:szCs w:val="24"/>
          <w:shd w:val="clear" w:color="auto" w:fill="FFFFFF"/>
        </w:rPr>
        <w:t xml:space="preserve">) </w:t>
      </w:r>
      <w:r w:rsidR="00700B7F">
        <w:rPr>
          <w:rFonts w:asciiTheme="majorBidi" w:hAnsiTheme="majorBidi" w:cstheme="majorBidi"/>
          <w:sz w:val="24"/>
          <w:szCs w:val="24"/>
        </w:rPr>
        <w:t>and</w:t>
      </w:r>
      <w:r w:rsidR="002F45CC">
        <w:rPr>
          <w:rFonts w:asciiTheme="majorBidi" w:hAnsiTheme="majorBidi" w:cstheme="majorBidi"/>
          <w:sz w:val="24"/>
          <w:szCs w:val="24"/>
        </w:rPr>
        <w:t xml:space="preserve"> short-term</w:t>
      </w:r>
      <w:r w:rsidR="00700B7F">
        <w:rPr>
          <w:rFonts w:asciiTheme="majorBidi" w:hAnsiTheme="majorBidi" w:cstheme="majorBidi"/>
          <w:sz w:val="24"/>
          <w:szCs w:val="24"/>
        </w:rPr>
        <w:t xml:space="preserve"> (</w:t>
      </w:r>
      <w:r w:rsidR="00700B7F" w:rsidRPr="001B44B8">
        <w:rPr>
          <w:rFonts w:asciiTheme="majorBidi" w:hAnsiTheme="majorBidi" w:cstheme="majorBidi"/>
          <w:i/>
          <w:iCs/>
          <w:sz w:val="24"/>
          <w:szCs w:val="24"/>
        </w:rPr>
        <w:t>QS</w:t>
      </w:r>
      <w:r w:rsidR="00700B7F">
        <w:rPr>
          <w:rFonts w:asciiTheme="majorBidi" w:hAnsiTheme="majorBidi" w:cstheme="majorBidi"/>
          <w:sz w:val="24"/>
          <w:szCs w:val="24"/>
        </w:rPr>
        <w:t xml:space="preserve">, </w:t>
      </w:r>
      <w:r w:rsidR="00700B7F" w:rsidRPr="001B44B8">
        <w:rPr>
          <w:rFonts w:asciiTheme="majorBidi" w:hAnsiTheme="majorBidi" w:cstheme="majorBidi"/>
          <w:i/>
          <w:iCs/>
          <w:sz w:val="24"/>
          <w:szCs w:val="24"/>
        </w:rPr>
        <w:t>THE</w:t>
      </w:r>
      <w:r w:rsidR="00700B7F">
        <w:rPr>
          <w:rFonts w:asciiTheme="majorBidi" w:hAnsiTheme="majorBidi" w:cstheme="majorBidi"/>
          <w:sz w:val="24"/>
          <w:szCs w:val="24"/>
        </w:rPr>
        <w:t xml:space="preserve">, </w:t>
      </w:r>
      <w:r w:rsidR="00700B7F" w:rsidRPr="001B44B8">
        <w:rPr>
          <w:rFonts w:asciiTheme="majorBidi" w:hAnsiTheme="majorBidi" w:cstheme="majorBidi"/>
          <w:i/>
          <w:iCs/>
          <w:sz w:val="24"/>
          <w:szCs w:val="24"/>
        </w:rPr>
        <w:t>CUG</w:t>
      </w:r>
      <w:r w:rsidR="00700B7F">
        <w:rPr>
          <w:rFonts w:asciiTheme="majorBidi" w:hAnsiTheme="majorBidi" w:cstheme="majorBidi"/>
          <w:sz w:val="24"/>
          <w:szCs w:val="24"/>
        </w:rPr>
        <w:t xml:space="preserve">, </w:t>
      </w:r>
      <w:r w:rsidR="00074B5B">
        <w:rPr>
          <w:rFonts w:asciiTheme="majorBidi" w:hAnsiTheme="majorBidi" w:cstheme="majorBidi"/>
          <w:sz w:val="24"/>
          <w:szCs w:val="24"/>
        </w:rPr>
        <w:t xml:space="preserve">and </w:t>
      </w:r>
      <w:r w:rsidR="005808DF" w:rsidRPr="001B44B8">
        <w:rPr>
          <w:rFonts w:asciiTheme="majorBidi" w:hAnsiTheme="majorBidi" w:cstheme="majorBidi"/>
          <w:i/>
          <w:iCs/>
          <w:sz w:val="24"/>
          <w:szCs w:val="24"/>
        </w:rPr>
        <w:t>G</w:t>
      </w:r>
      <w:r w:rsidR="00D95369">
        <w:rPr>
          <w:rFonts w:asciiTheme="majorBidi" w:hAnsiTheme="majorBidi" w:cstheme="majorBidi"/>
          <w:i/>
          <w:iCs/>
          <w:sz w:val="24"/>
          <w:szCs w:val="24"/>
        </w:rPr>
        <w:t>UG</w:t>
      </w:r>
      <w:r w:rsidR="00700B7F">
        <w:rPr>
          <w:rFonts w:asciiTheme="majorBidi" w:hAnsiTheme="majorBidi" w:cstheme="majorBidi"/>
          <w:sz w:val="24"/>
          <w:szCs w:val="24"/>
        </w:rPr>
        <w:t>) performance</w:t>
      </w:r>
      <w:r w:rsidR="00AF5893">
        <w:rPr>
          <w:rFonts w:asciiTheme="majorBidi" w:hAnsiTheme="majorBidi" w:cstheme="majorBidi"/>
          <w:sz w:val="24"/>
          <w:szCs w:val="24"/>
        </w:rPr>
        <w:t xml:space="preserve"> measures</w:t>
      </w:r>
      <w:r w:rsidR="005808DF">
        <w:rPr>
          <w:rFonts w:asciiTheme="majorBidi" w:hAnsiTheme="majorBidi" w:cstheme="majorBidi"/>
          <w:sz w:val="24"/>
          <w:szCs w:val="24"/>
        </w:rPr>
        <w:t xml:space="preserve">. </w:t>
      </w:r>
    </w:p>
    <w:p w14:paraId="66ABCBA9" w14:textId="6EDB4E63" w:rsidR="00EF491C" w:rsidRDefault="00AF5893" w:rsidP="00163CA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Fourth</w:t>
      </w:r>
      <w:r w:rsidR="004D4E78">
        <w:rPr>
          <w:rFonts w:asciiTheme="majorBidi" w:hAnsiTheme="majorBidi" w:cstheme="majorBidi"/>
          <w:sz w:val="24"/>
          <w:szCs w:val="24"/>
        </w:rPr>
        <w:t>,</w:t>
      </w:r>
      <w:r>
        <w:rPr>
          <w:rFonts w:asciiTheme="majorBidi" w:hAnsiTheme="majorBidi" w:cstheme="majorBidi"/>
          <w:sz w:val="24"/>
          <w:szCs w:val="24"/>
        </w:rPr>
        <w:t xml:space="preserve"> and given that</w:t>
      </w:r>
      <w:r w:rsidR="00E22707">
        <w:rPr>
          <w:rFonts w:asciiTheme="majorBidi" w:hAnsiTheme="majorBidi" w:cstheme="majorBidi"/>
          <w:sz w:val="24"/>
          <w:szCs w:val="24"/>
        </w:rPr>
        <w:t xml:space="preserve"> several studies (</w:t>
      </w:r>
      <w:proofErr w:type="spellStart"/>
      <w:r w:rsidRPr="00AF5893">
        <w:rPr>
          <w:rFonts w:asciiTheme="majorBidi" w:hAnsiTheme="majorBidi" w:cstheme="majorBidi"/>
          <w:sz w:val="24"/>
          <w:szCs w:val="24"/>
        </w:rPr>
        <w:t>Brickley</w:t>
      </w:r>
      <w:proofErr w:type="spellEnd"/>
      <w:r w:rsidRPr="00AF5893">
        <w:rPr>
          <w:rFonts w:asciiTheme="majorBidi" w:hAnsiTheme="majorBidi" w:cstheme="majorBidi"/>
          <w:sz w:val="24"/>
          <w:szCs w:val="24"/>
        </w:rPr>
        <w:t xml:space="preserve"> et al., 2010</w:t>
      </w:r>
      <w:r>
        <w:rPr>
          <w:rFonts w:asciiTheme="majorBidi" w:hAnsiTheme="majorBidi" w:cstheme="majorBidi"/>
          <w:sz w:val="24"/>
          <w:szCs w:val="24"/>
        </w:rPr>
        <w:t xml:space="preserve">) suggest that senior management pay can be influenced by several other individual governance </w:t>
      </w:r>
      <w:r w:rsidR="00991F0F">
        <w:rPr>
          <w:rFonts w:asciiTheme="majorBidi" w:hAnsiTheme="majorBidi" w:cstheme="majorBidi"/>
          <w:sz w:val="24"/>
          <w:szCs w:val="24"/>
        </w:rPr>
        <w:t>variables</w:t>
      </w:r>
      <w:r>
        <w:rPr>
          <w:rFonts w:asciiTheme="majorBidi" w:hAnsiTheme="majorBidi" w:cstheme="majorBidi"/>
          <w:sz w:val="24"/>
          <w:szCs w:val="24"/>
        </w:rPr>
        <w:t>, we include</w:t>
      </w:r>
      <w:r w:rsidR="002720BE">
        <w:rPr>
          <w:rFonts w:asciiTheme="majorBidi" w:hAnsiTheme="majorBidi" w:cstheme="majorBidi"/>
          <w:sz w:val="24"/>
          <w:szCs w:val="24"/>
        </w:rPr>
        <w:t>d</w:t>
      </w:r>
      <w:r>
        <w:rPr>
          <w:rFonts w:asciiTheme="majorBidi" w:hAnsiTheme="majorBidi" w:cstheme="majorBidi"/>
          <w:sz w:val="24"/>
          <w:szCs w:val="24"/>
        </w:rPr>
        <w:t xml:space="preserve"> </w:t>
      </w:r>
      <w:r w:rsidR="002F45CC">
        <w:rPr>
          <w:rFonts w:asciiTheme="majorBidi" w:hAnsiTheme="majorBidi" w:cstheme="majorBidi"/>
          <w:sz w:val="24"/>
          <w:szCs w:val="24"/>
        </w:rPr>
        <w:t xml:space="preserve">six </w:t>
      </w:r>
      <w:r w:rsidR="00991F0F">
        <w:rPr>
          <w:rFonts w:asciiTheme="majorBidi" w:hAnsiTheme="majorBidi" w:cstheme="majorBidi"/>
          <w:sz w:val="24"/>
          <w:szCs w:val="24"/>
        </w:rPr>
        <w:t xml:space="preserve">governance </w:t>
      </w:r>
      <w:r w:rsidR="00B576AE">
        <w:rPr>
          <w:rFonts w:asciiTheme="majorBidi" w:hAnsiTheme="majorBidi" w:cstheme="majorBidi"/>
          <w:sz w:val="24"/>
          <w:szCs w:val="24"/>
        </w:rPr>
        <w:t xml:space="preserve">mechanisms, as </w:t>
      </w:r>
      <w:r w:rsidR="008A1548">
        <w:rPr>
          <w:rFonts w:asciiTheme="majorBidi" w:hAnsiTheme="majorBidi" w:cstheme="majorBidi"/>
          <w:sz w:val="24"/>
          <w:szCs w:val="24"/>
        </w:rPr>
        <w:t>control</w:t>
      </w:r>
      <w:r w:rsidR="00B576AE">
        <w:rPr>
          <w:rFonts w:asciiTheme="majorBidi" w:hAnsiTheme="majorBidi" w:cstheme="majorBidi"/>
          <w:sz w:val="24"/>
          <w:szCs w:val="24"/>
        </w:rPr>
        <w:t xml:space="preserve"> variable</w:t>
      </w:r>
      <w:r w:rsidR="008A1548">
        <w:rPr>
          <w:rFonts w:asciiTheme="majorBidi" w:hAnsiTheme="majorBidi" w:cstheme="majorBidi"/>
          <w:sz w:val="24"/>
          <w:szCs w:val="24"/>
        </w:rPr>
        <w:t>s</w:t>
      </w:r>
      <w:r w:rsidR="00B576AE">
        <w:rPr>
          <w:rFonts w:asciiTheme="majorBidi" w:hAnsiTheme="majorBidi" w:cstheme="majorBidi"/>
          <w:sz w:val="24"/>
          <w:szCs w:val="24"/>
        </w:rPr>
        <w:t xml:space="preserve"> in our models</w:t>
      </w:r>
      <w:r w:rsidR="00991F0F">
        <w:rPr>
          <w:rFonts w:asciiTheme="majorBidi" w:hAnsiTheme="majorBidi" w:cstheme="majorBidi"/>
          <w:sz w:val="24"/>
          <w:szCs w:val="24"/>
        </w:rPr>
        <w:t xml:space="preserve">. These variables </w:t>
      </w:r>
      <w:proofErr w:type="gramStart"/>
      <w:r w:rsidR="00991F0F">
        <w:rPr>
          <w:rFonts w:asciiTheme="majorBidi" w:hAnsiTheme="majorBidi" w:cstheme="majorBidi"/>
          <w:sz w:val="24"/>
          <w:szCs w:val="24"/>
        </w:rPr>
        <w:t>are:</w:t>
      </w:r>
      <w:proofErr w:type="gramEnd"/>
      <w:r w:rsidR="00991F0F">
        <w:rPr>
          <w:rFonts w:asciiTheme="majorBidi" w:hAnsiTheme="majorBidi" w:cstheme="majorBidi"/>
          <w:sz w:val="24"/>
          <w:szCs w:val="24"/>
        </w:rPr>
        <w:t xml:space="preserve"> </w:t>
      </w:r>
      <w:bookmarkStart w:id="3" w:name="_Hlk101466253"/>
      <w:r w:rsidR="00B576AE">
        <w:rPr>
          <w:rFonts w:asciiTheme="majorBidi" w:hAnsiTheme="majorBidi" w:cstheme="majorBidi"/>
          <w:sz w:val="24"/>
          <w:szCs w:val="24"/>
        </w:rPr>
        <w:t xml:space="preserve">the </w:t>
      </w:r>
      <w:r w:rsidR="001B44B8">
        <w:rPr>
          <w:rFonts w:asciiTheme="majorBidi" w:hAnsiTheme="majorBidi" w:cstheme="majorBidi"/>
          <w:sz w:val="24"/>
          <w:szCs w:val="24"/>
        </w:rPr>
        <w:t xml:space="preserve">presence of </w:t>
      </w:r>
      <w:r w:rsidR="00B576AE">
        <w:rPr>
          <w:rFonts w:asciiTheme="majorBidi" w:hAnsiTheme="majorBidi" w:cstheme="majorBidi"/>
          <w:sz w:val="24"/>
          <w:szCs w:val="24"/>
        </w:rPr>
        <w:t xml:space="preserve">an independent </w:t>
      </w:r>
      <w:r w:rsidR="001B44B8">
        <w:rPr>
          <w:rFonts w:asciiTheme="majorBidi" w:hAnsiTheme="majorBidi" w:cstheme="majorBidi"/>
          <w:sz w:val="24"/>
          <w:szCs w:val="24"/>
        </w:rPr>
        <w:t>remuneration committee (</w:t>
      </w:r>
      <w:r w:rsidR="001B44B8">
        <w:rPr>
          <w:rFonts w:asciiTheme="majorBidi" w:hAnsiTheme="majorBidi" w:cstheme="majorBidi"/>
          <w:i/>
          <w:iCs/>
          <w:sz w:val="24"/>
          <w:szCs w:val="24"/>
        </w:rPr>
        <w:t>PRC</w:t>
      </w:r>
      <w:r w:rsidR="001B44B8">
        <w:rPr>
          <w:rFonts w:asciiTheme="majorBidi" w:hAnsiTheme="majorBidi" w:cstheme="majorBidi"/>
          <w:sz w:val="24"/>
          <w:szCs w:val="24"/>
        </w:rPr>
        <w:t>)</w:t>
      </w:r>
      <w:r w:rsidR="00221730">
        <w:rPr>
          <w:rFonts w:asciiTheme="majorBidi" w:hAnsiTheme="majorBidi" w:cstheme="majorBidi"/>
          <w:sz w:val="24"/>
          <w:szCs w:val="24"/>
        </w:rPr>
        <w:t>;</w:t>
      </w:r>
      <w:r w:rsidR="001B44B8">
        <w:rPr>
          <w:rFonts w:asciiTheme="majorBidi" w:hAnsiTheme="majorBidi" w:cstheme="majorBidi"/>
          <w:sz w:val="24"/>
          <w:szCs w:val="24"/>
        </w:rPr>
        <w:t xml:space="preserve"> </w:t>
      </w:r>
      <w:r w:rsidR="00B576AE">
        <w:rPr>
          <w:rFonts w:asciiTheme="majorBidi" w:hAnsiTheme="majorBidi" w:cstheme="majorBidi"/>
          <w:sz w:val="24"/>
          <w:szCs w:val="24"/>
        </w:rPr>
        <w:t xml:space="preserve">the </w:t>
      </w:r>
      <w:r w:rsidR="001B44B8">
        <w:rPr>
          <w:rFonts w:asciiTheme="majorBidi" w:hAnsiTheme="majorBidi" w:cstheme="majorBidi"/>
          <w:sz w:val="24"/>
          <w:szCs w:val="24"/>
        </w:rPr>
        <w:t xml:space="preserve">presence of </w:t>
      </w:r>
      <w:r w:rsidR="00B576AE">
        <w:rPr>
          <w:rFonts w:asciiTheme="majorBidi" w:hAnsiTheme="majorBidi" w:cstheme="majorBidi"/>
          <w:sz w:val="24"/>
          <w:szCs w:val="24"/>
        </w:rPr>
        <w:t xml:space="preserve">a </w:t>
      </w:r>
      <w:r w:rsidR="001B44B8">
        <w:rPr>
          <w:rFonts w:asciiTheme="majorBidi" w:hAnsiTheme="majorBidi" w:cstheme="majorBidi"/>
          <w:sz w:val="24"/>
          <w:szCs w:val="24"/>
        </w:rPr>
        <w:t>governance committee (</w:t>
      </w:r>
      <w:r w:rsidR="001B44B8">
        <w:rPr>
          <w:rFonts w:asciiTheme="majorBidi" w:hAnsiTheme="majorBidi" w:cstheme="majorBidi"/>
          <w:i/>
          <w:iCs/>
          <w:sz w:val="24"/>
          <w:szCs w:val="24"/>
        </w:rPr>
        <w:t>PGC</w:t>
      </w:r>
      <w:r w:rsidR="001B44B8">
        <w:rPr>
          <w:rFonts w:asciiTheme="majorBidi" w:hAnsiTheme="majorBidi" w:cstheme="majorBidi"/>
          <w:sz w:val="24"/>
          <w:szCs w:val="24"/>
        </w:rPr>
        <w:t>)</w:t>
      </w:r>
      <w:r w:rsidR="00221730">
        <w:rPr>
          <w:rFonts w:asciiTheme="majorBidi" w:hAnsiTheme="majorBidi" w:cstheme="majorBidi"/>
          <w:sz w:val="24"/>
          <w:szCs w:val="24"/>
        </w:rPr>
        <w:t>;</w:t>
      </w:r>
      <w:r w:rsidR="001B44B8">
        <w:rPr>
          <w:rFonts w:asciiTheme="majorBidi" w:hAnsiTheme="majorBidi" w:cstheme="majorBidi"/>
          <w:sz w:val="24"/>
          <w:szCs w:val="24"/>
        </w:rPr>
        <w:t xml:space="preserve"> executive</w:t>
      </w:r>
      <w:r w:rsidR="00ED5993">
        <w:rPr>
          <w:rFonts w:asciiTheme="majorBidi" w:hAnsiTheme="majorBidi" w:cstheme="majorBidi"/>
          <w:sz w:val="24"/>
          <w:szCs w:val="24"/>
        </w:rPr>
        <w:t xml:space="preserve"> management team size (</w:t>
      </w:r>
      <w:r w:rsidR="00ED5993">
        <w:rPr>
          <w:rFonts w:asciiTheme="majorBidi" w:hAnsiTheme="majorBidi" w:cstheme="majorBidi"/>
          <w:i/>
          <w:iCs/>
          <w:sz w:val="24"/>
          <w:szCs w:val="24"/>
        </w:rPr>
        <w:t>EBSZ</w:t>
      </w:r>
      <w:r w:rsidR="00ED5993">
        <w:rPr>
          <w:rFonts w:asciiTheme="majorBidi" w:hAnsiTheme="majorBidi" w:cstheme="majorBidi"/>
          <w:sz w:val="24"/>
          <w:szCs w:val="24"/>
        </w:rPr>
        <w:t>)</w:t>
      </w:r>
      <w:r w:rsidR="00221730">
        <w:rPr>
          <w:rFonts w:asciiTheme="majorBidi" w:hAnsiTheme="majorBidi" w:cstheme="majorBidi"/>
          <w:sz w:val="24"/>
          <w:szCs w:val="24"/>
        </w:rPr>
        <w:t>;</w:t>
      </w:r>
      <w:r w:rsidR="00ED5993">
        <w:rPr>
          <w:rFonts w:asciiTheme="majorBidi" w:hAnsiTheme="majorBidi" w:cstheme="majorBidi"/>
          <w:sz w:val="24"/>
          <w:szCs w:val="24"/>
        </w:rPr>
        <w:t xml:space="preserve"> executive management team diversity</w:t>
      </w:r>
      <w:r w:rsidR="00991F0F">
        <w:rPr>
          <w:rFonts w:asciiTheme="majorBidi" w:hAnsiTheme="majorBidi" w:cstheme="majorBidi"/>
          <w:sz w:val="24"/>
          <w:szCs w:val="24"/>
        </w:rPr>
        <w:t xml:space="preserve"> (</w:t>
      </w:r>
      <w:r w:rsidR="00ED5993">
        <w:rPr>
          <w:rFonts w:asciiTheme="majorBidi" w:hAnsiTheme="majorBidi" w:cstheme="majorBidi"/>
          <w:i/>
          <w:iCs/>
          <w:sz w:val="24"/>
          <w:szCs w:val="24"/>
        </w:rPr>
        <w:t>EBDV</w:t>
      </w:r>
      <w:r w:rsidR="00991F0F">
        <w:rPr>
          <w:rFonts w:asciiTheme="majorBidi" w:hAnsiTheme="majorBidi" w:cstheme="majorBidi"/>
          <w:sz w:val="24"/>
          <w:szCs w:val="24"/>
        </w:rPr>
        <w:t>)</w:t>
      </w:r>
      <w:r w:rsidR="00221730">
        <w:rPr>
          <w:rFonts w:asciiTheme="majorBidi" w:hAnsiTheme="majorBidi" w:cstheme="majorBidi"/>
          <w:sz w:val="24"/>
          <w:szCs w:val="24"/>
        </w:rPr>
        <w:t>;</w:t>
      </w:r>
      <w:r w:rsidR="0004339F">
        <w:rPr>
          <w:rFonts w:asciiTheme="majorBidi" w:hAnsiTheme="majorBidi" w:cstheme="majorBidi"/>
          <w:sz w:val="24"/>
          <w:szCs w:val="24"/>
        </w:rPr>
        <w:t xml:space="preserve"> </w:t>
      </w:r>
      <w:r w:rsidR="001B44B8">
        <w:rPr>
          <w:rFonts w:asciiTheme="majorBidi" w:hAnsiTheme="majorBidi" w:cstheme="majorBidi"/>
          <w:sz w:val="24"/>
          <w:szCs w:val="24"/>
        </w:rPr>
        <w:t>executive management team meeting (</w:t>
      </w:r>
      <w:r w:rsidR="001B44B8">
        <w:rPr>
          <w:rFonts w:asciiTheme="majorBidi" w:hAnsiTheme="majorBidi" w:cstheme="majorBidi"/>
          <w:i/>
          <w:iCs/>
          <w:sz w:val="24"/>
          <w:szCs w:val="24"/>
        </w:rPr>
        <w:t>EBME</w:t>
      </w:r>
      <w:r w:rsidR="001B44B8">
        <w:rPr>
          <w:rFonts w:asciiTheme="majorBidi" w:hAnsiTheme="majorBidi" w:cstheme="majorBidi"/>
          <w:sz w:val="24"/>
          <w:szCs w:val="24"/>
        </w:rPr>
        <w:t>)</w:t>
      </w:r>
      <w:r w:rsidR="00221730">
        <w:rPr>
          <w:rFonts w:asciiTheme="majorBidi" w:hAnsiTheme="majorBidi" w:cstheme="majorBidi"/>
          <w:sz w:val="24"/>
          <w:szCs w:val="24"/>
        </w:rPr>
        <w:t>;</w:t>
      </w:r>
      <w:r w:rsidR="002F45CC">
        <w:rPr>
          <w:rFonts w:asciiTheme="majorBidi" w:hAnsiTheme="majorBidi" w:cstheme="majorBidi"/>
          <w:sz w:val="24"/>
          <w:szCs w:val="24"/>
        </w:rPr>
        <w:t xml:space="preserve"> and change in VC (</w:t>
      </w:r>
      <w:r w:rsidR="002F45CC" w:rsidRPr="008760DE">
        <w:rPr>
          <w:rFonts w:asciiTheme="majorBidi" w:hAnsiTheme="majorBidi" w:cstheme="majorBidi"/>
          <w:i/>
          <w:iCs/>
          <w:sz w:val="24"/>
          <w:szCs w:val="24"/>
        </w:rPr>
        <w:t>VC Change</w:t>
      </w:r>
      <w:r w:rsidR="002F45CC">
        <w:rPr>
          <w:rFonts w:asciiTheme="majorBidi" w:hAnsiTheme="majorBidi" w:cstheme="majorBidi"/>
          <w:sz w:val="24"/>
          <w:szCs w:val="24"/>
        </w:rPr>
        <w:t>)</w:t>
      </w:r>
      <w:r w:rsidR="00991F0F">
        <w:rPr>
          <w:rFonts w:asciiTheme="majorBidi" w:hAnsiTheme="majorBidi" w:cstheme="majorBidi"/>
          <w:sz w:val="24"/>
          <w:szCs w:val="24"/>
        </w:rPr>
        <w:t>.</w:t>
      </w:r>
      <w:bookmarkEnd w:id="3"/>
      <w:r w:rsidR="00991F0F">
        <w:rPr>
          <w:rFonts w:asciiTheme="majorBidi" w:hAnsiTheme="majorBidi" w:cstheme="majorBidi"/>
          <w:sz w:val="24"/>
          <w:szCs w:val="24"/>
        </w:rPr>
        <w:t xml:space="preserve"> Finally, we</w:t>
      </w:r>
      <w:r w:rsidR="00ED5993">
        <w:rPr>
          <w:rFonts w:asciiTheme="majorBidi" w:hAnsiTheme="majorBidi" w:cstheme="majorBidi"/>
          <w:sz w:val="24"/>
          <w:szCs w:val="24"/>
        </w:rPr>
        <w:t xml:space="preserve"> control for number of general HEIs characteristics</w:t>
      </w:r>
      <w:r w:rsidR="00991F0F">
        <w:rPr>
          <w:rFonts w:asciiTheme="majorBidi" w:hAnsiTheme="majorBidi" w:cstheme="majorBidi"/>
          <w:sz w:val="24"/>
          <w:szCs w:val="24"/>
        </w:rPr>
        <w:t xml:space="preserve"> </w:t>
      </w:r>
      <w:proofErr w:type="gramStart"/>
      <w:r w:rsidR="00991F0F">
        <w:rPr>
          <w:rFonts w:asciiTheme="majorBidi" w:hAnsiTheme="majorBidi" w:cstheme="majorBidi"/>
          <w:sz w:val="24"/>
          <w:szCs w:val="24"/>
        </w:rPr>
        <w:t>in order to</w:t>
      </w:r>
      <w:proofErr w:type="gramEnd"/>
      <w:r w:rsidR="00991F0F">
        <w:rPr>
          <w:rFonts w:asciiTheme="majorBidi" w:hAnsiTheme="majorBidi" w:cstheme="majorBidi"/>
          <w:sz w:val="24"/>
          <w:szCs w:val="24"/>
        </w:rPr>
        <w:t xml:space="preserve"> </w:t>
      </w:r>
      <w:r w:rsidR="004A6B81">
        <w:rPr>
          <w:rFonts w:asciiTheme="majorBidi" w:hAnsiTheme="majorBidi" w:cstheme="majorBidi"/>
          <w:sz w:val="24"/>
          <w:szCs w:val="24"/>
        </w:rPr>
        <w:t xml:space="preserve">reduce the possibility of omitted variable bias. </w:t>
      </w:r>
      <w:r w:rsidR="00ED5993">
        <w:rPr>
          <w:rFonts w:asciiTheme="majorBidi" w:hAnsiTheme="majorBidi" w:cstheme="majorBidi"/>
          <w:sz w:val="24"/>
          <w:szCs w:val="24"/>
        </w:rPr>
        <w:t xml:space="preserve">These variables </w:t>
      </w:r>
      <w:proofErr w:type="gramStart"/>
      <w:r w:rsidR="00ED5993">
        <w:rPr>
          <w:rFonts w:asciiTheme="majorBidi" w:hAnsiTheme="majorBidi" w:cstheme="majorBidi"/>
          <w:sz w:val="24"/>
          <w:szCs w:val="24"/>
        </w:rPr>
        <w:t>are:</w:t>
      </w:r>
      <w:proofErr w:type="gramEnd"/>
      <w:r w:rsidR="00ED5993">
        <w:rPr>
          <w:rFonts w:asciiTheme="majorBidi" w:hAnsiTheme="majorBidi" w:cstheme="majorBidi"/>
          <w:sz w:val="24"/>
          <w:szCs w:val="24"/>
        </w:rPr>
        <w:t xml:space="preserve"> </w:t>
      </w:r>
      <w:bookmarkStart w:id="4" w:name="_Hlk101466306"/>
      <w:r w:rsidR="00ED5993">
        <w:rPr>
          <w:rFonts w:asciiTheme="majorBidi" w:hAnsiTheme="majorBidi" w:cstheme="majorBidi"/>
          <w:sz w:val="24"/>
          <w:szCs w:val="24"/>
        </w:rPr>
        <w:t>dummy for post-1992 (</w:t>
      </w:r>
      <w:r w:rsidR="00ED5993">
        <w:rPr>
          <w:rFonts w:asciiTheme="majorBidi" w:hAnsiTheme="majorBidi" w:cstheme="majorBidi"/>
          <w:i/>
          <w:iCs/>
          <w:sz w:val="24"/>
          <w:szCs w:val="24"/>
        </w:rPr>
        <w:t>PST_92</w:t>
      </w:r>
      <w:r w:rsidR="00ED5993">
        <w:rPr>
          <w:rFonts w:asciiTheme="majorBidi" w:hAnsiTheme="majorBidi" w:cstheme="majorBidi"/>
          <w:sz w:val="24"/>
          <w:szCs w:val="24"/>
        </w:rPr>
        <w:t>)</w:t>
      </w:r>
      <w:r w:rsidR="00221730">
        <w:rPr>
          <w:rFonts w:asciiTheme="majorBidi" w:hAnsiTheme="majorBidi" w:cstheme="majorBidi"/>
          <w:sz w:val="24"/>
          <w:szCs w:val="24"/>
        </w:rPr>
        <w:t>;</w:t>
      </w:r>
      <w:r w:rsidR="00ED5993">
        <w:rPr>
          <w:rFonts w:asciiTheme="majorBidi" w:hAnsiTheme="majorBidi" w:cstheme="majorBidi"/>
          <w:sz w:val="24"/>
          <w:szCs w:val="24"/>
        </w:rPr>
        <w:t xml:space="preserve"> </w:t>
      </w:r>
      <w:r w:rsidR="004A6B81">
        <w:rPr>
          <w:rFonts w:asciiTheme="majorBidi" w:hAnsiTheme="majorBidi" w:cstheme="majorBidi"/>
          <w:sz w:val="24"/>
          <w:szCs w:val="24"/>
        </w:rPr>
        <w:t>size of audit firm (</w:t>
      </w:r>
      <w:r w:rsidR="004A6B81">
        <w:rPr>
          <w:rFonts w:asciiTheme="majorBidi" w:hAnsiTheme="majorBidi" w:cstheme="majorBidi"/>
          <w:i/>
          <w:iCs/>
          <w:sz w:val="24"/>
          <w:szCs w:val="24"/>
        </w:rPr>
        <w:t>BIG4</w:t>
      </w:r>
      <w:r w:rsidR="004A6B81">
        <w:rPr>
          <w:rFonts w:asciiTheme="majorBidi" w:hAnsiTheme="majorBidi" w:cstheme="majorBidi"/>
          <w:sz w:val="24"/>
          <w:szCs w:val="24"/>
        </w:rPr>
        <w:t>)</w:t>
      </w:r>
      <w:r w:rsidR="00221730">
        <w:rPr>
          <w:rFonts w:asciiTheme="majorBidi" w:hAnsiTheme="majorBidi" w:cstheme="majorBidi"/>
          <w:sz w:val="24"/>
          <w:szCs w:val="24"/>
        </w:rPr>
        <w:t>;</w:t>
      </w:r>
      <w:r w:rsidR="004A6B81">
        <w:rPr>
          <w:rFonts w:asciiTheme="majorBidi" w:hAnsiTheme="majorBidi" w:cstheme="majorBidi"/>
          <w:sz w:val="24"/>
          <w:szCs w:val="24"/>
        </w:rPr>
        <w:t xml:space="preserve"> </w:t>
      </w:r>
      <w:r w:rsidR="00ED5993">
        <w:rPr>
          <w:rFonts w:asciiTheme="majorBidi" w:hAnsiTheme="majorBidi" w:cstheme="majorBidi"/>
          <w:sz w:val="24"/>
          <w:szCs w:val="24"/>
        </w:rPr>
        <w:t>leverage (</w:t>
      </w:r>
      <w:r w:rsidR="00ED5993">
        <w:rPr>
          <w:rFonts w:asciiTheme="majorBidi" w:hAnsiTheme="majorBidi" w:cstheme="majorBidi"/>
          <w:i/>
          <w:iCs/>
          <w:sz w:val="24"/>
          <w:szCs w:val="24"/>
        </w:rPr>
        <w:t>LVR</w:t>
      </w:r>
      <w:r w:rsidR="00ED5993">
        <w:rPr>
          <w:rFonts w:asciiTheme="majorBidi" w:hAnsiTheme="majorBidi" w:cstheme="majorBidi"/>
          <w:sz w:val="24"/>
          <w:szCs w:val="24"/>
        </w:rPr>
        <w:t>)</w:t>
      </w:r>
      <w:r w:rsidR="00221730">
        <w:rPr>
          <w:rFonts w:asciiTheme="majorBidi" w:hAnsiTheme="majorBidi" w:cstheme="majorBidi"/>
          <w:sz w:val="24"/>
          <w:szCs w:val="24"/>
        </w:rPr>
        <w:t>;</w:t>
      </w:r>
      <w:r w:rsidR="00ED5993">
        <w:rPr>
          <w:rFonts w:asciiTheme="majorBidi" w:hAnsiTheme="majorBidi" w:cstheme="majorBidi"/>
          <w:sz w:val="24"/>
          <w:szCs w:val="24"/>
        </w:rPr>
        <w:t xml:space="preserve"> liquidity (</w:t>
      </w:r>
      <w:r w:rsidR="00ED5993">
        <w:rPr>
          <w:rFonts w:asciiTheme="majorBidi" w:hAnsiTheme="majorBidi" w:cstheme="majorBidi"/>
          <w:i/>
          <w:iCs/>
          <w:sz w:val="24"/>
          <w:szCs w:val="24"/>
        </w:rPr>
        <w:t>LQD</w:t>
      </w:r>
      <w:r w:rsidR="00ED5993">
        <w:rPr>
          <w:rFonts w:asciiTheme="majorBidi" w:hAnsiTheme="majorBidi" w:cstheme="majorBidi"/>
          <w:sz w:val="24"/>
          <w:szCs w:val="24"/>
        </w:rPr>
        <w:t>)</w:t>
      </w:r>
      <w:r w:rsidR="00221730">
        <w:rPr>
          <w:rFonts w:asciiTheme="majorBidi" w:hAnsiTheme="majorBidi" w:cstheme="majorBidi"/>
          <w:sz w:val="24"/>
          <w:szCs w:val="24"/>
        </w:rPr>
        <w:t>;</w:t>
      </w:r>
      <w:r w:rsidR="00ED5993">
        <w:rPr>
          <w:rFonts w:asciiTheme="majorBidi" w:hAnsiTheme="majorBidi" w:cstheme="majorBidi"/>
          <w:sz w:val="24"/>
          <w:szCs w:val="24"/>
        </w:rPr>
        <w:t xml:space="preserve"> </w:t>
      </w:r>
      <w:r w:rsidR="004A6B81">
        <w:rPr>
          <w:rFonts w:asciiTheme="majorBidi" w:hAnsiTheme="majorBidi" w:cstheme="majorBidi"/>
          <w:sz w:val="24"/>
          <w:szCs w:val="24"/>
        </w:rPr>
        <w:t>HEI size (</w:t>
      </w:r>
      <w:r w:rsidR="00CD6607">
        <w:rPr>
          <w:rFonts w:asciiTheme="majorBidi" w:hAnsiTheme="majorBidi" w:cstheme="majorBidi"/>
          <w:i/>
          <w:iCs/>
          <w:sz w:val="24"/>
          <w:szCs w:val="24"/>
        </w:rPr>
        <w:t>HEI</w:t>
      </w:r>
      <w:r w:rsidR="004A6B81">
        <w:rPr>
          <w:rFonts w:asciiTheme="majorBidi" w:hAnsiTheme="majorBidi" w:cstheme="majorBidi"/>
          <w:i/>
          <w:iCs/>
          <w:sz w:val="24"/>
          <w:szCs w:val="24"/>
        </w:rPr>
        <w:t>ZE</w:t>
      </w:r>
      <w:r w:rsidR="004A6B81">
        <w:rPr>
          <w:rFonts w:asciiTheme="majorBidi" w:hAnsiTheme="majorBidi" w:cstheme="majorBidi"/>
          <w:sz w:val="24"/>
          <w:szCs w:val="24"/>
        </w:rPr>
        <w:t>)</w:t>
      </w:r>
      <w:r w:rsidR="00221730">
        <w:rPr>
          <w:rFonts w:asciiTheme="majorBidi" w:hAnsiTheme="majorBidi" w:cstheme="majorBidi"/>
          <w:sz w:val="24"/>
          <w:szCs w:val="24"/>
        </w:rPr>
        <w:t>;</w:t>
      </w:r>
      <w:r w:rsidR="004A6B81">
        <w:rPr>
          <w:rFonts w:asciiTheme="majorBidi" w:hAnsiTheme="majorBidi" w:cstheme="majorBidi"/>
          <w:sz w:val="24"/>
          <w:szCs w:val="24"/>
        </w:rPr>
        <w:t xml:space="preserve"> </w:t>
      </w:r>
      <w:r w:rsidR="00ED5993">
        <w:rPr>
          <w:rFonts w:asciiTheme="majorBidi" w:hAnsiTheme="majorBidi" w:cstheme="majorBidi"/>
          <w:sz w:val="24"/>
          <w:szCs w:val="24"/>
        </w:rPr>
        <w:t>growth (</w:t>
      </w:r>
      <w:r w:rsidR="00ED5993">
        <w:rPr>
          <w:rFonts w:asciiTheme="majorBidi" w:hAnsiTheme="majorBidi" w:cstheme="majorBidi"/>
          <w:i/>
          <w:iCs/>
          <w:sz w:val="24"/>
          <w:szCs w:val="24"/>
        </w:rPr>
        <w:t>GRT</w:t>
      </w:r>
      <w:r w:rsidR="00ED5993">
        <w:rPr>
          <w:rFonts w:asciiTheme="majorBidi" w:hAnsiTheme="majorBidi" w:cstheme="majorBidi"/>
          <w:sz w:val="24"/>
          <w:szCs w:val="24"/>
        </w:rPr>
        <w:t>)</w:t>
      </w:r>
      <w:r w:rsidR="00221730">
        <w:rPr>
          <w:rFonts w:asciiTheme="majorBidi" w:hAnsiTheme="majorBidi" w:cstheme="majorBidi"/>
          <w:sz w:val="24"/>
          <w:szCs w:val="24"/>
        </w:rPr>
        <w:t>;</w:t>
      </w:r>
      <w:r w:rsidR="004A6B81">
        <w:rPr>
          <w:rFonts w:asciiTheme="majorBidi" w:hAnsiTheme="majorBidi" w:cstheme="majorBidi"/>
          <w:sz w:val="24"/>
          <w:szCs w:val="24"/>
        </w:rPr>
        <w:t xml:space="preserve"> expenditure (</w:t>
      </w:r>
      <w:r w:rsidR="004A6B81">
        <w:rPr>
          <w:rFonts w:asciiTheme="majorBidi" w:hAnsiTheme="majorBidi" w:cstheme="majorBidi"/>
          <w:i/>
          <w:iCs/>
          <w:sz w:val="24"/>
          <w:szCs w:val="24"/>
        </w:rPr>
        <w:t>CXP</w:t>
      </w:r>
      <w:r w:rsidR="004A6B81">
        <w:rPr>
          <w:rFonts w:asciiTheme="majorBidi" w:hAnsiTheme="majorBidi" w:cstheme="majorBidi"/>
          <w:sz w:val="24"/>
          <w:szCs w:val="24"/>
        </w:rPr>
        <w:t>)</w:t>
      </w:r>
      <w:r w:rsidR="00221730">
        <w:rPr>
          <w:rFonts w:asciiTheme="majorBidi" w:hAnsiTheme="majorBidi" w:cstheme="majorBidi"/>
          <w:sz w:val="24"/>
          <w:szCs w:val="24"/>
        </w:rPr>
        <w:t>;</w:t>
      </w:r>
      <w:r w:rsidR="00ED5993">
        <w:rPr>
          <w:rFonts w:asciiTheme="majorBidi" w:hAnsiTheme="majorBidi" w:cstheme="majorBidi"/>
          <w:sz w:val="24"/>
          <w:szCs w:val="24"/>
        </w:rPr>
        <w:t xml:space="preserve"> </w:t>
      </w:r>
      <w:r w:rsidR="004A6B81">
        <w:rPr>
          <w:rFonts w:asciiTheme="majorBidi" w:hAnsiTheme="majorBidi" w:cstheme="majorBidi"/>
          <w:sz w:val="24"/>
          <w:szCs w:val="24"/>
        </w:rPr>
        <w:t>HEI year dummy (</w:t>
      </w:r>
      <w:r w:rsidR="004A6B81">
        <w:rPr>
          <w:rFonts w:asciiTheme="majorBidi" w:hAnsiTheme="majorBidi" w:cstheme="majorBidi"/>
          <w:i/>
          <w:iCs/>
          <w:sz w:val="24"/>
          <w:szCs w:val="24"/>
        </w:rPr>
        <w:t>HEIYD</w:t>
      </w:r>
      <w:r w:rsidR="004A6B81">
        <w:rPr>
          <w:rFonts w:asciiTheme="majorBidi" w:hAnsiTheme="majorBidi" w:cstheme="majorBidi"/>
          <w:sz w:val="24"/>
          <w:szCs w:val="24"/>
        </w:rPr>
        <w:t>)</w:t>
      </w:r>
      <w:r w:rsidR="00997F32">
        <w:rPr>
          <w:rFonts w:asciiTheme="majorBidi" w:hAnsiTheme="majorBidi" w:cstheme="majorBidi"/>
          <w:sz w:val="24"/>
          <w:szCs w:val="24"/>
        </w:rPr>
        <w:t>;</w:t>
      </w:r>
      <w:r w:rsidR="000079DB">
        <w:rPr>
          <w:rFonts w:asciiTheme="majorBidi" w:hAnsiTheme="majorBidi" w:cstheme="majorBidi"/>
          <w:sz w:val="24"/>
          <w:szCs w:val="24"/>
        </w:rPr>
        <w:t xml:space="preserve"> and </w:t>
      </w:r>
      <w:r w:rsidR="00270E0B">
        <w:rPr>
          <w:rFonts w:asciiTheme="majorBidi" w:hAnsiTheme="majorBidi" w:cstheme="majorBidi"/>
          <w:sz w:val="24"/>
          <w:szCs w:val="24"/>
        </w:rPr>
        <w:t xml:space="preserve">HEI </w:t>
      </w:r>
      <w:r w:rsidR="000079DB">
        <w:rPr>
          <w:rFonts w:asciiTheme="majorBidi" w:hAnsiTheme="majorBidi" w:cstheme="majorBidi"/>
          <w:sz w:val="24"/>
          <w:szCs w:val="24"/>
        </w:rPr>
        <w:t>country dumm</w:t>
      </w:r>
      <w:r w:rsidR="00270E0B">
        <w:rPr>
          <w:rFonts w:asciiTheme="majorBidi" w:hAnsiTheme="majorBidi" w:cstheme="majorBidi"/>
          <w:sz w:val="24"/>
          <w:szCs w:val="24"/>
        </w:rPr>
        <w:t>y</w:t>
      </w:r>
      <w:r w:rsidR="00DC567B">
        <w:rPr>
          <w:rFonts w:asciiTheme="majorBidi" w:hAnsiTheme="majorBidi" w:cstheme="majorBidi"/>
          <w:sz w:val="24"/>
          <w:szCs w:val="24"/>
        </w:rPr>
        <w:t xml:space="preserve"> (</w:t>
      </w:r>
      <w:r w:rsidR="00DC567B">
        <w:rPr>
          <w:rFonts w:asciiTheme="majorBidi" w:hAnsiTheme="majorBidi" w:cstheme="majorBidi"/>
          <w:i/>
          <w:iCs/>
          <w:sz w:val="24"/>
          <w:szCs w:val="24"/>
        </w:rPr>
        <w:t>HEICD</w:t>
      </w:r>
      <w:r w:rsidR="00DC567B">
        <w:rPr>
          <w:rFonts w:asciiTheme="majorBidi" w:hAnsiTheme="majorBidi" w:cstheme="majorBidi"/>
          <w:sz w:val="24"/>
          <w:szCs w:val="24"/>
        </w:rPr>
        <w:t>)</w:t>
      </w:r>
      <w:r w:rsidR="00ED5993">
        <w:rPr>
          <w:rFonts w:asciiTheme="majorBidi" w:hAnsiTheme="majorBidi" w:cstheme="majorBidi"/>
          <w:sz w:val="24"/>
          <w:szCs w:val="24"/>
        </w:rPr>
        <w:t>.</w:t>
      </w:r>
      <w:bookmarkEnd w:id="4"/>
      <w:r w:rsidR="00ED5993">
        <w:rPr>
          <w:rFonts w:asciiTheme="majorBidi" w:hAnsiTheme="majorBidi" w:cstheme="majorBidi"/>
          <w:sz w:val="24"/>
          <w:szCs w:val="24"/>
        </w:rPr>
        <w:t xml:space="preserve"> </w:t>
      </w:r>
      <w:r w:rsidR="00760A2A">
        <w:rPr>
          <w:rFonts w:asciiTheme="majorBidi" w:hAnsiTheme="majorBidi" w:cstheme="majorBidi"/>
          <w:sz w:val="24"/>
          <w:szCs w:val="24"/>
        </w:rPr>
        <w:t>For brevity, t</w:t>
      </w:r>
      <w:r w:rsidR="004730FA">
        <w:rPr>
          <w:rFonts w:asciiTheme="majorBidi" w:hAnsiTheme="majorBidi" w:cstheme="majorBidi"/>
          <w:sz w:val="24"/>
          <w:szCs w:val="24"/>
        </w:rPr>
        <w:t xml:space="preserve">he list of all </w:t>
      </w:r>
      <w:r w:rsidR="002720BE">
        <w:rPr>
          <w:rFonts w:asciiTheme="majorBidi" w:hAnsiTheme="majorBidi" w:cstheme="majorBidi"/>
          <w:sz w:val="24"/>
          <w:szCs w:val="24"/>
        </w:rPr>
        <w:t xml:space="preserve">the </w:t>
      </w:r>
      <w:r w:rsidR="004730FA">
        <w:rPr>
          <w:rFonts w:asciiTheme="majorBidi" w:hAnsiTheme="majorBidi" w:cstheme="majorBidi"/>
          <w:sz w:val="24"/>
          <w:szCs w:val="24"/>
        </w:rPr>
        <w:t xml:space="preserve">variables used in our analysis and their </w:t>
      </w:r>
      <w:r w:rsidR="00760A2A">
        <w:rPr>
          <w:rFonts w:asciiTheme="majorBidi" w:hAnsiTheme="majorBidi" w:cstheme="majorBidi"/>
          <w:sz w:val="24"/>
          <w:szCs w:val="24"/>
        </w:rPr>
        <w:t xml:space="preserve">full </w:t>
      </w:r>
      <w:r w:rsidR="004730FA">
        <w:rPr>
          <w:rFonts w:asciiTheme="majorBidi" w:hAnsiTheme="majorBidi" w:cstheme="majorBidi"/>
          <w:sz w:val="24"/>
          <w:szCs w:val="24"/>
        </w:rPr>
        <w:t>definitions</w:t>
      </w:r>
      <w:r w:rsidR="009D24B3">
        <w:rPr>
          <w:rFonts w:asciiTheme="majorBidi" w:hAnsiTheme="majorBidi" w:cstheme="majorBidi"/>
          <w:sz w:val="24"/>
          <w:szCs w:val="24"/>
        </w:rPr>
        <w:t>/data sources</w:t>
      </w:r>
      <w:r w:rsidR="004730FA">
        <w:rPr>
          <w:rFonts w:asciiTheme="majorBidi" w:hAnsiTheme="majorBidi" w:cstheme="majorBidi"/>
          <w:sz w:val="24"/>
          <w:szCs w:val="24"/>
        </w:rPr>
        <w:t xml:space="preserve"> are presented in </w:t>
      </w:r>
      <w:r w:rsidR="00033A6F">
        <w:rPr>
          <w:rFonts w:asciiTheme="majorBidi" w:hAnsiTheme="majorBidi" w:cstheme="majorBidi"/>
          <w:sz w:val="24"/>
          <w:szCs w:val="24"/>
        </w:rPr>
        <w:t xml:space="preserve">the </w:t>
      </w:r>
      <w:r w:rsidR="00033A6F" w:rsidRPr="008113B5">
        <w:rPr>
          <w:rFonts w:asciiTheme="majorBidi" w:hAnsiTheme="majorBidi" w:cstheme="majorBidi"/>
          <w:b/>
          <w:bCs/>
          <w:i/>
          <w:iCs/>
          <w:sz w:val="24"/>
          <w:szCs w:val="24"/>
        </w:rPr>
        <w:t>online Appendix 1</w:t>
      </w:r>
      <w:r w:rsidR="00033A6F">
        <w:rPr>
          <w:rFonts w:asciiTheme="majorBidi" w:hAnsiTheme="majorBidi" w:cstheme="majorBidi"/>
          <w:sz w:val="24"/>
          <w:szCs w:val="24"/>
        </w:rPr>
        <w:t>.</w:t>
      </w:r>
      <w:r w:rsidR="004730FA">
        <w:rPr>
          <w:rFonts w:asciiTheme="majorBidi" w:hAnsiTheme="majorBidi" w:cstheme="majorBidi"/>
          <w:sz w:val="24"/>
          <w:szCs w:val="24"/>
        </w:rPr>
        <w:t xml:space="preserve"> </w:t>
      </w:r>
    </w:p>
    <w:p w14:paraId="46DFD327" w14:textId="29FDC107" w:rsidR="00970282" w:rsidRDefault="004730FA" w:rsidP="00FA3FB1">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Accordingly, </w:t>
      </w:r>
      <w:r w:rsidR="004A6B81">
        <w:rPr>
          <w:rFonts w:asciiTheme="majorBidi" w:hAnsiTheme="majorBidi" w:cstheme="majorBidi"/>
          <w:sz w:val="24"/>
          <w:szCs w:val="24"/>
        </w:rPr>
        <w:t xml:space="preserve">we estimate our main models using </w:t>
      </w:r>
      <w:r w:rsidR="00567F8C">
        <w:rPr>
          <w:rFonts w:asciiTheme="majorBidi" w:hAnsiTheme="majorBidi" w:cstheme="majorBidi"/>
          <w:sz w:val="24"/>
          <w:szCs w:val="24"/>
        </w:rPr>
        <w:t xml:space="preserve">a </w:t>
      </w:r>
      <w:proofErr w:type="gramStart"/>
      <w:r w:rsidR="000D7FEA">
        <w:rPr>
          <w:rFonts w:asciiTheme="majorBidi" w:hAnsiTheme="majorBidi" w:cstheme="majorBidi"/>
          <w:sz w:val="24"/>
          <w:szCs w:val="24"/>
        </w:rPr>
        <w:t>random</w:t>
      </w:r>
      <w:r w:rsidR="00BF0920">
        <w:rPr>
          <w:rFonts w:asciiTheme="majorBidi" w:hAnsiTheme="majorBidi" w:cstheme="majorBidi"/>
          <w:sz w:val="24"/>
          <w:szCs w:val="24"/>
        </w:rPr>
        <w:t>-</w:t>
      </w:r>
      <w:r w:rsidR="000D7FEA">
        <w:rPr>
          <w:rFonts w:asciiTheme="majorBidi" w:hAnsiTheme="majorBidi" w:cstheme="majorBidi"/>
          <w:sz w:val="24"/>
          <w:szCs w:val="24"/>
        </w:rPr>
        <w:t>effect</w:t>
      </w:r>
      <w:r w:rsidR="00BF0920">
        <w:rPr>
          <w:rFonts w:asciiTheme="majorBidi" w:hAnsiTheme="majorBidi" w:cstheme="majorBidi"/>
          <w:sz w:val="24"/>
          <w:szCs w:val="24"/>
        </w:rPr>
        <w:t>s</w:t>
      </w:r>
      <w:proofErr w:type="gramEnd"/>
      <w:r w:rsidR="004367BC">
        <w:rPr>
          <w:rStyle w:val="FootnoteReference"/>
          <w:rFonts w:asciiTheme="majorBidi" w:hAnsiTheme="majorBidi" w:cstheme="majorBidi"/>
          <w:sz w:val="24"/>
          <w:szCs w:val="24"/>
        </w:rPr>
        <w:footnoteReference w:id="5"/>
      </w:r>
      <w:r w:rsidR="00567F8C">
        <w:rPr>
          <w:rFonts w:asciiTheme="majorBidi" w:hAnsiTheme="majorBidi" w:cstheme="majorBidi"/>
          <w:sz w:val="24"/>
          <w:szCs w:val="24"/>
        </w:rPr>
        <w:t xml:space="preserve"> estimator</w:t>
      </w:r>
      <w:r w:rsidR="00970282">
        <w:rPr>
          <w:rFonts w:asciiTheme="majorBidi" w:hAnsiTheme="majorBidi" w:cstheme="majorBidi"/>
          <w:sz w:val="24"/>
          <w:szCs w:val="24"/>
        </w:rPr>
        <w:t xml:space="preserve"> as follows:</w:t>
      </w:r>
    </w:p>
    <w:p w14:paraId="72A7C3BC" w14:textId="13FBC798" w:rsidR="00970282" w:rsidRDefault="0082520F" w:rsidP="00EC0710">
      <w:pPr>
        <w:spacing w:after="0" w:line="360" w:lineRule="auto"/>
        <w:ind w:firstLine="426"/>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m:rPr>
                  <m:nor/>
                </m:rPr>
                <w:rPr>
                  <w:rFonts w:asciiTheme="majorBidi" w:hAnsiTheme="majorBidi" w:cstheme="majorBidi"/>
                  <w:i/>
                  <w:iCs/>
                  <w:sz w:val="24"/>
                  <w:szCs w:val="24"/>
                </w:rPr>
                <m:t>VCP</m:t>
              </m:r>
            </m:e>
            <m:sub>
              <m:r>
                <m:rPr>
                  <m:nor/>
                </m:rPr>
                <w:rPr>
                  <w:rFonts w:asciiTheme="majorBidi" w:hAnsiTheme="majorBidi" w:cstheme="majorBidi"/>
                  <w:i/>
                  <w:iCs/>
                  <w:sz w:val="24"/>
                  <w:szCs w:val="24"/>
                </w:rPr>
                <m:t>it</m:t>
              </m:r>
            </m:sub>
          </m:sSub>
          <m:r>
            <m:rPr>
              <m:nor/>
            </m:rPr>
            <w:rPr>
              <w:rFonts w:asciiTheme="majorBidi" w:hAnsiTheme="majorBidi" w:cstheme="majorBidi"/>
              <w:sz w:val="24"/>
              <w:szCs w:val="24"/>
            </w:rPr>
            <m:t>=</m:t>
          </m:r>
          <m:sSub>
            <m:sSubPr>
              <m:ctrlPr>
                <w:rPr>
                  <w:rFonts w:ascii="Cambria Math" w:hAnsi="Cambria Math" w:cstheme="majorBidi"/>
                  <w:i/>
                  <w:sz w:val="24"/>
                  <w:szCs w:val="24"/>
                </w:rPr>
              </m:ctrlPr>
            </m:sSubPr>
            <m:e>
              <m:r>
                <m:rPr>
                  <m:nor/>
                </m:rPr>
                <w:rPr>
                  <w:rFonts w:asciiTheme="majorBidi" w:hAnsiTheme="majorBidi" w:cstheme="majorBidi"/>
                  <w:i/>
                  <w:iCs/>
                  <w:sz w:val="24"/>
                  <w:szCs w:val="24"/>
                </w:rPr>
                <m:t>α</m:t>
              </m:r>
            </m:e>
            <m:sub>
              <m:r>
                <m:rPr>
                  <m:nor/>
                </m:rPr>
                <w:rPr>
                  <w:rFonts w:asciiTheme="majorBidi" w:hAnsiTheme="majorBidi" w:cstheme="majorBidi"/>
                  <w:sz w:val="24"/>
                  <w:szCs w:val="24"/>
                </w:rPr>
                <m:t>0</m:t>
              </m:r>
            </m:sub>
          </m:sSub>
          <m:r>
            <m:rPr>
              <m:nor/>
            </m:rPr>
            <w:rPr>
              <w:rFonts w:asciiTheme="majorBidi" w:hAnsiTheme="majorBidi" w:cstheme="majorBidi"/>
              <w:sz w:val="24"/>
              <w:szCs w:val="24"/>
            </w:rPr>
            <m:t>+</m:t>
          </m:r>
          <m:sSub>
            <m:sSubPr>
              <m:ctrlPr>
                <w:rPr>
                  <w:rFonts w:ascii="Cambria Math" w:hAnsi="Cambria Math" w:cstheme="majorBidi"/>
                  <w:i/>
                  <w:sz w:val="24"/>
                  <w:szCs w:val="24"/>
                </w:rPr>
              </m:ctrlPr>
            </m:sSubPr>
            <m:e>
              <m:r>
                <m:rPr>
                  <m:nor/>
                </m:rPr>
                <w:rPr>
                  <w:rFonts w:asciiTheme="majorBidi" w:hAnsiTheme="majorBidi" w:cstheme="majorBidi"/>
                  <w:i/>
                  <w:iCs/>
                  <w:sz w:val="24"/>
                  <w:szCs w:val="24"/>
                </w:rPr>
                <m:t>β</m:t>
              </m:r>
            </m:e>
            <m:sub>
              <m:r>
                <m:rPr>
                  <m:nor/>
                </m:rPr>
                <w:rPr>
                  <w:rFonts w:asciiTheme="majorBidi" w:hAnsiTheme="majorBidi" w:cstheme="majorBidi"/>
                  <w:sz w:val="24"/>
                  <w:szCs w:val="24"/>
                </w:rPr>
                <m:t>1</m:t>
              </m:r>
            </m:sub>
          </m:sSub>
          <m:sSub>
            <m:sSubPr>
              <m:ctrlPr>
                <w:rPr>
                  <w:rFonts w:ascii="Cambria Math" w:hAnsi="Cambria Math" w:cstheme="majorBidi"/>
                  <w:i/>
                  <w:sz w:val="24"/>
                  <w:szCs w:val="24"/>
                </w:rPr>
              </m:ctrlPr>
            </m:sSubPr>
            <m:e>
              <m:r>
                <m:rPr>
                  <m:nor/>
                </m:rPr>
                <w:rPr>
                  <w:rFonts w:asciiTheme="majorBidi" w:hAnsiTheme="majorBidi" w:cstheme="majorBidi"/>
                  <w:i/>
                  <w:iCs/>
                  <w:sz w:val="24"/>
                  <w:szCs w:val="24"/>
                </w:rPr>
                <m:t>HEIP</m:t>
              </m:r>
            </m:e>
            <m:sub>
              <m:r>
                <m:rPr>
                  <m:nor/>
                </m:rPr>
                <w:rPr>
                  <w:rFonts w:asciiTheme="majorBidi" w:hAnsiTheme="majorBidi" w:cstheme="majorBidi"/>
                  <w:i/>
                  <w:iCs/>
                  <w:sz w:val="24"/>
                  <w:szCs w:val="24"/>
                </w:rPr>
                <m:t>it</m:t>
              </m:r>
            </m:sub>
          </m:sSub>
          <m:r>
            <m:rPr>
              <m:nor/>
            </m:rPr>
            <w:rPr>
              <w:rFonts w:asciiTheme="majorBidi" w:hAnsiTheme="majorBidi" w:cstheme="majorBidi"/>
              <w:sz w:val="24"/>
              <w:szCs w:val="24"/>
            </w:rPr>
            <m:t>+</m:t>
          </m:r>
          <m:nary>
            <m:naryPr>
              <m:chr m:val="∑"/>
              <m:limLoc m:val="undOvr"/>
              <m:ctrlPr>
                <w:rPr>
                  <w:rFonts w:ascii="Cambria Math" w:hAnsi="Cambria Math" w:cstheme="majorBidi"/>
                  <w:i/>
                  <w:sz w:val="24"/>
                  <w:szCs w:val="24"/>
                </w:rPr>
              </m:ctrlPr>
            </m:naryPr>
            <m:sub>
              <m:r>
                <m:rPr>
                  <m:nor/>
                </m:rPr>
                <w:rPr>
                  <w:rFonts w:asciiTheme="majorBidi" w:hAnsiTheme="majorBidi" w:cstheme="majorBidi"/>
                  <w:i/>
                  <w:iCs/>
                  <w:sz w:val="24"/>
                  <w:szCs w:val="24"/>
                </w:rPr>
                <m:t>l</m:t>
              </m:r>
              <m:r>
                <m:rPr>
                  <m:nor/>
                </m:rPr>
                <w:rPr>
                  <w:rFonts w:asciiTheme="majorBidi" w:hAnsiTheme="majorBidi" w:cstheme="majorBidi"/>
                  <w:sz w:val="24"/>
                  <w:szCs w:val="24"/>
                </w:rPr>
                <m:t>=1</m:t>
              </m:r>
            </m:sub>
            <m:sup>
              <m:r>
                <m:rPr>
                  <m:nor/>
                </m:rPr>
                <w:rPr>
                  <w:rFonts w:asciiTheme="majorBidi" w:hAnsiTheme="majorBidi" w:cstheme="majorBidi"/>
                  <w:sz w:val="24"/>
                  <w:szCs w:val="24"/>
                </w:rPr>
                <m:t>1</m:t>
              </m:r>
              <m:r>
                <m:rPr>
                  <m:nor/>
                </m:rPr>
                <w:rPr>
                  <w:rFonts w:ascii="Cambria Math" w:hAnsiTheme="majorBidi" w:cstheme="majorBidi"/>
                  <w:sz w:val="24"/>
                  <w:szCs w:val="24"/>
                </w:rPr>
                <m:t>5</m:t>
              </m:r>
            </m:sup>
            <m:e>
              <m:sSub>
                <m:sSubPr>
                  <m:ctrlPr>
                    <w:rPr>
                      <w:rFonts w:ascii="Cambria Math" w:hAnsi="Cambria Math" w:cstheme="majorBidi"/>
                      <w:i/>
                      <w:sz w:val="24"/>
                      <w:szCs w:val="24"/>
                    </w:rPr>
                  </m:ctrlPr>
                </m:sSubPr>
                <m:e>
                  <m:r>
                    <m:rPr>
                      <m:nor/>
                    </m:rPr>
                    <w:rPr>
                      <w:rFonts w:asciiTheme="majorBidi" w:hAnsiTheme="majorBidi" w:cstheme="majorBidi"/>
                      <w:i/>
                      <w:iCs/>
                      <w:sz w:val="24"/>
                      <w:szCs w:val="24"/>
                    </w:rPr>
                    <m:t>β</m:t>
                  </m:r>
                </m:e>
                <m:sub>
                  <m:r>
                    <m:rPr>
                      <m:nor/>
                    </m:rPr>
                    <w:rPr>
                      <w:rFonts w:asciiTheme="majorBidi" w:hAnsiTheme="majorBidi" w:cstheme="majorBidi"/>
                      <w:i/>
                      <w:iCs/>
                      <w:sz w:val="24"/>
                      <w:szCs w:val="24"/>
                    </w:rPr>
                    <m:t>l</m:t>
                  </m:r>
                </m:sub>
              </m:sSub>
              <m:sSub>
                <m:sSubPr>
                  <m:ctrlPr>
                    <w:rPr>
                      <w:rFonts w:ascii="Cambria Math" w:hAnsi="Cambria Math" w:cstheme="majorBidi"/>
                      <w:i/>
                      <w:sz w:val="24"/>
                      <w:szCs w:val="24"/>
                    </w:rPr>
                  </m:ctrlPr>
                </m:sSubPr>
                <m:e>
                  <m:r>
                    <m:rPr>
                      <m:nor/>
                    </m:rPr>
                    <w:rPr>
                      <w:rFonts w:asciiTheme="majorBidi" w:hAnsiTheme="majorBidi" w:cstheme="majorBidi"/>
                      <w:i/>
                      <w:iCs/>
                      <w:sz w:val="24"/>
                      <w:szCs w:val="24"/>
                    </w:rPr>
                    <m:t>CNTS</m:t>
                  </m:r>
                </m:e>
                <m:sub>
                  <m:r>
                    <m:rPr>
                      <m:nor/>
                    </m:rPr>
                    <w:rPr>
                      <w:rFonts w:asciiTheme="majorBidi" w:hAnsiTheme="majorBidi" w:cstheme="majorBidi"/>
                      <w:i/>
                      <w:iCs/>
                      <w:sz w:val="24"/>
                      <w:szCs w:val="24"/>
                    </w:rPr>
                    <m:t>it</m:t>
                  </m:r>
                </m:sub>
              </m:sSub>
            </m:e>
          </m:nary>
          <m:r>
            <m:rPr>
              <m:nor/>
            </m:rPr>
            <w:rPr>
              <w:rFonts w:asciiTheme="majorBidi" w:hAnsiTheme="majorBidi" w:cstheme="majorBidi"/>
              <w:sz w:val="24"/>
              <w:szCs w:val="24"/>
            </w:rPr>
            <m:t>+</m:t>
          </m:r>
          <m:sSub>
            <m:sSubPr>
              <m:ctrlPr>
                <w:rPr>
                  <w:rFonts w:ascii="Cambria Math" w:hAnsi="Cambria Math" w:cstheme="majorBidi"/>
                  <w:iCs/>
                  <w:sz w:val="24"/>
                  <w:szCs w:val="24"/>
                </w:rPr>
              </m:ctrlPr>
            </m:sSubPr>
            <m:e>
              <m:r>
                <m:rPr>
                  <m:nor/>
                </m:rPr>
                <w:rPr>
                  <w:rFonts w:asciiTheme="majorBidi" w:hAnsiTheme="majorBidi" w:cstheme="majorBidi"/>
                  <w:i/>
                  <w:sz w:val="24"/>
                  <w:szCs w:val="24"/>
                </w:rPr>
                <m:t>ε</m:t>
              </m:r>
            </m:e>
            <m:sub>
              <m:r>
                <m:rPr>
                  <m:nor/>
                </m:rPr>
                <w:rPr>
                  <w:rFonts w:asciiTheme="majorBidi" w:hAnsiTheme="majorBidi" w:cstheme="majorBidi"/>
                  <w:i/>
                  <w:sz w:val="24"/>
                  <w:szCs w:val="24"/>
                </w:rPr>
                <m:t>it</m:t>
              </m:r>
            </m:sub>
          </m:sSub>
        </m:oMath>
      </m:oMathPara>
    </w:p>
    <w:p w14:paraId="25788D45" w14:textId="1CC05232" w:rsidR="00CD4CE7" w:rsidRDefault="00CD4CE7" w:rsidP="003026CF">
      <w:pPr>
        <w:spacing w:line="240" w:lineRule="auto"/>
        <w:jc w:val="right"/>
        <w:rPr>
          <w:rFonts w:asciiTheme="majorBidi" w:hAnsiTheme="majorBidi" w:cstheme="majorBidi"/>
          <w:sz w:val="24"/>
          <w:szCs w:val="24"/>
        </w:rPr>
      </w:pPr>
      <w:r w:rsidRPr="00CD4CE7">
        <w:rPr>
          <w:rFonts w:asciiTheme="majorBidi" w:hAnsiTheme="majorBidi" w:cstheme="majorBidi"/>
          <w:sz w:val="24"/>
          <w:szCs w:val="24"/>
        </w:rPr>
        <w:t>(1)</w:t>
      </w:r>
    </w:p>
    <w:p w14:paraId="191E19EA" w14:textId="133394B2" w:rsidR="000079DB" w:rsidRPr="00E96FF4" w:rsidRDefault="000079DB" w:rsidP="00B226E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Where: </w:t>
      </w:r>
      <w:r w:rsidRPr="000079DB">
        <w:rPr>
          <w:rFonts w:asciiTheme="majorBidi" w:hAnsiTheme="majorBidi" w:cstheme="majorBidi"/>
          <w:i/>
          <w:iCs/>
          <w:sz w:val="24"/>
          <w:szCs w:val="24"/>
        </w:rPr>
        <w:t>VCP</w:t>
      </w:r>
      <w:r>
        <w:rPr>
          <w:rFonts w:asciiTheme="majorBidi" w:hAnsiTheme="majorBidi" w:cstheme="majorBidi"/>
          <w:sz w:val="24"/>
          <w:szCs w:val="24"/>
        </w:rPr>
        <w:t xml:space="preserve"> refers to VC </w:t>
      </w:r>
      <w:r w:rsidR="00270E0B">
        <w:rPr>
          <w:rFonts w:asciiTheme="majorBidi" w:hAnsiTheme="majorBidi" w:cstheme="majorBidi"/>
          <w:sz w:val="24"/>
          <w:szCs w:val="24"/>
        </w:rPr>
        <w:t xml:space="preserve">basic, non-basic and total pay; </w:t>
      </w:r>
      <w:r w:rsidR="00270E0B" w:rsidRPr="00DC567B">
        <w:rPr>
          <w:rFonts w:asciiTheme="majorBidi" w:hAnsiTheme="majorBidi" w:cstheme="majorBidi"/>
          <w:i/>
          <w:iCs/>
          <w:sz w:val="24"/>
          <w:szCs w:val="24"/>
        </w:rPr>
        <w:t>HEIP</w:t>
      </w:r>
      <w:r w:rsidR="00270E0B">
        <w:rPr>
          <w:rFonts w:asciiTheme="majorBidi" w:hAnsiTheme="majorBidi" w:cstheme="majorBidi"/>
          <w:sz w:val="24"/>
          <w:szCs w:val="24"/>
        </w:rPr>
        <w:t xml:space="preserve"> refers to HEI short-and long-term performance; and </w:t>
      </w:r>
      <w:r w:rsidR="00270E0B" w:rsidRPr="00DC567B">
        <w:rPr>
          <w:rFonts w:asciiTheme="majorBidi" w:hAnsiTheme="majorBidi" w:cstheme="majorBidi"/>
          <w:i/>
          <w:iCs/>
          <w:sz w:val="24"/>
          <w:szCs w:val="24"/>
        </w:rPr>
        <w:t>CNTS</w:t>
      </w:r>
      <w:r w:rsidR="00270E0B">
        <w:rPr>
          <w:rFonts w:asciiTheme="majorBidi" w:hAnsiTheme="majorBidi" w:cstheme="majorBidi"/>
          <w:sz w:val="24"/>
          <w:szCs w:val="24"/>
        </w:rPr>
        <w:t xml:space="preserve"> refers to control variables, including </w:t>
      </w:r>
      <w:r w:rsidR="00B97538" w:rsidRPr="00E96FF4">
        <w:rPr>
          <w:rFonts w:asciiTheme="majorBidi" w:hAnsiTheme="majorBidi" w:cstheme="majorBidi"/>
          <w:sz w:val="24"/>
          <w:szCs w:val="24"/>
        </w:rPr>
        <w:t>the presence of an independent remuneration committee (</w:t>
      </w:r>
      <w:r w:rsidR="00B97538" w:rsidRPr="00E96FF4">
        <w:rPr>
          <w:rFonts w:asciiTheme="majorBidi" w:hAnsiTheme="majorBidi" w:cstheme="majorBidi"/>
          <w:i/>
          <w:iCs/>
          <w:sz w:val="24"/>
          <w:szCs w:val="24"/>
        </w:rPr>
        <w:t>PRC</w:t>
      </w:r>
      <w:r w:rsidR="00B97538" w:rsidRPr="00E96FF4">
        <w:rPr>
          <w:rFonts w:asciiTheme="majorBidi" w:hAnsiTheme="majorBidi" w:cstheme="majorBidi"/>
          <w:sz w:val="24"/>
          <w:szCs w:val="24"/>
        </w:rPr>
        <w:t>); the presence of a governance committee (</w:t>
      </w:r>
      <w:r w:rsidR="00B97538" w:rsidRPr="00E96FF4">
        <w:rPr>
          <w:rFonts w:asciiTheme="majorBidi" w:hAnsiTheme="majorBidi" w:cstheme="majorBidi"/>
          <w:i/>
          <w:iCs/>
          <w:sz w:val="24"/>
          <w:szCs w:val="24"/>
        </w:rPr>
        <w:t>PGC</w:t>
      </w:r>
      <w:r w:rsidR="00B97538" w:rsidRPr="00E96FF4">
        <w:rPr>
          <w:rFonts w:asciiTheme="majorBidi" w:hAnsiTheme="majorBidi" w:cstheme="majorBidi"/>
          <w:sz w:val="24"/>
          <w:szCs w:val="24"/>
        </w:rPr>
        <w:t>); executive management team size (</w:t>
      </w:r>
      <w:r w:rsidR="00B97538" w:rsidRPr="00E96FF4">
        <w:rPr>
          <w:rFonts w:asciiTheme="majorBidi" w:hAnsiTheme="majorBidi" w:cstheme="majorBidi"/>
          <w:i/>
          <w:iCs/>
          <w:sz w:val="24"/>
          <w:szCs w:val="24"/>
        </w:rPr>
        <w:t>EBSZ</w:t>
      </w:r>
      <w:r w:rsidR="00B97538" w:rsidRPr="00E96FF4">
        <w:rPr>
          <w:rFonts w:asciiTheme="majorBidi" w:hAnsiTheme="majorBidi" w:cstheme="majorBidi"/>
          <w:sz w:val="24"/>
          <w:szCs w:val="24"/>
        </w:rPr>
        <w:t>); executive management team diversity (</w:t>
      </w:r>
      <w:r w:rsidR="00B97538" w:rsidRPr="00E96FF4">
        <w:rPr>
          <w:rFonts w:asciiTheme="majorBidi" w:hAnsiTheme="majorBidi" w:cstheme="majorBidi"/>
          <w:i/>
          <w:iCs/>
          <w:sz w:val="24"/>
          <w:szCs w:val="24"/>
        </w:rPr>
        <w:t>EBDV</w:t>
      </w:r>
      <w:r w:rsidR="00B97538" w:rsidRPr="00E96FF4">
        <w:rPr>
          <w:rFonts w:asciiTheme="majorBidi" w:hAnsiTheme="majorBidi" w:cstheme="majorBidi"/>
          <w:sz w:val="24"/>
          <w:szCs w:val="24"/>
        </w:rPr>
        <w:t>); executive management team meeting (</w:t>
      </w:r>
      <w:r w:rsidR="00B97538" w:rsidRPr="00E96FF4">
        <w:rPr>
          <w:rFonts w:asciiTheme="majorBidi" w:hAnsiTheme="majorBidi" w:cstheme="majorBidi"/>
          <w:i/>
          <w:iCs/>
          <w:sz w:val="24"/>
          <w:szCs w:val="24"/>
        </w:rPr>
        <w:t>EBME</w:t>
      </w:r>
      <w:r w:rsidR="00B97538" w:rsidRPr="00E96FF4">
        <w:rPr>
          <w:rFonts w:asciiTheme="majorBidi" w:hAnsiTheme="majorBidi" w:cstheme="majorBidi"/>
          <w:sz w:val="24"/>
          <w:szCs w:val="24"/>
        </w:rPr>
        <w:t>); and change in VC (</w:t>
      </w:r>
      <w:r w:rsidR="00B97538" w:rsidRPr="00E96FF4">
        <w:rPr>
          <w:rFonts w:asciiTheme="majorBidi" w:hAnsiTheme="majorBidi" w:cstheme="majorBidi"/>
          <w:i/>
          <w:iCs/>
          <w:sz w:val="24"/>
          <w:szCs w:val="24"/>
        </w:rPr>
        <w:t>VC Change</w:t>
      </w:r>
      <w:r w:rsidR="00B97538" w:rsidRPr="00E96FF4">
        <w:rPr>
          <w:rFonts w:asciiTheme="majorBidi" w:hAnsiTheme="majorBidi" w:cstheme="majorBidi"/>
          <w:sz w:val="24"/>
          <w:szCs w:val="24"/>
        </w:rPr>
        <w:t>)</w:t>
      </w:r>
      <w:r w:rsidR="002860A3" w:rsidRPr="00E96FF4">
        <w:rPr>
          <w:rFonts w:asciiTheme="majorBidi" w:hAnsiTheme="majorBidi" w:cstheme="majorBidi"/>
          <w:sz w:val="24"/>
          <w:szCs w:val="24"/>
        </w:rPr>
        <w:t>, dummy for post-1992 (</w:t>
      </w:r>
      <w:r w:rsidR="002860A3" w:rsidRPr="00E96FF4">
        <w:rPr>
          <w:rFonts w:asciiTheme="majorBidi" w:hAnsiTheme="majorBidi" w:cstheme="majorBidi"/>
          <w:i/>
          <w:iCs/>
          <w:sz w:val="24"/>
          <w:szCs w:val="24"/>
        </w:rPr>
        <w:t>PST_9</w:t>
      </w:r>
      <w:r w:rsidR="002860A3" w:rsidRPr="00E96FF4">
        <w:rPr>
          <w:rFonts w:asciiTheme="majorBidi" w:hAnsiTheme="majorBidi" w:cstheme="majorBidi"/>
          <w:sz w:val="24"/>
          <w:szCs w:val="24"/>
        </w:rPr>
        <w:t>2); size of audit firm (</w:t>
      </w:r>
      <w:r w:rsidR="002860A3" w:rsidRPr="00E96FF4">
        <w:rPr>
          <w:rFonts w:asciiTheme="majorBidi" w:hAnsiTheme="majorBidi" w:cstheme="majorBidi"/>
          <w:i/>
          <w:iCs/>
          <w:sz w:val="24"/>
          <w:szCs w:val="24"/>
        </w:rPr>
        <w:t>BIG4</w:t>
      </w:r>
      <w:r w:rsidR="002860A3" w:rsidRPr="00E96FF4">
        <w:rPr>
          <w:rFonts w:asciiTheme="majorBidi" w:hAnsiTheme="majorBidi" w:cstheme="majorBidi"/>
          <w:sz w:val="24"/>
          <w:szCs w:val="24"/>
        </w:rPr>
        <w:t>); leverage (</w:t>
      </w:r>
      <w:r w:rsidR="002860A3" w:rsidRPr="00E96FF4">
        <w:rPr>
          <w:rFonts w:asciiTheme="majorBidi" w:hAnsiTheme="majorBidi" w:cstheme="majorBidi"/>
          <w:i/>
          <w:iCs/>
          <w:sz w:val="24"/>
          <w:szCs w:val="24"/>
        </w:rPr>
        <w:t>LVR</w:t>
      </w:r>
      <w:r w:rsidR="002860A3" w:rsidRPr="00E96FF4">
        <w:rPr>
          <w:rFonts w:asciiTheme="majorBidi" w:hAnsiTheme="majorBidi" w:cstheme="majorBidi"/>
          <w:sz w:val="24"/>
          <w:szCs w:val="24"/>
        </w:rPr>
        <w:t>); liquidity (</w:t>
      </w:r>
      <w:r w:rsidR="002860A3" w:rsidRPr="00E96FF4">
        <w:rPr>
          <w:rFonts w:asciiTheme="majorBidi" w:hAnsiTheme="majorBidi" w:cstheme="majorBidi"/>
          <w:i/>
          <w:iCs/>
          <w:sz w:val="24"/>
          <w:szCs w:val="24"/>
        </w:rPr>
        <w:t>LQD</w:t>
      </w:r>
      <w:r w:rsidR="002860A3" w:rsidRPr="00E96FF4">
        <w:rPr>
          <w:rFonts w:asciiTheme="majorBidi" w:hAnsiTheme="majorBidi" w:cstheme="majorBidi"/>
          <w:sz w:val="24"/>
          <w:szCs w:val="24"/>
        </w:rPr>
        <w:t>); HEI size (</w:t>
      </w:r>
      <w:r w:rsidR="002860A3" w:rsidRPr="00E96FF4">
        <w:rPr>
          <w:rFonts w:asciiTheme="majorBidi" w:hAnsiTheme="majorBidi" w:cstheme="majorBidi"/>
          <w:i/>
          <w:iCs/>
          <w:sz w:val="24"/>
          <w:szCs w:val="24"/>
        </w:rPr>
        <w:t>HEIZE</w:t>
      </w:r>
      <w:r w:rsidR="002860A3" w:rsidRPr="00E96FF4">
        <w:rPr>
          <w:rFonts w:asciiTheme="majorBidi" w:hAnsiTheme="majorBidi" w:cstheme="majorBidi"/>
          <w:sz w:val="24"/>
          <w:szCs w:val="24"/>
        </w:rPr>
        <w:t>); growth (</w:t>
      </w:r>
      <w:r w:rsidR="002860A3" w:rsidRPr="00E96FF4">
        <w:rPr>
          <w:rFonts w:asciiTheme="majorBidi" w:hAnsiTheme="majorBidi" w:cstheme="majorBidi"/>
          <w:i/>
          <w:iCs/>
          <w:sz w:val="24"/>
          <w:szCs w:val="24"/>
        </w:rPr>
        <w:t>GRT</w:t>
      </w:r>
      <w:r w:rsidR="002860A3" w:rsidRPr="00E96FF4">
        <w:rPr>
          <w:rFonts w:asciiTheme="majorBidi" w:hAnsiTheme="majorBidi" w:cstheme="majorBidi"/>
          <w:sz w:val="24"/>
          <w:szCs w:val="24"/>
        </w:rPr>
        <w:t>); expenditure (</w:t>
      </w:r>
      <w:r w:rsidR="002860A3" w:rsidRPr="00E96FF4">
        <w:rPr>
          <w:rFonts w:asciiTheme="majorBidi" w:hAnsiTheme="majorBidi" w:cstheme="majorBidi"/>
          <w:i/>
          <w:iCs/>
          <w:sz w:val="24"/>
          <w:szCs w:val="24"/>
        </w:rPr>
        <w:t>CXP</w:t>
      </w:r>
      <w:r w:rsidR="002860A3" w:rsidRPr="00E96FF4">
        <w:rPr>
          <w:rFonts w:asciiTheme="majorBidi" w:hAnsiTheme="majorBidi" w:cstheme="majorBidi"/>
          <w:sz w:val="24"/>
          <w:szCs w:val="24"/>
        </w:rPr>
        <w:t>); HEI year dummy (</w:t>
      </w:r>
      <w:r w:rsidR="002860A3" w:rsidRPr="00E96FF4">
        <w:rPr>
          <w:rFonts w:asciiTheme="majorBidi" w:hAnsiTheme="majorBidi" w:cstheme="majorBidi"/>
          <w:i/>
          <w:iCs/>
          <w:sz w:val="24"/>
          <w:szCs w:val="24"/>
        </w:rPr>
        <w:t>HEIYD</w:t>
      </w:r>
      <w:r w:rsidR="002860A3" w:rsidRPr="00E96FF4">
        <w:rPr>
          <w:rFonts w:asciiTheme="majorBidi" w:hAnsiTheme="majorBidi" w:cstheme="majorBidi"/>
          <w:sz w:val="24"/>
          <w:szCs w:val="24"/>
        </w:rPr>
        <w:t>); and HEI country dummy (</w:t>
      </w:r>
      <w:r w:rsidR="002860A3" w:rsidRPr="00E96FF4">
        <w:rPr>
          <w:rFonts w:asciiTheme="majorBidi" w:hAnsiTheme="majorBidi" w:cstheme="majorBidi"/>
          <w:i/>
          <w:iCs/>
          <w:sz w:val="24"/>
          <w:szCs w:val="24"/>
        </w:rPr>
        <w:t>HEICD</w:t>
      </w:r>
      <w:r w:rsidR="002860A3" w:rsidRPr="00E96FF4">
        <w:rPr>
          <w:rFonts w:asciiTheme="majorBidi" w:hAnsiTheme="majorBidi" w:cstheme="majorBidi"/>
          <w:sz w:val="24"/>
          <w:szCs w:val="24"/>
        </w:rPr>
        <w:t>).</w:t>
      </w:r>
    </w:p>
    <w:p w14:paraId="5A2598FB" w14:textId="77777777" w:rsidR="00901C44" w:rsidRPr="000079DB" w:rsidRDefault="00901C44" w:rsidP="000079DB">
      <w:pPr>
        <w:spacing w:line="240" w:lineRule="auto"/>
        <w:ind w:firstLine="720"/>
        <w:jc w:val="both"/>
        <w:rPr>
          <w:rFonts w:asciiTheme="majorBidi" w:hAnsiTheme="majorBidi" w:cstheme="majorBidi"/>
          <w:sz w:val="24"/>
          <w:szCs w:val="24"/>
        </w:rPr>
      </w:pPr>
    </w:p>
    <w:p w14:paraId="07249048" w14:textId="0A3CC314" w:rsidR="00ED5993" w:rsidRDefault="00AF4527" w:rsidP="00270135">
      <w:pPr>
        <w:spacing w:before="240" w:line="360" w:lineRule="auto"/>
        <w:jc w:val="both"/>
        <w:rPr>
          <w:rFonts w:asciiTheme="majorBidi" w:hAnsiTheme="majorBidi" w:cstheme="majorBidi"/>
          <w:b/>
          <w:bCs/>
          <w:sz w:val="24"/>
          <w:szCs w:val="24"/>
        </w:rPr>
      </w:pPr>
      <w:r w:rsidRPr="00AF4527">
        <w:rPr>
          <w:rFonts w:asciiTheme="majorBidi" w:hAnsiTheme="majorBidi" w:cstheme="majorBidi"/>
          <w:b/>
          <w:bCs/>
          <w:sz w:val="24"/>
          <w:szCs w:val="24"/>
        </w:rPr>
        <w:t>F</w:t>
      </w:r>
      <w:r w:rsidR="003026CF">
        <w:rPr>
          <w:rFonts w:asciiTheme="majorBidi" w:hAnsiTheme="majorBidi" w:cstheme="majorBidi"/>
          <w:b/>
          <w:bCs/>
          <w:sz w:val="24"/>
          <w:szCs w:val="24"/>
        </w:rPr>
        <w:t>inding</w:t>
      </w:r>
      <w:r w:rsidR="00AE4598">
        <w:rPr>
          <w:rFonts w:asciiTheme="majorBidi" w:hAnsiTheme="majorBidi" w:cstheme="majorBidi"/>
          <w:b/>
          <w:bCs/>
          <w:sz w:val="24"/>
          <w:szCs w:val="24"/>
        </w:rPr>
        <w:t>s</w:t>
      </w:r>
    </w:p>
    <w:p w14:paraId="5D737324" w14:textId="2595BF7A" w:rsidR="00AF4527" w:rsidRPr="003026CF" w:rsidRDefault="00AF4527" w:rsidP="00EC0710">
      <w:pPr>
        <w:spacing w:line="360" w:lineRule="auto"/>
        <w:jc w:val="both"/>
        <w:rPr>
          <w:rFonts w:asciiTheme="majorBidi" w:hAnsiTheme="majorBidi" w:cstheme="majorBidi"/>
          <w:b/>
          <w:bCs/>
          <w:i/>
          <w:sz w:val="24"/>
          <w:szCs w:val="24"/>
        </w:rPr>
      </w:pPr>
      <w:r w:rsidRPr="003026CF">
        <w:rPr>
          <w:rFonts w:asciiTheme="majorBidi" w:hAnsiTheme="majorBidi" w:cstheme="majorBidi"/>
          <w:b/>
          <w:bCs/>
          <w:i/>
          <w:sz w:val="24"/>
          <w:szCs w:val="24"/>
        </w:rPr>
        <w:t xml:space="preserve">Descriptive </w:t>
      </w:r>
      <w:r w:rsidR="003026CF">
        <w:rPr>
          <w:rFonts w:asciiTheme="majorBidi" w:hAnsiTheme="majorBidi" w:cstheme="majorBidi"/>
          <w:b/>
          <w:bCs/>
          <w:i/>
          <w:sz w:val="24"/>
          <w:szCs w:val="24"/>
        </w:rPr>
        <w:t>and univariate a</w:t>
      </w:r>
      <w:r w:rsidR="00263BAA" w:rsidRPr="003026CF">
        <w:rPr>
          <w:rFonts w:asciiTheme="majorBidi" w:hAnsiTheme="majorBidi" w:cstheme="majorBidi"/>
          <w:b/>
          <w:bCs/>
          <w:i/>
          <w:sz w:val="24"/>
          <w:szCs w:val="24"/>
        </w:rPr>
        <w:t>nalysis</w:t>
      </w:r>
    </w:p>
    <w:p w14:paraId="31E77CA3" w14:textId="79D62F10" w:rsidR="00821673" w:rsidRDefault="00AF4527" w:rsidP="00A36124">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Summary descriptive statistics of </w:t>
      </w:r>
      <w:r w:rsidR="001F344B">
        <w:rPr>
          <w:rFonts w:asciiTheme="majorBidi" w:hAnsiTheme="majorBidi" w:cstheme="majorBidi"/>
          <w:sz w:val="24"/>
          <w:szCs w:val="24"/>
        </w:rPr>
        <w:t xml:space="preserve">the study’s variables are presented in Table 1. Overall, the results indicate that there is </w:t>
      </w:r>
      <w:r w:rsidR="00A36124">
        <w:rPr>
          <w:rFonts w:asciiTheme="majorBidi" w:hAnsiTheme="majorBidi" w:cstheme="majorBidi"/>
          <w:sz w:val="24"/>
          <w:szCs w:val="24"/>
        </w:rPr>
        <w:t xml:space="preserve">wide variability in the distribution of our variables. For example, </w:t>
      </w:r>
      <w:r w:rsidR="00344012">
        <w:rPr>
          <w:rFonts w:asciiTheme="majorBidi" w:hAnsiTheme="majorBidi" w:cstheme="majorBidi"/>
          <w:i/>
          <w:iCs/>
          <w:sz w:val="24"/>
          <w:szCs w:val="24"/>
        </w:rPr>
        <w:t xml:space="preserve">Panel </w:t>
      </w:r>
      <w:r w:rsidR="00344012">
        <w:rPr>
          <w:rFonts w:asciiTheme="majorBidi" w:hAnsiTheme="majorBidi" w:cstheme="majorBidi"/>
          <w:sz w:val="24"/>
          <w:szCs w:val="24"/>
        </w:rPr>
        <w:t>‘</w:t>
      </w:r>
      <w:r w:rsidR="00344012">
        <w:rPr>
          <w:rFonts w:asciiTheme="majorBidi" w:hAnsiTheme="majorBidi" w:cstheme="majorBidi"/>
          <w:i/>
          <w:iCs/>
          <w:sz w:val="24"/>
          <w:szCs w:val="24"/>
        </w:rPr>
        <w:t>A</w:t>
      </w:r>
      <w:r w:rsidR="00344012">
        <w:rPr>
          <w:rFonts w:asciiTheme="majorBidi" w:hAnsiTheme="majorBidi" w:cstheme="majorBidi"/>
          <w:sz w:val="24"/>
          <w:szCs w:val="24"/>
        </w:rPr>
        <w:t xml:space="preserve">’ of </w:t>
      </w:r>
      <w:r w:rsidR="00A36124">
        <w:rPr>
          <w:rFonts w:asciiTheme="majorBidi" w:hAnsiTheme="majorBidi" w:cstheme="majorBidi"/>
          <w:sz w:val="24"/>
          <w:szCs w:val="24"/>
        </w:rPr>
        <w:t xml:space="preserve">Table 1 shows that </w:t>
      </w:r>
      <w:r w:rsidR="007E20CF">
        <w:rPr>
          <w:rFonts w:asciiTheme="majorBidi" w:hAnsiTheme="majorBidi" w:cstheme="majorBidi"/>
          <w:sz w:val="24"/>
          <w:szCs w:val="24"/>
        </w:rPr>
        <w:t>VC basic pay</w:t>
      </w:r>
      <w:r w:rsidR="00867238">
        <w:rPr>
          <w:rFonts w:asciiTheme="majorBidi" w:hAnsiTheme="majorBidi" w:cstheme="majorBidi"/>
          <w:sz w:val="24"/>
          <w:szCs w:val="24"/>
        </w:rPr>
        <w:t xml:space="preserve"> ranges from </w:t>
      </w:r>
      <w:r w:rsidR="008E2EB2">
        <w:rPr>
          <w:rFonts w:asciiTheme="majorBidi" w:hAnsiTheme="majorBidi" w:cstheme="majorBidi"/>
          <w:sz w:val="24"/>
          <w:szCs w:val="24"/>
        </w:rPr>
        <w:t xml:space="preserve">a minimum of </w:t>
      </w:r>
      <w:r w:rsidR="00867238">
        <w:rPr>
          <w:rFonts w:asciiTheme="majorBidi" w:hAnsiTheme="majorBidi" w:cstheme="majorBidi"/>
          <w:sz w:val="24"/>
          <w:szCs w:val="24"/>
        </w:rPr>
        <w:t>£108</w:t>
      </w:r>
      <w:r w:rsidR="008E2EB2">
        <w:rPr>
          <w:rFonts w:asciiTheme="majorBidi" w:hAnsiTheme="majorBidi" w:cstheme="majorBidi"/>
          <w:sz w:val="24"/>
          <w:szCs w:val="24"/>
        </w:rPr>
        <w:t>,000</w:t>
      </w:r>
      <w:r w:rsidR="00867238">
        <w:rPr>
          <w:rFonts w:asciiTheme="majorBidi" w:hAnsiTheme="majorBidi" w:cstheme="majorBidi"/>
          <w:sz w:val="24"/>
          <w:szCs w:val="24"/>
        </w:rPr>
        <w:t xml:space="preserve"> to </w:t>
      </w:r>
      <w:r w:rsidR="008E2EB2">
        <w:rPr>
          <w:rFonts w:asciiTheme="majorBidi" w:hAnsiTheme="majorBidi" w:cstheme="majorBidi"/>
          <w:sz w:val="24"/>
          <w:szCs w:val="24"/>
        </w:rPr>
        <w:t xml:space="preserve">a maximum of </w:t>
      </w:r>
      <w:r w:rsidR="00867238">
        <w:rPr>
          <w:rFonts w:asciiTheme="majorBidi" w:hAnsiTheme="majorBidi" w:cstheme="majorBidi"/>
          <w:sz w:val="24"/>
          <w:szCs w:val="24"/>
        </w:rPr>
        <w:t>£577</w:t>
      </w:r>
      <w:r w:rsidR="008E2EB2">
        <w:rPr>
          <w:rFonts w:asciiTheme="majorBidi" w:hAnsiTheme="majorBidi" w:cstheme="majorBidi"/>
          <w:sz w:val="24"/>
          <w:szCs w:val="24"/>
        </w:rPr>
        <w:t>,000</w:t>
      </w:r>
      <w:r w:rsidR="00867238">
        <w:rPr>
          <w:rFonts w:asciiTheme="majorBidi" w:hAnsiTheme="majorBidi" w:cstheme="majorBidi"/>
          <w:sz w:val="24"/>
          <w:szCs w:val="24"/>
        </w:rPr>
        <w:t xml:space="preserve"> with a mean value of </w:t>
      </w:r>
      <w:r w:rsidR="007E20CF">
        <w:rPr>
          <w:rFonts w:asciiTheme="majorBidi" w:hAnsiTheme="majorBidi" w:cstheme="majorBidi"/>
          <w:sz w:val="24"/>
          <w:szCs w:val="24"/>
        </w:rPr>
        <w:t>£225</w:t>
      </w:r>
      <w:r w:rsidR="008E2EB2">
        <w:rPr>
          <w:rFonts w:asciiTheme="majorBidi" w:hAnsiTheme="majorBidi" w:cstheme="majorBidi"/>
          <w:sz w:val="24"/>
          <w:szCs w:val="24"/>
        </w:rPr>
        <w:t>,</w:t>
      </w:r>
      <w:r w:rsidR="00824C21">
        <w:rPr>
          <w:rFonts w:asciiTheme="majorBidi" w:hAnsiTheme="majorBidi" w:cstheme="majorBidi"/>
          <w:sz w:val="24"/>
          <w:szCs w:val="24"/>
        </w:rPr>
        <w:t>030</w:t>
      </w:r>
      <w:r w:rsidR="007E20CF">
        <w:rPr>
          <w:rFonts w:asciiTheme="majorBidi" w:hAnsiTheme="majorBidi" w:cstheme="majorBidi"/>
          <w:sz w:val="24"/>
          <w:szCs w:val="24"/>
        </w:rPr>
        <w:t xml:space="preserve">. </w:t>
      </w:r>
      <w:r w:rsidR="00867238">
        <w:rPr>
          <w:rFonts w:asciiTheme="majorBidi" w:hAnsiTheme="majorBidi" w:cstheme="majorBidi"/>
          <w:sz w:val="24"/>
          <w:szCs w:val="24"/>
        </w:rPr>
        <w:t>Similarly, VC total pay lies between £122</w:t>
      </w:r>
      <w:r w:rsidR="008E2EB2">
        <w:rPr>
          <w:rFonts w:asciiTheme="majorBidi" w:hAnsiTheme="majorBidi" w:cstheme="majorBidi"/>
          <w:sz w:val="24"/>
          <w:szCs w:val="24"/>
        </w:rPr>
        <w:t>,000</w:t>
      </w:r>
      <w:r w:rsidR="00867238">
        <w:rPr>
          <w:rFonts w:asciiTheme="majorBidi" w:hAnsiTheme="majorBidi" w:cstheme="majorBidi"/>
          <w:sz w:val="24"/>
          <w:szCs w:val="24"/>
        </w:rPr>
        <w:t xml:space="preserve"> </w:t>
      </w:r>
      <w:r w:rsidR="000605E4">
        <w:rPr>
          <w:rFonts w:asciiTheme="majorBidi" w:hAnsiTheme="majorBidi" w:cstheme="majorBidi"/>
          <w:sz w:val="24"/>
          <w:szCs w:val="24"/>
        </w:rPr>
        <w:t>and</w:t>
      </w:r>
      <w:r w:rsidR="00867238">
        <w:rPr>
          <w:rFonts w:asciiTheme="majorBidi" w:hAnsiTheme="majorBidi" w:cstheme="majorBidi"/>
          <w:sz w:val="24"/>
          <w:szCs w:val="24"/>
        </w:rPr>
        <w:t xml:space="preserve"> £623</w:t>
      </w:r>
      <w:r w:rsidR="008E2EB2">
        <w:rPr>
          <w:rFonts w:asciiTheme="majorBidi" w:hAnsiTheme="majorBidi" w:cstheme="majorBidi"/>
          <w:sz w:val="24"/>
          <w:szCs w:val="24"/>
        </w:rPr>
        <w:t>,000</w:t>
      </w:r>
      <w:r w:rsidR="00867238">
        <w:rPr>
          <w:rFonts w:asciiTheme="majorBidi" w:hAnsiTheme="majorBidi" w:cstheme="majorBidi"/>
          <w:sz w:val="24"/>
          <w:szCs w:val="24"/>
        </w:rPr>
        <w:t>, with a mean of £26</w:t>
      </w:r>
      <w:r w:rsidR="00170CB9">
        <w:rPr>
          <w:rFonts w:asciiTheme="majorBidi" w:hAnsiTheme="majorBidi" w:cstheme="majorBidi"/>
          <w:sz w:val="24"/>
          <w:szCs w:val="24"/>
        </w:rPr>
        <w:t>1</w:t>
      </w:r>
      <w:r w:rsidR="008E2EB2">
        <w:rPr>
          <w:rFonts w:asciiTheme="majorBidi" w:hAnsiTheme="majorBidi" w:cstheme="majorBidi"/>
          <w:sz w:val="24"/>
          <w:szCs w:val="24"/>
        </w:rPr>
        <w:t>,</w:t>
      </w:r>
      <w:r w:rsidR="00170CB9">
        <w:rPr>
          <w:rFonts w:asciiTheme="majorBidi" w:hAnsiTheme="majorBidi" w:cstheme="majorBidi"/>
          <w:sz w:val="24"/>
          <w:szCs w:val="24"/>
        </w:rPr>
        <w:t>710</w:t>
      </w:r>
      <w:r w:rsidR="00867238">
        <w:rPr>
          <w:rFonts w:asciiTheme="majorBidi" w:hAnsiTheme="majorBidi" w:cstheme="majorBidi"/>
          <w:sz w:val="24"/>
          <w:szCs w:val="24"/>
        </w:rPr>
        <w:t xml:space="preserve">. Additionally, Table </w:t>
      </w:r>
      <w:r w:rsidR="00A36124">
        <w:rPr>
          <w:rFonts w:asciiTheme="majorBidi" w:hAnsiTheme="majorBidi" w:cstheme="majorBidi"/>
          <w:sz w:val="24"/>
          <w:szCs w:val="24"/>
        </w:rPr>
        <w:t>1</w:t>
      </w:r>
      <w:r w:rsidR="00867238">
        <w:rPr>
          <w:rFonts w:asciiTheme="majorBidi" w:hAnsiTheme="majorBidi" w:cstheme="majorBidi"/>
          <w:sz w:val="24"/>
          <w:szCs w:val="24"/>
        </w:rPr>
        <w:t xml:space="preserve"> suggest</w:t>
      </w:r>
      <w:r w:rsidR="00A36124">
        <w:rPr>
          <w:rFonts w:asciiTheme="majorBidi" w:hAnsiTheme="majorBidi" w:cstheme="majorBidi"/>
          <w:sz w:val="24"/>
          <w:szCs w:val="24"/>
        </w:rPr>
        <w:t>s</w:t>
      </w:r>
      <w:r w:rsidR="00867238">
        <w:rPr>
          <w:rFonts w:asciiTheme="majorBidi" w:hAnsiTheme="majorBidi" w:cstheme="majorBidi"/>
          <w:sz w:val="24"/>
          <w:szCs w:val="24"/>
        </w:rPr>
        <w:t xml:space="preserve"> that VC non-basic pay </w:t>
      </w:r>
      <w:r w:rsidR="004A2941">
        <w:rPr>
          <w:rFonts w:asciiTheme="majorBidi" w:hAnsiTheme="majorBidi" w:cstheme="majorBidi"/>
          <w:sz w:val="24"/>
          <w:szCs w:val="24"/>
        </w:rPr>
        <w:t>forms</w:t>
      </w:r>
      <w:r w:rsidR="00867238">
        <w:rPr>
          <w:rFonts w:asciiTheme="majorBidi" w:hAnsiTheme="majorBidi" w:cstheme="majorBidi"/>
          <w:sz w:val="24"/>
          <w:szCs w:val="24"/>
        </w:rPr>
        <w:t xml:space="preserve"> a small </w:t>
      </w:r>
      <w:r w:rsidR="00BA39FE">
        <w:rPr>
          <w:rFonts w:asciiTheme="majorBidi" w:hAnsiTheme="majorBidi" w:cstheme="majorBidi"/>
          <w:sz w:val="24"/>
          <w:szCs w:val="24"/>
        </w:rPr>
        <w:t>fraction</w:t>
      </w:r>
      <w:r w:rsidR="00867238">
        <w:rPr>
          <w:rFonts w:asciiTheme="majorBidi" w:hAnsiTheme="majorBidi" w:cstheme="majorBidi"/>
          <w:sz w:val="24"/>
          <w:szCs w:val="24"/>
        </w:rPr>
        <w:t xml:space="preserve"> of total VC pay. </w:t>
      </w:r>
      <w:r w:rsidR="009D5D1B">
        <w:rPr>
          <w:rFonts w:asciiTheme="majorBidi" w:hAnsiTheme="majorBidi" w:cstheme="majorBidi"/>
          <w:sz w:val="24"/>
          <w:szCs w:val="24"/>
        </w:rPr>
        <w:t>Specifically, the mean VC non-basic pay of £3</w:t>
      </w:r>
      <w:r w:rsidR="00170CB9">
        <w:rPr>
          <w:rFonts w:asciiTheme="majorBidi" w:hAnsiTheme="majorBidi" w:cstheme="majorBidi"/>
          <w:sz w:val="24"/>
          <w:szCs w:val="24"/>
        </w:rPr>
        <w:t>6</w:t>
      </w:r>
      <w:r w:rsidR="008E2EB2">
        <w:rPr>
          <w:rFonts w:asciiTheme="majorBidi" w:hAnsiTheme="majorBidi" w:cstheme="majorBidi"/>
          <w:sz w:val="24"/>
          <w:szCs w:val="24"/>
        </w:rPr>
        <w:t>,</w:t>
      </w:r>
      <w:r w:rsidR="00170CB9">
        <w:rPr>
          <w:rFonts w:asciiTheme="majorBidi" w:hAnsiTheme="majorBidi" w:cstheme="majorBidi"/>
          <w:sz w:val="24"/>
          <w:szCs w:val="24"/>
        </w:rPr>
        <w:t>68</w:t>
      </w:r>
      <w:r w:rsidR="008E2EB2">
        <w:rPr>
          <w:rFonts w:asciiTheme="majorBidi" w:hAnsiTheme="majorBidi" w:cstheme="majorBidi"/>
          <w:sz w:val="24"/>
          <w:szCs w:val="24"/>
        </w:rPr>
        <w:t>0</w:t>
      </w:r>
      <w:r w:rsidR="009D5D1B">
        <w:rPr>
          <w:rFonts w:asciiTheme="majorBidi" w:hAnsiTheme="majorBidi" w:cstheme="majorBidi"/>
          <w:sz w:val="24"/>
          <w:szCs w:val="24"/>
        </w:rPr>
        <w:t xml:space="preserve"> only represents about 14% of the mean total VC pay of £26</w:t>
      </w:r>
      <w:r w:rsidR="00170CB9">
        <w:rPr>
          <w:rFonts w:asciiTheme="majorBidi" w:hAnsiTheme="majorBidi" w:cstheme="majorBidi"/>
          <w:sz w:val="24"/>
          <w:szCs w:val="24"/>
        </w:rPr>
        <w:t>1</w:t>
      </w:r>
      <w:r w:rsidR="008E2EB2">
        <w:rPr>
          <w:rFonts w:asciiTheme="majorBidi" w:hAnsiTheme="majorBidi" w:cstheme="majorBidi"/>
          <w:sz w:val="24"/>
          <w:szCs w:val="24"/>
        </w:rPr>
        <w:t>,</w:t>
      </w:r>
      <w:r w:rsidR="00170CB9">
        <w:rPr>
          <w:rFonts w:asciiTheme="majorBidi" w:hAnsiTheme="majorBidi" w:cstheme="majorBidi"/>
          <w:sz w:val="24"/>
          <w:szCs w:val="24"/>
        </w:rPr>
        <w:t>710</w:t>
      </w:r>
      <w:r w:rsidR="009D5D1B">
        <w:rPr>
          <w:rFonts w:asciiTheme="majorBidi" w:hAnsiTheme="majorBidi" w:cstheme="majorBidi"/>
          <w:sz w:val="24"/>
          <w:szCs w:val="24"/>
        </w:rPr>
        <w:t xml:space="preserve">, whereas the mean VC </w:t>
      </w:r>
      <w:proofErr w:type="gramStart"/>
      <w:r w:rsidR="009D5D1B">
        <w:rPr>
          <w:rFonts w:asciiTheme="majorBidi" w:hAnsiTheme="majorBidi" w:cstheme="majorBidi"/>
          <w:sz w:val="24"/>
          <w:szCs w:val="24"/>
        </w:rPr>
        <w:t>basic-pay</w:t>
      </w:r>
      <w:proofErr w:type="gramEnd"/>
      <w:r w:rsidR="009D5D1B">
        <w:rPr>
          <w:rFonts w:asciiTheme="majorBidi" w:hAnsiTheme="majorBidi" w:cstheme="majorBidi"/>
          <w:sz w:val="24"/>
          <w:szCs w:val="24"/>
        </w:rPr>
        <w:t xml:space="preserve"> of £225</w:t>
      </w:r>
      <w:r w:rsidR="008E2EB2">
        <w:rPr>
          <w:rFonts w:asciiTheme="majorBidi" w:hAnsiTheme="majorBidi" w:cstheme="majorBidi"/>
          <w:sz w:val="24"/>
          <w:szCs w:val="24"/>
        </w:rPr>
        <w:t>,0</w:t>
      </w:r>
      <w:r w:rsidR="00170CB9">
        <w:rPr>
          <w:rFonts w:asciiTheme="majorBidi" w:hAnsiTheme="majorBidi" w:cstheme="majorBidi"/>
          <w:sz w:val="24"/>
          <w:szCs w:val="24"/>
        </w:rPr>
        <w:t>3</w:t>
      </w:r>
      <w:r w:rsidR="008E2EB2">
        <w:rPr>
          <w:rFonts w:asciiTheme="majorBidi" w:hAnsiTheme="majorBidi" w:cstheme="majorBidi"/>
          <w:sz w:val="24"/>
          <w:szCs w:val="24"/>
        </w:rPr>
        <w:t>0</w:t>
      </w:r>
      <w:r w:rsidR="009D5D1B">
        <w:rPr>
          <w:rFonts w:asciiTheme="majorBidi" w:hAnsiTheme="majorBidi" w:cstheme="majorBidi"/>
          <w:sz w:val="24"/>
          <w:szCs w:val="24"/>
        </w:rPr>
        <w:t xml:space="preserve"> </w:t>
      </w:r>
      <w:r w:rsidR="00C3690D">
        <w:rPr>
          <w:rFonts w:asciiTheme="majorBidi" w:hAnsiTheme="majorBidi" w:cstheme="majorBidi"/>
          <w:sz w:val="24"/>
          <w:szCs w:val="24"/>
        </w:rPr>
        <w:t>represents about 86% of the mean VC total pay of £26</w:t>
      </w:r>
      <w:r w:rsidR="00170CB9">
        <w:rPr>
          <w:rFonts w:asciiTheme="majorBidi" w:hAnsiTheme="majorBidi" w:cstheme="majorBidi"/>
          <w:sz w:val="24"/>
          <w:szCs w:val="24"/>
        </w:rPr>
        <w:t>1</w:t>
      </w:r>
      <w:r w:rsidR="008E2EB2">
        <w:rPr>
          <w:rFonts w:asciiTheme="majorBidi" w:hAnsiTheme="majorBidi" w:cstheme="majorBidi"/>
          <w:sz w:val="24"/>
          <w:szCs w:val="24"/>
        </w:rPr>
        <w:t>,</w:t>
      </w:r>
      <w:r w:rsidR="00170CB9">
        <w:rPr>
          <w:rFonts w:asciiTheme="majorBidi" w:hAnsiTheme="majorBidi" w:cstheme="majorBidi"/>
          <w:sz w:val="24"/>
          <w:szCs w:val="24"/>
        </w:rPr>
        <w:t>71</w:t>
      </w:r>
      <w:r w:rsidR="008E2EB2">
        <w:rPr>
          <w:rFonts w:asciiTheme="majorBidi" w:hAnsiTheme="majorBidi" w:cstheme="majorBidi"/>
          <w:sz w:val="24"/>
          <w:szCs w:val="24"/>
        </w:rPr>
        <w:t>0</w:t>
      </w:r>
      <w:r w:rsidR="00C3690D">
        <w:rPr>
          <w:rFonts w:asciiTheme="majorBidi" w:hAnsiTheme="majorBidi" w:cstheme="majorBidi"/>
          <w:sz w:val="24"/>
          <w:szCs w:val="24"/>
        </w:rPr>
        <w:t xml:space="preserve">. This evidence implies that VCs receive significantly high basic </w:t>
      </w:r>
      <w:r w:rsidR="00697DBA">
        <w:rPr>
          <w:rFonts w:asciiTheme="majorBidi" w:hAnsiTheme="majorBidi" w:cstheme="majorBidi"/>
          <w:sz w:val="24"/>
          <w:szCs w:val="24"/>
        </w:rPr>
        <w:t xml:space="preserve">pay </w:t>
      </w:r>
      <w:r w:rsidR="00C3690D">
        <w:rPr>
          <w:rFonts w:asciiTheme="majorBidi" w:hAnsiTheme="majorBidi" w:cstheme="majorBidi"/>
          <w:sz w:val="24"/>
          <w:szCs w:val="24"/>
        </w:rPr>
        <w:t>than non-basic pay packages.</w:t>
      </w:r>
      <w:r w:rsidR="00821673">
        <w:rPr>
          <w:rFonts w:asciiTheme="majorBidi" w:hAnsiTheme="majorBidi" w:cstheme="majorBidi"/>
          <w:sz w:val="24"/>
          <w:szCs w:val="24"/>
        </w:rPr>
        <w:t xml:space="preserve"> </w:t>
      </w:r>
    </w:p>
    <w:p w14:paraId="1DEB7A47" w14:textId="0F4C5FDB" w:rsidR="00C72DE6" w:rsidRDefault="00C72DE6" w:rsidP="00C72DE6">
      <w:pPr>
        <w:spacing w:after="0" w:line="480" w:lineRule="auto"/>
        <w:jc w:val="center"/>
        <w:rPr>
          <w:rFonts w:asciiTheme="majorBidi" w:hAnsiTheme="majorBidi" w:cstheme="majorBidi"/>
          <w:sz w:val="24"/>
          <w:szCs w:val="24"/>
        </w:rPr>
      </w:pPr>
      <w:r>
        <w:rPr>
          <w:rFonts w:asciiTheme="majorBidi" w:hAnsiTheme="majorBidi" w:cstheme="majorBidi"/>
          <w:sz w:val="24"/>
          <w:szCs w:val="24"/>
        </w:rPr>
        <w:t>Table 1 here</w:t>
      </w:r>
    </w:p>
    <w:p w14:paraId="7FFFE78D" w14:textId="581480AD" w:rsidR="00A36124" w:rsidRPr="00FD5559" w:rsidRDefault="00344012" w:rsidP="00821673">
      <w:pPr>
        <w:spacing w:after="0" w:line="480" w:lineRule="auto"/>
        <w:ind w:firstLine="720"/>
        <w:jc w:val="both"/>
        <w:rPr>
          <w:rFonts w:asciiTheme="majorBidi" w:hAnsiTheme="majorBidi" w:cstheme="majorBidi"/>
          <w:sz w:val="24"/>
          <w:szCs w:val="24"/>
        </w:rPr>
      </w:pPr>
      <w:r w:rsidRPr="00344012">
        <w:rPr>
          <w:rFonts w:asciiTheme="majorBidi" w:hAnsiTheme="majorBidi" w:cstheme="majorBidi"/>
          <w:i/>
          <w:iCs/>
          <w:sz w:val="24"/>
          <w:szCs w:val="24"/>
        </w:rPr>
        <w:t>Panels</w:t>
      </w:r>
      <w:r>
        <w:rPr>
          <w:rFonts w:asciiTheme="majorBidi" w:hAnsiTheme="majorBidi" w:cstheme="majorBidi"/>
          <w:sz w:val="24"/>
          <w:szCs w:val="24"/>
        </w:rPr>
        <w:t xml:space="preserve"> ‘</w:t>
      </w:r>
      <w:r w:rsidRPr="00344012">
        <w:rPr>
          <w:rFonts w:asciiTheme="majorBidi" w:hAnsiTheme="majorBidi" w:cstheme="majorBidi"/>
          <w:i/>
          <w:iCs/>
          <w:sz w:val="24"/>
          <w:szCs w:val="24"/>
        </w:rPr>
        <w:t>B-F</w:t>
      </w:r>
      <w:r>
        <w:rPr>
          <w:rFonts w:asciiTheme="majorBidi" w:hAnsiTheme="majorBidi" w:cstheme="majorBidi"/>
          <w:sz w:val="24"/>
          <w:szCs w:val="24"/>
        </w:rPr>
        <w:t xml:space="preserve">’ of </w:t>
      </w:r>
      <w:r w:rsidR="00A36124">
        <w:rPr>
          <w:rFonts w:asciiTheme="majorBidi" w:hAnsiTheme="majorBidi" w:cstheme="majorBidi"/>
          <w:sz w:val="24"/>
          <w:szCs w:val="24"/>
        </w:rPr>
        <w:t xml:space="preserve">Table 1 also reveal that there is wide variability in the distribution of </w:t>
      </w:r>
      <w:r w:rsidR="00821673">
        <w:rPr>
          <w:rFonts w:asciiTheme="majorBidi" w:hAnsiTheme="majorBidi" w:cstheme="majorBidi"/>
          <w:sz w:val="24"/>
          <w:szCs w:val="24"/>
        </w:rPr>
        <w:t xml:space="preserve">VC characteristics, HEIs’ </w:t>
      </w:r>
      <w:proofErr w:type="gramStart"/>
      <w:r w:rsidR="00821673">
        <w:rPr>
          <w:rFonts w:asciiTheme="majorBidi" w:hAnsiTheme="majorBidi" w:cstheme="majorBidi"/>
          <w:sz w:val="24"/>
          <w:szCs w:val="24"/>
        </w:rPr>
        <w:t>performance</w:t>
      </w:r>
      <w:proofErr w:type="gramEnd"/>
      <w:r w:rsidR="00821673">
        <w:rPr>
          <w:rFonts w:asciiTheme="majorBidi" w:hAnsiTheme="majorBidi" w:cstheme="majorBidi"/>
          <w:sz w:val="24"/>
          <w:szCs w:val="24"/>
        </w:rPr>
        <w:t xml:space="preserve"> and control variables among our sample. For example</w:t>
      </w:r>
      <w:r w:rsidR="0098428E">
        <w:rPr>
          <w:rFonts w:asciiTheme="majorBidi" w:hAnsiTheme="majorBidi" w:cstheme="majorBidi"/>
          <w:sz w:val="24"/>
          <w:szCs w:val="24"/>
        </w:rPr>
        <w:t>,</w:t>
      </w:r>
      <w:r w:rsidR="00821673">
        <w:rPr>
          <w:rFonts w:asciiTheme="majorBidi" w:hAnsiTheme="majorBidi" w:cstheme="majorBidi"/>
          <w:sz w:val="24"/>
          <w:szCs w:val="24"/>
        </w:rPr>
        <w:t xml:space="preserve"> </w:t>
      </w:r>
      <w:r w:rsidR="00821673" w:rsidRPr="00821673">
        <w:rPr>
          <w:rFonts w:asciiTheme="majorBidi" w:hAnsiTheme="majorBidi" w:cstheme="majorBidi"/>
          <w:sz w:val="24"/>
          <w:szCs w:val="24"/>
        </w:rPr>
        <w:t xml:space="preserve">and </w:t>
      </w:r>
      <w:proofErr w:type="gramStart"/>
      <w:r w:rsidR="00821673" w:rsidRPr="00821673">
        <w:rPr>
          <w:rFonts w:asciiTheme="majorBidi" w:hAnsiTheme="majorBidi" w:cstheme="majorBidi"/>
          <w:sz w:val="24"/>
          <w:szCs w:val="24"/>
        </w:rPr>
        <w:t>similar to</w:t>
      </w:r>
      <w:proofErr w:type="gramEnd"/>
      <w:r w:rsidR="00821673" w:rsidRPr="00821673">
        <w:rPr>
          <w:rFonts w:asciiTheme="majorBidi" w:hAnsiTheme="majorBidi" w:cstheme="majorBidi"/>
          <w:sz w:val="24"/>
          <w:szCs w:val="24"/>
        </w:rPr>
        <w:t xml:space="preserve"> the findings of Breakwell and </w:t>
      </w:r>
      <w:proofErr w:type="spellStart"/>
      <w:r w:rsidR="00821673" w:rsidRPr="00821673">
        <w:rPr>
          <w:rFonts w:asciiTheme="majorBidi" w:hAnsiTheme="majorBidi" w:cstheme="majorBidi"/>
          <w:sz w:val="24"/>
          <w:szCs w:val="24"/>
        </w:rPr>
        <w:t>Tytherleigh</w:t>
      </w:r>
      <w:proofErr w:type="spellEnd"/>
      <w:r w:rsidR="00821673" w:rsidRPr="00821673">
        <w:rPr>
          <w:rFonts w:asciiTheme="majorBidi" w:hAnsiTheme="majorBidi" w:cstheme="majorBidi"/>
          <w:sz w:val="24"/>
          <w:szCs w:val="24"/>
        </w:rPr>
        <w:t xml:space="preserve"> (2010), </w:t>
      </w:r>
      <w:r w:rsidR="00FD5559">
        <w:rPr>
          <w:rFonts w:asciiTheme="majorBidi" w:hAnsiTheme="majorBidi" w:cstheme="majorBidi"/>
          <w:i/>
          <w:iCs/>
          <w:sz w:val="24"/>
          <w:szCs w:val="24"/>
        </w:rPr>
        <w:t xml:space="preserve">Panel </w:t>
      </w:r>
      <w:r w:rsidR="00FD5559">
        <w:rPr>
          <w:rFonts w:asciiTheme="majorBidi" w:hAnsiTheme="majorBidi" w:cstheme="majorBidi"/>
          <w:sz w:val="24"/>
          <w:szCs w:val="24"/>
        </w:rPr>
        <w:t>‘</w:t>
      </w:r>
      <w:r w:rsidR="00FD5559" w:rsidRPr="00FD5559">
        <w:rPr>
          <w:rFonts w:asciiTheme="majorBidi" w:hAnsiTheme="majorBidi" w:cstheme="majorBidi"/>
          <w:i/>
          <w:iCs/>
          <w:sz w:val="24"/>
          <w:szCs w:val="24"/>
        </w:rPr>
        <w:t>B</w:t>
      </w:r>
      <w:r w:rsidR="00FD5559">
        <w:rPr>
          <w:rFonts w:asciiTheme="majorBidi" w:hAnsiTheme="majorBidi" w:cstheme="majorBidi"/>
          <w:sz w:val="24"/>
          <w:szCs w:val="24"/>
        </w:rPr>
        <w:t>’</w:t>
      </w:r>
      <w:r w:rsidR="00886142">
        <w:rPr>
          <w:rFonts w:asciiTheme="majorBidi" w:hAnsiTheme="majorBidi" w:cstheme="majorBidi"/>
          <w:sz w:val="24"/>
          <w:szCs w:val="24"/>
        </w:rPr>
        <w:t xml:space="preserve"> of Table 1 shows that</w:t>
      </w:r>
      <w:r w:rsidR="00FD5559">
        <w:rPr>
          <w:rFonts w:asciiTheme="majorBidi" w:hAnsiTheme="majorBidi" w:cstheme="majorBidi"/>
          <w:sz w:val="24"/>
          <w:szCs w:val="24"/>
        </w:rPr>
        <w:t xml:space="preserve"> </w:t>
      </w:r>
      <w:r w:rsidR="00821673" w:rsidRPr="00FD5559">
        <w:rPr>
          <w:rFonts w:asciiTheme="majorBidi" w:hAnsiTheme="majorBidi" w:cstheme="majorBidi"/>
          <w:sz w:val="24"/>
          <w:szCs w:val="24"/>
        </w:rPr>
        <w:t>VC</w:t>
      </w:r>
      <w:r w:rsidR="00821673" w:rsidRPr="00821673">
        <w:rPr>
          <w:rFonts w:asciiTheme="majorBidi" w:hAnsiTheme="majorBidi" w:cstheme="majorBidi"/>
          <w:sz w:val="24"/>
          <w:szCs w:val="24"/>
        </w:rPr>
        <w:t xml:space="preserve"> gender ranges between 0 and 1 with an average value of 0.83, implying that UK HEIs are dominated by male (83%) VCs.</w:t>
      </w:r>
      <w:r w:rsidR="00821673">
        <w:rPr>
          <w:rFonts w:asciiTheme="majorBidi" w:hAnsiTheme="majorBidi" w:cstheme="majorBidi"/>
          <w:sz w:val="24"/>
          <w:szCs w:val="24"/>
        </w:rPr>
        <w:t xml:space="preserve"> A detailed discussion of the descriptive statistics of other </w:t>
      </w:r>
      <w:r w:rsidR="00821673">
        <w:rPr>
          <w:rFonts w:asciiTheme="majorBidi" w:hAnsiTheme="majorBidi" w:cstheme="majorBidi"/>
          <w:sz w:val="24"/>
          <w:szCs w:val="24"/>
        </w:rPr>
        <w:lastRenderedPageBreak/>
        <w:t xml:space="preserve">VC characteristics, HEIs’ performance and control variables is included </w:t>
      </w:r>
      <w:r w:rsidR="00760A2A">
        <w:rPr>
          <w:rFonts w:asciiTheme="majorBidi" w:hAnsiTheme="majorBidi" w:cstheme="majorBidi"/>
          <w:sz w:val="24"/>
          <w:szCs w:val="24"/>
        </w:rPr>
        <w:t>in</w:t>
      </w:r>
      <w:r w:rsidR="00821673">
        <w:rPr>
          <w:rFonts w:asciiTheme="majorBidi" w:hAnsiTheme="majorBidi" w:cstheme="majorBidi"/>
          <w:sz w:val="24"/>
          <w:szCs w:val="24"/>
        </w:rPr>
        <w:t xml:space="preserve"> the </w:t>
      </w:r>
      <w:r w:rsidR="00821673" w:rsidRPr="008113B5">
        <w:rPr>
          <w:rFonts w:asciiTheme="majorBidi" w:hAnsiTheme="majorBidi" w:cstheme="majorBidi"/>
          <w:b/>
          <w:bCs/>
          <w:i/>
          <w:iCs/>
          <w:sz w:val="24"/>
          <w:szCs w:val="24"/>
        </w:rPr>
        <w:t>online Appendices 2 and 3</w:t>
      </w:r>
      <w:r w:rsidR="00821673">
        <w:rPr>
          <w:rFonts w:asciiTheme="majorBidi" w:hAnsiTheme="majorBidi" w:cstheme="majorBidi"/>
          <w:sz w:val="24"/>
          <w:szCs w:val="24"/>
        </w:rPr>
        <w:t xml:space="preserve">. </w:t>
      </w:r>
      <w:r w:rsidR="00FD5559">
        <w:rPr>
          <w:rFonts w:asciiTheme="majorBidi" w:hAnsiTheme="majorBidi" w:cstheme="majorBidi"/>
          <w:sz w:val="24"/>
          <w:szCs w:val="24"/>
        </w:rPr>
        <w:t xml:space="preserve">Further, </w:t>
      </w:r>
      <w:r w:rsidR="00760A2A">
        <w:rPr>
          <w:rFonts w:asciiTheme="majorBidi" w:hAnsiTheme="majorBidi" w:cstheme="majorBidi"/>
          <w:sz w:val="24"/>
          <w:szCs w:val="24"/>
        </w:rPr>
        <w:t>to</w:t>
      </w:r>
      <w:r w:rsidR="00FD5559">
        <w:rPr>
          <w:rFonts w:asciiTheme="majorBidi" w:hAnsiTheme="majorBidi" w:cstheme="majorBidi"/>
          <w:sz w:val="24"/>
          <w:szCs w:val="24"/>
        </w:rPr>
        <w:t xml:space="preserve"> check the existence of any non-linearity</w:t>
      </w:r>
      <w:r w:rsidR="005A0729">
        <w:rPr>
          <w:rFonts w:asciiTheme="majorBidi" w:hAnsiTheme="majorBidi" w:cstheme="majorBidi"/>
          <w:sz w:val="24"/>
          <w:szCs w:val="24"/>
        </w:rPr>
        <w:t>/</w:t>
      </w:r>
      <w:r w:rsidR="00FD5559">
        <w:rPr>
          <w:rFonts w:asciiTheme="majorBidi" w:hAnsiTheme="majorBidi" w:cstheme="majorBidi"/>
          <w:sz w:val="24"/>
          <w:szCs w:val="24"/>
        </w:rPr>
        <w:t xml:space="preserve">multicollinearity problems, we run both </w:t>
      </w:r>
      <w:r w:rsidR="00FD5559">
        <w:rPr>
          <w:rFonts w:asciiTheme="majorBidi" w:hAnsiTheme="majorBidi" w:cstheme="majorBidi"/>
          <w:i/>
          <w:iCs/>
          <w:sz w:val="24"/>
          <w:szCs w:val="24"/>
        </w:rPr>
        <w:t xml:space="preserve">Pearson </w:t>
      </w:r>
      <w:r w:rsidR="00FD5559">
        <w:rPr>
          <w:rFonts w:asciiTheme="majorBidi" w:hAnsiTheme="majorBidi" w:cstheme="majorBidi"/>
          <w:sz w:val="24"/>
          <w:szCs w:val="24"/>
        </w:rPr>
        <w:t xml:space="preserve">and </w:t>
      </w:r>
      <w:r w:rsidR="00FD5559">
        <w:rPr>
          <w:rFonts w:asciiTheme="majorBidi" w:hAnsiTheme="majorBidi" w:cstheme="majorBidi"/>
          <w:i/>
          <w:iCs/>
          <w:sz w:val="24"/>
          <w:szCs w:val="24"/>
        </w:rPr>
        <w:t xml:space="preserve">Spearman </w:t>
      </w:r>
      <w:r w:rsidR="00FD5559">
        <w:rPr>
          <w:rFonts w:asciiTheme="majorBidi" w:hAnsiTheme="majorBidi" w:cstheme="majorBidi"/>
          <w:sz w:val="24"/>
          <w:szCs w:val="24"/>
        </w:rPr>
        <w:t>correlation matrices and the results generally indicate that</w:t>
      </w:r>
      <w:r w:rsidR="00FD5559" w:rsidRPr="00FD5559">
        <w:rPr>
          <w:rFonts w:asciiTheme="majorBidi" w:hAnsiTheme="majorBidi" w:cstheme="majorBidi"/>
          <w:sz w:val="24"/>
          <w:szCs w:val="24"/>
        </w:rPr>
        <w:t xml:space="preserve"> our data does not appear to suffer from any serious non-linearity</w:t>
      </w:r>
      <w:r w:rsidR="005A0729">
        <w:rPr>
          <w:rFonts w:asciiTheme="majorBidi" w:hAnsiTheme="majorBidi" w:cstheme="majorBidi"/>
          <w:sz w:val="24"/>
          <w:szCs w:val="24"/>
        </w:rPr>
        <w:t>/</w:t>
      </w:r>
      <w:r w:rsidR="00FD5559">
        <w:rPr>
          <w:rFonts w:asciiTheme="majorBidi" w:hAnsiTheme="majorBidi" w:cstheme="majorBidi"/>
          <w:sz w:val="24"/>
          <w:szCs w:val="24"/>
        </w:rPr>
        <w:t xml:space="preserve">multicollinearity </w:t>
      </w:r>
      <w:r w:rsidR="00FD5559" w:rsidRPr="00FD5559">
        <w:rPr>
          <w:rFonts w:asciiTheme="majorBidi" w:hAnsiTheme="majorBidi" w:cstheme="majorBidi"/>
          <w:sz w:val="24"/>
          <w:szCs w:val="24"/>
        </w:rPr>
        <w:t>problems</w:t>
      </w:r>
      <w:r w:rsidR="00FD5559">
        <w:rPr>
          <w:rFonts w:asciiTheme="majorBidi" w:hAnsiTheme="majorBidi" w:cstheme="majorBidi"/>
          <w:sz w:val="24"/>
          <w:szCs w:val="24"/>
        </w:rPr>
        <w:t xml:space="preserve"> (see </w:t>
      </w:r>
      <w:r w:rsidR="00FD5559" w:rsidRPr="008113B5">
        <w:rPr>
          <w:rFonts w:asciiTheme="majorBidi" w:hAnsiTheme="majorBidi" w:cstheme="majorBidi"/>
          <w:b/>
          <w:bCs/>
          <w:i/>
          <w:iCs/>
          <w:sz w:val="24"/>
          <w:szCs w:val="24"/>
        </w:rPr>
        <w:t>the online Appendix 4</w:t>
      </w:r>
      <w:r w:rsidR="00886142">
        <w:rPr>
          <w:rFonts w:asciiTheme="majorBidi" w:hAnsiTheme="majorBidi" w:cstheme="majorBidi"/>
          <w:sz w:val="24"/>
          <w:szCs w:val="24"/>
        </w:rPr>
        <w:t xml:space="preserve"> for </w:t>
      </w:r>
      <w:r w:rsidR="00997EFB">
        <w:rPr>
          <w:rFonts w:asciiTheme="majorBidi" w:hAnsiTheme="majorBidi" w:cstheme="majorBidi"/>
          <w:sz w:val="24"/>
          <w:szCs w:val="24"/>
        </w:rPr>
        <w:t>detailed</w:t>
      </w:r>
      <w:r w:rsidR="00886142">
        <w:rPr>
          <w:rFonts w:asciiTheme="majorBidi" w:hAnsiTheme="majorBidi" w:cstheme="majorBidi"/>
          <w:sz w:val="24"/>
          <w:szCs w:val="24"/>
        </w:rPr>
        <w:t xml:space="preserve"> </w:t>
      </w:r>
      <w:r w:rsidR="00997EFB">
        <w:rPr>
          <w:rFonts w:asciiTheme="majorBidi" w:hAnsiTheme="majorBidi" w:cstheme="majorBidi"/>
          <w:sz w:val="24"/>
          <w:szCs w:val="24"/>
        </w:rPr>
        <w:t>discussion/</w:t>
      </w:r>
      <w:r w:rsidR="00886142">
        <w:rPr>
          <w:rFonts w:asciiTheme="majorBidi" w:hAnsiTheme="majorBidi" w:cstheme="majorBidi"/>
          <w:sz w:val="24"/>
          <w:szCs w:val="24"/>
        </w:rPr>
        <w:t>results)</w:t>
      </w:r>
      <w:r w:rsidR="00FD5559" w:rsidRPr="00FD5559">
        <w:rPr>
          <w:rFonts w:asciiTheme="majorBidi" w:hAnsiTheme="majorBidi" w:cstheme="majorBidi"/>
          <w:sz w:val="24"/>
          <w:szCs w:val="24"/>
        </w:rPr>
        <w:t>.</w:t>
      </w:r>
    </w:p>
    <w:p w14:paraId="106DC81B" w14:textId="77777777" w:rsidR="008113B5" w:rsidRDefault="008113B5" w:rsidP="00D10B19">
      <w:pPr>
        <w:spacing w:line="360" w:lineRule="auto"/>
        <w:jc w:val="both"/>
        <w:rPr>
          <w:rFonts w:ascii="Times New Roman" w:eastAsia="Calibri" w:hAnsi="Times New Roman" w:cs="Times New Roman"/>
          <w:bCs/>
          <w:sz w:val="24"/>
          <w:szCs w:val="24"/>
        </w:rPr>
      </w:pPr>
    </w:p>
    <w:p w14:paraId="1CF073A3" w14:textId="0387EBCD" w:rsidR="00DD2E8A" w:rsidRPr="003026CF" w:rsidRDefault="003026CF" w:rsidP="00D10B19">
      <w:pPr>
        <w:spacing w:line="360" w:lineRule="auto"/>
        <w:jc w:val="both"/>
        <w:rPr>
          <w:rFonts w:asciiTheme="majorBidi" w:hAnsiTheme="majorBidi" w:cstheme="majorBidi"/>
          <w:b/>
          <w:bCs/>
          <w:i/>
          <w:sz w:val="24"/>
          <w:szCs w:val="24"/>
        </w:rPr>
      </w:pPr>
      <w:r w:rsidRPr="003026CF">
        <w:rPr>
          <w:rFonts w:asciiTheme="majorBidi" w:hAnsiTheme="majorBidi" w:cstheme="majorBidi"/>
          <w:b/>
          <w:bCs/>
          <w:i/>
          <w:sz w:val="24"/>
          <w:szCs w:val="24"/>
        </w:rPr>
        <w:t>Multivariate a</w:t>
      </w:r>
      <w:r w:rsidR="00DD2E8A" w:rsidRPr="003026CF">
        <w:rPr>
          <w:rFonts w:asciiTheme="majorBidi" w:hAnsiTheme="majorBidi" w:cstheme="majorBidi"/>
          <w:b/>
          <w:bCs/>
          <w:i/>
          <w:sz w:val="24"/>
          <w:szCs w:val="24"/>
        </w:rPr>
        <w:t>nalyses</w:t>
      </w:r>
    </w:p>
    <w:p w14:paraId="0409D500" w14:textId="28317F96" w:rsidR="00B914FE" w:rsidRDefault="00AA5A4E" w:rsidP="00C54370">
      <w:pPr>
        <w:spacing w:line="360" w:lineRule="auto"/>
        <w:jc w:val="both"/>
        <w:rPr>
          <w:rFonts w:asciiTheme="majorBidi" w:hAnsiTheme="majorBidi" w:cstheme="majorBidi"/>
          <w:bCs/>
          <w:i/>
          <w:iCs/>
          <w:sz w:val="24"/>
          <w:szCs w:val="24"/>
        </w:rPr>
      </w:pPr>
      <w:r>
        <w:rPr>
          <w:rFonts w:asciiTheme="majorBidi" w:hAnsiTheme="majorBidi" w:cstheme="majorBidi"/>
          <w:bCs/>
          <w:i/>
          <w:iCs/>
          <w:sz w:val="24"/>
          <w:szCs w:val="24"/>
        </w:rPr>
        <w:t xml:space="preserve">HEIs long- and short-term performance and VC pay </w:t>
      </w:r>
    </w:p>
    <w:p w14:paraId="1AA5F956" w14:textId="1842EEAC" w:rsidR="006D1CFB" w:rsidRDefault="003E1C7A" w:rsidP="00FA3FB1">
      <w:pPr>
        <w:spacing w:after="0" w:line="480" w:lineRule="auto"/>
        <w:jc w:val="both"/>
        <w:rPr>
          <w:rFonts w:asciiTheme="majorBidi" w:hAnsiTheme="majorBidi" w:cstheme="majorBidi"/>
          <w:sz w:val="24"/>
          <w:szCs w:val="24"/>
        </w:rPr>
      </w:pPr>
      <w:r w:rsidRPr="00511F36">
        <w:rPr>
          <w:rFonts w:asciiTheme="majorBidi" w:hAnsiTheme="majorBidi" w:cstheme="majorBidi"/>
          <w:sz w:val="24"/>
          <w:szCs w:val="24"/>
        </w:rPr>
        <w:t xml:space="preserve">Table </w:t>
      </w:r>
      <w:r w:rsidR="00C72DE6">
        <w:rPr>
          <w:rFonts w:asciiTheme="majorBidi" w:hAnsiTheme="majorBidi" w:cstheme="majorBidi"/>
          <w:sz w:val="24"/>
          <w:szCs w:val="24"/>
        </w:rPr>
        <w:t>2</w:t>
      </w:r>
      <w:r w:rsidRPr="00511F36">
        <w:rPr>
          <w:rFonts w:asciiTheme="majorBidi" w:hAnsiTheme="majorBidi" w:cstheme="majorBidi"/>
          <w:sz w:val="24"/>
          <w:szCs w:val="24"/>
        </w:rPr>
        <w:t xml:space="preserve"> </w:t>
      </w:r>
      <w:r w:rsidRPr="00887D5D">
        <w:rPr>
          <w:rFonts w:asciiTheme="majorBidi" w:hAnsiTheme="majorBidi" w:cstheme="majorBidi"/>
          <w:sz w:val="24"/>
          <w:szCs w:val="24"/>
        </w:rPr>
        <w:t xml:space="preserve">presents the multivariate regression </w:t>
      </w:r>
      <w:r>
        <w:rPr>
          <w:rFonts w:asciiTheme="majorBidi" w:hAnsiTheme="majorBidi" w:cstheme="majorBidi"/>
          <w:sz w:val="24"/>
          <w:szCs w:val="24"/>
        </w:rPr>
        <w:t>estimates of the effect of UK HEIs’ long-term (</w:t>
      </w:r>
      <w:r w:rsidR="009A1ABD">
        <w:rPr>
          <w:rFonts w:asciiTheme="majorBidi" w:hAnsiTheme="majorBidi" w:cstheme="majorBidi"/>
          <w:sz w:val="24"/>
          <w:szCs w:val="24"/>
        </w:rPr>
        <w:t>student</w:t>
      </w:r>
      <w:r w:rsidR="003D3374">
        <w:rPr>
          <w:rFonts w:asciiTheme="majorBidi" w:hAnsiTheme="majorBidi" w:cstheme="majorBidi"/>
          <w:sz w:val="24"/>
          <w:szCs w:val="24"/>
        </w:rPr>
        <w:t>s’</w:t>
      </w:r>
      <w:r w:rsidR="009A1ABD">
        <w:rPr>
          <w:rFonts w:asciiTheme="majorBidi" w:hAnsiTheme="majorBidi" w:cstheme="majorBidi"/>
          <w:sz w:val="24"/>
          <w:szCs w:val="24"/>
        </w:rPr>
        <w:t xml:space="preserve"> </w:t>
      </w:r>
      <w:r>
        <w:rPr>
          <w:rFonts w:asciiTheme="majorBidi" w:hAnsiTheme="majorBidi" w:cstheme="majorBidi"/>
          <w:sz w:val="24"/>
          <w:szCs w:val="24"/>
        </w:rPr>
        <w:t>non-continuation in HEI</w:t>
      </w:r>
      <w:r w:rsidR="009A1ABD">
        <w:rPr>
          <w:rFonts w:asciiTheme="majorBidi" w:hAnsiTheme="majorBidi" w:cstheme="majorBidi"/>
          <w:sz w:val="24"/>
          <w:szCs w:val="24"/>
        </w:rPr>
        <w:t xml:space="preserve"> and community/social contributions</w:t>
      </w:r>
      <w:r>
        <w:rPr>
          <w:rFonts w:asciiTheme="majorBidi" w:hAnsiTheme="majorBidi" w:cstheme="majorBidi"/>
          <w:sz w:val="24"/>
          <w:szCs w:val="24"/>
        </w:rPr>
        <w:t>) and short-term (</w:t>
      </w:r>
      <w:r w:rsidR="00702E06" w:rsidRPr="00702E06">
        <w:rPr>
          <w:rFonts w:asciiTheme="majorBidi" w:hAnsiTheme="majorBidi" w:cstheme="majorBidi"/>
          <w:bCs/>
          <w:i/>
          <w:iCs/>
          <w:sz w:val="24"/>
          <w:szCs w:val="24"/>
        </w:rPr>
        <w:t>QS</w:t>
      </w:r>
      <w:r w:rsidR="00702E06" w:rsidRPr="00702E06">
        <w:rPr>
          <w:rFonts w:asciiTheme="majorBidi" w:hAnsiTheme="majorBidi" w:cstheme="majorBidi"/>
          <w:bCs/>
          <w:sz w:val="24"/>
          <w:szCs w:val="24"/>
        </w:rPr>
        <w:t xml:space="preserve"> and </w:t>
      </w:r>
      <w:r w:rsidR="00702E06" w:rsidRPr="00702E06">
        <w:rPr>
          <w:rFonts w:asciiTheme="majorBidi" w:hAnsiTheme="majorBidi" w:cstheme="majorBidi"/>
          <w:i/>
          <w:iCs/>
          <w:sz w:val="24"/>
          <w:szCs w:val="24"/>
        </w:rPr>
        <w:t>THE</w:t>
      </w:r>
      <w:r w:rsidR="00702E06" w:rsidRPr="00702E06">
        <w:rPr>
          <w:rFonts w:asciiTheme="majorBidi" w:hAnsiTheme="majorBidi" w:cstheme="majorBidi"/>
          <w:sz w:val="24"/>
          <w:szCs w:val="24"/>
        </w:rPr>
        <w:t xml:space="preserve"> world university rankings</w:t>
      </w:r>
      <w:r>
        <w:rPr>
          <w:rFonts w:asciiTheme="majorBidi" w:hAnsiTheme="majorBidi" w:cstheme="majorBidi"/>
          <w:sz w:val="24"/>
          <w:szCs w:val="24"/>
        </w:rPr>
        <w:t>)</w:t>
      </w:r>
      <w:r w:rsidR="00890AB4">
        <w:rPr>
          <w:rFonts w:asciiTheme="majorBidi" w:hAnsiTheme="majorBidi" w:cstheme="majorBidi"/>
          <w:sz w:val="24"/>
          <w:szCs w:val="24"/>
        </w:rPr>
        <w:t xml:space="preserve"> performance</w:t>
      </w:r>
      <w:r>
        <w:rPr>
          <w:rFonts w:asciiTheme="majorBidi" w:hAnsiTheme="majorBidi" w:cstheme="majorBidi"/>
          <w:sz w:val="24"/>
          <w:szCs w:val="24"/>
        </w:rPr>
        <w:t xml:space="preserve"> on V</w:t>
      </w:r>
      <w:r w:rsidR="00890AB4">
        <w:rPr>
          <w:rFonts w:asciiTheme="majorBidi" w:hAnsiTheme="majorBidi" w:cstheme="majorBidi"/>
          <w:sz w:val="24"/>
          <w:szCs w:val="24"/>
        </w:rPr>
        <w:t>C pay</w:t>
      </w:r>
      <w:r w:rsidR="00A27735">
        <w:rPr>
          <w:rFonts w:asciiTheme="majorBidi" w:hAnsiTheme="majorBidi" w:cstheme="majorBidi"/>
          <w:sz w:val="24"/>
          <w:szCs w:val="24"/>
        </w:rPr>
        <w:t xml:space="preserve"> (basic/non-basic/total)</w:t>
      </w:r>
      <w:r w:rsidR="00D95369">
        <w:rPr>
          <w:rStyle w:val="FootnoteReference"/>
          <w:rFonts w:asciiTheme="majorBidi" w:hAnsiTheme="majorBidi" w:cstheme="majorBidi"/>
          <w:sz w:val="24"/>
          <w:szCs w:val="24"/>
        </w:rPr>
        <w:footnoteReference w:id="6"/>
      </w:r>
      <w:r w:rsidR="00890AB4">
        <w:rPr>
          <w:rFonts w:asciiTheme="majorBidi" w:hAnsiTheme="majorBidi" w:cstheme="majorBidi"/>
          <w:sz w:val="24"/>
          <w:szCs w:val="24"/>
        </w:rPr>
        <w:t xml:space="preserve">. </w:t>
      </w:r>
      <w:r w:rsidR="00890AB4" w:rsidRPr="00887D5D">
        <w:rPr>
          <w:rFonts w:asciiTheme="majorBidi" w:hAnsiTheme="majorBidi" w:cstheme="majorBidi"/>
          <w:sz w:val="24"/>
          <w:szCs w:val="24"/>
        </w:rPr>
        <w:t xml:space="preserve">Overall, the </w:t>
      </w:r>
      <w:r w:rsidR="00890AB4">
        <w:rPr>
          <w:rFonts w:asciiTheme="majorBidi" w:hAnsiTheme="majorBidi" w:cstheme="majorBidi"/>
          <w:sz w:val="24"/>
          <w:szCs w:val="24"/>
        </w:rPr>
        <w:t xml:space="preserve">obtained </w:t>
      </w:r>
      <w:r w:rsidR="00890AB4" w:rsidRPr="00887D5D">
        <w:rPr>
          <w:rFonts w:asciiTheme="majorBidi" w:hAnsiTheme="majorBidi" w:cstheme="majorBidi"/>
          <w:sz w:val="24"/>
          <w:szCs w:val="24"/>
        </w:rPr>
        <w:t xml:space="preserve">results </w:t>
      </w:r>
      <w:r w:rsidR="00890AB4">
        <w:rPr>
          <w:rFonts w:asciiTheme="majorBidi" w:hAnsiTheme="majorBidi" w:cstheme="majorBidi"/>
          <w:sz w:val="24"/>
          <w:szCs w:val="24"/>
        </w:rPr>
        <w:t>show</w:t>
      </w:r>
      <w:r w:rsidR="00890AB4" w:rsidRPr="00887D5D">
        <w:rPr>
          <w:rFonts w:asciiTheme="majorBidi" w:hAnsiTheme="majorBidi" w:cstheme="majorBidi"/>
          <w:sz w:val="24"/>
          <w:szCs w:val="24"/>
        </w:rPr>
        <w:t xml:space="preserve"> that </w:t>
      </w:r>
      <w:r w:rsidR="00890AB4">
        <w:rPr>
          <w:rFonts w:asciiTheme="majorBidi" w:hAnsiTheme="majorBidi" w:cstheme="majorBidi"/>
          <w:sz w:val="24"/>
          <w:szCs w:val="24"/>
        </w:rPr>
        <w:t xml:space="preserve">long- and short-terms performance indicators </w:t>
      </w:r>
      <w:r w:rsidR="00890AB4" w:rsidRPr="00887D5D">
        <w:rPr>
          <w:rFonts w:asciiTheme="majorBidi" w:hAnsiTheme="majorBidi" w:cstheme="majorBidi"/>
          <w:sz w:val="24"/>
          <w:szCs w:val="24"/>
        </w:rPr>
        <w:t xml:space="preserve">are </w:t>
      </w:r>
      <w:r w:rsidR="00890AB4">
        <w:rPr>
          <w:rFonts w:asciiTheme="majorBidi" w:hAnsiTheme="majorBidi" w:cstheme="majorBidi"/>
          <w:sz w:val="24"/>
          <w:szCs w:val="24"/>
        </w:rPr>
        <w:t xml:space="preserve">important in explaining the observed differences in the VC pay. </w:t>
      </w:r>
    </w:p>
    <w:p w14:paraId="37B6E5FA" w14:textId="5ACAF3C8" w:rsidR="009810AC" w:rsidRPr="009810AC" w:rsidRDefault="00890AB4" w:rsidP="00770A0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First, </w:t>
      </w:r>
      <w:r w:rsidR="009810AC" w:rsidRPr="009810AC">
        <w:rPr>
          <w:rFonts w:asciiTheme="majorBidi" w:hAnsiTheme="majorBidi" w:cstheme="majorBidi"/>
          <w:sz w:val="24"/>
          <w:szCs w:val="24"/>
        </w:rPr>
        <w:t xml:space="preserve">and </w:t>
      </w:r>
      <w:proofErr w:type="gramStart"/>
      <w:r w:rsidR="009810AC" w:rsidRPr="009810AC">
        <w:rPr>
          <w:rFonts w:asciiTheme="majorBidi" w:hAnsiTheme="majorBidi" w:cstheme="majorBidi"/>
          <w:sz w:val="24"/>
          <w:szCs w:val="24"/>
        </w:rPr>
        <w:t>with regard to</w:t>
      </w:r>
      <w:proofErr w:type="gramEnd"/>
      <w:r w:rsidR="009810AC" w:rsidRPr="009810AC">
        <w:rPr>
          <w:rFonts w:asciiTheme="majorBidi" w:hAnsiTheme="majorBidi" w:cstheme="majorBidi"/>
          <w:sz w:val="24"/>
          <w:szCs w:val="24"/>
        </w:rPr>
        <w:t xml:space="preserve"> the impact of long-term </w:t>
      </w:r>
      <w:r w:rsidR="00B546BB">
        <w:rPr>
          <w:rFonts w:asciiTheme="majorBidi" w:hAnsiTheme="majorBidi" w:cstheme="majorBidi"/>
          <w:sz w:val="24"/>
          <w:szCs w:val="24"/>
        </w:rPr>
        <w:t xml:space="preserve">social </w:t>
      </w:r>
      <w:r w:rsidR="009810AC" w:rsidRPr="009810AC">
        <w:rPr>
          <w:rFonts w:asciiTheme="majorBidi" w:hAnsiTheme="majorBidi" w:cstheme="majorBidi"/>
          <w:sz w:val="24"/>
          <w:szCs w:val="24"/>
        </w:rPr>
        <w:t xml:space="preserve">performance on VC pay, the reported results in Models </w:t>
      </w:r>
      <w:r w:rsidR="009810AC">
        <w:rPr>
          <w:rFonts w:asciiTheme="majorBidi" w:hAnsiTheme="majorBidi" w:cstheme="majorBidi"/>
          <w:sz w:val="24"/>
          <w:szCs w:val="24"/>
        </w:rPr>
        <w:t>1</w:t>
      </w:r>
      <w:r w:rsidR="00770A0B">
        <w:rPr>
          <w:rFonts w:asciiTheme="majorBidi" w:hAnsiTheme="majorBidi" w:cstheme="majorBidi"/>
          <w:sz w:val="24"/>
          <w:szCs w:val="24"/>
        </w:rPr>
        <w:t>–</w:t>
      </w:r>
      <w:r w:rsidR="009810AC">
        <w:rPr>
          <w:rFonts w:asciiTheme="majorBidi" w:hAnsiTheme="majorBidi" w:cstheme="majorBidi"/>
          <w:sz w:val="24"/>
          <w:szCs w:val="24"/>
        </w:rPr>
        <w:t>6</w:t>
      </w:r>
      <w:r w:rsidR="009810AC" w:rsidRPr="009810AC">
        <w:rPr>
          <w:rFonts w:asciiTheme="majorBidi" w:hAnsiTheme="majorBidi" w:cstheme="majorBidi"/>
          <w:sz w:val="24"/>
          <w:szCs w:val="24"/>
        </w:rPr>
        <w:t xml:space="preserve"> of Table </w:t>
      </w:r>
      <w:r w:rsidR="00C72DE6">
        <w:rPr>
          <w:rFonts w:asciiTheme="majorBidi" w:hAnsiTheme="majorBidi" w:cstheme="majorBidi"/>
          <w:sz w:val="24"/>
          <w:szCs w:val="24"/>
        </w:rPr>
        <w:t>2</w:t>
      </w:r>
      <w:r w:rsidR="009810AC" w:rsidRPr="009810AC">
        <w:rPr>
          <w:rFonts w:asciiTheme="majorBidi" w:hAnsiTheme="majorBidi" w:cstheme="majorBidi"/>
          <w:sz w:val="24"/>
          <w:szCs w:val="24"/>
        </w:rPr>
        <w:t xml:space="preserve"> indicate that HEIs that focus on </w:t>
      </w:r>
      <w:r w:rsidR="00391AC1">
        <w:rPr>
          <w:rFonts w:asciiTheme="majorBidi" w:hAnsiTheme="majorBidi" w:cstheme="majorBidi"/>
          <w:sz w:val="24"/>
          <w:szCs w:val="24"/>
        </w:rPr>
        <w:t>setting and meeting</w:t>
      </w:r>
      <w:r w:rsidR="009810AC" w:rsidRPr="009810AC">
        <w:rPr>
          <w:rFonts w:asciiTheme="majorBidi" w:hAnsiTheme="majorBidi" w:cstheme="majorBidi"/>
          <w:sz w:val="24"/>
          <w:szCs w:val="24"/>
        </w:rPr>
        <w:t xml:space="preserve"> long-term performance tend to pay</w:t>
      </w:r>
      <w:r w:rsidR="00F95509">
        <w:rPr>
          <w:rFonts w:asciiTheme="majorBidi" w:hAnsiTheme="majorBidi" w:cstheme="majorBidi"/>
          <w:sz w:val="24"/>
          <w:szCs w:val="24"/>
        </w:rPr>
        <w:t xml:space="preserve"> (basic/non-basic/total)</w:t>
      </w:r>
      <w:r w:rsidR="009810AC" w:rsidRPr="009810AC">
        <w:rPr>
          <w:rFonts w:asciiTheme="majorBidi" w:hAnsiTheme="majorBidi" w:cstheme="majorBidi"/>
          <w:sz w:val="24"/>
          <w:szCs w:val="24"/>
        </w:rPr>
        <w:t xml:space="preserve"> their VCs significantly lower pay packages than their </w:t>
      </w:r>
      <w:r w:rsidR="0029698C">
        <w:rPr>
          <w:rFonts w:asciiTheme="majorBidi" w:hAnsiTheme="majorBidi" w:cstheme="majorBidi"/>
          <w:sz w:val="24"/>
          <w:szCs w:val="24"/>
        </w:rPr>
        <w:t xml:space="preserve">short-term oriented </w:t>
      </w:r>
      <w:r w:rsidR="009810AC" w:rsidRPr="009810AC">
        <w:rPr>
          <w:rFonts w:asciiTheme="majorBidi" w:hAnsiTheme="majorBidi" w:cstheme="majorBidi"/>
          <w:sz w:val="24"/>
          <w:szCs w:val="24"/>
        </w:rPr>
        <w:t xml:space="preserve">counterparts. Specifically, the reported results in Models </w:t>
      </w:r>
      <w:r w:rsidR="009810AC">
        <w:rPr>
          <w:rFonts w:asciiTheme="majorBidi" w:hAnsiTheme="majorBidi" w:cstheme="majorBidi"/>
          <w:sz w:val="24"/>
          <w:szCs w:val="24"/>
        </w:rPr>
        <w:t>1</w:t>
      </w:r>
      <w:r w:rsidR="00770A0B">
        <w:rPr>
          <w:rFonts w:asciiTheme="majorBidi" w:hAnsiTheme="majorBidi" w:cstheme="majorBidi"/>
          <w:sz w:val="24"/>
          <w:szCs w:val="24"/>
        </w:rPr>
        <w:t>–</w:t>
      </w:r>
      <w:r w:rsidR="009810AC">
        <w:rPr>
          <w:rFonts w:asciiTheme="majorBidi" w:hAnsiTheme="majorBidi" w:cstheme="majorBidi"/>
          <w:sz w:val="24"/>
          <w:szCs w:val="24"/>
        </w:rPr>
        <w:t>3</w:t>
      </w:r>
      <w:r w:rsidR="009810AC" w:rsidRPr="009810AC">
        <w:rPr>
          <w:rFonts w:asciiTheme="majorBidi" w:hAnsiTheme="majorBidi" w:cstheme="majorBidi"/>
          <w:sz w:val="24"/>
          <w:szCs w:val="24"/>
        </w:rPr>
        <w:t xml:space="preserve"> in Table </w:t>
      </w:r>
      <w:r w:rsidR="00C72DE6">
        <w:rPr>
          <w:rFonts w:asciiTheme="majorBidi" w:hAnsiTheme="majorBidi" w:cstheme="majorBidi"/>
          <w:sz w:val="24"/>
          <w:szCs w:val="24"/>
        </w:rPr>
        <w:t>2</w:t>
      </w:r>
      <w:r w:rsidR="009810AC" w:rsidRPr="009810AC">
        <w:rPr>
          <w:rFonts w:asciiTheme="majorBidi" w:hAnsiTheme="majorBidi" w:cstheme="majorBidi"/>
          <w:sz w:val="24"/>
          <w:szCs w:val="24"/>
        </w:rPr>
        <w:t xml:space="preserve"> indicate that student non-continuation in HE is negatively and significantly associated with VC pay, which</w:t>
      </w:r>
      <w:r w:rsidR="00B546BB">
        <w:rPr>
          <w:rFonts w:asciiTheme="majorBidi" w:hAnsiTheme="majorBidi" w:cstheme="majorBidi"/>
          <w:sz w:val="24"/>
          <w:szCs w:val="24"/>
        </w:rPr>
        <w:t xml:space="preserve"> offers new evidence that</w:t>
      </w:r>
      <w:r w:rsidR="009810AC" w:rsidRPr="009810AC">
        <w:rPr>
          <w:rFonts w:asciiTheme="majorBidi" w:hAnsiTheme="majorBidi" w:cstheme="majorBidi"/>
          <w:sz w:val="24"/>
          <w:szCs w:val="24"/>
        </w:rPr>
        <w:t xml:space="preserve"> </w:t>
      </w:r>
      <w:r w:rsidR="0029698C">
        <w:rPr>
          <w:rFonts w:asciiTheme="majorBidi" w:hAnsiTheme="majorBidi" w:cstheme="majorBidi"/>
          <w:sz w:val="24"/>
          <w:szCs w:val="24"/>
        </w:rPr>
        <w:t xml:space="preserve">is </w:t>
      </w:r>
      <w:r w:rsidR="009810AC" w:rsidRPr="009810AC">
        <w:rPr>
          <w:rFonts w:asciiTheme="majorBidi" w:hAnsiTheme="majorBidi" w:cstheme="majorBidi"/>
          <w:sz w:val="24"/>
          <w:szCs w:val="24"/>
        </w:rPr>
        <w:t xml:space="preserve">in line with </w:t>
      </w:r>
      <w:r w:rsidR="009810AC" w:rsidRPr="009810AC">
        <w:rPr>
          <w:rFonts w:asciiTheme="majorBidi" w:hAnsiTheme="majorBidi" w:cstheme="majorBidi"/>
          <w:i/>
          <w:iCs/>
          <w:sz w:val="24"/>
          <w:szCs w:val="24"/>
        </w:rPr>
        <w:t>H1</w:t>
      </w:r>
      <w:r w:rsidR="009810AC">
        <w:rPr>
          <w:rFonts w:asciiTheme="majorBidi" w:hAnsiTheme="majorBidi" w:cstheme="majorBidi"/>
          <w:i/>
          <w:iCs/>
          <w:sz w:val="24"/>
          <w:szCs w:val="24"/>
        </w:rPr>
        <w:t>a</w:t>
      </w:r>
      <w:r w:rsidR="009810AC" w:rsidRPr="009810AC">
        <w:rPr>
          <w:rFonts w:asciiTheme="majorBidi" w:hAnsiTheme="majorBidi" w:cstheme="majorBidi"/>
          <w:sz w:val="24"/>
          <w:szCs w:val="24"/>
        </w:rPr>
        <w:t>,</w:t>
      </w:r>
      <w:r w:rsidR="009810AC" w:rsidRPr="009810AC">
        <w:rPr>
          <w:rFonts w:asciiTheme="majorBidi" w:hAnsiTheme="majorBidi" w:cstheme="majorBidi"/>
          <w:i/>
          <w:iCs/>
          <w:sz w:val="24"/>
          <w:szCs w:val="24"/>
        </w:rPr>
        <w:t xml:space="preserve"> </w:t>
      </w:r>
      <w:r w:rsidR="009810AC" w:rsidRPr="009810AC">
        <w:rPr>
          <w:rFonts w:asciiTheme="majorBidi" w:hAnsiTheme="majorBidi" w:cstheme="majorBidi"/>
          <w:sz w:val="24"/>
          <w:szCs w:val="24"/>
        </w:rPr>
        <w:t>and the predictions of PT that HEIs</w:t>
      </w:r>
      <w:r w:rsidR="00C05E27">
        <w:rPr>
          <w:rFonts w:asciiTheme="majorBidi" w:hAnsiTheme="majorBidi" w:cstheme="majorBidi"/>
          <w:sz w:val="24"/>
          <w:szCs w:val="24"/>
        </w:rPr>
        <w:t xml:space="preserve"> with long-term orientation </w:t>
      </w:r>
      <w:r w:rsidR="00310C3D">
        <w:rPr>
          <w:rFonts w:asciiTheme="majorBidi" w:hAnsiTheme="majorBidi" w:cstheme="majorBidi"/>
          <w:sz w:val="24"/>
          <w:szCs w:val="24"/>
        </w:rPr>
        <w:t>are likely to</w:t>
      </w:r>
      <w:r w:rsidR="009810AC" w:rsidRPr="009810AC">
        <w:rPr>
          <w:rFonts w:asciiTheme="majorBidi" w:hAnsiTheme="majorBidi" w:cstheme="majorBidi"/>
          <w:sz w:val="24"/>
          <w:szCs w:val="24"/>
        </w:rPr>
        <w:t xml:space="preserve"> have strong incentive to </w:t>
      </w:r>
      <w:r w:rsidR="001A6273">
        <w:rPr>
          <w:rFonts w:asciiTheme="majorBidi" w:hAnsiTheme="majorBidi" w:cstheme="majorBidi"/>
          <w:sz w:val="24"/>
          <w:szCs w:val="24"/>
        </w:rPr>
        <w:t xml:space="preserve">invest </w:t>
      </w:r>
      <w:proofErr w:type="gramStart"/>
      <w:r w:rsidR="001A6273">
        <w:rPr>
          <w:rFonts w:asciiTheme="majorBidi" w:hAnsiTheme="majorBidi" w:cstheme="majorBidi"/>
          <w:sz w:val="24"/>
          <w:szCs w:val="24"/>
        </w:rPr>
        <w:t>in order to</w:t>
      </w:r>
      <w:proofErr w:type="gramEnd"/>
      <w:r w:rsidR="001A6273">
        <w:rPr>
          <w:rFonts w:asciiTheme="majorBidi" w:hAnsiTheme="majorBidi" w:cstheme="majorBidi"/>
          <w:sz w:val="24"/>
          <w:szCs w:val="24"/>
        </w:rPr>
        <w:t xml:space="preserve"> </w:t>
      </w:r>
      <w:r w:rsidR="009810AC" w:rsidRPr="009810AC">
        <w:rPr>
          <w:rFonts w:asciiTheme="majorBidi" w:hAnsiTheme="majorBidi" w:cstheme="majorBidi"/>
          <w:sz w:val="24"/>
          <w:szCs w:val="24"/>
        </w:rPr>
        <w:t>improve student retention and continuation rates</w:t>
      </w:r>
      <w:r w:rsidR="00D05818">
        <w:rPr>
          <w:rFonts w:asciiTheme="majorBidi" w:hAnsiTheme="majorBidi" w:cstheme="majorBidi"/>
          <w:sz w:val="24"/>
          <w:szCs w:val="24"/>
        </w:rPr>
        <w:t>.</w:t>
      </w:r>
      <w:r w:rsidR="009810AC" w:rsidRPr="009810AC">
        <w:rPr>
          <w:rFonts w:asciiTheme="majorBidi" w:hAnsiTheme="majorBidi" w:cstheme="majorBidi"/>
          <w:sz w:val="24"/>
          <w:szCs w:val="24"/>
        </w:rPr>
        <w:t xml:space="preserve"> </w:t>
      </w:r>
      <w:r w:rsidR="00D05818">
        <w:rPr>
          <w:rFonts w:asciiTheme="majorBidi" w:hAnsiTheme="majorBidi" w:cstheme="majorBidi"/>
          <w:sz w:val="24"/>
          <w:szCs w:val="24"/>
        </w:rPr>
        <w:t>This can</w:t>
      </w:r>
      <w:r w:rsidR="009810AC" w:rsidRPr="009810AC">
        <w:rPr>
          <w:rFonts w:asciiTheme="majorBidi" w:hAnsiTheme="majorBidi" w:cstheme="majorBidi"/>
          <w:sz w:val="24"/>
          <w:szCs w:val="24"/>
        </w:rPr>
        <w:t xml:space="preserve"> boost their reputation, as well as attract more </w:t>
      </w:r>
      <w:r w:rsidR="003F7879">
        <w:rPr>
          <w:rFonts w:asciiTheme="majorBidi" w:hAnsiTheme="majorBidi" w:cstheme="majorBidi"/>
          <w:sz w:val="24"/>
          <w:szCs w:val="24"/>
        </w:rPr>
        <w:t xml:space="preserve">future </w:t>
      </w:r>
      <w:r w:rsidR="009810AC" w:rsidRPr="009810AC">
        <w:rPr>
          <w:rFonts w:asciiTheme="majorBidi" w:hAnsiTheme="majorBidi" w:cstheme="majorBidi"/>
          <w:sz w:val="24"/>
          <w:szCs w:val="24"/>
        </w:rPr>
        <w:t>students (</w:t>
      </w:r>
      <w:r w:rsidR="004E7A48" w:rsidRPr="004E7A48">
        <w:rPr>
          <w:rFonts w:asciiTheme="majorBidi" w:hAnsiTheme="majorBidi" w:cstheme="majorBidi"/>
          <w:sz w:val="24"/>
          <w:szCs w:val="24"/>
        </w:rPr>
        <w:t>Geiger</w:t>
      </w:r>
      <w:r w:rsidR="004E7A48">
        <w:rPr>
          <w:rFonts w:asciiTheme="majorBidi" w:hAnsiTheme="majorBidi" w:cstheme="majorBidi"/>
          <w:sz w:val="24"/>
          <w:szCs w:val="24"/>
        </w:rPr>
        <w:t>,</w:t>
      </w:r>
      <w:r w:rsidR="004E7A48" w:rsidRPr="004E7A48">
        <w:rPr>
          <w:rFonts w:asciiTheme="majorBidi" w:hAnsiTheme="majorBidi" w:cstheme="majorBidi"/>
          <w:sz w:val="24"/>
          <w:szCs w:val="24"/>
        </w:rPr>
        <w:t xml:space="preserve"> 2006</w:t>
      </w:r>
      <w:r w:rsidR="009810AC" w:rsidRPr="009810AC">
        <w:rPr>
          <w:rFonts w:asciiTheme="majorBidi" w:hAnsiTheme="majorBidi" w:cstheme="majorBidi"/>
          <w:sz w:val="24"/>
          <w:szCs w:val="24"/>
        </w:rPr>
        <w:t xml:space="preserve">), and this in turn can impact </w:t>
      </w:r>
      <w:r w:rsidR="009810AC" w:rsidRPr="009810AC">
        <w:rPr>
          <w:rFonts w:asciiTheme="majorBidi" w:hAnsiTheme="majorBidi" w:cstheme="majorBidi"/>
          <w:sz w:val="24"/>
          <w:szCs w:val="24"/>
        </w:rPr>
        <w:lastRenderedPageBreak/>
        <w:t xml:space="preserve">negatively on VC pay. </w:t>
      </w:r>
      <w:r w:rsidR="009810AC">
        <w:rPr>
          <w:rFonts w:asciiTheme="majorBidi" w:hAnsiTheme="majorBidi" w:cstheme="majorBidi"/>
          <w:sz w:val="24"/>
          <w:szCs w:val="24"/>
        </w:rPr>
        <w:t>Second</w:t>
      </w:r>
      <w:r w:rsidR="009810AC" w:rsidRPr="009810AC">
        <w:rPr>
          <w:rFonts w:asciiTheme="majorBidi" w:hAnsiTheme="majorBidi" w:cstheme="majorBidi"/>
          <w:sz w:val="24"/>
          <w:szCs w:val="24"/>
        </w:rPr>
        <w:t xml:space="preserve">, our results in Models </w:t>
      </w:r>
      <w:r w:rsidR="00623ABE">
        <w:rPr>
          <w:rFonts w:asciiTheme="majorBidi" w:hAnsiTheme="majorBidi" w:cstheme="majorBidi"/>
          <w:sz w:val="24"/>
          <w:szCs w:val="24"/>
        </w:rPr>
        <w:t>4</w:t>
      </w:r>
      <w:r w:rsidR="00770A0B">
        <w:rPr>
          <w:rFonts w:asciiTheme="majorBidi" w:hAnsiTheme="majorBidi" w:cstheme="majorBidi"/>
          <w:sz w:val="24"/>
          <w:szCs w:val="24"/>
        </w:rPr>
        <w:t>–</w:t>
      </w:r>
      <w:r w:rsidR="00623ABE">
        <w:rPr>
          <w:rFonts w:asciiTheme="majorBidi" w:hAnsiTheme="majorBidi" w:cstheme="majorBidi"/>
          <w:sz w:val="24"/>
          <w:szCs w:val="24"/>
        </w:rPr>
        <w:t>6</w:t>
      </w:r>
      <w:r w:rsidR="009810AC" w:rsidRPr="009810AC">
        <w:rPr>
          <w:rFonts w:asciiTheme="majorBidi" w:hAnsiTheme="majorBidi" w:cstheme="majorBidi"/>
          <w:sz w:val="24"/>
          <w:szCs w:val="24"/>
        </w:rPr>
        <w:t xml:space="preserve"> in Table </w:t>
      </w:r>
      <w:r w:rsidR="00C72DE6">
        <w:rPr>
          <w:rFonts w:asciiTheme="majorBidi" w:hAnsiTheme="majorBidi" w:cstheme="majorBidi"/>
          <w:sz w:val="24"/>
          <w:szCs w:val="24"/>
        </w:rPr>
        <w:t>2</w:t>
      </w:r>
      <w:r w:rsidR="009810AC" w:rsidRPr="009810AC">
        <w:rPr>
          <w:rFonts w:asciiTheme="majorBidi" w:hAnsiTheme="majorBidi" w:cstheme="majorBidi"/>
          <w:sz w:val="24"/>
          <w:szCs w:val="24"/>
        </w:rPr>
        <w:t xml:space="preserve"> indicate that HEIs that focus on meeting the expectations of the wider community/society tend to pay low packages to their VCs, which is </w:t>
      </w:r>
      <w:r w:rsidR="00A04D12">
        <w:rPr>
          <w:rFonts w:asciiTheme="majorBidi" w:hAnsiTheme="majorBidi" w:cstheme="majorBidi"/>
          <w:sz w:val="24"/>
          <w:szCs w:val="24"/>
        </w:rPr>
        <w:t xml:space="preserve">also </w:t>
      </w:r>
      <w:r w:rsidR="009810AC" w:rsidRPr="009810AC">
        <w:rPr>
          <w:rFonts w:asciiTheme="majorBidi" w:hAnsiTheme="majorBidi" w:cstheme="majorBidi"/>
          <w:sz w:val="24"/>
          <w:szCs w:val="24"/>
        </w:rPr>
        <w:t xml:space="preserve">consistent with PT expectations that VCs in long-term oriented HEIs are often more concerned </w:t>
      </w:r>
      <w:r w:rsidR="00391AC1">
        <w:rPr>
          <w:rFonts w:asciiTheme="majorBidi" w:hAnsiTheme="majorBidi" w:cstheme="majorBidi"/>
          <w:sz w:val="24"/>
          <w:szCs w:val="24"/>
        </w:rPr>
        <w:t>with</w:t>
      </w:r>
      <w:r w:rsidR="009810AC" w:rsidRPr="009810AC">
        <w:rPr>
          <w:rFonts w:asciiTheme="majorBidi" w:hAnsiTheme="majorBidi" w:cstheme="majorBidi"/>
          <w:sz w:val="24"/>
          <w:szCs w:val="24"/>
        </w:rPr>
        <w:t xml:space="preserve"> enhancing their social status and building better relationships with key stakeholders (government agencies, students, parents, donors</w:t>
      </w:r>
      <w:r w:rsidR="007A0DE9">
        <w:rPr>
          <w:rFonts w:asciiTheme="majorBidi" w:hAnsiTheme="majorBidi" w:cstheme="majorBidi"/>
          <w:sz w:val="24"/>
          <w:szCs w:val="24"/>
        </w:rPr>
        <w:t>, unions</w:t>
      </w:r>
      <w:r w:rsidR="009810AC" w:rsidRPr="009810AC">
        <w:rPr>
          <w:rFonts w:asciiTheme="majorBidi" w:hAnsiTheme="majorBidi" w:cstheme="majorBidi"/>
          <w:sz w:val="24"/>
          <w:szCs w:val="24"/>
        </w:rPr>
        <w:t xml:space="preserve"> and the wider community), and thus they often tend to invest heavily </w:t>
      </w:r>
      <w:r w:rsidR="00391AC1">
        <w:rPr>
          <w:rFonts w:asciiTheme="majorBidi" w:hAnsiTheme="majorBidi" w:cstheme="majorBidi"/>
          <w:sz w:val="24"/>
          <w:szCs w:val="24"/>
        </w:rPr>
        <w:t xml:space="preserve">in </w:t>
      </w:r>
      <w:r w:rsidR="009810AC" w:rsidRPr="009810AC">
        <w:rPr>
          <w:rFonts w:asciiTheme="majorBidi" w:hAnsiTheme="majorBidi" w:cstheme="majorBidi"/>
          <w:sz w:val="24"/>
          <w:szCs w:val="24"/>
        </w:rPr>
        <w:t>environmental and social</w:t>
      </w:r>
      <w:r w:rsidR="00E43E8C">
        <w:rPr>
          <w:rFonts w:asciiTheme="majorBidi" w:hAnsiTheme="majorBidi" w:cstheme="majorBidi"/>
          <w:sz w:val="24"/>
          <w:szCs w:val="24"/>
        </w:rPr>
        <w:t>ly</w:t>
      </w:r>
      <w:r w:rsidR="009810AC" w:rsidRPr="009810AC">
        <w:rPr>
          <w:rFonts w:asciiTheme="majorBidi" w:hAnsiTheme="majorBidi" w:cstheme="majorBidi"/>
          <w:sz w:val="24"/>
          <w:szCs w:val="24"/>
        </w:rPr>
        <w:t xml:space="preserve"> friendly activities (</w:t>
      </w:r>
      <w:r w:rsidR="002B347A" w:rsidRPr="00327EA6">
        <w:rPr>
          <w:rFonts w:ascii="Times New Roman" w:hAnsi="Times New Roman" w:cs="Times New Roman"/>
          <w:sz w:val="24"/>
          <w:szCs w:val="24"/>
          <w:shd w:val="clear" w:color="auto" w:fill="FFFFFF"/>
        </w:rPr>
        <w:t>McGuire</w:t>
      </w:r>
      <w:r w:rsidR="002B347A">
        <w:rPr>
          <w:rFonts w:ascii="Times New Roman" w:hAnsi="Times New Roman" w:cs="Times New Roman"/>
          <w:sz w:val="24"/>
          <w:szCs w:val="24"/>
          <w:shd w:val="clear" w:color="auto" w:fill="FFFFFF"/>
        </w:rPr>
        <w:t xml:space="preserve"> et al., 2003</w:t>
      </w:r>
      <w:r w:rsidR="009810AC" w:rsidRPr="009810AC">
        <w:rPr>
          <w:rFonts w:asciiTheme="majorBidi" w:hAnsiTheme="majorBidi" w:cstheme="majorBidi"/>
          <w:sz w:val="24"/>
          <w:szCs w:val="24"/>
        </w:rPr>
        <w:t>), and this in turn can impact negatively on their pay packages.</w:t>
      </w:r>
    </w:p>
    <w:p w14:paraId="3A4056D8" w14:textId="6F0817F9" w:rsidR="00964FE5" w:rsidRDefault="009810AC" w:rsidP="00770A0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Third, </w:t>
      </w:r>
      <w:r w:rsidR="009A1ABD" w:rsidRPr="009A1ABD">
        <w:rPr>
          <w:rFonts w:asciiTheme="majorBidi" w:hAnsiTheme="majorBidi" w:cstheme="majorBidi"/>
          <w:sz w:val="24"/>
          <w:szCs w:val="24"/>
        </w:rPr>
        <w:t xml:space="preserve">Models </w:t>
      </w:r>
      <w:r>
        <w:rPr>
          <w:rFonts w:asciiTheme="majorBidi" w:hAnsiTheme="majorBidi" w:cstheme="majorBidi"/>
          <w:sz w:val="24"/>
          <w:szCs w:val="24"/>
        </w:rPr>
        <w:t>7</w:t>
      </w:r>
      <w:r w:rsidR="00770A0B">
        <w:rPr>
          <w:rFonts w:asciiTheme="majorBidi" w:hAnsiTheme="majorBidi" w:cstheme="majorBidi"/>
          <w:sz w:val="24"/>
          <w:szCs w:val="24"/>
        </w:rPr>
        <w:t>–</w:t>
      </w:r>
      <w:r>
        <w:rPr>
          <w:rFonts w:asciiTheme="majorBidi" w:hAnsiTheme="majorBidi" w:cstheme="majorBidi"/>
          <w:sz w:val="24"/>
          <w:szCs w:val="24"/>
        </w:rPr>
        <w:t>12</w:t>
      </w:r>
      <w:r w:rsidR="009A1ABD" w:rsidRPr="009A1ABD">
        <w:rPr>
          <w:rFonts w:asciiTheme="majorBidi" w:hAnsiTheme="majorBidi" w:cstheme="majorBidi"/>
          <w:sz w:val="24"/>
          <w:szCs w:val="24"/>
        </w:rPr>
        <w:t xml:space="preserve"> present the multivariate regression estimates of the impact of HEIs short-term performance indicators (</w:t>
      </w:r>
      <w:r w:rsidR="009A1ABD" w:rsidRPr="009A1ABD">
        <w:rPr>
          <w:rFonts w:asciiTheme="majorBidi" w:hAnsiTheme="majorBidi" w:cstheme="majorBidi"/>
          <w:i/>
          <w:iCs/>
          <w:sz w:val="24"/>
          <w:szCs w:val="24"/>
        </w:rPr>
        <w:t>QS</w:t>
      </w:r>
      <w:r w:rsidR="009A1ABD">
        <w:rPr>
          <w:rFonts w:asciiTheme="majorBidi" w:hAnsiTheme="majorBidi" w:cstheme="majorBidi"/>
          <w:sz w:val="24"/>
          <w:szCs w:val="24"/>
        </w:rPr>
        <w:t xml:space="preserve"> and</w:t>
      </w:r>
      <w:r w:rsidR="009A1ABD" w:rsidRPr="009A1ABD">
        <w:rPr>
          <w:rFonts w:asciiTheme="majorBidi" w:hAnsiTheme="majorBidi" w:cstheme="majorBidi"/>
          <w:i/>
          <w:iCs/>
          <w:sz w:val="24"/>
          <w:szCs w:val="24"/>
        </w:rPr>
        <w:t xml:space="preserve"> THE</w:t>
      </w:r>
      <w:r w:rsidR="009A1ABD" w:rsidRPr="009A1ABD">
        <w:rPr>
          <w:rFonts w:asciiTheme="majorBidi" w:hAnsiTheme="majorBidi" w:cstheme="majorBidi"/>
          <w:sz w:val="24"/>
          <w:szCs w:val="24"/>
        </w:rPr>
        <w:t xml:space="preserve"> rankings) on VC pay. Overall, the results indicate that VC pay is positively associated with HEIs short-term performance, irrespective of the performance or pay metric used. </w:t>
      </w:r>
      <w:r w:rsidR="00391AC1">
        <w:rPr>
          <w:rFonts w:asciiTheme="majorBidi" w:hAnsiTheme="majorBidi" w:cstheme="majorBidi"/>
          <w:sz w:val="24"/>
          <w:szCs w:val="24"/>
        </w:rPr>
        <w:t>For example, t</w:t>
      </w:r>
      <w:r w:rsidR="009A1ABD" w:rsidRPr="009A1ABD">
        <w:rPr>
          <w:rFonts w:asciiTheme="majorBidi" w:hAnsiTheme="majorBidi" w:cstheme="majorBidi"/>
          <w:sz w:val="24"/>
          <w:szCs w:val="24"/>
        </w:rPr>
        <w:t xml:space="preserve">he reported results in Models </w:t>
      </w:r>
      <w:r>
        <w:rPr>
          <w:rFonts w:asciiTheme="majorBidi" w:hAnsiTheme="majorBidi" w:cstheme="majorBidi"/>
          <w:sz w:val="24"/>
          <w:szCs w:val="24"/>
        </w:rPr>
        <w:t>7</w:t>
      </w:r>
      <w:r w:rsidR="00770A0B">
        <w:rPr>
          <w:rFonts w:asciiTheme="majorBidi" w:hAnsiTheme="majorBidi" w:cstheme="majorBidi"/>
          <w:sz w:val="24"/>
          <w:szCs w:val="24"/>
        </w:rPr>
        <w:t>–</w:t>
      </w:r>
      <w:r>
        <w:rPr>
          <w:rFonts w:asciiTheme="majorBidi" w:hAnsiTheme="majorBidi" w:cstheme="majorBidi"/>
          <w:sz w:val="24"/>
          <w:szCs w:val="24"/>
        </w:rPr>
        <w:t>9</w:t>
      </w:r>
      <w:r w:rsidR="009A1ABD" w:rsidRPr="009A1ABD">
        <w:rPr>
          <w:rFonts w:asciiTheme="majorBidi" w:hAnsiTheme="majorBidi" w:cstheme="majorBidi"/>
          <w:sz w:val="24"/>
          <w:szCs w:val="24"/>
        </w:rPr>
        <w:t xml:space="preserve"> and </w:t>
      </w:r>
      <w:r>
        <w:rPr>
          <w:rFonts w:asciiTheme="majorBidi" w:hAnsiTheme="majorBidi" w:cstheme="majorBidi"/>
          <w:sz w:val="24"/>
          <w:szCs w:val="24"/>
        </w:rPr>
        <w:t>10</w:t>
      </w:r>
      <w:r w:rsidR="00770A0B">
        <w:rPr>
          <w:rFonts w:asciiTheme="majorBidi" w:hAnsiTheme="majorBidi" w:cstheme="majorBidi"/>
          <w:sz w:val="24"/>
          <w:szCs w:val="24"/>
        </w:rPr>
        <w:t>–</w:t>
      </w:r>
      <w:r>
        <w:rPr>
          <w:rFonts w:asciiTheme="majorBidi" w:hAnsiTheme="majorBidi" w:cstheme="majorBidi"/>
          <w:sz w:val="24"/>
          <w:szCs w:val="24"/>
        </w:rPr>
        <w:t>12</w:t>
      </w:r>
      <w:r w:rsidR="009A1ABD" w:rsidRPr="009A1ABD">
        <w:rPr>
          <w:rFonts w:asciiTheme="majorBidi" w:hAnsiTheme="majorBidi" w:cstheme="majorBidi"/>
          <w:sz w:val="24"/>
          <w:szCs w:val="24"/>
        </w:rPr>
        <w:t xml:space="preserve"> (Table </w:t>
      </w:r>
      <w:r w:rsidR="00C72DE6">
        <w:rPr>
          <w:rFonts w:asciiTheme="majorBidi" w:hAnsiTheme="majorBidi" w:cstheme="majorBidi"/>
          <w:sz w:val="24"/>
          <w:szCs w:val="24"/>
        </w:rPr>
        <w:t>2</w:t>
      </w:r>
      <w:r w:rsidR="009A1ABD" w:rsidRPr="009A1ABD">
        <w:rPr>
          <w:rFonts w:asciiTheme="majorBidi" w:hAnsiTheme="majorBidi" w:cstheme="majorBidi"/>
          <w:sz w:val="24"/>
          <w:szCs w:val="24"/>
        </w:rPr>
        <w:t xml:space="preserve">) reveal a significant positive effect of </w:t>
      </w:r>
      <w:r w:rsidR="009A1ABD" w:rsidRPr="009A1ABD">
        <w:rPr>
          <w:rFonts w:asciiTheme="majorBidi" w:hAnsiTheme="majorBidi" w:cstheme="majorBidi"/>
          <w:i/>
          <w:iCs/>
          <w:sz w:val="24"/>
          <w:szCs w:val="24"/>
        </w:rPr>
        <w:t xml:space="preserve">QS </w:t>
      </w:r>
      <w:r w:rsidR="009A1ABD" w:rsidRPr="009A1ABD">
        <w:rPr>
          <w:rFonts w:asciiTheme="majorBidi" w:hAnsiTheme="majorBidi" w:cstheme="majorBidi"/>
          <w:sz w:val="24"/>
          <w:szCs w:val="24"/>
        </w:rPr>
        <w:t xml:space="preserve">and </w:t>
      </w:r>
      <w:r w:rsidR="009A1ABD" w:rsidRPr="009A1ABD">
        <w:rPr>
          <w:rFonts w:asciiTheme="majorBidi" w:hAnsiTheme="majorBidi" w:cstheme="majorBidi"/>
          <w:i/>
          <w:iCs/>
          <w:sz w:val="24"/>
          <w:szCs w:val="24"/>
        </w:rPr>
        <w:t xml:space="preserve">THE </w:t>
      </w:r>
      <w:r w:rsidR="009A1ABD" w:rsidRPr="009A1ABD">
        <w:rPr>
          <w:rFonts w:asciiTheme="majorBidi" w:hAnsiTheme="majorBidi" w:cstheme="majorBidi"/>
          <w:sz w:val="24"/>
          <w:szCs w:val="24"/>
        </w:rPr>
        <w:t xml:space="preserve">rankings on VC </w:t>
      </w:r>
      <w:r w:rsidR="00F95509">
        <w:rPr>
          <w:rFonts w:asciiTheme="majorBidi" w:hAnsiTheme="majorBidi" w:cstheme="majorBidi"/>
          <w:sz w:val="24"/>
          <w:szCs w:val="24"/>
        </w:rPr>
        <w:t>(</w:t>
      </w:r>
      <w:r w:rsidR="009A1ABD" w:rsidRPr="009A1ABD">
        <w:rPr>
          <w:rFonts w:asciiTheme="majorBidi" w:hAnsiTheme="majorBidi" w:cstheme="majorBidi"/>
          <w:sz w:val="24"/>
          <w:szCs w:val="24"/>
        </w:rPr>
        <w:t>basic</w:t>
      </w:r>
      <w:r w:rsidR="00F95509">
        <w:rPr>
          <w:rFonts w:asciiTheme="majorBidi" w:hAnsiTheme="majorBidi" w:cstheme="majorBidi"/>
          <w:sz w:val="24"/>
          <w:szCs w:val="24"/>
        </w:rPr>
        <w:t>/</w:t>
      </w:r>
      <w:r w:rsidR="009A1ABD" w:rsidRPr="009A1ABD">
        <w:rPr>
          <w:rFonts w:asciiTheme="majorBidi" w:hAnsiTheme="majorBidi" w:cstheme="majorBidi"/>
          <w:sz w:val="24"/>
          <w:szCs w:val="24"/>
        </w:rPr>
        <w:t>non-basic</w:t>
      </w:r>
      <w:r w:rsidR="00F95509">
        <w:rPr>
          <w:rFonts w:asciiTheme="majorBidi" w:hAnsiTheme="majorBidi" w:cstheme="majorBidi"/>
          <w:sz w:val="24"/>
          <w:szCs w:val="24"/>
        </w:rPr>
        <w:t>/</w:t>
      </w:r>
      <w:r w:rsidR="009A1ABD" w:rsidRPr="009A1ABD">
        <w:rPr>
          <w:rFonts w:asciiTheme="majorBidi" w:hAnsiTheme="majorBidi" w:cstheme="majorBidi"/>
          <w:sz w:val="24"/>
          <w:szCs w:val="24"/>
        </w:rPr>
        <w:t>total</w:t>
      </w:r>
      <w:r w:rsidR="00F95509">
        <w:rPr>
          <w:rFonts w:asciiTheme="majorBidi" w:hAnsiTheme="majorBidi" w:cstheme="majorBidi"/>
          <w:sz w:val="24"/>
          <w:szCs w:val="24"/>
        </w:rPr>
        <w:t>)</w:t>
      </w:r>
      <w:r w:rsidR="009A1ABD" w:rsidRPr="009A1ABD">
        <w:rPr>
          <w:rFonts w:asciiTheme="majorBidi" w:hAnsiTheme="majorBidi" w:cstheme="majorBidi"/>
          <w:sz w:val="24"/>
          <w:szCs w:val="24"/>
        </w:rPr>
        <w:t xml:space="preserve"> pay, </w:t>
      </w:r>
      <w:r w:rsidR="00E83175">
        <w:rPr>
          <w:rFonts w:asciiTheme="majorBidi" w:hAnsiTheme="majorBidi" w:cstheme="majorBidi"/>
          <w:sz w:val="24"/>
          <w:szCs w:val="24"/>
        </w:rPr>
        <w:t xml:space="preserve">evidence </w:t>
      </w:r>
      <w:r w:rsidR="009A1ABD" w:rsidRPr="009A1ABD">
        <w:rPr>
          <w:rFonts w:asciiTheme="majorBidi" w:hAnsiTheme="majorBidi" w:cstheme="majorBidi"/>
          <w:sz w:val="24"/>
          <w:szCs w:val="24"/>
        </w:rPr>
        <w:t>su</w:t>
      </w:r>
      <w:r w:rsidR="00E83175">
        <w:rPr>
          <w:rFonts w:asciiTheme="majorBidi" w:hAnsiTheme="majorBidi" w:cstheme="majorBidi"/>
          <w:sz w:val="24"/>
          <w:szCs w:val="24"/>
        </w:rPr>
        <w:t>ppor</w:t>
      </w:r>
      <w:r w:rsidR="009A1ABD" w:rsidRPr="009A1ABD">
        <w:rPr>
          <w:rFonts w:asciiTheme="majorBidi" w:hAnsiTheme="majorBidi" w:cstheme="majorBidi"/>
          <w:sz w:val="24"/>
          <w:szCs w:val="24"/>
        </w:rPr>
        <w:t xml:space="preserve">ting </w:t>
      </w:r>
      <w:r w:rsidR="009A1ABD" w:rsidRPr="009A1ABD">
        <w:rPr>
          <w:rFonts w:asciiTheme="majorBidi" w:hAnsiTheme="majorBidi" w:cstheme="majorBidi"/>
          <w:i/>
          <w:iCs/>
          <w:sz w:val="24"/>
          <w:szCs w:val="24"/>
        </w:rPr>
        <w:t>H1</w:t>
      </w:r>
      <w:r>
        <w:rPr>
          <w:rFonts w:asciiTheme="majorBidi" w:hAnsiTheme="majorBidi" w:cstheme="majorBidi"/>
          <w:i/>
          <w:iCs/>
          <w:sz w:val="24"/>
          <w:szCs w:val="24"/>
        </w:rPr>
        <w:t>b</w:t>
      </w:r>
      <w:r w:rsidR="009A1ABD" w:rsidRPr="009A1ABD">
        <w:rPr>
          <w:rFonts w:asciiTheme="majorBidi" w:hAnsiTheme="majorBidi" w:cstheme="majorBidi"/>
          <w:i/>
          <w:iCs/>
          <w:sz w:val="24"/>
          <w:szCs w:val="24"/>
        </w:rPr>
        <w:t xml:space="preserve"> </w:t>
      </w:r>
      <w:r w:rsidR="009A1ABD" w:rsidRPr="009A1ABD">
        <w:rPr>
          <w:rFonts w:asciiTheme="majorBidi" w:hAnsiTheme="majorBidi" w:cstheme="majorBidi"/>
          <w:sz w:val="24"/>
          <w:szCs w:val="24"/>
        </w:rPr>
        <w:t xml:space="preserve">that UK HEIs </w:t>
      </w:r>
      <w:r w:rsidR="009A1ABD">
        <w:rPr>
          <w:rFonts w:asciiTheme="majorBidi" w:hAnsiTheme="majorBidi" w:cstheme="majorBidi"/>
          <w:sz w:val="24"/>
          <w:szCs w:val="24"/>
        </w:rPr>
        <w:t xml:space="preserve">that </w:t>
      </w:r>
      <w:r w:rsidR="00964FE5">
        <w:rPr>
          <w:rFonts w:asciiTheme="majorBidi" w:hAnsiTheme="majorBidi" w:cstheme="majorBidi"/>
          <w:sz w:val="24"/>
          <w:szCs w:val="24"/>
        </w:rPr>
        <w:t>prioritise</w:t>
      </w:r>
      <w:r w:rsidR="001816F7">
        <w:rPr>
          <w:rFonts w:asciiTheme="majorBidi" w:hAnsiTheme="majorBidi" w:cstheme="majorBidi"/>
          <w:sz w:val="24"/>
          <w:szCs w:val="24"/>
        </w:rPr>
        <w:t xml:space="preserve"> setting and achieving</w:t>
      </w:r>
      <w:r w:rsidR="00964FE5">
        <w:rPr>
          <w:rFonts w:asciiTheme="majorBidi" w:hAnsiTheme="majorBidi" w:cstheme="majorBidi"/>
          <w:sz w:val="24"/>
          <w:szCs w:val="24"/>
        </w:rPr>
        <w:t xml:space="preserve"> short-term performance</w:t>
      </w:r>
      <w:r w:rsidR="001816F7">
        <w:rPr>
          <w:rFonts w:asciiTheme="majorBidi" w:hAnsiTheme="majorBidi" w:cstheme="majorBidi"/>
          <w:sz w:val="24"/>
          <w:szCs w:val="24"/>
        </w:rPr>
        <w:t xml:space="preserve"> targets</w:t>
      </w:r>
      <w:r w:rsidR="00964FE5">
        <w:rPr>
          <w:rFonts w:asciiTheme="majorBidi" w:hAnsiTheme="majorBidi" w:cstheme="majorBidi"/>
          <w:sz w:val="24"/>
          <w:szCs w:val="24"/>
        </w:rPr>
        <w:t xml:space="preserve"> tend</w:t>
      </w:r>
      <w:r w:rsidR="009A1ABD" w:rsidRPr="009A1ABD">
        <w:rPr>
          <w:rFonts w:asciiTheme="majorBidi" w:hAnsiTheme="majorBidi" w:cstheme="majorBidi"/>
          <w:sz w:val="24"/>
          <w:szCs w:val="24"/>
        </w:rPr>
        <w:t xml:space="preserve"> to, on average, pay their VC</w:t>
      </w:r>
      <w:r w:rsidR="003D7470">
        <w:rPr>
          <w:rFonts w:asciiTheme="majorBidi" w:hAnsiTheme="majorBidi" w:cstheme="majorBidi"/>
          <w:sz w:val="24"/>
          <w:szCs w:val="24"/>
        </w:rPr>
        <w:t>s</w:t>
      </w:r>
      <w:r w:rsidR="009A1ABD" w:rsidRPr="009A1ABD">
        <w:rPr>
          <w:rFonts w:asciiTheme="majorBidi" w:hAnsiTheme="majorBidi" w:cstheme="majorBidi"/>
          <w:sz w:val="24"/>
          <w:szCs w:val="24"/>
        </w:rPr>
        <w:t xml:space="preserve"> higher pay packages than </w:t>
      </w:r>
      <w:r w:rsidR="00623ABE">
        <w:rPr>
          <w:rFonts w:asciiTheme="majorBidi" w:hAnsiTheme="majorBidi" w:cstheme="majorBidi"/>
          <w:sz w:val="24"/>
          <w:szCs w:val="24"/>
        </w:rPr>
        <w:t>their</w:t>
      </w:r>
      <w:r w:rsidR="001816F7">
        <w:rPr>
          <w:rFonts w:asciiTheme="majorBidi" w:hAnsiTheme="majorBidi" w:cstheme="majorBidi"/>
          <w:sz w:val="24"/>
          <w:szCs w:val="24"/>
        </w:rPr>
        <w:t xml:space="preserve"> long-term oriented</w:t>
      </w:r>
      <w:r w:rsidR="00623ABE">
        <w:rPr>
          <w:rFonts w:asciiTheme="majorBidi" w:hAnsiTheme="majorBidi" w:cstheme="majorBidi"/>
          <w:sz w:val="24"/>
          <w:szCs w:val="24"/>
        </w:rPr>
        <w:t xml:space="preserve"> counterparts</w:t>
      </w:r>
      <w:r w:rsidR="009A1ABD" w:rsidRPr="009A1ABD">
        <w:rPr>
          <w:rFonts w:asciiTheme="majorBidi" w:hAnsiTheme="majorBidi" w:cstheme="majorBidi"/>
          <w:sz w:val="24"/>
          <w:szCs w:val="24"/>
        </w:rPr>
        <w:t>. This finding indeed provides new empirical insight</w:t>
      </w:r>
      <w:r w:rsidR="00F95509">
        <w:rPr>
          <w:rFonts w:asciiTheme="majorBidi" w:hAnsiTheme="majorBidi" w:cstheme="majorBidi"/>
          <w:sz w:val="24"/>
          <w:szCs w:val="24"/>
        </w:rPr>
        <w:t>s</w:t>
      </w:r>
      <w:r w:rsidR="009A1ABD" w:rsidRPr="009A1ABD">
        <w:rPr>
          <w:rFonts w:asciiTheme="majorBidi" w:hAnsiTheme="majorBidi" w:cstheme="majorBidi"/>
          <w:sz w:val="24"/>
          <w:szCs w:val="24"/>
        </w:rPr>
        <w:t xml:space="preserve"> relating to existing debates about the fairness of VC pay. Our findings </w:t>
      </w:r>
      <w:r w:rsidR="009B7EA5">
        <w:rPr>
          <w:rFonts w:asciiTheme="majorBidi" w:hAnsiTheme="majorBidi" w:cstheme="majorBidi"/>
          <w:sz w:val="24"/>
          <w:szCs w:val="24"/>
        </w:rPr>
        <w:t xml:space="preserve">also </w:t>
      </w:r>
      <w:r w:rsidR="009A1ABD" w:rsidRPr="009A1ABD">
        <w:rPr>
          <w:rFonts w:asciiTheme="majorBidi" w:hAnsiTheme="majorBidi" w:cstheme="majorBidi"/>
          <w:sz w:val="24"/>
          <w:szCs w:val="24"/>
        </w:rPr>
        <w:t xml:space="preserve">offer empirical support for the results of </w:t>
      </w:r>
      <w:r w:rsidR="00A21F1A">
        <w:rPr>
          <w:rFonts w:asciiTheme="majorBidi" w:hAnsiTheme="majorBidi" w:cstheme="majorBidi"/>
          <w:sz w:val="24"/>
          <w:szCs w:val="24"/>
        </w:rPr>
        <w:t xml:space="preserve">past studies </w:t>
      </w:r>
      <w:r w:rsidR="00A21F1A" w:rsidRPr="00A21F1A">
        <w:rPr>
          <w:rFonts w:asciiTheme="majorBidi" w:hAnsiTheme="majorBidi" w:cstheme="majorBidi"/>
          <w:sz w:val="24"/>
          <w:szCs w:val="24"/>
        </w:rPr>
        <w:t>(</w:t>
      </w:r>
      <w:bookmarkStart w:id="5" w:name="_Hlk101424772"/>
      <w:proofErr w:type="spellStart"/>
      <w:r w:rsidR="00A21F1A" w:rsidRPr="00A21F1A">
        <w:rPr>
          <w:rFonts w:asciiTheme="majorBidi" w:hAnsiTheme="majorBidi" w:cstheme="majorBidi"/>
          <w:sz w:val="24"/>
          <w:szCs w:val="24"/>
        </w:rPr>
        <w:t>Bachan</w:t>
      </w:r>
      <w:proofErr w:type="spellEnd"/>
      <w:r w:rsidR="00A21F1A" w:rsidRPr="00A21F1A">
        <w:rPr>
          <w:rFonts w:asciiTheme="majorBidi" w:hAnsiTheme="majorBidi" w:cstheme="majorBidi"/>
          <w:sz w:val="24"/>
          <w:szCs w:val="24"/>
        </w:rPr>
        <w:t xml:space="preserve"> and Reilly, 2015; Bugeja et al., 2021; De </w:t>
      </w:r>
      <w:proofErr w:type="spellStart"/>
      <w:r w:rsidR="00A21F1A" w:rsidRPr="00A21F1A">
        <w:rPr>
          <w:rFonts w:asciiTheme="majorBidi" w:hAnsiTheme="majorBidi" w:cstheme="majorBidi"/>
          <w:sz w:val="24"/>
          <w:szCs w:val="24"/>
        </w:rPr>
        <w:t>Fraja</w:t>
      </w:r>
      <w:proofErr w:type="spellEnd"/>
      <w:r w:rsidR="00A21F1A" w:rsidRPr="00A21F1A">
        <w:rPr>
          <w:rFonts w:asciiTheme="majorBidi" w:hAnsiTheme="majorBidi" w:cstheme="majorBidi"/>
          <w:sz w:val="24"/>
          <w:szCs w:val="24"/>
        </w:rPr>
        <w:t xml:space="preserve"> et al., 2017; </w:t>
      </w:r>
      <w:proofErr w:type="spellStart"/>
      <w:r w:rsidR="00A21F1A" w:rsidRPr="00A21F1A">
        <w:rPr>
          <w:rFonts w:asciiTheme="majorBidi" w:hAnsiTheme="majorBidi" w:cstheme="majorBidi"/>
          <w:sz w:val="24"/>
          <w:szCs w:val="24"/>
        </w:rPr>
        <w:t>Johnes</w:t>
      </w:r>
      <w:proofErr w:type="spellEnd"/>
      <w:r w:rsidR="00A21F1A" w:rsidRPr="00A21F1A">
        <w:rPr>
          <w:rFonts w:asciiTheme="majorBidi" w:hAnsiTheme="majorBidi" w:cstheme="majorBidi"/>
          <w:sz w:val="24"/>
          <w:szCs w:val="24"/>
        </w:rPr>
        <w:t xml:space="preserve"> and </w:t>
      </w:r>
      <w:proofErr w:type="spellStart"/>
      <w:r w:rsidR="00A21F1A" w:rsidRPr="00A21F1A">
        <w:rPr>
          <w:rFonts w:asciiTheme="majorBidi" w:hAnsiTheme="majorBidi" w:cstheme="majorBidi"/>
          <w:sz w:val="24"/>
          <w:szCs w:val="24"/>
        </w:rPr>
        <w:t>Virmani</w:t>
      </w:r>
      <w:proofErr w:type="spellEnd"/>
      <w:r w:rsidR="00A21F1A" w:rsidRPr="00A21F1A">
        <w:rPr>
          <w:rFonts w:asciiTheme="majorBidi" w:hAnsiTheme="majorBidi" w:cstheme="majorBidi"/>
          <w:sz w:val="24"/>
          <w:szCs w:val="24"/>
        </w:rPr>
        <w:t>, 2020; Walker et al., 2019</w:t>
      </w:r>
      <w:bookmarkEnd w:id="5"/>
      <w:r w:rsidR="00A21F1A" w:rsidRPr="00A21F1A">
        <w:rPr>
          <w:rFonts w:asciiTheme="majorBidi" w:hAnsiTheme="majorBidi" w:cstheme="majorBidi"/>
          <w:sz w:val="24"/>
          <w:szCs w:val="24"/>
        </w:rPr>
        <w:t>)</w:t>
      </w:r>
      <w:r w:rsidR="009A1ABD" w:rsidRPr="009A1ABD">
        <w:rPr>
          <w:rFonts w:asciiTheme="majorBidi" w:hAnsiTheme="majorBidi" w:cstheme="majorBidi"/>
          <w:sz w:val="24"/>
          <w:szCs w:val="24"/>
        </w:rPr>
        <w:t>, who report</w:t>
      </w:r>
      <w:r w:rsidR="00A21F1A">
        <w:rPr>
          <w:rFonts w:asciiTheme="majorBidi" w:hAnsiTheme="majorBidi" w:cstheme="majorBidi"/>
          <w:sz w:val="24"/>
          <w:szCs w:val="24"/>
        </w:rPr>
        <w:t xml:space="preserve"> that VC pay is positively associated with short-term performance</w:t>
      </w:r>
      <w:r w:rsidR="009A1ABD" w:rsidRPr="009A1ABD">
        <w:rPr>
          <w:rFonts w:asciiTheme="majorBidi" w:hAnsiTheme="majorBidi" w:cstheme="majorBidi"/>
          <w:sz w:val="24"/>
          <w:szCs w:val="24"/>
        </w:rPr>
        <w:t xml:space="preserve">. Theoretically, this finding is consistent with the predictions of OCT that </w:t>
      </w:r>
      <w:r w:rsidR="00964FE5" w:rsidRPr="00964FE5">
        <w:rPr>
          <w:rFonts w:asciiTheme="majorBidi" w:hAnsiTheme="majorBidi" w:cstheme="majorBidi"/>
          <w:sz w:val="24"/>
          <w:szCs w:val="24"/>
        </w:rPr>
        <w:t xml:space="preserve">linking rewards to performance can be problematic, since it can encourage </w:t>
      </w:r>
      <w:r w:rsidR="003D7470">
        <w:rPr>
          <w:rFonts w:asciiTheme="majorBidi" w:hAnsiTheme="majorBidi" w:cstheme="majorBidi"/>
          <w:sz w:val="24"/>
          <w:szCs w:val="24"/>
        </w:rPr>
        <w:t>self-serving</w:t>
      </w:r>
      <w:r w:rsidR="00F43695">
        <w:rPr>
          <w:rFonts w:asciiTheme="majorBidi" w:hAnsiTheme="majorBidi" w:cstheme="majorBidi"/>
          <w:sz w:val="24"/>
          <w:szCs w:val="24"/>
        </w:rPr>
        <w:t xml:space="preserve"> </w:t>
      </w:r>
      <w:r w:rsidR="00964FE5" w:rsidRPr="00964FE5">
        <w:rPr>
          <w:rFonts w:asciiTheme="majorBidi" w:hAnsiTheme="majorBidi" w:cstheme="majorBidi"/>
          <w:sz w:val="24"/>
          <w:szCs w:val="24"/>
        </w:rPr>
        <w:t xml:space="preserve">managers to focus on </w:t>
      </w:r>
      <w:r w:rsidR="001816F7">
        <w:rPr>
          <w:rFonts w:asciiTheme="majorBidi" w:hAnsiTheme="majorBidi" w:cstheme="majorBidi"/>
          <w:sz w:val="24"/>
          <w:szCs w:val="24"/>
        </w:rPr>
        <w:t xml:space="preserve">setting and </w:t>
      </w:r>
      <w:r w:rsidR="00964FE5" w:rsidRPr="00964FE5">
        <w:rPr>
          <w:rFonts w:asciiTheme="majorBidi" w:hAnsiTheme="majorBidi" w:cstheme="majorBidi"/>
          <w:sz w:val="24"/>
          <w:szCs w:val="24"/>
        </w:rPr>
        <w:t xml:space="preserve">meeting short-term performance targets in order to justify their </w:t>
      </w:r>
      <w:proofErr w:type="gramStart"/>
      <w:r w:rsidR="004D482C">
        <w:rPr>
          <w:rFonts w:asciiTheme="majorBidi" w:hAnsiTheme="majorBidi" w:cstheme="majorBidi"/>
          <w:sz w:val="24"/>
          <w:szCs w:val="24"/>
        </w:rPr>
        <w:t xml:space="preserve">often </w:t>
      </w:r>
      <w:r w:rsidR="00964FE5" w:rsidRPr="00964FE5">
        <w:rPr>
          <w:rFonts w:asciiTheme="majorBidi" w:hAnsiTheme="majorBidi" w:cstheme="majorBidi"/>
          <w:sz w:val="24"/>
          <w:szCs w:val="24"/>
        </w:rPr>
        <w:t>hefty</w:t>
      </w:r>
      <w:proofErr w:type="gramEnd"/>
      <w:r w:rsidR="00964FE5" w:rsidRPr="00964FE5">
        <w:rPr>
          <w:rFonts w:asciiTheme="majorBidi" w:hAnsiTheme="majorBidi" w:cstheme="majorBidi"/>
          <w:sz w:val="24"/>
          <w:szCs w:val="24"/>
        </w:rPr>
        <w:t> pay (</w:t>
      </w:r>
      <w:proofErr w:type="spellStart"/>
      <w:r w:rsidR="004E7A48" w:rsidRPr="004E7A48">
        <w:rPr>
          <w:rFonts w:asciiTheme="majorBidi" w:hAnsiTheme="majorBidi" w:cstheme="majorBidi"/>
          <w:sz w:val="24"/>
          <w:szCs w:val="24"/>
        </w:rPr>
        <w:t>Heery</w:t>
      </w:r>
      <w:proofErr w:type="spellEnd"/>
      <w:r w:rsidR="004E7A48">
        <w:rPr>
          <w:rFonts w:asciiTheme="majorBidi" w:hAnsiTheme="majorBidi" w:cstheme="majorBidi"/>
          <w:sz w:val="24"/>
          <w:szCs w:val="24"/>
        </w:rPr>
        <w:t>, 1998</w:t>
      </w:r>
      <w:r w:rsidR="00964FE5" w:rsidRPr="00964FE5">
        <w:rPr>
          <w:rFonts w:asciiTheme="majorBidi" w:hAnsiTheme="majorBidi" w:cstheme="majorBidi"/>
          <w:sz w:val="24"/>
          <w:szCs w:val="24"/>
        </w:rPr>
        <w:t>).</w:t>
      </w:r>
    </w:p>
    <w:p w14:paraId="3CE057F0" w14:textId="6865944B" w:rsidR="00C37527" w:rsidRDefault="00C37527" w:rsidP="00C37527">
      <w:pPr>
        <w:spacing w:after="0" w:line="480" w:lineRule="auto"/>
        <w:ind w:firstLine="720"/>
        <w:jc w:val="center"/>
        <w:rPr>
          <w:rFonts w:asciiTheme="majorBidi" w:hAnsiTheme="majorBidi" w:cstheme="majorBidi"/>
          <w:sz w:val="24"/>
          <w:szCs w:val="24"/>
        </w:rPr>
      </w:pPr>
      <w:r>
        <w:rPr>
          <w:rFonts w:asciiTheme="majorBidi" w:hAnsiTheme="majorBidi" w:cstheme="majorBidi"/>
          <w:sz w:val="24"/>
          <w:szCs w:val="24"/>
        </w:rPr>
        <w:t xml:space="preserve">Table </w:t>
      </w:r>
      <w:r w:rsidR="00C72DE6">
        <w:rPr>
          <w:rFonts w:asciiTheme="majorBidi" w:hAnsiTheme="majorBidi" w:cstheme="majorBidi"/>
          <w:sz w:val="24"/>
          <w:szCs w:val="24"/>
        </w:rPr>
        <w:t>2</w:t>
      </w:r>
      <w:r>
        <w:rPr>
          <w:rFonts w:asciiTheme="majorBidi" w:hAnsiTheme="majorBidi" w:cstheme="majorBidi"/>
          <w:sz w:val="24"/>
          <w:szCs w:val="24"/>
        </w:rPr>
        <w:t xml:space="preserve"> here</w:t>
      </w:r>
    </w:p>
    <w:p w14:paraId="24BB838A" w14:textId="6B0D7487" w:rsidR="00D10B19" w:rsidRPr="003026CF" w:rsidRDefault="00E969EA" w:rsidP="00E969EA">
      <w:pPr>
        <w:spacing w:line="360" w:lineRule="auto"/>
        <w:jc w:val="both"/>
        <w:rPr>
          <w:rFonts w:asciiTheme="majorBidi" w:hAnsiTheme="majorBidi" w:cstheme="majorBidi"/>
          <w:bCs/>
          <w:i/>
          <w:sz w:val="24"/>
          <w:szCs w:val="24"/>
        </w:rPr>
      </w:pPr>
      <w:r w:rsidRPr="003026CF">
        <w:rPr>
          <w:rFonts w:asciiTheme="majorBidi" w:hAnsiTheme="majorBidi" w:cstheme="majorBidi"/>
          <w:bCs/>
          <w:i/>
          <w:sz w:val="24"/>
          <w:szCs w:val="24"/>
        </w:rPr>
        <w:t xml:space="preserve">The moderating effect of VC characteristics </w:t>
      </w:r>
    </w:p>
    <w:p w14:paraId="38F67749" w14:textId="608F6BF0" w:rsidR="008215A8" w:rsidRDefault="00E969EA" w:rsidP="00E02FAB">
      <w:pPr>
        <w:spacing w:after="0" w:line="480" w:lineRule="auto"/>
        <w:jc w:val="both"/>
        <w:rPr>
          <w:rFonts w:asciiTheme="majorBidi" w:hAnsiTheme="majorBidi" w:cstheme="majorBidi"/>
          <w:sz w:val="24"/>
          <w:szCs w:val="24"/>
        </w:rPr>
      </w:pPr>
      <w:r>
        <w:rPr>
          <w:rFonts w:asciiTheme="majorBidi" w:hAnsiTheme="majorBidi" w:cstheme="majorBidi"/>
          <w:sz w:val="24"/>
          <w:szCs w:val="24"/>
          <w:shd w:val="clear" w:color="auto" w:fill="FFFFFF"/>
        </w:rPr>
        <w:t>T</w:t>
      </w:r>
      <w:r w:rsidR="002C640A">
        <w:rPr>
          <w:rFonts w:asciiTheme="majorBidi" w:hAnsiTheme="majorBidi" w:cstheme="majorBidi"/>
          <w:sz w:val="24"/>
          <w:szCs w:val="24"/>
          <w:shd w:val="clear" w:color="auto" w:fill="FFFFFF"/>
        </w:rPr>
        <w:t xml:space="preserve">o further investigate the </w:t>
      </w:r>
      <w:r w:rsidR="00BA534B">
        <w:rPr>
          <w:rFonts w:asciiTheme="majorBidi" w:hAnsiTheme="majorBidi" w:cstheme="majorBidi"/>
          <w:sz w:val="24"/>
          <w:szCs w:val="24"/>
          <w:shd w:val="clear" w:color="auto" w:fill="FFFFFF"/>
        </w:rPr>
        <w:t xml:space="preserve">effects of </w:t>
      </w:r>
      <w:r w:rsidR="009D7936">
        <w:rPr>
          <w:rFonts w:asciiTheme="majorBidi" w:hAnsiTheme="majorBidi" w:cstheme="majorBidi"/>
          <w:sz w:val="24"/>
          <w:szCs w:val="24"/>
          <w:shd w:val="clear" w:color="auto" w:fill="FFFFFF"/>
        </w:rPr>
        <w:t xml:space="preserve">potential </w:t>
      </w:r>
      <w:r w:rsidR="00BA534B">
        <w:rPr>
          <w:rFonts w:asciiTheme="majorBidi" w:hAnsiTheme="majorBidi" w:cstheme="majorBidi"/>
          <w:sz w:val="24"/>
          <w:szCs w:val="24"/>
        </w:rPr>
        <w:t>moderators</w:t>
      </w:r>
      <w:r w:rsidR="002C640A">
        <w:rPr>
          <w:rFonts w:asciiTheme="majorBidi" w:hAnsiTheme="majorBidi" w:cstheme="majorBidi"/>
          <w:sz w:val="24"/>
          <w:szCs w:val="24"/>
          <w:shd w:val="clear" w:color="auto" w:fill="FFFFFF"/>
        </w:rPr>
        <w:t xml:space="preserve"> on the </w:t>
      </w:r>
      <w:r w:rsidR="009D7936">
        <w:rPr>
          <w:rFonts w:asciiTheme="majorBidi" w:hAnsiTheme="majorBidi" w:cstheme="majorBidi"/>
          <w:sz w:val="24"/>
          <w:szCs w:val="24"/>
          <w:shd w:val="clear" w:color="auto" w:fill="FFFFFF"/>
        </w:rPr>
        <w:t>p</w:t>
      </w:r>
      <w:r w:rsidR="00AE4865">
        <w:rPr>
          <w:rFonts w:asciiTheme="majorBidi" w:hAnsiTheme="majorBidi" w:cstheme="majorBidi"/>
          <w:sz w:val="24"/>
          <w:szCs w:val="24"/>
          <w:shd w:val="clear" w:color="auto" w:fill="FFFFFF"/>
        </w:rPr>
        <w:t>ay</w:t>
      </w:r>
      <w:r w:rsidR="00930C5C">
        <w:rPr>
          <w:rFonts w:asciiTheme="majorBidi" w:hAnsiTheme="majorBidi" w:cstheme="majorBidi"/>
          <w:sz w:val="24"/>
          <w:szCs w:val="24"/>
          <w:shd w:val="clear" w:color="auto" w:fill="FFFFFF"/>
        </w:rPr>
        <w:t>–</w:t>
      </w:r>
      <w:r w:rsidR="009D7936">
        <w:rPr>
          <w:rFonts w:asciiTheme="majorBidi" w:hAnsiTheme="majorBidi" w:cstheme="majorBidi"/>
          <w:sz w:val="24"/>
          <w:szCs w:val="24"/>
          <w:shd w:val="clear" w:color="auto" w:fill="FFFFFF"/>
        </w:rPr>
        <w:t>p</w:t>
      </w:r>
      <w:r w:rsidR="00AE4865">
        <w:rPr>
          <w:rFonts w:asciiTheme="majorBidi" w:hAnsiTheme="majorBidi" w:cstheme="majorBidi"/>
          <w:sz w:val="24"/>
          <w:szCs w:val="24"/>
          <w:shd w:val="clear" w:color="auto" w:fill="FFFFFF"/>
        </w:rPr>
        <w:t>erformance</w:t>
      </w:r>
      <w:r w:rsidR="009D7936">
        <w:rPr>
          <w:rFonts w:asciiTheme="majorBidi" w:hAnsiTheme="majorBidi" w:cstheme="majorBidi"/>
          <w:sz w:val="24"/>
          <w:szCs w:val="24"/>
          <w:shd w:val="clear" w:color="auto" w:fill="FFFFFF"/>
        </w:rPr>
        <w:t xml:space="preserve"> </w:t>
      </w:r>
      <w:r w:rsidR="00CA3376">
        <w:rPr>
          <w:rFonts w:asciiTheme="majorBidi" w:hAnsiTheme="majorBidi" w:cstheme="majorBidi"/>
          <w:sz w:val="24"/>
          <w:szCs w:val="24"/>
          <w:shd w:val="clear" w:color="auto" w:fill="FFFFFF"/>
        </w:rPr>
        <w:t>link</w:t>
      </w:r>
      <w:r w:rsidR="009D7936">
        <w:rPr>
          <w:rFonts w:asciiTheme="majorBidi" w:hAnsiTheme="majorBidi" w:cstheme="majorBidi"/>
          <w:sz w:val="24"/>
          <w:szCs w:val="24"/>
          <w:shd w:val="clear" w:color="auto" w:fill="FFFFFF"/>
        </w:rPr>
        <w:t>, we create</w:t>
      </w:r>
      <w:r w:rsidR="006A737B">
        <w:rPr>
          <w:rFonts w:asciiTheme="majorBidi" w:hAnsiTheme="majorBidi" w:cstheme="majorBidi"/>
          <w:sz w:val="24"/>
          <w:szCs w:val="24"/>
          <w:shd w:val="clear" w:color="auto" w:fill="FFFFFF"/>
        </w:rPr>
        <w:t>d</w:t>
      </w:r>
      <w:r w:rsidR="009D7936">
        <w:rPr>
          <w:rFonts w:asciiTheme="majorBidi" w:hAnsiTheme="majorBidi" w:cstheme="majorBidi"/>
          <w:sz w:val="24"/>
          <w:szCs w:val="24"/>
          <w:shd w:val="clear" w:color="auto" w:fill="FFFFFF"/>
        </w:rPr>
        <w:t xml:space="preserve"> </w:t>
      </w:r>
      <w:r w:rsidR="009D7936">
        <w:rPr>
          <w:rFonts w:asciiTheme="majorBidi" w:hAnsiTheme="majorBidi" w:cstheme="majorBidi"/>
          <w:sz w:val="24"/>
          <w:szCs w:val="24"/>
        </w:rPr>
        <w:t xml:space="preserve">interaction variables among VC characteristics, HEIs’ </w:t>
      </w:r>
      <w:r w:rsidR="004E6151">
        <w:rPr>
          <w:rFonts w:asciiTheme="majorBidi" w:hAnsiTheme="majorBidi" w:cstheme="majorBidi"/>
          <w:sz w:val="24"/>
          <w:szCs w:val="24"/>
        </w:rPr>
        <w:t>long- and short-term</w:t>
      </w:r>
      <w:r w:rsidR="009D7936">
        <w:rPr>
          <w:rFonts w:asciiTheme="majorBidi" w:hAnsiTheme="majorBidi" w:cstheme="majorBidi"/>
          <w:sz w:val="24"/>
          <w:szCs w:val="24"/>
        </w:rPr>
        <w:t xml:space="preserve"> </w:t>
      </w:r>
      <w:r w:rsidR="009D7936">
        <w:rPr>
          <w:rFonts w:asciiTheme="majorBidi" w:hAnsiTheme="majorBidi" w:cstheme="majorBidi"/>
          <w:sz w:val="24"/>
          <w:szCs w:val="24"/>
        </w:rPr>
        <w:lastRenderedPageBreak/>
        <w:t xml:space="preserve">performance </w:t>
      </w:r>
      <w:r w:rsidR="00CA3376">
        <w:rPr>
          <w:rFonts w:asciiTheme="majorBidi" w:hAnsiTheme="majorBidi" w:cstheme="majorBidi"/>
          <w:sz w:val="24"/>
          <w:szCs w:val="24"/>
        </w:rPr>
        <w:t>proxies</w:t>
      </w:r>
      <w:r w:rsidR="009D7936">
        <w:rPr>
          <w:rFonts w:asciiTheme="majorBidi" w:hAnsiTheme="majorBidi" w:cstheme="majorBidi"/>
          <w:sz w:val="24"/>
          <w:szCs w:val="24"/>
        </w:rPr>
        <w:t xml:space="preserve">, and the results are reported in </w:t>
      </w:r>
      <w:r w:rsidR="00EF4BE3">
        <w:rPr>
          <w:rFonts w:asciiTheme="majorBidi" w:hAnsiTheme="majorBidi" w:cstheme="majorBidi"/>
          <w:sz w:val="24"/>
          <w:szCs w:val="24"/>
        </w:rPr>
        <w:t>T</w:t>
      </w:r>
      <w:r w:rsidR="009D7936">
        <w:rPr>
          <w:rFonts w:asciiTheme="majorBidi" w:hAnsiTheme="majorBidi" w:cstheme="majorBidi"/>
          <w:sz w:val="24"/>
          <w:szCs w:val="24"/>
        </w:rPr>
        <w:t xml:space="preserve">able </w:t>
      </w:r>
      <w:r w:rsidR="00966A9A">
        <w:rPr>
          <w:rFonts w:asciiTheme="majorBidi" w:hAnsiTheme="majorBidi" w:cstheme="majorBidi"/>
          <w:sz w:val="24"/>
          <w:szCs w:val="24"/>
        </w:rPr>
        <w:t>3</w:t>
      </w:r>
      <w:r w:rsidR="009D7936">
        <w:rPr>
          <w:rFonts w:asciiTheme="majorBidi" w:hAnsiTheme="majorBidi" w:cstheme="majorBidi"/>
          <w:sz w:val="24"/>
          <w:szCs w:val="24"/>
        </w:rPr>
        <w:t xml:space="preserve">. Noticeably, </w:t>
      </w:r>
      <w:r w:rsidR="004E6151">
        <w:rPr>
          <w:rFonts w:asciiTheme="majorBidi" w:hAnsiTheme="majorBidi" w:cstheme="majorBidi"/>
          <w:sz w:val="24"/>
          <w:szCs w:val="24"/>
        </w:rPr>
        <w:t xml:space="preserve">the interaction has improved the magnitude of the coefficients </w:t>
      </w:r>
      <w:r w:rsidR="004E6151" w:rsidRPr="004C1148">
        <w:rPr>
          <w:rFonts w:asciiTheme="majorBidi" w:hAnsiTheme="majorBidi" w:cstheme="majorBidi"/>
          <w:sz w:val="24"/>
          <w:szCs w:val="24"/>
        </w:rPr>
        <w:t>relating to the long-term (</w:t>
      </w:r>
      <w:r w:rsidR="004E6151" w:rsidRPr="004C1148">
        <w:rPr>
          <w:rFonts w:asciiTheme="majorBidi" w:hAnsiTheme="majorBidi" w:cstheme="majorBidi"/>
          <w:i/>
          <w:iCs/>
          <w:sz w:val="24"/>
          <w:szCs w:val="24"/>
        </w:rPr>
        <w:t>NLHE</w:t>
      </w:r>
      <w:r w:rsidR="000E6097">
        <w:rPr>
          <w:rFonts w:asciiTheme="majorBidi" w:hAnsiTheme="majorBidi" w:cstheme="majorBidi"/>
          <w:i/>
          <w:iCs/>
          <w:sz w:val="24"/>
          <w:szCs w:val="24"/>
        </w:rPr>
        <w:t xml:space="preserve"> </w:t>
      </w:r>
      <w:r w:rsidR="000E6097">
        <w:rPr>
          <w:rFonts w:asciiTheme="majorBidi" w:hAnsiTheme="majorBidi" w:cstheme="majorBidi"/>
          <w:sz w:val="24"/>
          <w:szCs w:val="24"/>
        </w:rPr>
        <w:t xml:space="preserve">and </w:t>
      </w:r>
      <w:r w:rsidR="000E6097">
        <w:rPr>
          <w:rFonts w:asciiTheme="majorBidi" w:hAnsiTheme="majorBidi" w:cstheme="majorBidi"/>
          <w:i/>
          <w:iCs/>
          <w:sz w:val="24"/>
          <w:szCs w:val="24"/>
        </w:rPr>
        <w:t>CCI</w:t>
      </w:r>
      <w:r w:rsidR="004E6151" w:rsidRPr="004C1148">
        <w:rPr>
          <w:rFonts w:asciiTheme="majorBidi" w:hAnsiTheme="majorBidi" w:cstheme="majorBidi"/>
          <w:sz w:val="24"/>
          <w:szCs w:val="24"/>
        </w:rPr>
        <w:t>) and short-term (</w:t>
      </w:r>
      <w:r w:rsidR="004E6151" w:rsidRPr="004C1148">
        <w:rPr>
          <w:rFonts w:asciiTheme="majorBidi" w:hAnsiTheme="majorBidi" w:cstheme="majorBidi"/>
          <w:i/>
          <w:iCs/>
          <w:sz w:val="24"/>
          <w:szCs w:val="24"/>
        </w:rPr>
        <w:t>QS</w:t>
      </w:r>
      <w:r w:rsidR="000E6097">
        <w:rPr>
          <w:rFonts w:asciiTheme="majorBidi" w:hAnsiTheme="majorBidi" w:cstheme="majorBidi"/>
          <w:sz w:val="24"/>
          <w:szCs w:val="24"/>
        </w:rPr>
        <w:t xml:space="preserve"> and </w:t>
      </w:r>
      <w:r w:rsidR="004E6151" w:rsidRPr="004C1148">
        <w:rPr>
          <w:rFonts w:asciiTheme="majorBidi" w:hAnsiTheme="majorBidi" w:cstheme="majorBidi"/>
          <w:i/>
          <w:iCs/>
          <w:sz w:val="24"/>
          <w:szCs w:val="24"/>
        </w:rPr>
        <w:t>THE</w:t>
      </w:r>
      <w:r w:rsidR="004E6151" w:rsidRPr="004C1148">
        <w:rPr>
          <w:rFonts w:asciiTheme="majorBidi" w:hAnsiTheme="majorBidi" w:cstheme="majorBidi"/>
          <w:sz w:val="24"/>
          <w:szCs w:val="24"/>
        </w:rPr>
        <w:t>)</w:t>
      </w:r>
      <w:r w:rsidR="009E0274">
        <w:rPr>
          <w:rFonts w:asciiTheme="majorBidi" w:hAnsiTheme="majorBidi" w:cstheme="majorBidi"/>
          <w:sz w:val="24"/>
          <w:szCs w:val="24"/>
        </w:rPr>
        <w:t xml:space="preserve"> performance measures</w:t>
      </w:r>
      <w:r w:rsidR="004E6151" w:rsidRPr="004C1148">
        <w:rPr>
          <w:rFonts w:asciiTheme="majorBidi" w:hAnsiTheme="majorBidi" w:cstheme="majorBidi"/>
          <w:sz w:val="24"/>
          <w:szCs w:val="24"/>
        </w:rPr>
        <w:t>, whi</w:t>
      </w:r>
      <w:r w:rsidR="004E6151" w:rsidRPr="00E80738">
        <w:rPr>
          <w:rFonts w:asciiTheme="majorBidi" w:hAnsiTheme="majorBidi" w:cstheme="majorBidi"/>
          <w:sz w:val="24"/>
          <w:szCs w:val="24"/>
        </w:rPr>
        <w:t xml:space="preserve">ch </w:t>
      </w:r>
      <w:r w:rsidR="004E6151" w:rsidRPr="002D4192">
        <w:rPr>
          <w:rFonts w:asciiTheme="majorBidi" w:hAnsiTheme="majorBidi" w:cstheme="majorBidi"/>
          <w:sz w:val="24"/>
          <w:szCs w:val="24"/>
        </w:rPr>
        <w:t>imply t</w:t>
      </w:r>
      <w:r w:rsidR="004E6151" w:rsidRPr="003F5BA1">
        <w:rPr>
          <w:rFonts w:asciiTheme="majorBidi" w:hAnsiTheme="majorBidi" w:cstheme="majorBidi"/>
          <w:sz w:val="24"/>
          <w:szCs w:val="24"/>
        </w:rPr>
        <w:t xml:space="preserve">hat VC characteristics </w:t>
      </w:r>
      <w:r w:rsidR="00162314" w:rsidRPr="003F5BA1">
        <w:rPr>
          <w:rFonts w:asciiTheme="majorBidi" w:hAnsiTheme="majorBidi" w:cstheme="majorBidi"/>
          <w:sz w:val="24"/>
          <w:szCs w:val="24"/>
        </w:rPr>
        <w:t>significantly moderate</w:t>
      </w:r>
      <w:r w:rsidR="009E0274">
        <w:rPr>
          <w:rFonts w:asciiTheme="majorBidi" w:hAnsiTheme="majorBidi" w:cstheme="majorBidi"/>
          <w:sz w:val="24"/>
          <w:szCs w:val="24"/>
        </w:rPr>
        <w:t xml:space="preserve"> the</w:t>
      </w:r>
      <w:r w:rsidR="00162314" w:rsidRPr="003F5BA1">
        <w:rPr>
          <w:rFonts w:asciiTheme="majorBidi" w:hAnsiTheme="majorBidi" w:cstheme="majorBidi"/>
          <w:sz w:val="24"/>
          <w:szCs w:val="24"/>
        </w:rPr>
        <w:t xml:space="preserve"> p</w:t>
      </w:r>
      <w:r w:rsidR="00EF4BE3">
        <w:rPr>
          <w:rFonts w:asciiTheme="majorBidi" w:hAnsiTheme="majorBidi" w:cstheme="majorBidi"/>
          <w:sz w:val="24"/>
          <w:szCs w:val="24"/>
        </w:rPr>
        <w:t>ay</w:t>
      </w:r>
      <w:r w:rsidR="00162314" w:rsidRPr="003F5BA1">
        <w:rPr>
          <w:rFonts w:asciiTheme="majorBidi" w:hAnsiTheme="majorBidi" w:cstheme="majorBidi"/>
          <w:sz w:val="24"/>
          <w:szCs w:val="24"/>
        </w:rPr>
        <w:t>–p</w:t>
      </w:r>
      <w:r w:rsidR="00EF4BE3">
        <w:rPr>
          <w:rFonts w:asciiTheme="majorBidi" w:hAnsiTheme="majorBidi" w:cstheme="majorBidi"/>
          <w:sz w:val="24"/>
          <w:szCs w:val="24"/>
        </w:rPr>
        <w:t>erformance</w:t>
      </w:r>
      <w:r w:rsidR="00162314" w:rsidRPr="003F5BA1">
        <w:rPr>
          <w:rFonts w:asciiTheme="majorBidi" w:hAnsiTheme="majorBidi" w:cstheme="majorBidi"/>
          <w:sz w:val="24"/>
          <w:szCs w:val="24"/>
        </w:rPr>
        <w:t xml:space="preserve"> nexus. This offers </w:t>
      </w:r>
      <w:r w:rsidR="009E0274">
        <w:rPr>
          <w:rFonts w:asciiTheme="majorBidi" w:hAnsiTheme="majorBidi" w:cstheme="majorBidi"/>
          <w:sz w:val="24"/>
          <w:szCs w:val="24"/>
        </w:rPr>
        <w:t xml:space="preserve">new </w:t>
      </w:r>
      <w:r w:rsidR="00162314" w:rsidRPr="003F5BA1">
        <w:rPr>
          <w:rFonts w:asciiTheme="majorBidi" w:hAnsiTheme="majorBidi" w:cstheme="majorBidi"/>
          <w:sz w:val="24"/>
          <w:szCs w:val="24"/>
        </w:rPr>
        <w:t xml:space="preserve">empirical support </w:t>
      </w:r>
      <w:r w:rsidR="0055714D">
        <w:rPr>
          <w:rFonts w:asciiTheme="majorBidi" w:hAnsiTheme="majorBidi" w:cstheme="majorBidi"/>
          <w:sz w:val="24"/>
          <w:szCs w:val="24"/>
        </w:rPr>
        <w:t>f</w:t>
      </w:r>
      <w:r w:rsidR="00162314" w:rsidRPr="003F5BA1">
        <w:rPr>
          <w:rFonts w:asciiTheme="majorBidi" w:hAnsiTheme="majorBidi" w:cstheme="majorBidi"/>
          <w:sz w:val="24"/>
          <w:szCs w:val="24"/>
        </w:rPr>
        <w:t>o</w:t>
      </w:r>
      <w:r w:rsidR="0055714D">
        <w:rPr>
          <w:rFonts w:asciiTheme="majorBidi" w:hAnsiTheme="majorBidi" w:cstheme="majorBidi"/>
          <w:sz w:val="24"/>
          <w:szCs w:val="24"/>
        </w:rPr>
        <w:t>r</w:t>
      </w:r>
      <w:r w:rsidR="00162314" w:rsidRPr="003F5BA1">
        <w:rPr>
          <w:rFonts w:asciiTheme="majorBidi" w:hAnsiTheme="majorBidi" w:cstheme="majorBidi"/>
          <w:sz w:val="24"/>
          <w:szCs w:val="24"/>
        </w:rPr>
        <w:t xml:space="preserve"> </w:t>
      </w:r>
      <w:r w:rsidR="000C17B9">
        <w:rPr>
          <w:rFonts w:asciiTheme="majorBidi" w:hAnsiTheme="majorBidi" w:cstheme="majorBidi"/>
          <w:i/>
          <w:iCs/>
          <w:sz w:val="24"/>
          <w:szCs w:val="24"/>
        </w:rPr>
        <w:t>H2</w:t>
      </w:r>
      <w:r w:rsidR="00162314" w:rsidRPr="004C1148">
        <w:rPr>
          <w:rFonts w:asciiTheme="majorBidi" w:hAnsiTheme="majorBidi" w:cstheme="majorBidi"/>
          <w:sz w:val="24"/>
          <w:szCs w:val="24"/>
        </w:rPr>
        <w:t xml:space="preserve">. For example, the magnitude of coefficients of </w:t>
      </w:r>
      <w:r w:rsidR="00162314" w:rsidRPr="004C1148">
        <w:rPr>
          <w:rFonts w:asciiTheme="majorBidi" w:hAnsiTheme="majorBidi" w:cstheme="majorBidi"/>
          <w:i/>
          <w:iCs/>
          <w:sz w:val="24"/>
          <w:szCs w:val="24"/>
        </w:rPr>
        <w:t xml:space="preserve">NLHE </w:t>
      </w:r>
      <w:r w:rsidR="000E6097">
        <w:rPr>
          <w:rFonts w:asciiTheme="majorBidi" w:hAnsiTheme="majorBidi" w:cstheme="majorBidi"/>
          <w:sz w:val="24"/>
          <w:szCs w:val="24"/>
        </w:rPr>
        <w:t xml:space="preserve">and </w:t>
      </w:r>
      <w:r w:rsidR="000E6097">
        <w:rPr>
          <w:rFonts w:asciiTheme="majorBidi" w:hAnsiTheme="majorBidi" w:cstheme="majorBidi"/>
          <w:i/>
          <w:iCs/>
          <w:sz w:val="24"/>
          <w:szCs w:val="24"/>
        </w:rPr>
        <w:t xml:space="preserve">CCI </w:t>
      </w:r>
      <w:r w:rsidR="00162314" w:rsidRPr="004C1148">
        <w:rPr>
          <w:rFonts w:asciiTheme="majorBidi" w:hAnsiTheme="majorBidi" w:cstheme="majorBidi"/>
          <w:sz w:val="24"/>
          <w:szCs w:val="24"/>
        </w:rPr>
        <w:t xml:space="preserve">have improved from </w:t>
      </w:r>
      <w:r w:rsidR="00AB7571">
        <w:rPr>
          <w:rFonts w:asciiTheme="majorBidi" w:hAnsiTheme="majorBidi" w:cstheme="majorBidi"/>
          <w:sz w:val="24"/>
          <w:szCs w:val="24"/>
        </w:rPr>
        <w:t>-0.</w:t>
      </w:r>
      <w:r w:rsidR="00080ABF">
        <w:rPr>
          <w:rFonts w:asciiTheme="majorBidi" w:hAnsiTheme="majorBidi" w:cstheme="majorBidi"/>
          <w:sz w:val="24"/>
          <w:szCs w:val="24"/>
        </w:rPr>
        <w:t xml:space="preserve">030 </w:t>
      </w:r>
      <w:r w:rsidR="00AB7571">
        <w:rPr>
          <w:rFonts w:asciiTheme="majorBidi" w:hAnsiTheme="majorBidi" w:cstheme="majorBidi"/>
          <w:sz w:val="24"/>
          <w:szCs w:val="24"/>
        </w:rPr>
        <w:t>(Model 3) and -0.</w:t>
      </w:r>
      <w:r w:rsidR="00080ABF">
        <w:rPr>
          <w:rFonts w:asciiTheme="majorBidi" w:hAnsiTheme="majorBidi" w:cstheme="majorBidi"/>
          <w:sz w:val="24"/>
          <w:szCs w:val="24"/>
        </w:rPr>
        <w:t xml:space="preserve">010 </w:t>
      </w:r>
      <w:r w:rsidR="00AB7571">
        <w:rPr>
          <w:rFonts w:asciiTheme="majorBidi" w:hAnsiTheme="majorBidi" w:cstheme="majorBidi"/>
          <w:sz w:val="24"/>
          <w:szCs w:val="24"/>
        </w:rPr>
        <w:t xml:space="preserve">(Model 6) in Table </w:t>
      </w:r>
      <w:r w:rsidR="00966A9A">
        <w:rPr>
          <w:rFonts w:asciiTheme="majorBidi" w:hAnsiTheme="majorBidi" w:cstheme="majorBidi"/>
          <w:sz w:val="24"/>
          <w:szCs w:val="24"/>
        </w:rPr>
        <w:t>2</w:t>
      </w:r>
      <w:r w:rsidR="00AB7571">
        <w:rPr>
          <w:rFonts w:asciiTheme="majorBidi" w:hAnsiTheme="majorBidi" w:cstheme="majorBidi"/>
          <w:sz w:val="24"/>
          <w:szCs w:val="24"/>
        </w:rPr>
        <w:t xml:space="preserve"> to -</w:t>
      </w:r>
      <w:r w:rsidR="00080ABF">
        <w:rPr>
          <w:rFonts w:asciiTheme="majorBidi" w:hAnsiTheme="majorBidi" w:cstheme="majorBidi"/>
          <w:sz w:val="24"/>
          <w:szCs w:val="24"/>
        </w:rPr>
        <w:t>0.711</w:t>
      </w:r>
      <w:r w:rsidR="00AB7571">
        <w:rPr>
          <w:rFonts w:asciiTheme="majorBidi" w:hAnsiTheme="majorBidi" w:cstheme="majorBidi"/>
          <w:sz w:val="24"/>
          <w:szCs w:val="24"/>
        </w:rPr>
        <w:t xml:space="preserve"> (Model 1) and </w:t>
      </w:r>
      <w:r w:rsidR="00B82D01">
        <w:rPr>
          <w:rFonts w:asciiTheme="majorBidi" w:hAnsiTheme="majorBidi" w:cstheme="majorBidi"/>
          <w:sz w:val="24"/>
          <w:szCs w:val="24"/>
        </w:rPr>
        <w:t>-</w:t>
      </w:r>
      <w:r w:rsidR="00AB7571">
        <w:rPr>
          <w:rFonts w:asciiTheme="majorBidi" w:hAnsiTheme="majorBidi" w:cstheme="majorBidi"/>
          <w:sz w:val="24"/>
          <w:szCs w:val="24"/>
        </w:rPr>
        <w:t>0.</w:t>
      </w:r>
      <w:r w:rsidR="00080ABF">
        <w:rPr>
          <w:rFonts w:asciiTheme="majorBidi" w:hAnsiTheme="majorBidi" w:cstheme="majorBidi"/>
          <w:sz w:val="24"/>
          <w:szCs w:val="24"/>
        </w:rPr>
        <w:t xml:space="preserve">291 </w:t>
      </w:r>
      <w:r w:rsidR="00AB7571">
        <w:rPr>
          <w:rFonts w:asciiTheme="majorBidi" w:hAnsiTheme="majorBidi" w:cstheme="majorBidi"/>
          <w:sz w:val="24"/>
          <w:szCs w:val="24"/>
        </w:rPr>
        <w:t xml:space="preserve">(Model 2), in Table </w:t>
      </w:r>
      <w:r w:rsidR="00966A9A">
        <w:rPr>
          <w:rFonts w:asciiTheme="majorBidi" w:hAnsiTheme="majorBidi" w:cstheme="majorBidi"/>
          <w:sz w:val="24"/>
          <w:szCs w:val="24"/>
        </w:rPr>
        <w:t>3</w:t>
      </w:r>
      <w:r w:rsidR="00AB7571">
        <w:rPr>
          <w:rFonts w:asciiTheme="majorBidi" w:hAnsiTheme="majorBidi" w:cstheme="majorBidi"/>
          <w:sz w:val="24"/>
          <w:szCs w:val="24"/>
        </w:rPr>
        <w:t xml:space="preserve">, respectively, </w:t>
      </w:r>
      <w:r w:rsidR="00E02FAB" w:rsidRPr="00E02FAB">
        <w:rPr>
          <w:rFonts w:asciiTheme="majorBidi" w:hAnsiTheme="majorBidi" w:cstheme="majorBidi"/>
          <w:sz w:val="24"/>
          <w:szCs w:val="24"/>
        </w:rPr>
        <w:t xml:space="preserve">implying that VC characteristics generally moderate the link between HEIs’ long-term performance and VC pay. </w:t>
      </w:r>
      <w:r w:rsidR="00080ABF">
        <w:rPr>
          <w:rFonts w:asciiTheme="majorBidi" w:hAnsiTheme="majorBidi" w:cstheme="majorBidi"/>
          <w:sz w:val="24"/>
          <w:szCs w:val="24"/>
        </w:rPr>
        <w:t xml:space="preserve">Further, the reported results </w:t>
      </w:r>
      <w:r w:rsidR="008215A8">
        <w:rPr>
          <w:rFonts w:asciiTheme="majorBidi" w:hAnsiTheme="majorBidi" w:cstheme="majorBidi"/>
          <w:sz w:val="24"/>
          <w:szCs w:val="24"/>
        </w:rPr>
        <w:t xml:space="preserve">in Table 3 (Models 3 and 4) indicates that the extent to which HEIs’ short-term performance influence VCs’ pay is contingent on VCs’ characteristics. </w:t>
      </w:r>
    </w:p>
    <w:p w14:paraId="2267F4F2" w14:textId="4FD69DDF" w:rsidR="00983799" w:rsidRPr="00E02FAB" w:rsidRDefault="00983799" w:rsidP="00E02FAB">
      <w:pPr>
        <w:spacing w:after="0" w:line="480" w:lineRule="auto"/>
        <w:jc w:val="center"/>
        <w:rPr>
          <w:rFonts w:asciiTheme="majorBidi" w:hAnsiTheme="majorBidi" w:cstheme="majorBidi"/>
          <w:sz w:val="24"/>
          <w:szCs w:val="24"/>
        </w:rPr>
      </w:pPr>
      <w:r w:rsidRPr="00776E54">
        <w:rPr>
          <w:rFonts w:ascii="Times New Roman" w:eastAsia="Calibri" w:hAnsi="Times New Roman" w:cs="Times New Roman"/>
          <w:bCs/>
          <w:sz w:val="24"/>
          <w:szCs w:val="24"/>
        </w:rPr>
        <w:t xml:space="preserve">Table </w:t>
      </w:r>
      <w:r w:rsidR="00966A9A">
        <w:rPr>
          <w:rFonts w:ascii="Times New Roman" w:eastAsia="Calibri" w:hAnsi="Times New Roman" w:cs="Times New Roman"/>
          <w:bCs/>
          <w:sz w:val="24"/>
          <w:szCs w:val="24"/>
        </w:rPr>
        <w:t>3</w:t>
      </w:r>
      <w:r w:rsidRPr="00776E54">
        <w:rPr>
          <w:rFonts w:ascii="Times New Roman" w:eastAsia="Calibri" w:hAnsi="Times New Roman" w:cs="Times New Roman"/>
          <w:bCs/>
          <w:sz w:val="24"/>
          <w:szCs w:val="24"/>
        </w:rPr>
        <w:t xml:space="preserve"> here</w:t>
      </w:r>
    </w:p>
    <w:p w14:paraId="69152ECA" w14:textId="3673E690" w:rsidR="00B92C64" w:rsidRPr="00B92C64" w:rsidRDefault="0098428E" w:rsidP="00B92C64">
      <w:pPr>
        <w:spacing w:after="0" w:line="480" w:lineRule="auto"/>
        <w:ind w:firstLine="720"/>
        <w:jc w:val="both"/>
        <w:rPr>
          <w:rFonts w:asciiTheme="majorBidi" w:hAnsiTheme="majorBidi" w:cstheme="majorBidi"/>
          <w:sz w:val="24"/>
          <w:szCs w:val="24"/>
        </w:rPr>
      </w:pPr>
      <w:r w:rsidRPr="0098428E">
        <w:rPr>
          <w:rFonts w:asciiTheme="majorBidi" w:hAnsiTheme="majorBidi" w:cstheme="majorBidi"/>
          <w:sz w:val="24"/>
          <w:szCs w:val="24"/>
        </w:rPr>
        <w:t xml:space="preserve">Regarding the interaction variables, our evidence reported in Table 3, suggests that VC characteristics have a moderation effect on the pay–performance nexus, which again supports </w:t>
      </w:r>
      <w:r w:rsidRPr="0098428E">
        <w:rPr>
          <w:rFonts w:asciiTheme="majorBidi" w:hAnsiTheme="majorBidi" w:cstheme="majorBidi"/>
          <w:i/>
          <w:iCs/>
          <w:sz w:val="24"/>
          <w:szCs w:val="24"/>
        </w:rPr>
        <w:t>H2</w:t>
      </w:r>
      <w:r w:rsidRPr="0098428E">
        <w:rPr>
          <w:rFonts w:asciiTheme="majorBidi" w:hAnsiTheme="majorBidi" w:cstheme="majorBidi"/>
          <w:sz w:val="24"/>
          <w:szCs w:val="24"/>
        </w:rPr>
        <w:t>. For example, and consistent with the predictions of PT</w:t>
      </w:r>
      <w:r w:rsidR="00B92C64">
        <w:rPr>
          <w:rFonts w:asciiTheme="majorBidi" w:hAnsiTheme="majorBidi" w:cstheme="majorBidi"/>
          <w:sz w:val="24"/>
          <w:szCs w:val="24"/>
        </w:rPr>
        <w:t xml:space="preserve"> (</w:t>
      </w:r>
      <w:proofErr w:type="spellStart"/>
      <w:r w:rsidR="00B92C64" w:rsidRPr="0098428E">
        <w:rPr>
          <w:rFonts w:asciiTheme="majorBidi" w:hAnsiTheme="majorBidi" w:cstheme="majorBidi"/>
          <w:sz w:val="24"/>
          <w:szCs w:val="24"/>
        </w:rPr>
        <w:t>Focke</w:t>
      </w:r>
      <w:proofErr w:type="spellEnd"/>
      <w:r w:rsidR="00B92C64" w:rsidRPr="0098428E">
        <w:rPr>
          <w:rFonts w:asciiTheme="majorBidi" w:hAnsiTheme="majorBidi" w:cstheme="majorBidi"/>
          <w:sz w:val="24"/>
          <w:szCs w:val="24"/>
        </w:rPr>
        <w:t xml:space="preserve"> at al., 2017</w:t>
      </w:r>
      <w:r w:rsidR="00B92C64">
        <w:rPr>
          <w:rFonts w:asciiTheme="majorBidi" w:hAnsiTheme="majorBidi" w:cstheme="majorBidi"/>
          <w:sz w:val="24"/>
          <w:szCs w:val="24"/>
        </w:rPr>
        <w:t>)</w:t>
      </w:r>
      <w:r w:rsidRPr="0098428E">
        <w:rPr>
          <w:rFonts w:asciiTheme="majorBidi" w:hAnsiTheme="majorBidi" w:cstheme="majorBidi"/>
          <w:sz w:val="24"/>
          <w:szCs w:val="24"/>
        </w:rPr>
        <w:t xml:space="preserve">, the coefficient of </w:t>
      </w:r>
      <w:r w:rsidRPr="0098428E">
        <w:rPr>
          <w:rFonts w:asciiTheme="majorBidi" w:hAnsiTheme="majorBidi" w:cstheme="majorBidi"/>
          <w:i/>
          <w:iCs/>
          <w:sz w:val="24"/>
          <w:szCs w:val="24"/>
        </w:rPr>
        <w:t xml:space="preserve">VC Age*HEI performance </w:t>
      </w:r>
      <w:r w:rsidRPr="0098428E">
        <w:rPr>
          <w:rFonts w:asciiTheme="majorBidi" w:hAnsiTheme="majorBidi" w:cstheme="majorBidi"/>
          <w:sz w:val="24"/>
          <w:szCs w:val="24"/>
        </w:rPr>
        <w:t xml:space="preserve">on VC total pay in Models 1 of Table 3 is negative and significant, implying that </w:t>
      </w:r>
      <w:r w:rsidR="00720D25">
        <w:rPr>
          <w:rFonts w:asciiTheme="majorBidi" w:hAnsiTheme="majorBidi" w:cstheme="majorBidi"/>
          <w:sz w:val="24"/>
          <w:szCs w:val="24"/>
        </w:rPr>
        <w:t>young VCs</w:t>
      </w:r>
      <w:r w:rsidR="00B82038">
        <w:rPr>
          <w:rFonts w:asciiTheme="majorBidi" w:hAnsiTheme="majorBidi" w:cstheme="majorBidi"/>
          <w:sz w:val="24"/>
          <w:szCs w:val="24"/>
        </w:rPr>
        <w:t xml:space="preserve">, particularly with increasing marketisation of HE </w:t>
      </w:r>
      <w:proofErr w:type="gramStart"/>
      <w:r w:rsidR="00B82038">
        <w:rPr>
          <w:rFonts w:asciiTheme="majorBidi" w:hAnsiTheme="majorBidi" w:cstheme="majorBidi"/>
          <w:sz w:val="24"/>
          <w:szCs w:val="24"/>
        </w:rPr>
        <w:t>sector</w:t>
      </w:r>
      <w:proofErr w:type="gramEnd"/>
      <w:r w:rsidR="00B82038">
        <w:rPr>
          <w:rFonts w:asciiTheme="majorBidi" w:hAnsiTheme="majorBidi" w:cstheme="majorBidi"/>
          <w:sz w:val="24"/>
          <w:szCs w:val="24"/>
        </w:rPr>
        <w:t>,</w:t>
      </w:r>
      <w:r w:rsidR="00720D25">
        <w:rPr>
          <w:rFonts w:asciiTheme="majorBidi" w:hAnsiTheme="majorBidi" w:cstheme="majorBidi"/>
          <w:sz w:val="24"/>
          <w:szCs w:val="24"/>
        </w:rPr>
        <w:t xml:space="preserve"> </w:t>
      </w:r>
      <w:r w:rsidR="00B82038">
        <w:rPr>
          <w:rFonts w:asciiTheme="majorBidi" w:hAnsiTheme="majorBidi" w:cstheme="majorBidi"/>
          <w:sz w:val="24"/>
          <w:szCs w:val="24"/>
        </w:rPr>
        <w:t xml:space="preserve">are less willing to </w:t>
      </w:r>
      <w:r w:rsidR="00B82038" w:rsidRPr="00B82038">
        <w:rPr>
          <w:rFonts w:asciiTheme="majorBidi" w:hAnsiTheme="majorBidi" w:cstheme="majorBidi"/>
          <w:sz w:val="24"/>
          <w:szCs w:val="24"/>
        </w:rPr>
        <w:t xml:space="preserve">support policies and practices that promote </w:t>
      </w:r>
      <w:r w:rsidR="00B82038">
        <w:rPr>
          <w:rFonts w:asciiTheme="majorBidi" w:hAnsiTheme="majorBidi" w:cstheme="majorBidi"/>
          <w:sz w:val="24"/>
          <w:szCs w:val="24"/>
        </w:rPr>
        <w:t xml:space="preserve">social contributions of HEIs, and </w:t>
      </w:r>
      <w:r w:rsidR="00B92C64">
        <w:rPr>
          <w:rFonts w:asciiTheme="majorBidi" w:hAnsiTheme="majorBidi" w:cstheme="majorBidi"/>
          <w:sz w:val="24"/>
          <w:szCs w:val="24"/>
        </w:rPr>
        <w:t>this can in turn weaken the link between pay and long-term social performance of HEIs.</w:t>
      </w:r>
      <w:r w:rsidR="00B92C64" w:rsidRPr="00B92C64">
        <w:rPr>
          <w:rFonts w:asciiTheme="majorBidi" w:hAnsiTheme="majorBidi" w:cstheme="majorBidi"/>
          <w:sz w:val="24"/>
          <w:szCs w:val="24"/>
        </w:rPr>
        <w:t xml:space="preserve"> Similarly, our evidence indicates that VC age positively and significantly moderate the short-term performance–VC pay link in Models 3 and 4 of Table 3, indicating that young </w:t>
      </w:r>
      <w:r w:rsidR="00B92C64">
        <w:rPr>
          <w:rFonts w:asciiTheme="majorBidi" w:hAnsiTheme="majorBidi" w:cstheme="majorBidi"/>
          <w:sz w:val="24"/>
          <w:szCs w:val="24"/>
        </w:rPr>
        <w:t>VCs</w:t>
      </w:r>
      <w:r w:rsidR="008C5E86">
        <w:rPr>
          <w:rFonts w:asciiTheme="majorBidi" w:hAnsiTheme="majorBidi" w:cstheme="majorBidi"/>
          <w:sz w:val="24"/>
          <w:szCs w:val="24"/>
        </w:rPr>
        <w:t xml:space="preserve"> are </w:t>
      </w:r>
      <w:r w:rsidR="00ED3387">
        <w:rPr>
          <w:rFonts w:asciiTheme="majorBidi" w:hAnsiTheme="majorBidi" w:cstheme="majorBidi"/>
          <w:sz w:val="24"/>
          <w:szCs w:val="24"/>
        </w:rPr>
        <w:t xml:space="preserve">more </w:t>
      </w:r>
      <w:r w:rsidR="008C5E86">
        <w:rPr>
          <w:rFonts w:asciiTheme="majorBidi" w:hAnsiTheme="majorBidi" w:cstheme="majorBidi"/>
          <w:sz w:val="24"/>
          <w:szCs w:val="24"/>
        </w:rPr>
        <w:t xml:space="preserve">likely to focus on meeting short-term performance targets </w:t>
      </w:r>
      <w:proofErr w:type="gramStart"/>
      <w:r w:rsidR="008C5E86">
        <w:rPr>
          <w:rFonts w:asciiTheme="majorBidi" w:hAnsiTheme="majorBidi" w:cstheme="majorBidi"/>
          <w:sz w:val="24"/>
          <w:szCs w:val="24"/>
        </w:rPr>
        <w:t>in order to</w:t>
      </w:r>
      <w:proofErr w:type="gramEnd"/>
      <w:r w:rsidR="008C5E86">
        <w:rPr>
          <w:rFonts w:asciiTheme="majorBidi" w:hAnsiTheme="majorBidi" w:cstheme="majorBidi"/>
          <w:sz w:val="24"/>
          <w:szCs w:val="24"/>
        </w:rPr>
        <w:t xml:space="preserve"> establish </w:t>
      </w:r>
      <w:r w:rsidR="00ED3387">
        <w:rPr>
          <w:rFonts w:asciiTheme="majorBidi" w:hAnsiTheme="majorBidi" w:cstheme="majorBidi"/>
          <w:sz w:val="24"/>
          <w:szCs w:val="24"/>
        </w:rPr>
        <w:t xml:space="preserve">and/or </w:t>
      </w:r>
      <w:r w:rsidR="00ED3387" w:rsidRPr="00ED3387">
        <w:rPr>
          <w:rFonts w:asciiTheme="majorBidi" w:hAnsiTheme="majorBidi" w:cstheme="majorBidi"/>
          <w:sz w:val="24"/>
          <w:szCs w:val="24"/>
        </w:rPr>
        <w:t>boost their social status and job prospects in the labour market</w:t>
      </w:r>
      <w:r w:rsidR="002643A2">
        <w:rPr>
          <w:rFonts w:asciiTheme="majorBidi" w:hAnsiTheme="majorBidi" w:cstheme="majorBidi"/>
          <w:sz w:val="24"/>
          <w:szCs w:val="24"/>
        </w:rPr>
        <w:t xml:space="preserve"> (</w:t>
      </w:r>
      <w:r w:rsidR="002643A2" w:rsidRPr="0098428E">
        <w:rPr>
          <w:rFonts w:asciiTheme="majorBidi" w:hAnsiTheme="majorBidi" w:cstheme="majorBidi"/>
          <w:sz w:val="24"/>
          <w:szCs w:val="24"/>
        </w:rPr>
        <w:t>Milbourn, 2003</w:t>
      </w:r>
      <w:r w:rsidR="002643A2">
        <w:rPr>
          <w:rFonts w:asciiTheme="majorBidi" w:hAnsiTheme="majorBidi" w:cstheme="majorBidi"/>
          <w:sz w:val="24"/>
          <w:szCs w:val="24"/>
        </w:rPr>
        <w:t>).</w:t>
      </w:r>
    </w:p>
    <w:p w14:paraId="7EC16BB2" w14:textId="4A7DDFF2" w:rsidR="002643A2" w:rsidRDefault="0098428E" w:rsidP="0098428E">
      <w:pPr>
        <w:spacing w:after="0" w:line="480" w:lineRule="auto"/>
        <w:ind w:firstLine="720"/>
        <w:jc w:val="both"/>
        <w:rPr>
          <w:rFonts w:asciiTheme="majorBidi" w:hAnsiTheme="majorBidi" w:cstheme="majorBidi"/>
          <w:sz w:val="24"/>
          <w:szCs w:val="24"/>
        </w:rPr>
      </w:pPr>
      <w:r w:rsidRPr="0098428E">
        <w:rPr>
          <w:rFonts w:asciiTheme="majorBidi" w:hAnsiTheme="majorBidi" w:cstheme="majorBidi"/>
          <w:sz w:val="24"/>
          <w:szCs w:val="24"/>
        </w:rPr>
        <w:t xml:space="preserve">Further, the reported results in Models 1, 3 and 4 of Table 3 indicate that VC gender diversity negatively moderates the QS Ranking–VC pay linkage, which is in line with </w:t>
      </w:r>
      <w:r w:rsidRPr="0098428E">
        <w:rPr>
          <w:rFonts w:asciiTheme="majorBidi" w:hAnsiTheme="majorBidi" w:cstheme="majorBidi"/>
          <w:i/>
          <w:iCs/>
          <w:sz w:val="24"/>
          <w:szCs w:val="24"/>
        </w:rPr>
        <w:t>H2</w:t>
      </w:r>
      <w:r w:rsidRPr="0098428E">
        <w:rPr>
          <w:rFonts w:asciiTheme="majorBidi" w:hAnsiTheme="majorBidi" w:cstheme="majorBidi"/>
          <w:sz w:val="24"/>
          <w:szCs w:val="24"/>
        </w:rPr>
        <w:t xml:space="preserve"> and predictions of PT that </w:t>
      </w:r>
      <w:r w:rsidR="002643A2">
        <w:rPr>
          <w:rFonts w:asciiTheme="majorBidi" w:hAnsiTheme="majorBidi" w:cstheme="majorBidi"/>
          <w:sz w:val="24"/>
          <w:szCs w:val="24"/>
        </w:rPr>
        <w:t xml:space="preserve">female VCs </w:t>
      </w:r>
      <w:r w:rsidR="00D91286">
        <w:rPr>
          <w:rFonts w:asciiTheme="majorBidi" w:hAnsiTheme="majorBidi" w:cstheme="majorBidi"/>
          <w:sz w:val="24"/>
          <w:szCs w:val="24"/>
        </w:rPr>
        <w:t xml:space="preserve">are more </w:t>
      </w:r>
      <w:r w:rsidR="00D91286" w:rsidRPr="00D91286">
        <w:rPr>
          <w:rFonts w:asciiTheme="majorBidi" w:hAnsiTheme="majorBidi" w:cstheme="majorBidi"/>
          <w:sz w:val="24"/>
          <w:szCs w:val="24"/>
        </w:rPr>
        <w:t>concerned with the wider social</w:t>
      </w:r>
      <w:r w:rsidR="001A6102">
        <w:rPr>
          <w:rFonts w:asciiTheme="majorBidi" w:hAnsiTheme="majorBidi" w:cstheme="majorBidi"/>
          <w:sz w:val="24"/>
          <w:szCs w:val="24"/>
        </w:rPr>
        <w:t xml:space="preserve"> and public</w:t>
      </w:r>
      <w:r w:rsidR="00D91286" w:rsidRPr="00D91286">
        <w:rPr>
          <w:rFonts w:asciiTheme="majorBidi" w:hAnsiTheme="majorBidi" w:cstheme="majorBidi"/>
          <w:sz w:val="24"/>
          <w:szCs w:val="24"/>
        </w:rPr>
        <w:t xml:space="preserve"> benefits</w:t>
      </w:r>
      <w:r w:rsidR="00D91286">
        <w:rPr>
          <w:rFonts w:asciiTheme="majorBidi" w:hAnsiTheme="majorBidi" w:cstheme="majorBidi"/>
          <w:sz w:val="24"/>
          <w:szCs w:val="24"/>
        </w:rPr>
        <w:t xml:space="preserve"> of HEIs, and hence they are </w:t>
      </w:r>
      <w:r w:rsidR="00C32D45">
        <w:rPr>
          <w:rFonts w:asciiTheme="majorBidi" w:hAnsiTheme="majorBidi" w:cstheme="majorBidi"/>
          <w:sz w:val="24"/>
          <w:szCs w:val="24"/>
        </w:rPr>
        <w:t xml:space="preserve">less likely </w:t>
      </w:r>
      <w:r w:rsidR="004D482C">
        <w:rPr>
          <w:rFonts w:asciiTheme="majorBidi" w:hAnsiTheme="majorBidi" w:cstheme="majorBidi"/>
          <w:sz w:val="24"/>
          <w:szCs w:val="24"/>
        </w:rPr>
        <w:t xml:space="preserve">to </w:t>
      </w:r>
      <w:r w:rsidR="00C32D45">
        <w:rPr>
          <w:rFonts w:asciiTheme="majorBidi" w:hAnsiTheme="majorBidi" w:cstheme="majorBidi"/>
          <w:sz w:val="24"/>
          <w:szCs w:val="24"/>
        </w:rPr>
        <w:t xml:space="preserve">focus on meeting short-term performance targets </w:t>
      </w:r>
      <w:r w:rsidR="00C32D45" w:rsidRPr="00C32D45">
        <w:rPr>
          <w:rFonts w:asciiTheme="majorBidi" w:hAnsiTheme="majorBidi" w:cstheme="majorBidi"/>
          <w:sz w:val="24"/>
          <w:szCs w:val="24"/>
        </w:rPr>
        <w:lastRenderedPageBreak/>
        <w:t>(Adams and Ferreira, 2009),</w:t>
      </w:r>
      <w:r w:rsidR="00C32D45">
        <w:rPr>
          <w:rFonts w:asciiTheme="majorBidi" w:hAnsiTheme="majorBidi" w:cstheme="majorBidi"/>
          <w:sz w:val="24"/>
          <w:szCs w:val="24"/>
        </w:rPr>
        <w:t xml:space="preserve"> and this in turn can impact negatively on</w:t>
      </w:r>
      <w:r w:rsidR="004D482C">
        <w:rPr>
          <w:rFonts w:asciiTheme="majorBidi" w:hAnsiTheme="majorBidi" w:cstheme="majorBidi"/>
          <w:sz w:val="24"/>
          <w:szCs w:val="24"/>
        </w:rPr>
        <w:t xml:space="preserve"> the</w:t>
      </w:r>
      <w:r w:rsidR="00C32D45">
        <w:rPr>
          <w:rFonts w:asciiTheme="majorBidi" w:hAnsiTheme="majorBidi" w:cstheme="majorBidi"/>
          <w:sz w:val="24"/>
          <w:szCs w:val="24"/>
        </w:rPr>
        <w:t xml:space="preserve"> short-term performance</w:t>
      </w:r>
      <w:r w:rsidR="00C32D45" w:rsidRPr="00C32D45">
        <w:rPr>
          <w:rFonts w:asciiTheme="majorBidi" w:hAnsiTheme="majorBidi" w:cstheme="majorBidi"/>
          <w:sz w:val="24"/>
          <w:szCs w:val="24"/>
        </w:rPr>
        <w:t>–pay</w:t>
      </w:r>
      <w:r w:rsidR="00C32D45">
        <w:rPr>
          <w:rFonts w:asciiTheme="majorBidi" w:hAnsiTheme="majorBidi" w:cstheme="majorBidi"/>
          <w:sz w:val="24"/>
          <w:szCs w:val="24"/>
        </w:rPr>
        <w:t xml:space="preserve"> relationship. </w:t>
      </w:r>
    </w:p>
    <w:p w14:paraId="3557DE2E" w14:textId="3E5D5553" w:rsidR="00AC6564" w:rsidRPr="00AC6564" w:rsidRDefault="0098428E" w:rsidP="00AC6564">
      <w:pPr>
        <w:spacing w:after="0" w:line="480" w:lineRule="auto"/>
        <w:ind w:firstLine="720"/>
        <w:jc w:val="both"/>
        <w:rPr>
          <w:rFonts w:asciiTheme="majorBidi" w:hAnsiTheme="majorBidi" w:cstheme="majorBidi"/>
          <w:sz w:val="24"/>
          <w:szCs w:val="24"/>
        </w:rPr>
      </w:pPr>
      <w:r w:rsidRPr="0098428E">
        <w:rPr>
          <w:rFonts w:asciiTheme="majorBidi" w:hAnsiTheme="majorBidi" w:cstheme="majorBidi"/>
          <w:sz w:val="24"/>
          <w:szCs w:val="24"/>
        </w:rPr>
        <w:t>Additionally, the reported results in Model 2 of Table 3 indicate that VC tenure positively moderates the community contribution index–pay nexus. This positive moderating impact of VC tenure is consistent with the predictions of PT that long-tenured VCs are often committed to meeting and representing the expectations of stakeholders</w:t>
      </w:r>
      <w:r w:rsidR="002A7DBC">
        <w:rPr>
          <w:rFonts w:asciiTheme="majorBidi" w:hAnsiTheme="majorBidi" w:cstheme="majorBidi"/>
          <w:sz w:val="24"/>
          <w:szCs w:val="24"/>
        </w:rPr>
        <w:t xml:space="preserve"> by supporting long-term social contributions of HEIs </w:t>
      </w:r>
      <w:r w:rsidR="002A7DBC" w:rsidRPr="002A7DBC">
        <w:rPr>
          <w:rFonts w:asciiTheme="majorBidi" w:hAnsiTheme="majorBidi" w:cstheme="majorBidi"/>
          <w:sz w:val="24"/>
          <w:szCs w:val="24"/>
        </w:rPr>
        <w:t xml:space="preserve">(Breakwell and </w:t>
      </w:r>
      <w:proofErr w:type="spellStart"/>
      <w:r w:rsidR="002A7DBC" w:rsidRPr="002A7DBC">
        <w:rPr>
          <w:rFonts w:asciiTheme="majorBidi" w:hAnsiTheme="majorBidi" w:cstheme="majorBidi"/>
          <w:sz w:val="24"/>
          <w:szCs w:val="24"/>
        </w:rPr>
        <w:t>Tytherleigh</w:t>
      </w:r>
      <w:proofErr w:type="spellEnd"/>
      <w:r w:rsidR="002A7DBC" w:rsidRPr="002A7DBC">
        <w:rPr>
          <w:rFonts w:asciiTheme="majorBidi" w:hAnsiTheme="majorBidi" w:cstheme="majorBidi"/>
          <w:sz w:val="24"/>
          <w:szCs w:val="24"/>
        </w:rPr>
        <w:t>, 2010),</w:t>
      </w:r>
      <w:r w:rsidR="00AC6564">
        <w:rPr>
          <w:rFonts w:asciiTheme="majorBidi" w:hAnsiTheme="majorBidi" w:cstheme="majorBidi"/>
          <w:sz w:val="24"/>
          <w:szCs w:val="24"/>
        </w:rPr>
        <w:t xml:space="preserve"> and </w:t>
      </w:r>
      <w:r w:rsidR="00AC6564" w:rsidRPr="00AC6564">
        <w:rPr>
          <w:rFonts w:asciiTheme="majorBidi" w:hAnsiTheme="majorBidi" w:cstheme="majorBidi"/>
          <w:sz w:val="24"/>
          <w:szCs w:val="24"/>
        </w:rPr>
        <w:t xml:space="preserve">thereby they are inclined to ensure that their pay reflects the </w:t>
      </w:r>
      <w:r w:rsidR="00AC6564">
        <w:rPr>
          <w:rFonts w:asciiTheme="majorBidi" w:hAnsiTheme="majorBidi" w:cstheme="majorBidi"/>
          <w:sz w:val="24"/>
          <w:szCs w:val="24"/>
        </w:rPr>
        <w:t xml:space="preserve">long-tern social </w:t>
      </w:r>
      <w:r w:rsidR="00AC6564" w:rsidRPr="00AC6564">
        <w:rPr>
          <w:rFonts w:asciiTheme="majorBidi" w:hAnsiTheme="majorBidi" w:cstheme="majorBidi"/>
          <w:sz w:val="24"/>
          <w:szCs w:val="24"/>
        </w:rPr>
        <w:t xml:space="preserve">performance of their institutions. Finally, the insignificant impact of VC Damehood*HEI performance (Models 1–4) on total VC pay do not provide support for </w:t>
      </w:r>
      <w:r w:rsidR="00AC6564" w:rsidRPr="00AC6564">
        <w:rPr>
          <w:rFonts w:asciiTheme="majorBidi" w:hAnsiTheme="majorBidi" w:cstheme="majorBidi"/>
          <w:i/>
          <w:iCs/>
          <w:sz w:val="24"/>
          <w:szCs w:val="24"/>
        </w:rPr>
        <w:t>H2</w:t>
      </w:r>
      <w:r w:rsidR="00AC6564" w:rsidRPr="00AC6564">
        <w:rPr>
          <w:rFonts w:asciiTheme="majorBidi" w:hAnsiTheme="majorBidi" w:cstheme="majorBidi"/>
          <w:sz w:val="24"/>
          <w:szCs w:val="24"/>
        </w:rPr>
        <w:t>, as well as OCT and PT theories.</w:t>
      </w:r>
    </w:p>
    <w:p w14:paraId="7CE016AE" w14:textId="77777777" w:rsidR="00CC6CAD" w:rsidRDefault="00CC6CAD" w:rsidP="006F25C6">
      <w:pPr>
        <w:spacing w:after="0" w:line="240" w:lineRule="auto"/>
        <w:jc w:val="both"/>
        <w:rPr>
          <w:rFonts w:asciiTheme="majorBidi" w:hAnsiTheme="majorBidi" w:cstheme="majorBidi"/>
          <w:sz w:val="24"/>
          <w:szCs w:val="24"/>
        </w:rPr>
      </w:pPr>
    </w:p>
    <w:p w14:paraId="71E7AC52" w14:textId="7DC2B74D" w:rsidR="006F7724" w:rsidRPr="003026CF" w:rsidRDefault="006F7724" w:rsidP="00851F15">
      <w:pPr>
        <w:spacing w:line="360" w:lineRule="auto"/>
        <w:jc w:val="both"/>
        <w:rPr>
          <w:rFonts w:asciiTheme="majorBidi" w:hAnsiTheme="majorBidi" w:cstheme="majorBidi"/>
          <w:b/>
          <w:bCs/>
          <w:i/>
          <w:sz w:val="24"/>
          <w:szCs w:val="24"/>
        </w:rPr>
      </w:pPr>
      <w:r w:rsidRPr="003026CF">
        <w:rPr>
          <w:rFonts w:asciiTheme="majorBidi" w:hAnsiTheme="majorBidi" w:cstheme="majorBidi"/>
          <w:b/>
          <w:bCs/>
          <w:i/>
          <w:sz w:val="24"/>
          <w:szCs w:val="24"/>
        </w:rPr>
        <w:t xml:space="preserve">Robustness </w:t>
      </w:r>
      <w:r w:rsidR="00735EA0">
        <w:rPr>
          <w:rFonts w:asciiTheme="majorBidi" w:hAnsiTheme="majorBidi" w:cstheme="majorBidi"/>
          <w:b/>
          <w:bCs/>
          <w:i/>
          <w:sz w:val="24"/>
          <w:szCs w:val="24"/>
        </w:rPr>
        <w:t>t</w:t>
      </w:r>
      <w:r w:rsidRPr="003026CF">
        <w:rPr>
          <w:rFonts w:asciiTheme="majorBidi" w:hAnsiTheme="majorBidi" w:cstheme="majorBidi"/>
          <w:b/>
          <w:bCs/>
          <w:i/>
          <w:sz w:val="24"/>
          <w:szCs w:val="24"/>
        </w:rPr>
        <w:t>ests</w:t>
      </w:r>
    </w:p>
    <w:p w14:paraId="73919B94" w14:textId="532B05D3" w:rsidR="00966A9A" w:rsidRPr="009879E8" w:rsidRDefault="00A540ED" w:rsidP="002460D4">
      <w:pPr>
        <w:spacing w:after="0" w:line="480" w:lineRule="auto"/>
        <w:jc w:val="both"/>
        <w:rPr>
          <w:rFonts w:ascii="Times New Roman" w:hAnsi="Times New Roman"/>
          <w:iCs/>
          <w:sz w:val="24"/>
          <w:szCs w:val="24"/>
        </w:rPr>
      </w:pPr>
      <w:r>
        <w:rPr>
          <w:rFonts w:asciiTheme="majorBidi" w:hAnsiTheme="majorBidi" w:cstheme="majorBidi"/>
          <w:sz w:val="24"/>
          <w:szCs w:val="24"/>
        </w:rPr>
        <w:t>W</w:t>
      </w:r>
      <w:r w:rsidR="003C492D">
        <w:rPr>
          <w:rFonts w:asciiTheme="majorBidi" w:hAnsiTheme="majorBidi" w:cstheme="majorBidi"/>
          <w:sz w:val="24"/>
          <w:szCs w:val="24"/>
        </w:rPr>
        <w:t xml:space="preserve">e </w:t>
      </w:r>
      <w:r w:rsidR="00CD7D2F">
        <w:rPr>
          <w:rFonts w:asciiTheme="majorBidi" w:hAnsiTheme="majorBidi" w:cstheme="majorBidi"/>
          <w:sz w:val="24"/>
          <w:szCs w:val="24"/>
        </w:rPr>
        <w:t>perf</w:t>
      </w:r>
      <w:r w:rsidR="00331422">
        <w:rPr>
          <w:rFonts w:asciiTheme="majorBidi" w:hAnsiTheme="majorBidi" w:cstheme="majorBidi"/>
          <w:sz w:val="24"/>
          <w:szCs w:val="24"/>
        </w:rPr>
        <w:t xml:space="preserve">orm </w:t>
      </w:r>
      <w:r>
        <w:rPr>
          <w:rFonts w:asciiTheme="majorBidi" w:hAnsiTheme="majorBidi" w:cstheme="majorBidi"/>
          <w:sz w:val="24"/>
          <w:szCs w:val="24"/>
        </w:rPr>
        <w:t xml:space="preserve">different </w:t>
      </w:r>
      <w:r w:rsidR="003C492D">
        <w:rPr>
          <w:rFonts w:asciiTheme="majorBidi" w:hAnsiTheme="majorBidi" w:cstheme="majorBidi"/>
          <w:sz w:val="24"/>
          <w:szCs w:val="24"/>
        </w:rPr>
        <w:t xml:space="preserve">additional tests to </w:t>
      </w:r>
      <w:r>
        <w:rPr>
          <w:rFonts w:asciiTheme="majorBidi" w:hAnsiTheme="majorBidi" w:cstheme="majorBidi"/>
          <w:sz w:val="24"/>
          <w:szCs w:val="24"/>
        </w:rPr>
        <w:t>deal with various types of endogeneity issues and the usage of different proxies of performance</w:t>
      </w:r>
      <w:r w:rsidR="003C492D">
        <w:rPr>
          <w:rFonts w:asciiTheme="majorBidi" w:hAnsiTheme="majorBidi" w:cstheme="majorBidi"/>
          <w:sz w:val="24"/>
          <w:szCs w:val="24"/>
        </w:rPr>
        <w:t xml:space="preserve">. First, </w:t>
      </w:r>
      <w:r w:rsidR="008B602A">
        <w:rPr>
          <w:rFonts w:asciiTheme="majorBidi" w:hAnsiTheme="majorBidi" w:cstheme="majorBidi"/>
          <w:sz w:val="24"/>
          <w:szCs w:val="24"/>
        </w:rPr>
        <w:t xml:space="preserve">and </w:t>
      </w:r>
      <w:proofErr w:type="gramStart"/>
      <w:r w:rsidR="008B602A">
        <w:rPr>
          <w:rFonts w:asciiTheme="majorBidi" w:hAnsiTheme="majorBidi" w:cstheme="majorBidi"/>
          <w:sz w:val="24"/>
          <w:szCs w:val="24"/>
        </w:rPr>
        <w:t>in order to</w:t>
      </w:r>
      <w:proofErr w:type="gramEnd"/>
      <w:r w:rsidR="008B602A">
        <w:rPr>
          <w:rFonts w:asciiTheme="majorBidi" w:hAnsiTheme="majorBidi" w:cstheme="majorBidi"/>
          <w:sz w:val="24"/>
          <w:szCs w:val="24"/>
        </w:rPr>
        <w:t xml:space="preserve"> identif</w:t>
      </w:r>
      <w:r>
        <w:rPr>
          <w:rFonts w:asciiTheme="majorBidi" w:hAnsiTheme="majorBidi" w:cstheme="majorBidi"/>
          <w:sz w:val="24"/>
          <w:szCs w:val="24"/>
        </w:rPr>
        <w:t xml:space="preserve">y whether our results hold for </w:t>
      </w:r>
      <w:r w:rsidR="008B602A">
        <w:rPr>
          <w:rFonts w:asciiTheme="majorBidi" w:hAnsiTheme="majorBidi" w:cstheme="majorBidi"/>
          <w:sz w:val="24"/>
          <w:szCs w:val="24"/>
        </w:rPr>
        <w:t xml:space="preserve">the usage of </w:t>
      </w:r>
      <w:r>
        <w:rPr>
          <w:rFonts w:asciiTheme="majorBidi" w:hAnsiTheme="majorBidi" w:cstheme="majorBidi"/>
          <w:sz w:val="24"/>
          <w:szCs w:val="24"/>
        </w:rPr>
        <w:t>different</w:t>
      </w:r>
      <w:r w:rsidR="008B602A">
        <w:rPr>
          <w:rFonts w:asciiTheme="majorBidi" w:hAnsiTheme="majorBidi" w:cstheme="majorBidi"/>
          <w:sz w:val="24"/>
          <w:szCs w:val="24"/>
        </w:rPr>
        <w:t xml:space="preserve"> performance measures, </w:t>
      </w:r>
      <w:r w:rsidR="003A0138">
        <w:rPr>
          <w:rFonts w:asciiTheme="majorBidi" w:hAnsiTheme="majorBidi" w:cstheme="majorBidi"/>
          <w:sz w:val="24"/>
          <w:szCs w:val="24"/>
        </w:rPr>
        <w:t>we</w:t>
      </w:r>
      <w:r w:rsidR="00185442" w:rsidRPr="00185442">
        <w:rPr>
          <w:rFonts w:ascii="Times New Roman" w:eastAsia="Calibri" w:hAnsi="Times New Roman" w:cs="Times New Roman"/>
          <w:sz w:val="24"/>
          <w:szCs w:val="24"/>
        </w:rPr>
        <w:t xml:space="preserve"> </w:t>
      </w:r>
      <w:r w:rsidR="00185442" w:rsidRPr="00185442">
        <w:rPr>
          <w:rFonts w:asciiTheme="majorBidi" w:hAnsiTheme="majorBidi" w:cstheme="majorBidi"/>
          <w:sz w:val="24"/>
          <w:szCs w:val="24"/>
        </w:rPr>
        <w:t>used alternative long-term</w:t>
      </w:r>
      <w:r w:rsidR="00185442" w:rsidRPr="00185442">
        <w:rPr>
          <w:rFonts w:asciiTheme="majorBidi" w:hAnsiTheme="majorBidi" w:cstheme="majorBidi"/>
          <w:iCs/>
          <w:sz w:val="24"/>
          <w:szCs w:val="24"/>
        </w:rPr>
        <w:t xml:space="preserve"> (gender pay gap – </w:t>
      </w:r>
      <w:r w:rsidR="00185442" w:rsidRPr="00185442">
        <w:rPr>
          <w:rFonts w:asciiTheme="majorBidi" w:hAnsiTheme="majorBidi" w:cstheme="majorBidi"/>
          <w:i/>
          <w:iCs/>
          <w:sz w:val="24"/>
          <w:szCs w:val="24"/>
        </w:rPr>
        <w:t>GPG</w:t>
      </w:r>
      <w:r w:rsidR="00185442" w:rsidRPr="00185442">
        <w:rPr>
          <w:rFonts w:asciiTheme="majorBidi" w:hAnsiTheme="majorBidi" w:cstheme="majorBidi"/>
          <w:iCs/>
          <w:sz w:val="24"/>
          <w:szCs w:val="24"/>
        </w:rPr>
        <w:t xml:space="preserve"> and</w:t>
      </w:r>
      <w:r w:rsidR="00185442" w:rsidRPr="00185442">
        <w:rPr>
          <w:rFonts w:asciiTheme="majorBidi" w:hAnsiTheme="majorBidi" w:cstheme="majorBidi"/>
          <w:i/>
          <w:iCs/>
          <w:sz w:val="24"/>
          <w:szCs w:val="24"/>
        </w:rPr>
        <w:t xml:space="preserve"> </w:t>
      </w:r>
      <w:r w:rsidR="00185442" w:rsidRPr="00185442">
        <w:rPr>
          <w:rFonts w:asciiTheme="majorBidi" w:hAnsiTheme="majorBidi" w:cstheme="majorBidi"/>
          <w:iCs/>
          <w:sz w:val="24"/>
          <w:szCs w:val="24"/>
        </w:rPr>
        <w:t xml:space="preserve">percentage of young staff – </w:t>
      </w:r>
      <w:r w:rsidR="00185442" w:rsidRPr="00185442">
        <w:rPr>
          <w:rFonts w:asciiTheme="majorBidi" w:hAnsiTheme="majorBidi" w:cstheme="majorBidi"/>
          <w:i/>
          <w:iCs/>
          <w:sz w:val="24"/>
          <w:szCs w:val="24"/>
        </w:rPr>
        <w:t>PYS</w:t>
      </w:r>
      <w:r w:rsidR="00185442" w:rsidRPr="00185442">
        <w:rPr>
          <w:rFonts w:asciiTheme="majorBidi" w:hAnsiTheme="majorBidi" w:cstheme="majorBidi"/>
          <w:sz w:val="24"/>
          <w:szCs w:val="24"/>
        </w:rPr>
        <w:t>) and shot-term (</w:t>
      </w:r>
      <w:r w:rsidR="00185442" w:rsidRPr="00185442">
        <w:rPr>
          <w:rFonts w:asciiTheme="majorBidi" w:hAnsiTheme="majorBidi" w:cstheme="majorBidi"/>
          <w:i/>
          <w:iCs/>
          <w:sz w:val="24"/>
          <w:szCs w:val="24"/>
        </w:rPr>
        <w:t xml:space="preserve">GUG </w:t>
      </w:r>
      <w:r w:rsidR="00185442" w:rsidRPr="00185442">
        <w:rPr>
          <w:rFonts w:asciiTheme="majorBidi" w:hAnsiTheme="majorBidi" w:cstheme="majorBidi"/>
          <w:sz w:val="24"/>
          <w:szCs w:val="24"/>
        </w:rPr>
        <w:t xml:space="preserve">and </w:t>
      </w:r>
      <w:r w:rsidR="00185442" w:rsidRPr="00185442">
        <w:rPr>
          <w:rFonts w:asciiTheme="majorBidi" w:hAnsiTheme="majorBidi" w:cstheme="majorBidi"/>
          <w:i/>
          <w:iCs/>
          <w:sz w:val="24"/>
          <w:szCs w:val="24"/>
        </w:rPr>
        <w:t xml:space="preserve">CUG </w:t>
      </w:r>
      <w:r w:rsidR="00185442" w:rsidRPr="00185442">
        <w:rPr>
          <w:rFonts w:asciiTheme="majorBidi" w:hAnsiTheme="majorBidi" w:cstheme="majorBidi"/>
          <w:sz w:val="24"/>
          <w:szCs w:val="24"/>
        </w:rPr>
        <w:t>rankings)</w:t>
      </w:r>
      <w:r w:rsidR="008F692B">
        <w:rPr>
          <w:rFonts w:ascii="Times New Roman" w:hAnsi="Times New Roman"/>
          <w:iCs/>
          <w:sz w:val="24"/>
          <w:szCs w:val="24"/>
        </w:rPr>
        <w:t xml:space="preserve">. </w:t>
      </w:r>
      <w:r w:rsidR="008F692B" w:rsidRPr="00623075">
        <w:rPr>
          <w:rFonts w:ascii="Times New Roman" w:hAnsi="Times New Roman"/>
          <w:iCs/>
          <w:sz w:val="24"/>
          <w:szCs w:val="24"/>
        </w:rPr>
        <w:t>The results are presented in Models 1</w:t>
      </w:r>
      <w:r w:rsidR="00770A0B">
        <w:rPr>
          <w:rFonts w:ascii="Times New Roman" w:hAnsi="Times New Roman"/>
          <w:iCs/>
          <w:sz w:val="24"/>
          <w:szCs w:val="24"/>
        </w:rPr>
        <w:t>–</w:t>
      </w:r>
      <w:r w:rsidR="0026712C">
        <w:rPr>
          <w:rFonts w:ascii="Times New Roman" w:hAnsi="Times New Roman"/>
          <w:iCs/>
          <w:sz w:val="24"/>
          <w:szCs w:val="24"/>
        </w:rPr>
        <w:t xml:space="preserve">2, 7 and 8 </w:t>
      </w:r>
      <w:r w:rsidR="00966A9A">
        <w:rPr>
          <w:rFonts w:ascii="Times New Roman" w:hAnsi="Times New Roman"/>
          <w:iCs/>
          <w:sz w:val="24"/>
          <w:szCs w:val="24"/>
        </w:rPr>
        <w:t xml:space="preserve">in </w:t>
      </w:r>
      <w:r w:rsidR="0026712C">
        <w:rPr>
          <w:rFonts w:ascii="Times New Roman" w:hAnsi="Times New Roman"/>
          <w:iCs/>
          <w:sz w:val="24"/>
          <w:szCs w:val="24"/>
        </w:rPr>
        <w:t>Table 4</w:t>
      </w:r>
      <w:r w:rsidR="00966A9A">
        <w:rPr>
          <w:rFonts w:ascii="Times New Roman" w:hAnsi="Times New Roman"/>
          <w:iCs/>
          <w:sz w:val="24"/>
          <w:szCs w:val="24"/>
        </w:rPr>
        <w:t xml:space="preserve">, </w:t>
      </w:r>
      <w:r w:rsidR="00966A9A">
        <w:rPr>
          <w:rFonts w:asciiTheme="majorBidi" w:hAnsiTheme="majorBidi" w:cstheme="majorBidi"/>
          <w:sz w:val="24"/>
          <w:szCs w:val="24"/>
        </w:rPr>
        <w:t>suggesting that our findings appear not to have been affected by the usage of alternative long- and short-term performance proxies.</w:t>
      </w:r>
    </w:p>
    <w:p w14:paraId="78A6233D" w14:textId="702A2DEC" w:rsidR="00C37527" w:rsidRDefault="00C37527" w:rsidP="00C3752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Second, to control for</w:t>
      </w:r>
      <w:r w:rsidR="004B599A">
        <w:rPr>
          <w:rFonts w:asciiTheme="majorBidi" w:hAnsiTheme="majorBidi" w:cstheme="majorBidi"/>
          <w:sz w:val="24"/>
          <w:szCs w:val="24"/>
        </w:rPr>
        <w:t xml:space="preserve"> </w:t>
      </w:r>
      <w:r w:rsidR="00A046CD">
        <w:rPr>
          <w:rFonts w:asciiTheme="majorBidi" w:hAnsiTheme="majorBidi" w:cstheme="majorBidi"/>
          <w:sz w:val="24"/>
          <w:szCs w:val="24"/>
        </w:rPr>
        <w:t xml:space="preserve">possible endogeneity problems that may arise from </w:t>
      </w:r>
      <w:r w:rsidR="00A046CD" w:rsidRPr="00A046CD">
        <w:rPr>
          <w:rFonts w:asciiTheme="majorBidi" w:hAnsiTheme="majorBidi" w:cstheme="majorBidi"/>
          <w:sz w:val="24"/>
          <w:szCs w:val="24"/>
        </w:rPr>
        <w:t>simultaneous</w:t>
      </w:r>
      <w:r w:rsidR="00A046CD">
        <w:rPr>
          <w:rFonts w:asciiTheme="majorBidi" w:hAnsiTheme="majorBidi" w:cstheme="majorBidi"/>
          <w:sz w:val="24"/>
          <w:szCs w:val="24"/>
        </w:rPr>
        <w:t xml:space="preserve"> relationship</w:t>
      </w:r>
      <w:r w:rsidR="00A3772C">
        <w:rPr>
          <w:rFonts w:asciiTheme="majorBidi" w:hAnsiTheme="majorBidi" w:cstheme="majorBidi"/>
          <w:sz w:val="24"/>
          <w:szCs w:val="24"/>
        </w:rPr>
        <w:t xml:space="preserve"> </w:t>
      </w:r>
      <w:r w:rsidR="00424FC4">
        <w:rPr>
          <w:rFonts w:asciiTheme="majorBidi" w:hAnsiTheme="majorBidi" w:cstheme="majorBidi"/>
          <w:sz w:val="24"/>
          <w:szCs w:val="24"/>
        </w:rPr>
        <w:t>among</w:t>
      </w:r>
      <w:r w:rsidR="00281E59">
        <w:rPr>
          <w:rFonts w:asciiTheme="majorBidi" w:hAnsiTheme="majorBidi" w:cstheme="majorBidi"/>
          <w:sz w:val="24"/>
          <w:szCs w:val="24"/>
        </w:rPr>
        <w:t xml:space="preserve"> our</w:t>
      </w:r>
      <w:r w:rsidR="00424FC4">
        <w:rPr>
          <w:rFonts w:asciiTheme="majorBidi" w:hAnsiTheme="majorBidi" w:cstheme="majorBidi"/>
          <w:sz w:val="24"/>
          <w:szCs w:val="24"/>
        </w:rPr>
        <w:t xml:space="preserve"> </w:t>
      </w:r>
      <w:r w:rsidR="00A3772C">
        <w:rPr>
          <w:rFonts w:asciiTheme="majorBidi" w:hAnsiTheme="majorBidi" w:cstheme="majorBidi"/>
          <w:sz w:val="24"/>
          <w:szCs w:val="24"/>
        </w:rPr>
        <w:t xml:space="preserve">study variables (e.g., </w:t>
      </w:r>
      <w:r w:rsidR="001F567F">
        <w:rPr>
          <w:rFonts w:asciiTheme="majorBidi" w:hAnsiTheme="majorBidi" w:cstheme="majorBidi"/>
          <w:sz w:val="24"/>
          <w:szCs w:val="24"/>
        </w:rPr>
        <w:t>current year</w:t>
      </w:r>
      <w:r w:rsidR="00364913">
        <w:rPr>
          <w:rFonts w:asciiTheme="majorBidi" w:hAnsiTheme="majorBidi" w:cstheme="majorBidi"/>
          <w:sz w:val="24"/>
          <w:szCs w:val="24"/>
        </w:rPr>
        <w:t>’s</w:t>
      </w:r>
      <w:r w:rsidR="001F567F">
        <w:rPr>
          <w:rFonts w:asciiTheme="majorBidi" w:hAnsiTheme="majorBidi" w:cstheme="majorBidi"/>
          <w:sz w:val="24"/>
          <w:szCs w:val="24"/>
        </w:rPr>
        <w:t xml:space="preserve"> </w:t>
      </w:r>
      <w:r w:rsidR="005D5D20">
        <w:rPr>
          <w:rFonts w:asciiTheme="majorBidi" w:hAnsiTheme="majorBidi" w:cstheme="majorBidi"/>
          <w:sz w:val="24"/>
          <w:szCs w:val="24"/>
        </w:rPr>
        <w:t>HEIs</w:t>
      </w:r>
      <w:r w:rsidR="00424FC4">
        <w:rPr>
          <w:rFonts w:asciiTheme="majorBidi" w:hAnsiTheme="majorBidi" w:cstheme="majorBidi"/>
          <w:sz w:val="24"/>
          <w:szCs w:val="24"/>
        </w:rPr>
        <w:t xml:space="preserve"> </w:t>
      </w:r>
      <w:r w:rsidR="00A3772C">
        <w:rPr>
          <w:rFonts w:asciiTheme="majorBidi" w:hAnsiTheme="majorBidi" w:cstheme="majorBidi"/>
          <w:sz w:val="24"/>
          <w:szCs w:val="24"/>
        </w:rPr>
        <w:t xml:space="preserve">performance </w:t>
      </w:r>
      <w:r w:rsidR="005D5D20">
        <w:rPr>
          <w:rFonts w:asciiTheme="majorBidi" w:hAnsiTheme="majorBidi" w:cstheme="majorBidi"/>
          <w:sz w:val="24"/>
          <w:szCs w:val="24"/>
        </w:rPr>
        <w:t>can</w:t>
      </w:r>
      <w:r w:rsidR="00424FC4">
        <w:rPr>
          <w:rFonts w:asciiTheme="majorBidi" w:hAnsiTheme="majorBidi" w:cstheme="majorBidi"/>
          <w:sz w:val="24"/>
          <w:szCs w:val="24"/>
        </w:rPr>
        <w:t xml:space="preserve"> be affected by</w:t>
      </w:r>
      <w:r w:rsidR="001F567F">
        <w:rPr>
          <w:rFonts w:asciiTheme="majorBidi" w:hAnsiTheme="majorBidi" w:cstheme="majorBidi"/>
          <w:sz w:val="24"/>
          <w:szCs w:val="24"/>
        </w:rPr>
        <w:t xml:space="preserve"> past year</w:t>
      </w:r>
      <w:r w:rsidR="00424FC4">
        <w:rPr>
          <w:rFonts w:asciiTheme="majorBidi" w:hAnsiTheme="majorBidi" w:cstheme="majorBidi"/>
          <w:sz w:val="24"/>
          <w:szCs w:val="24"/>
        </w:rPr>
        <w:t xml:space="preserve"> VC pay)</w:t>
      </w:r>
      <w:r>
        <w:rPr>
          <w:rFonts w:asciiTheme="majorBidi" w:hAnsiTheme="majorBidi" w:cstheme="majorBidi"/>
          <w:sz w:val="24"/>
          <w:szCs w:val="24"/>
        </w:rPr>
        <w:t xml:space="preserve">, the lagged effects are estimated in Models </w:t>
      </w:r>
      <w:r w:rsidR="009E1839">
        <w:rPr>
          <w:rFonts w:asciiTheme="majorBidi" w:hAnsiTheme="majorBidi" w:cstheme="majorBidi"/>
          <w:sz w:val="24"/>
          <w:szCs w:val="24"/>
        </w:rPr>
        <w:t>3, 4, 9 and 10</w:t>
      </w:r>
      <w:r w:rsidR="00364913">
        <w:rPr>
          <w:rFonts w:asciiTheme="majorBidi" w:hAnsiTheme="majorBidi" w:cstheme="majorBidi"/>
          <w:sz w:val="24"/>
          <w:szCs w:val="24"/>
        </w:rPr>
        <w:t xml:space="preserve"> </w:t>
      </w:r>
      <w:r>
        <w:rPr>
          <w:rFonts w:asciiTheme="majorBidi" w:hAnsiTheme="majorBidi" w:cstheme="majorBidi"/>
          <w:sz w:val="24"/>
          <w:szCs w:val="24"/>
        </w:rPr>
        <w:t xml:space="preserve">of Table </w:t>
      </w:r>
      <w:r w:rsidR="00E96CFD">
        <w:rPr>
          <w:rFonts w:asciiTheme="majorBidi" w:hAnsiTheme="majorBidi" w:cstheme="majorBidi"/>
          <w:sz w:val="24"/>
          <w:szCs w:val="24"/>
        </w:rPr>
        <w:t>4</w:t>
      </w:r>
      <w:r>
        <w:rPr>
          <w:rFonts w:asciiTheme="majorBidi" w:hAnsiTheme="majorBidi" w:cstheme="majorBidi"/>
          <w:sz w:val="24"/>
          <w:szCs w:val="24"/>
        </w:rPr>
        <w:t>, whereby the current year</w:t>
      </w:r>
      <w:r w:rsidR="00513BDB">
        <w:rPr>
          <w:rFonts w:asciiTheme="majorBidi" w:hAnsiTheme="majorBidi" w:cstheme="majorBidi"/>
          <w:sz w:val="24"/>
          <w:szCs w:val="24"/>
        </w:rPr>
        <w:t>’s</w:t>
      </w:r>
      <w:r>
        <w:rPr>
          <w:rFonts w:asciiTheme="majorBidi" w:hAnsiTheme="majorBidi" w:cstheme="majorBidi"/>
          <w:sz w:val="24"/>
          <w:szCs w:val="24"/>
        </w:rPr>
        <w:t xml:space="preserve"> VC total pay</w:t>
      </w:r>
      <w:r>
        <w:rPr>
          <w:rFonts w:asciiTheme="majorBidi" w:hAnsiTheme="majorBidi" w:cstheme="majorBidi"/>
          <w:i/>
          <w:iCs/>
          <w:sz w:val="24"/>
          <w:szCs w:val="24"/>
        </w:rPr>
        <w:t xml:space="preserve"> </w:t>
      </w:r>
      <w:r>
        <w:rPr>
          <w:rFonts w:asciiTheme="majorBidi" w:hAnsiTheme="majorBidi" w:cstheme="majorBidi"/>
          <w:sz w:val="24"/>
          <w:szCs w:val="24"/>
        </w:rPr>
        <w:t>is affected by the previous year</w:t>
      </w:r>
      <w:r w:rsidR="00513BDB">
        <w:rPr>
          <w:rFonts w:asciiTheme="majorBidi" w:hAnsiTheme="majorBidi" w:cstheme="majorBidi"/>
          <w:sz w:val="24"/>
          <w:szCs w:val="24"/>
        </w:rPr>
        <w:t>’s</w:t>
      </w:r>
      <w:r>
        <w:rPr>
          <w:rFonts w:asciiTheme="majorBidi" w:hAnsiTheme="majorBidi" w:cstheme="majorBidi"/>
          <w:sz w:val="24"/>
          <w:szCs w:val="24"/>
        </w:rPr>
        <w:t xml:space="preserve"> </w:t>
      </w:r>
      <w:r>
        <w:rPr>
          <w:rFonts w:asciiTheme="majorBidi" w:hAnsiTheme="majorBidi" w:cstheme="majorBidi"/>
          <w:i/>
          <w:iCs/>
          <w:sz w:val="24"/>
          <w:szCs w:val="24"/>
        </w:rPr>
        <w:t>HEI</w:t>
      </w:r>
      <w:r w:rsidR="00A046CD">
        <w:rPr>
          <w:rFonts w:asciiTheme="majorBidi" w:hAnsiTheme="majorBidi" w:cstheme="majorBidi"/>
          <w:i/>
          <w:iCs/>
          <w:sz w:val="24"/>
          <w:szCs w:val="24"/>
        </w:rPr>
        <w:t xml:space="preserve"> performance</w:t>
      </w:r>
      <w:r>
        <w:rPr>
          <w:rFonts w:asciiTheme="majorBidi" w:hAnsiTheme="majorBidi" w:cstheme="majorBidi"/>
          <w:i/>
          <w:iCs/>
          <w:sz w:val="24"/>
          <w:szCs w:val="24"/>
        </w:rPr>
        <w:t xml:space="preserve"> </w:t>
      </w:r>
      <w:r>
        <w:rPr>
          <w:rFonts w:asciiTheme="majorBidi" w:hAnsiTheme="majorBidi" w:cstheme="majorBidi"/>
          <w:sz w:val="24"/>
          <w:szCs w:val="24"/>
        </w:rPr>
        <w:t xml:space="preserve">and control variables. </w:t>
      </w:r>
      <w:r w:rsidR="009E1839">
        <w:rPr>
          <w:rFonts w:asciiTheme="majorBidi" w:hAnsiTheme="majorBidi" w:cstheme="majorBidi"/>
          <w:sz w:val="24"/>
          <w:szCs w:val="24"/>
        </w:rPr>
        <w:t>Using the lagged-effects model help</w:t>
      </w:r>
      <w:r w:rsidR="001F567F">
        <w:rPr>
          <w:rFonts w:asciiTheme="majorBidi" w:hAnsiTheme="majorBidi" w:cstheme="majorBidi"/>
          <w:sz w:val="24"/>
          <w:szCs w:val="24"/>
        </w:rPr>
        <w:t>s</w:t>
      </w:r>
      <w:r w:rsidR="009E1839">
        <w:rPr>
          <w:rFonts w:asciiTheme="majorBidi" w:hAnsiTheme="majorBidi" w:cstheme="majorBidi"/>
          <w:sz w:val="24"/>
          <w:szCs w:val="24"/>
        </w:rPr>
        <w:t xml:space="preserve"> </w:t>
      </w:r>
      <w:r w:rsidR="005D5D20">
        <w:rPr>
          <w:rFonts w:asciiTheme="majorBidi" w:hAnsiTheme="majorBidi" w:cstheme="majorBidi"/>
          <w:sz w:val="24"/>
          <w:szCs w:val="24"/>
        </w:rPr>
        <w:t>to mitigate possible problems associated with simultaneity endogeneity</w:t>
      </w:r>
      <w:r w:rsidR="00C74516">
        <w:rPr>
          <w:rFonts w:asciiTheme="majorBidi" w:hAnsiTheme="majorBidi" w:cstheme="majorBidi"/>
          <w:sz w:val="24"/>
          <w:szCs w:val="24"/>
        </w:rPr>
        <w:t xml:space="preserve">, </w:t>
      </w:r>
      <w:r w:rsidR="001F567F">
        <w:rPr>
          <w:rFonts w:asciiTheme="majorBidi" w:hAnsiTheme="majorBidi" w:cstheme="majorBidi"/>
          <w:sz w:val="24"/>
          <w:szCs w:val="24"/>
        </w:rPr>
        <w:t xml:space="preserve">by ensuring that current </w:t>
      </w:r>
      <w:r w:rsidR="00331746">
        <w:rPr>
          <w:rFonts w:asciiTheme="majorBidi" w:hAnsiTheme="majorBidi" w:cstheme="majorBidi"/>
          <w:sz w:val="24"/>
          <w:szCs w:val="24"/>
        </w:rPr>
        <w:t>values of</w:t>
      </w:r>
      <w:r w:rsidR="001F567F">
        <w:rPr>
          <w:rFonts w:asciiTheme="majorBidi" w:hAnsiTheme="majorBidi" w:cstheme="majorBidi"/>
          <w:sz w:val="24"/>
          <w:szCs w:val="24"/>
        </w:rPr>
        <w:t xml:space="preserve"> VC pay cannot affect </w:t>
      </w:r>
      <w:r w:rsidR="00331746">
        <w:rPr>
          <w:rFonts w:asciiTheme="majorBidi" w:hAnsiTheme="majorBidi" w:cstheme="majorBidi"/>
          <w:sz w:val="24"/>
          <w:szCs w:val="24"/>
        </w:rPr>
        <w:t>past values of</w:t>
      </w:r>
      <w:r w:rsidR="00281E59">
        <w:rPr>
          <w:rFonts w:asciiTheme="majorBidi" w:hAnsiTheme="majorBidi" w:cstheme="majorBidi"/>
          <w:sz w:val="24"/>
          <w:szCs w:val="24"/>
        </w:rPr>
        <w:t xml:space="preserve"> HEI performance and control variables. </w:t>
      </w:r>
      <w:r>
        <w:rPr>
          <w:rFonts w:asciiTheme="majorBidi" w:hAnsiTheme="majorBidi" w:cstheme="majorBidi"/>
          <w:sz w:val="24"/>
          <w:szCs w:val="24"/>
        </w:rPr>
        <w:t xml:space="preserve">The obtained results in Models </w:t>
      </w:r>
      <w:r w:rsidR="00281E59">
        <w:rPr>
          <w:rFonts w:asciiTheme="majorBidi" w:hAnsiTheme="majorBidi" w:cstheme="majorBidi"/>
          <w:sz w:val="24"/>
          <w:szCs w:val="24"/>
        </w:rPr>
        <w:t xml:space="preserve">3, 4, 9 and 10 </w:t>
      </w:r>
      <w:r>
        <w:rPr>
          <w:rFonts w:asciiTheme="majorBidi" w:hAnsiTheme="majorBidi" w:cstheme="majorBidi"/>
          <w:sz w:val="24"/>
          <w:szCs w:val="24"/>
        </w:rPr>
        <w:t xml:space="preserve">of Table </w:t>
      </w:r>
      <w:r w:rsidR="00E96CFD">
        <w:rPr>
          <w:rFonts w:asciiTheme="majorBidi" w:hAnsiTheme="majorBidi" w:cstheme="majorBidi"/>
          <w:sz w:val="24"/>
          <w:szCs w:val="24"/>
        </w:rPr>
        <w:t xml:space="preserve">4 </w:t>
      </w:r>
      <w:r>
        <w:rPr>
          <w:rFonts w:asciiTheme="majorBidi" w:hAnsiTheme="majorBidi" w:cstheme="majorBidi"/>
          <w:sz w:val="24"/>
          <w:szCs w:val="24"/>
        </w:rPr>
        <w:t>remain very similar to th</w:t>
      </w:r>
      <w:r w:rsidR="001767A7">
        <w:rPr>
          <w:rFonts w:asciiTheme="majorBidi" w:hAnsiTheme="majorBidi" w:cstheme="majorBidi"/>
          <w:sz w:val="24"/>
          <w:szCs w:val="24"/>
        </w:rPr>
        <w:t>ose that</w:t>
      </w:r>
      <w:r>
        <w:rPr>
          <w:rFonts w:asciiTheme="majorBidi" w:hAnsiTheme="majorBidi" w:cstheme="majorBidi"/>
          <w:sz w:val="24"/>
          <w:szCs w:val="24"/>
        </w:rPr>
        <w:t xml:space="preserve"> have been reported in </w:t>
      </w:r>
      <w:r w:rsidR="00D07F12">
        <w:rPr>
          <w:rFonts w:asciiTheme="majorBidi" w:hAnsiTheme="majorBidi" w:cstheme="majorBidi"/>
          <w:sz w:val="24"/>
          <w:szCs w:val="24"/>
        </w:rPr>
        <w:t>Models 3,</w:t>
      </w:r>
      <w:r w:rsidR="00E907C4">
        <w:rPr>
          <w:rFonts w:asciiTheme="majorBidi" w:hAnsiTheme="majorBidi" w:cstheme="majorBidi"/>
          <w:sz w:val="24"/>
          <w:szCs w:val="24"/>
        </w:rPr>
        <w:t xml:space="preserve"> </w:t>
      </w:r>
      <w:r w:rsidR="00D07F12">
        <w:rPr>
          <w:rFonts w:asciiTheme="majorBidi" w:hAnsiTheme="majorBidi" w:cstheme="majorBidi"/>
          <w:sz w:val="24"/>
          <w:szCs w:val="24"/>
        </w:rPr>
        <w:t xml:space="preserve">6, 9 </w:t>
      </w:r>
      <w:r w:rsidR="00D07F12">
        <w:rPr>
          <w:rFonts w:asciiTheme="majorBidi" w:hAnsiTheme="majorBidi" w:cstheme="majorBidi"/>
          <w:sz w:val="24"/>
          <w:szCs w:val="24"/>
        </w:rPr>
        <w:lastRenderedPageBreak/>
        <w:t xml:space="preserve">and 12 of </w:t>
      </w:r>
      <w:r>
        <w:rPr>
          <w:rFonts w:asciiTheme="majorBidi" w:hAnsiTheme="majorBidi" w:cstheme="majorBidi"/>
          <w:sz w:val="24"/>
          <w:szCs w:val="24"/>
        </w:rPr>
        <w:t xml:space="preserve">Table </w:t>
      </w:r>
      <w:r w:rsidR="00E96CFD">
        <w:rPr>
          <w:rFonts w:asciiTheme="majorBidi" w:hAnsiTheme="majorBidi" w:cstheme="majorBidi"/>
          <w:sz w:val="24"/>
          <w:szCs w:val="24"/>
        </w:rPr>
        <w:t>2</w:t>
      </w:r>
      <w:r>
        <w:rPr>
          <w:rFonts w:asciiTheme="majorBidi" w:hAnsiTheme="majorBidi" w:cstheme="majorBidi"/>
          <w:sz w:val="24"/>
          <w:szCs w:val="24"/>
        </w:rPr>
        <w:t xml:space="preserve">, implying that our findings </w:t>
      </w:r>
      <w:r w:rsidR="001767A7">
        <w:rPr>
          <w:rFonts w:asciiTheme="majorBidi" w:hAnsiTheme="majorBidi" w:cstheme="majorBidi"/>
          <w:sz w:val="24"/>
          <w:szCs w:val="24"/>
        </w:rPr>
        <w:t>seem to be</w:t>
      </w:r>
      <w:r w:rsidR="00E907C4">
        <w:rPr>
          <w:rFonts w:asciiTheme="majorBidi" w:hAnsiTheme="majorBidi" w:cstheme="majorBidi"/>
          <w:sz w:val="24"/>
          <w:szCs w:val="24"/>
        </w:rPr>
        <w:t xml:space="preserve"> robust to the estimation of a lagged structure</w:t>
      </w:r>
      <w:r>
        <w:rPr>
          <w:rFonts w:asciiTheme="majorBidi" w:hAnsiTheme="majorBidi" w:cstheme="majorBidi"/>
          <w:sz w:val="24"/>
          <w:szCs w:val="24"/>
        </w:rPr>
        <w:t>.</w:t>
      </w:r>
      <w:r w:rsidR="00D07F12">
        <w:rPr>
          <w:rFonts w:asciiTheme="majorBidi" w:hAnsiTheme="majorBidi" w:cstheme="majorBidi"/>
          <w:sz w:val="24"/>
          <w:szCs w:val="24"/>
        </w:rPr>
        <w:t xml:space="preserve"> </w:t>
      </w:r>
    </w:p>
    <w:p w14:paraId="5BCB20B4" w14:textId="2DF924D2" w:rsidR="00F0734A" w:rsidRDefault="00D07F12" w:rsidP="00D07F12">
      <w:pPr>
        <w:spacing w:after="0" w:line="480" w:lineRule="auto"/>
        <w:jc w:val="center"/>
        <w:rPr>
          <w:rFonts w:asciiTheme="majorBidi" w:hAnsiTheme="majorBidi" w:cstheme="majorBidi"/>
          <w:sz w:val="24"/>
          <w:szCs w:val="24"/>
        </w:rPr>
      </w:pPr>
      <w:r>
        <w:rPr>
          <w:rFonts w:asciiTheme="majorBidi" w:hAnsiTheme="majorBidi" w:cstheme="majorBidi"/>
          <w:sz w:val="24"/>
          <w:szCs w:val="24"/>
        </w:rPr>
        <w:t xml:space="preserve">Table </w:t>
      </w:r>
      <w:r w:rsidR="00E96CFD">
        <w:rPr>
          <w:rFonts w:asciiTheme="majorBidi" w:hAnsiTheme="majorBidi" w:cstheme="majorBidi"/>
          <w:sz w:val="24"/>
          <w:szCs w:val="24"/>
        </w:rPr>
        <w:t>4</w:t>
      </w:r>
      <w:r>
        <w:rPr>
          <w:rFonts w:asciiTheme="majorBidi" w:hAnsiTheme="majorBidi" w:cstheme="majorBidi"/>
          <w:sz w:val="24"/>
          <w:szCs w:val="24"/>
        </w:rPr>
        <w:t xml:space="preserve"> here</w:t>
      </w:r>
    </w:p>
    <w:p w14:paraId="64A275F6" w14:textId="53A43CFB" w:rsidR="002B1FE7" w:rsidRDefault="002B1FE7" w:rsidP="00237B98">
      <w:pPr>
        <w:spacing w:after="0" w:line="480" w:lineRule="auto"/>
        <w:ind w:firstLine="720"/>
        <w:jc w:val="both"/>
        <w:rPr>
          <w:rFonts w:asciiTheme="majorBidi" w:hAnsiTheme="majorBidi" w:cstheme="majorBidi"/>
          <w:sz w:val="24"/>
          <w:szCs w:val="24"/>
        </w:rPr>
      </w:pPr>
    </w:p>
    <w:p w14:paraId="1D0C119E" w14:textId="194CC1F5" w:rsidR="002B1FE7" w:rsidRDefault="00D07F12" w:rsidP="00237B98">
      <w:pPr>
        <w:spacing w:after="0" w:line="480" w:lineRule="auto"/>
        <w:ind w:firstLine="720"/>
        <w:jc w:val="both"/>
        <w:rPr>
          <w:rFonts w:asciiTheme="majorBidi" w:hAnsiTheme="majorBidi" w:cstheme="majorBidi"/>
          <w:sz w:val="24"/>
          <w:szCs w:val="24"/>
        </w:rPr>
      </w:pPr>
      <w:r w:rsidRPr="00D07F12">
        <w:rPr>
          <w:rFonts w:asciiTheme="majorBidi" w:hAnsiTheme="majorBidi" w:cstheme="majorBidi"/>
          <w:sz w:val="24"/>
          <w:szCs w:val="24"/>
        </w:rPr>
        <w:t>Finally,</w:t>
      </w:r>
      <w:r w:rsidR="002B1FE7">
        <w:rPr>
          <w:rFonts w:asciiTheme="majorBidi" w:hAnsiTheme="majorBidi" w:cstheme="majorBidi"/>
          <w:sz w:val="24"/>
          <w:szCs w:val="24"/>
        </w:rPr>
        <w:t xml:space="preserve"> and although great efforts were made to mitigate </w:t>
      </w:r>
      <w:r w:rsidR="00BD17BC">
        <w:rPr>
          <w:rFonts w:asciiTheme="majorBidi" w:hAnsiTheme="majorBidi" w:cstheme="majorBidi"/>
          <w:sz w:val="24"/>
          <w:szCs w:val="24"/>
        </w:rPr>
        <w:t xml:space="preserve">possible </w:t>
      </w:r>
      <w:r w:rsidR="002B1FE7">
        <w:rPr>
          <w:rFonts w:asciiTheme="majorBidi" w:hAnsiTheme="majorBidi" w:cstheme="majorBidi"/>
          <w:sz w:val="24"/>
          <w:szCs w:val="24"/>
        </w:rPr>
        <w:t xml:space="preserve">endogeneity problems </w:t>
      </w:r>
      <w:r w:rsidR="00BD17BC">
        <w:rPr>
          <w:rFonts w:asciiTheme="majorBidi" w:hAnsiTheme="majorBidi" w:cstheme="majorBidi"/>
          <w:sz w:val="24"/>
          <w:szCs w:val="24"/>
        </w:rPr>
        <w:t>among</w:t>
      </w:r>
      <w:r w:rsidR="00AB7DDF">
        <w:rPr>
          <w:rFonts w:asciiTheme="majorBidi" w:hAnsiTheme="majorBidi" w:cstheme="majorBidi"/>
          <w:sz w:val="24"/>
          <w:szCs w:val="24"/>
        </w:rPr>
        <w:t xml:space="preserve"> </w:t>
      </w:r>
      <w:r w:rsidR="002B1FE7">
        <w:rPr>
          <w:rFonts w:asciiTheme="majorBidi" w:hAnsiTheme="majorBidi" w:cstheme="majorBidi"/>
          <w:sz w:val="24"/>
          <w:szCs w:val="24"/>
        </w:rPr>
        <w:t xml:space="preserve"> our </w:t>
      </w:r>
      <w:r w:rsidR="00BD17BC">
        <w:rPr>
          <w:rFonts w:asciiTheme="majorBidi" w:hAnsiTheme="majorBidi" w:cstheme="majorBidi"/>
          <w:sz w:val="24"/>
          <w:szCs w:val="24"/>
        </w:rPr>
        <w:t>study</w:t>
      </w:r>
      <w:r w:rsidR="007F399E">
        <w:rPr>
          <w:rFonts w:asciiTheme="majorBidi" w:hAnsiTheme="majorBidi" w:cstheme="majorBidi"/>
          <w:sz w:val="24"/>
          <w:szCs w:val="24"/>
        </w:rPr>
        <w:t>’s</w:t>
      </w:r>
      <w:r w:rsidR="00992062">
        <w:rPr>
          <w:rFonts w:asciiTheme="majorBidi" w:hAnsiTheme="majorBidi" w:cstheme="majorBidi"/>
          <w:sz w:val="24"/>
          <w:szCs w:val="24"/>
        </w:rPr>
        <w:t xml:space="preserve"> </w:t>
      </w:r>
      <w:r w:rsidR="002B1FE7">
        <w:rPr>
          <w:rFonts w:asciiTheme="majorBidi" w:hAnsiTheme="majorBidi" w:cstheme="majorBidi"/>
          <w:sz w:val="24"/>
          <w:szCs w:val="24"/>
        </w:rPr>
        <w:t>variables</w:t>
      </w:r>
      <w:r w:rsidR="00992062">
        <w:rPr>
          <w:rFonts w:asciiTheme="majorBidi" w:hAnsiTheme="majorBidi" w:cstheme="majorBidi"/>
          <w:sz w:val="24"/>
          <w:szCs w:val="24"/>
        </w:rPr>
        <w:t xml:space="preserve"> by</w:t>
      </w:r>
      <w:r w:rsidR="002B1FE7">
        <w:rPr>
          <w:rFonts w:asciiTheme="majorBidi" w:hAnsiTheme="majorBidi" w:cstheme="majorBidi"/>
          <w:sz w:val="24"/>
          <w:szCs w:val="24"/>
        </w:rPr>
        <w:t xml:space="preserve"> using </w:t>
      </w:r>
      <w:r w:rsidR="00992062">
        <w:rPr>
          <w:rFonts w:asciiTheme="majorBidi" w:hAnsiTheme="majorBidi" w:cstheme="majorBidi"/>
          <w:sz w:val="24"/>
          <w:szCs w:val="24"/>
        </w:rPr>
        <w:t xml:space="preserve">lagged structure and </w:t>
      </w:r>
      <w:r w:rsidR="002B1FE7">
        <w:rPr>
          <w:rFonts w:asciiTheme="majorBidi" w:hAnsiTheme="majorBidi" w:cstheme="majorBidi"/>
          <w:sz w:val="24"/>
          <w:szCs w:val="24"/>
        </w:rPr>
        <w:t>random</w:t>
      </w:r>
      <w:r w:rsidR="007F399E">
        <w:rPr>
          <w:rFonts w:asciiTheme="majorBidi" w:hAnsiTheme="majorBidi" w:cstheme="majorBidi"/>
          <w:sz w:val="24"/>
          <w:szCs w:val="24"/>
        </w:rPr>
        <w:t>-</w:t>
      </w:r>
      <w:r w:rsidR="002B1FE7">
        <w:rPr>
          <w:rFonts w:asciiTheme="majorBidi" w:hAnsiTheme="majorBidi" w:cstheme="majorBidi"/>
          <w:sz w:val="24"/>
          <w:szCs w:val="24"/>
        </w:rPr>
        <w:t>effect</w:t>
      </w:r>
      <w:r w:rsidR="007F399E">
        <w:rPr>
          <w:rFonts w:asciiTheme="majorBidi" w:hAnsiTheme="majorBidi" w:cstheme="majorBidi"/>
          <w:sz w:val="24"/>
          <w:szCs w:val="24"/>
        </w:rPr>
        <w:t>s</w:t>
      </w:r>
      <w:r w:rsidR="002B1FE7">
        <w:rPr>
          <w:rFonts w:asciiTheme="majorBidi" w:hAnsiTheme="majorBidi" w:cstheme="majorBidi"/>
          <w:sz w:val="24"/>
          <w:szCs w:val="24"/>
        </w:rPr>
        <w:t xml:space="preserve"> models, </w:t>
      </w:r>
      <w:proofErr w:type="spellStart"/>
      <w:r w:rsidR="00992062" w:rsidRPr="00992062">
        <w:rPr>
          <w:rFonts w:asciiTheme="majorBidi" w:hAnsiTheme="majorBidi" w:cstheme="majorBidi"/>
          <w:sz w:val="24"/>
          <w:szCs w:val="24"/>
        </w:rPr>
        <w:t>Wintoki</w:t>
      </w:r>
      <w:proofErr w:type="spellEnd"/>
      <w:r w:rsidR="00992062">
        <w:rPr>
          <w:rFonts w:asciiTheme="majorBidi" w:hAnsiTheme="majorBidi" w:cstheme="majorBidi"/>
          <w:sz w:val="24"/>
          <w:szCs w:val="24"/>
        </w:rPr>
        <w:t xml:space="preserve"> et al. (2012) a</w:t>
      </w:r>
      <w:r w:rsidR="00331746">
        <w:rPr>
          <w:rFonts w:asciiTheme="majorBidi" w:hAnsiTheme="majorBidi" w:cstheme="majorBidi"/>
          <w:sz w:val="24"/>
          <w:szCs w:val="24"/>
        </w:rPr>
        <w:t>r</w:t>
      </w:r>
      <w:r w:rsidR="00992062">
        <w:rPr>
          <w:rFonts w:asciiTheme="majorBidi" w:hAnsiTheme="majorBidi" w:cstheme="majorBidi"/>
          <w:sz w:val="24"/>
          <w:szCs w:val="24"/>
        </w:rPr>
        <w:t xml:space="preserve">gue that </w:t>
      </w:r>
      <w:r w:rsidR="00F82971">
        <w:rPr>
          <w:rFonts w:asciiTheme="majorBidi" w:hAnsiTheme="majorBidi" w:cstheme="majorBidi"/>
          <w:sz w:val="24"/>
          <w:szCs w:val="24"/>
        </w:rPr>
        <w:t xml:space="preserve">dynamic endogeneity can influence </w:t>
      </w:r>
      <w:r w:rsidR="000F3180">
        <w:rPr>
          <w:rFonts w:asciiTheme="majorBidi" w:hAnsiTheme="majorBidi" w:cstheme="majorBidi"/>
          <w:sz w:val="24"/>
          <w:szCs w:val="24"/>
        </w:rPr>
        <w:t xml:space="preserve">the association between </w:t>
      </w:r>
      <w:r w:rsidR="00B850FC">
        <w:rPr>
          <w:rFonts w:asciiTheme="majorBidi" w:hAnsiTheme="majorBidi" w:cstheme="majorBidi"/>
          <w:sz w:val="24"/>
          <w:szCs w:val="24"/>
        </w:rPr>
        <w:t>dependent and independent variables, where</w:t>
      </w:r>
      <w:r w:rsidR="00604094">
        <w:rPr>
          <w:rFonts w:asciiTheme="majorBidi" w:hAnsiTheme="majorBidi" w:cstheme="majorBidi"/>
          <w:sz w:val="24"/>
          <w:szCs w:val="24"/>
        </w:rPr>
        <w:t>by</w:t>
      </w:r>
      <w:r w:rsidR="00B850FC">
        <w:rPr>
          <w:rFonts w:asciiTheme="majorBidi" w:hAnsiTheme="majorBidi" w:cstheme="majorBidi"/>
          <w:sz w:val="24"/>
          <w:szCs w:val="24"/>
        </w:rPr>
        <w:t xml:space="preserve"> the </w:t>
      </w:r>
      <w:r w:rsidR="00F82971">
        <w:rPr>
          <w:rFonts w:asciiTheme="majorBidi" w:hAnsiTheme="majorBidi" w:cstheme="majorBidi"/>
          <w:sz w:val="24"/>
          <w:szCs w:val="24"/>
        </w:rPr>
        <w:t>future</w:t>
      </w:r>
      <w:r w:rsidR="00B850FC">
        <w:rPr>
          <w:rFonts w:asciiTheme="majorBidi" w:hAnsiTheme="majorBidi" w:cstheme="majorBidi"/>
          <w:sz w:val="24"/>
          <w:szCs w:val="24"/>
        </w:rPr>
        <w:t xml:space="preserve"> </w:t>
      </w:r>
      <w:r w:rsidR="00F82971">
        <w:rPr>
          <w:rFonts w:asciiTheme="majorBidi" w:hAnsiTheme="majorBidi" w:cstheme="majorBidi"/>
          <w:sz w:val="24"/>
          <w:szCs w:val="24"/>
        </w:rPr>
        <w:t>values of the independent variables (</w:t>
      </w:r>
      <w:r w:rsidR="00DC7446">
        <w:rPr>
          <w:rFonts w:asciiTheme="majorBidi" w:hAnsiTheme="majorBidi" w:cstheme="majorBidi"/>
          <w:sz w:val="24"/>
          <w:szCs w:val="24"/>
        </w:rPr>
        <w:t>i.e</w:t>
      </w:r>
      <w:r w:rsidR="00F82971">
        <w:rPr>
          <w:rFonts w:asciiTheme="majorBidi" w:hAnsiTheme="majorBidi" w:cstheme="majorBidi"/>
          <w:sz w:val="24"/>
          <w:szCs w:val="24"/>
        </w:rPr>
        <w:t>., HEIs short-</w:t>
      </w:r>
      <w:r w:rsidR="007F399E">
        <w:rPr>
          <w:rFonts w:asciiTheme="majorBidi" w:hAnsiTheme="majorBidi" w:cstheme="majorBidi"/>
          <w:sz w:val="24"/>
          <w:szCs w:val="24"/>
        </w:rPr>
        <w:t xml:space="preserve"> </w:t>
      </w:r>
      <w:r w:rsidR="00F82971">
        <w:rPr>
          <w:rFonts w:asciiTheme="majorBidi" w:hAnsiTheme="majorBidi" w:cstheme="majorBidi"/>
          <w:sz w:val="24"/>
          <w:szCs w:val="24"/>
        </w:rPr>
        <w:t>and long-term performance) can be affected by the current values of the dependent variables (</w:t>
      </w:r>
      <w:r w:rsidR="00DC7446">
        <w:rPr>
          <w:rFonts w:asciiTheme="majorBidi" w:hAnsiTheme="majorBidi" w:cstheme="majorBidi"/>
          <w:sz w:val="24"/>
          <w:szCs w:val="24"/>
        </w:rPr>
        <w:t>i.e.,</w:t>
      </w:r>
      <w:r w:rsidR="00F82971">
        <w:rPr>
          <w:rFonts w:asciiTheme="majorBidi" w:hAnsiTheme="majorBidi" w:cstheme="majorBidi"/>
          <w:sz w:val="24"/>
          <w:szCs w:val="24"/>
        </w:rPr>
        <w:t xml:space="preserve"> VC basic</w:t>
      </w:r>
      <w:r w:rsidR="008E286D">
        <w:rPr>
          <w:rFonts w:asciiTheme="majorBidi" w:hAnsiTheme="majorBidi" w:cstheme="majorBidi"/>
          <w:sz w:val="24"/>
          <w:szCs w:val="24"/>
        </w:rPr>
        <w:t>/</w:t>
      </w:r>
      <w:r w:rsidR="00F82971">
        <w:rPr>
          <w:rFonts w:asciiTheme="majorBidi" w:hAnsiTheme="majorBidi" w:cstheme="majorBidi"/>
          <w:sz w:val="24"/>
          <w:szCs w:val="24"/>
        </w:rPr>
        <w:t>non-basic</w:t>
      </w:r>
      <w:r w:rsidR="008E286D">
        <w:rPr>
          <w:rFonts w:asciiTheme="majorBidi" w:hAnsiTheme="majorBidi" w:cstheme="majorBidi"/>
          <w:sz w:val="24"/>
          <w:szCs w:val="24"/>
        </w:rPr>
        <w:t>/</w:t>
      </w:r>
      <w:r w:rsidR="00F82971">
        <w:rPr>
          <w:rFonts w:asciiTheme="majorBidi" w:hAnsiTheme="majorBidi" w:cstheme="majorBidi"/>
          <w:sz w:val="24"/>
          <w:szCs w:val="24"/>
        </w:rPr>
        <w:t xml:space="preserve">total pay), </w:t>
      </w:r>
      <w:r w:rsidR="00BD17BC">
        <w:rPr>
          <w:rFonts w:asciiTheme="majorBidi" w:hAnsiTheme="majorBidi" w:cstheme="majorBidi"/>
          <w:sz w:val="24"/>
          <w:szCs w:val="24"/>
        </w:rPr>
        <w:t>which</w:t>
      </w:r>
      <w:r w:rsidR="001D5FED">
        <w:rPr>
          <w:rFonts w:asciiTheme="majorBidi" w:hAnsiTheme="majorBidi" w:cstheme="majorBidi"/>
          <w:sz w:val="24"/>
          <w:szCs w:val="24"/>
        </w:rPr>
        <w:t xml:space="preserve"> in turn can be </w:t>
      </w:r>
      <w:r w:rsidR="00BD17BC">
        <w:rPr>
          <w:rFonts w:asciiTheme="majorBidi" w:hAnsiTheme="majorBidi" w:cstheme="majorBidi"/>
          <w:sz w:val="24"/>
          <w:szCs w:val="24"/>
        </w:rPr>
        <w:t>influenced by the</w:t>
      </w:r>
      <w:r w:rsidR="001D5FED">
        <w:rPr>
          <w:rFonts w:asciiTheme="majorBidi" w:hAnsiTheme="majorBidi" w:cstheme="majorBidi"/>
          <w:sz w:val="24"/>
          <w:szCs w:val="24"/>
        </w:rPr>
        <w:t xml:space="preserve"> past values </w:t>
      </w:r>
      <w:r w:rsidR="00AB7DDF">
        <w:rPr>
          <w:rFonts w:asciiTheme="majorBidi" w:hAnsiTheme="majorBidi" w:cstheme="majorBidi"/>
          <w:sz w:val="24"/>
          <w:szCs w:val="24"/>
        </w:rPr>
        <w:t xml:space="preserve">of the independent variables </w:t>
      </w:r>
      <w:r w:rsidR="00AB7DDF" w:rsidRPr="00AB7DDF">
        <w:rPr>
          <w:rFonts w:asciiTheme="majorBidi" w:hAnsiTheme="majorBidi" w:cstheme="majorBidi"/>
          <w:sz w:val="24"/>
          <w:szCs w:val="24"/>
        </w:rPr>
        <w:t>(</w:t>
      </w:r>
      <w:r w:rsidR="00DC7446">
        <w:rPr>
          <w:rFonts w:asciiTheme="majorBidi" w:hAnsiTheme="majorBidi" w:cstheme="majorBidi"/>
          <w:sz w:val="24"/>
          <w:szCs w:val="24"/>
        </w:rPr>
        <w:t>i.e.,</w:t>
      </w:r>
      <w:r w:rsidR="00AB7DDF" w:rsidRPr="00AB7DDF">
        <w:rPr>
          <w:rFonts w:asciiTheme="majorBidi" w:hAnsiTheme="majorBidi" w:cstheme="majorBidi"/>
          <w:sz w:val="24"/>
          <w:szCs w:val="24"/>
        </w:rPr>
        <w:t xml:space="preserve"> HEIs short-</w:t>
      </w:r>
      <w:r w:rsidR="007F399E">
        <w:rPr>
          <w:rFonts w:asciiTheme="majorBidi" w:hAnsiTheme="majorBidi" w:cstheme="majorBidi"/>
          <w:sz w:val="24"/>
          <w:szCs w:val="24"/>
        </w:rPr>
        <w:t xml:space="preserve"> </w:t>
      </w:r>
      <w:r w:rsidR="00AB7DDF" w:rsidRPr="00AB7DDF">
        <w:rPr>
          <w:rFonts w:asciiTheme="majorBidi" w:hAnsiTheme="majorBidi" w:cstheme="majorBidi"/>
          <w:sz w:val="24"/>
          <w:szCs w:val="24"/>
        </w:rPr>
        <w:t>and long-term performance)</w:t>
      </w:r>
      <w:r w:rsidR="00AB7DDF">
        <w:rPr>
          <w:rFonts w:asciiTheme="majorBidi" w:hAnsiTheme="majorBidi" w:cstheme="majorBidi"/>
          <w:sz w:val="24"/>
          <w:szCs w:val="24"/>
        </w:rPr>
        <w:t xml:space="preserve">. </w:t>
      </w:r>
      <w:r w:rsidR="00EF0233">
        <w:rPr>
          <w:rFonts w:asciiTheme="majorBidi" w:hAnsiTheme="majorBidi" w:cstheme="majorBidi"/>
          <w:sz w:val="24"/>
          <w:szCs w:val="24"/>
        </w:rPr>
        <w:t xml:space="preserve">Further, </w:t>
      </w:r>
      <w:proofErr w:type="spellStart"/>
      <w:r w:rsidR="00933497" w:rsidRPr="00933497">
        <w:rPr>
          <w:rFonts w:asciiTheme="majorBidi" w:hAnsiTheme="majorBidi" w:cstheme="majorBidi"/>
          <w:sz w:val="24"/>
          <w:szCs w:val="24"/>
        </w:rPr>
        <w:t>Wintoki</w:t>
      </w:r>
      <w:proofErr w:type="spellEnd"/>
      <w:r w:rsidR="00933497" w:rsidRPr="00933497">
        <w:rPr>
          <w:rFonts w:asciiTheme="majorBidi" w:hAnsiTheme="majorBidi" w:cstheme="majorBidi"/>
          <w:sz w:val="24"/>
          <w:szCs w:val="24"/>
        </w:rPr>
        <w:t xml:space="preserve"> et al. </w:t>
      </w:r>
      <w:r w:rsidR="00933497">
        <w:rPr>
          <w:rFonts w:asciiTheme="majorBidi" w:hAnsiTheme="majorBidi" w:cstheme="majorBidi"/>
          <w:sz w:val="24"/>
          <w:szCs w:val="24"/>
        </w:rPr>
        <w:t xml:space="preserve">(2012) suggest that, </w:t>
      </w:r>
      <w:r w:rsidR="00EF0233">
        <w:rPr>
          <w:rFonts w:asciiTheme="majorBidi" w:hAnsiTheme="majorBidi" w:cstheme="majorBidi"/>
          <w:sz w:val="24"/>
          <w:szCs w:val="24"/>
        </w:rPr>
        <w:t xml:space="preserve">and unlike </w:t>
      </w:r>
      <w:r w:rsidR="007F399E">
        <w:rPr>
          <w:rFonts w:asciiTheme="majorBidi" w:hAnsiTheme="majorBidi" w:cstheme="majorBidi"/>
          <w:sz w:val="24"/>
          <w:szCs w:val="24"/>
        </w:rPr>
        <w:t>random-effects</w:t>
      </w:r>
      <w:r w:rsidR="00EF0233">
        <w:rPr>
          <w:rFonts w:asciiTheme="majorBidi" w:hAnsiTheme="majorBidi" w:cstheme="majorBidi"/>
          <w:sz w:val="24"/>
          <w:szCs w:val="24"/>
        </w:rPr>
        <w:t xml:space="preserve">, </w:t>
      </w:r>
      <w:r w:rsidR="00331746">
        <w:rPr>
          <w:rFonts w:asciiTheme="majorBidi" w:hAnsiTheme="majorBidi" w:cstheme="majorBidi"/>
          <w:sz w:val="24"/>
          <w:szCs w:val="24"/>
        </w:rPr>
        <w:t xml:space="preserve">using </w:t>
      </w:r>
      <w:r w:rsidR="00EF0233" w:rsidRPr="00EF0233">
        <w:rPr>
          <w:rFonts w:asciiTheme="majorBidi" w:hAnsiTheme="majorBidi" w:cstheme="majorBidi"/>
          <w:sz w:val="24"/>
          <w:szCs w:val="24"/>
        </w:rPr>
        <w:t>dynamic</w:t>
      </w:r>
      <w:r w:rsidR="00EF0233">
        <w:rPr>
          <w:rFonts w:asciiTheme="majorBidi" w:hAnsiTheme="majorBidi" w:cstheme="majorBidi"/>
          <w:sz w:val="24"/>
          <w:szCs w:val="24"/>
        </w:rPr>
        <w:t xml:space="preserve">-system GMM helps in alleviating </w:t>
      </w:r>
      <w:r w:rsidR="00933497">
        <w:rPr>
          <w:rFonts w:asciiTheme="majorBidi" w:hAnsiTheme="majorBidi" w:cstheme="majorBidi"/>
          <w:sz w:val="24"/>
          <w:szCs w:val="24"/>
        </w:rPr>
        <w:t xml:space="preserve">possible </w:t>
      </w:r>
      <w:r w:rsidR="00EF0233">
        <w:rPr>
          <w:rFonts w:asciiTheme="majorBidi" w:hAnsiTheme="majorBidi" w:cstheme="majorBidi"/>
          <w:sz w:val="24"/>
          <w:szCs w:val="24"/>
        </w:rPr>
        <w:t xml:space="preserve">endogeneity problems associated with </w:t>
      </w:r>
      <w:r w:rsidR="00933497">
        <w:rPr>
          <w:rFonts w:asciiTheme="majorBidi" w:hAnsiTheme="majorBidi" w:cstheme="majorBidi"/>
          <w:sz w:val="24"/>
          <w:szCs w:val="24"/>
        </w:rPr>
        <w:t>unobserved institution</w:t>
      </w:r>
      <w:r w:rsidR="00EF0233" w:rsidRPr="00EF0233">
        <w:rPr>
          <w:rFonts w:asciiTheme="majorBidi" w:hAnsiTheme="majorBidi" w:cstheme="majorBidi"/>
          <w:sz w:val="24"/>
          <w:szCs w:val="24"/>
        </w:rPr>
        <w:t>-specific heterogeneities</w:t>
      </w:r>
      <w:r w:rsidR="00933497">
        <w:rPr>
          <w:rFonts w:asciiTheme="majorBidi" w:hAnsiTheme="majorBidi" w:cstheme="majorBidi"/>
          <w:sz w:val="24"/>
          <w:szCs w:val="24"/>
        </w:rPr>
        <w:t xml:space="preserve"> (</w:t>
      </w:r>
      <w:r w:rsidR="00DC7446">
        <w:rPr>
          <w:rFonts w:asciiTheme="majorBidi" w:hAnsiTheme="majorBidi" w:cstheme="majorBidi"/>
          <w:sz w:val="24"/>
          <w:szCs w:val="24"/>
        </w:rPr>
        <w:t xml:space="preserve">i.e., </w:t>
      </w:r>
      <w:r w:rsidR="00933497">
        <w:rPr>
          <w:rFonts w:asciiTheme="majorBidi" w:hAnsiTheme="majorBidi" w:cstheme="majorBidi"/>
          <w:sz w:val="24"/>
          <w:szCs w:val="24"/>
        </w:rPr>
        <w:t>HEIs performance and VC pay can</w:t>
      </w:r>
      <w:r w:rsidR="00DC7446">
        <w:rPr>
          <w:rFonts w:asciiTheme="majorBidi" w:hAnsiTheme="majorBidi" w:cstheme="majorBidi"/>
          <w:sz w:val="24"/>
          <w:szCs w:val="24"/>
        </w:rPr>
        <w:t xml:space="preserve"> </w:t>
      </w:r>
      <w:r w:rsidR="008B31FE">
        <w:rPr>
          <w:rFonts w:asciiTheme="majorBidi" w:hAnsiTheme="majorBidi" w:cstheme="majorBidi"/>
          <w:sz w:val="24"/>
          <w:szCs w:val="24"/>
        </w:rPr>
        <w:t>jointly</w:t>
      </w:r>
      <w:r w:rsidR="00933497">
        <w:rPr>
          <w:rFonts w:asciiTheme="majorBidi" w:hAnsiTheme="majorBidi" w:cstheme="majorBidi"/>
          <w:sz w:val="24"/>
          <w:szCs w:val="24"/>
        </w:rPr>
        <w:t xml:space="preserve"> be determined by unobserved HEI-specific heterogeneities, such as </w:t>
      </w:r>
      <w:r w:rsidR="00933497" w:rsidRPr="00933497">
        <w:rPr>
          <w:rFonts w:asciiTheme="majorBidi" w:hAnsiTheme="majorBidi" w:cstheme="majorBidi"/>
          <w:sz w:val="24"/>
          <w:szCs w:val="24"/>
        </w:rPr>
        <w:t xml:space="preserve">differences in VC talent, skills, network, reputation, experience; and </w:t>
      </w:r>
      <w:r w:rsidR="00933497">
        <w:rPr>
          <w:rFonts w:asciiTheme="majorBidi" w:hAnsiTheme="majorBidi" w:cstheme="majorBidi"/>
          <w:sz w:val="24"/>
          <w:szCs w:val="24"/>
        </w:rPr>
        <w:t>differences in</w:t>
      </w:r>
      <w:r w:rsidR="00933497" w:rsidRPr="00933497">
        <w:rPr>
          <w:rFonts w:asciiTheme="majorBidi" w:hAnsiTheme="majorBidi" w:cstheme="majorBidi"/>
          <w:sz w:val="24"/>
          <w:szCs w:val="24"/>
        </w:rPr>
        <w:t xml:space="preserve"> HEIs location, mission, size, business culture and governance arrangements</w:t>
      </w:r>
      <w:r w:rsidR="00933497">
        <w:rPr>
          <w:rFonts w:asciiTheme="majorBidi" w:hAnsiTheme="majorBidi" w:cstheme="majorBidi"/>
          <w:sz w:val="24"/>
          <w:szCs w:val="24"/>
        </w:rPr>
        <w:t xml:space="preserve">). </w:t>
      </w:r>
      <w:r w:rsidR="00AC1719">
        <w:rPr>
          <w:rFonts w:asciiTheme="majorBidi" w:hAnsiTheme="majorBidi" w:cstheme="majorBidi"/>
          <w:sz w:val="24"/>
          <w:szCs w:val="24"/>
        </w:rPr>
        <w:t>In addition, and different from random-effect</w:t>
      </w:r>
      <w:r w:rsidR="007F399E">
        <w:rPr>
          <w:rFonts w:asciiTheme="majorBidi" w:hAnsiTheme="majorBidi" w:cstheme="majorBidi"/>
          <w:sz w:val="24"/>
          <w:szCs w:val="24"/>
        </w:rPr>
        <w:t>s</w:t>
      </w:r>
      <w:r w:rsidR="00DC7446">
        <w:rPr>
          <w:rFonts w:asciiTheme="majorBidi" w:hAnsiTheme="majorBidi" w:cstheme="majorBidi"/>
          <w:sz w:val="24"/>
          <w:szCs w:val="24"/>
        </w:rPr>
        <w:t xml:space="preserve"> regression models</w:t>
      </w:r>
      <w:r w:rsidR="00AC1719">
        <w:rPr>
          <w:rFonts w:asciiTheme="majorBidi" w:hAnsiTheme="majorBidi" w:cstheme="majorBidi"/>
          <w:sz w:val="24"/>
          <w:szCs w:val="24"/>
        </w:rPr>
        <w:t xml:space="preserve">, dynamic-system GMM </w:t>
      </w:r>
      <w:r w:rsidR="00DC7446">
        <w:rPr>
          <w:rFonts w:asciiTheme="majorBidi" w:hAnsiTheme="majorBidi" w:cstheme="majorBidi"/>
          <w:sz w:val="24"/>
          <w:szCs w:val="24"/>
        </w:rPr>
        <w:t>controls for potential simultaneous endogeneity by allowing past values of dependent variables (</w:t>
      </w:r>
      <w:r w:rsidR="008B31FE">
        <w:rPr>
          <w:rFonts w:asciiTheme="majorBidi" w:hAnsiTheme="majorBidi" w:cstheme="majorBidi"/>
          <w:sz w:val="24"/>
          <w:szCs w:val="24"/>
        </w:rPr>
        <w:t>i.</w:t>
      </w:r>
      <w:r w:rsidR="008B31FE" w:rsidRPr="008B31FE">
        <w:rPr>
          <w:rFonts w:asciiTheme="majorBidi" w:hAnsiTheme="majorBidi" w:cstheme="majorBidi"/>
          <w:sz w:val="24"/>
          <w:szCs w:val="24"/>
        </w:rPr>
        <w:t>e., VC basic</w:t>
      </w:r>
      <w:r w:rsidR="008E286D">
        <w:rPr>
          <w:rFonts w:asciiTheme="majorBidi" w:hAnsiTheme="majorBidi" w:cstheme="majorBidi"/>
          <w:sz w:val="24"/>
          <w:szCs w:val="24"/>
        </w:rPr>
        <w:t>/</w:t>
      </w:r>
      <w:r w:rsidR="008B31FE" w:rsidRPr="008B31FE">
        <w:rPr>
          <w:rFonts w:asciiTheme="majorBidi" w:hAnsiTheme="majorBidi" w:cstheme="majorBidi"/>
          <w:sz w:val="24"/>
          <w:szCs w:val="24"/>
        </w:rPr>
        <w:t>non-basic</w:t>
      </w:r>
      <w:r w:rsidR="008E286D">
        <w:rPr>
          <w:rFonts w:asciiTheme="majorBidi" w:hAnsiTheme="majorBidi" w:cstheme="majorBidi"/>
          <w:sz w:val="24"/>
          <w:szCs w:val="24"/>
        </w:rPr>
        <w:t>/</w:t>
      </w:r>
      <w:r w:rsidR="008B31FE" w:rsidRPr="008B31FE">
        <w:rPr>
          <w:rFonts w:asciiTheme="majorBidi" w:hAnsiTheme="majorBidi" w:cstheme="majorBidi"/>
          <w:sz w:val="24"/>
          <w:szCs w:val="24"/>
        </w:rPr>
        <w:t>total pay</w:t>
      </w:r>
      <w:r w:rsidR="00DC7446">
        <w:rPr>
          <w:rFonts w:asciiTheme="majorBidi" w:hAnsiTheme="majorBidi" w:cstheme="majorBidi"/>
          <w:sz w:val="24"/>
          <w:szCs w:val="24"/>
        </w:rPr>
        <w:t xml:space="preserve">) </w:t>
      </w:r>
      <w:r w:rsidR="00E755B6">
        <w:rPr>
          <w:rFonts w:asciiTheme="majorBidi" w:hAnsiTheme="majorBidi" w:cstheme="majorBidi"/>
          <w:sz w:val="24"/>
          <w:szCs w:val="24"/>
        </w:rPr>
        <w:t xml:space="preserve">to affect </w:t>
      </w:r>
      <w:r w:rsidR="008B31FE">
        <w:rPr>
          <w:rFonts w:asciiTheme="majorBidi" w:hAnsiTheme="majorBidi" w:cstheme="majorBidi"/>
          <w:sz w:val="24"/>
          <w:szCs w:val="24"/>
        </w:rPr>
        <w:t xml:space="preserve">the current values of the independent variables (i.e., HEI short- and long-term performance). </w:t>
      </w:r>
      <w:r w:rsidR="00BD17BC">
        <w:rPr>
          <w:rFonts w:asciiTheme="majorBidi" w:hAnsiTheme="majorBidi" w:cstheme="majorBidi"/>
          <w:sz w:val="24"/>
          <w:szCs w:val="24"/>
        </w:rPr>
        <w:t xml:space="preserve">Therefore, and </w:t>
      </w:r>
      <w:r w:rsidR="00BD17BC" w:rsidRPr="00BD17BC">
        <w:rPr>
          <w:rFonts w:asciiTheme="majorBidi" w:hAnsiTheme="majorBidi" w:cstheme="majorBidi"/>
          <w:sz w:val="24"/>
          <w:szCs w:val="24"/>
        </w:rPr>
        <w:t>to address any potential unobserved heterogeneities, dynamic and simultaneity endogeneity, and following prior studies (Bone, 2006</w:t>
      </w:r>
      <w:r w:rsidR="00BD17BC">
        <w:rPr>
          <w:rFonts w:asciiTheme="majorBidi" w:hAnsiTheme="majorBidi" w:cstheme="majorBidi"/>
          <w:sz w:val="24"/>
          <w:szCs w:val="24"/>
        </w:rPr>
        <w:t xml:space="preserve">; </w:t>
      </w:r>
      <w:proofErr w:type="spellStart"/>
      <w:r w:rsidR="00BD17BC" w:rsidRPr="00992062">
        <w:rPr>
          <w:rFonts w:asciiTheme="majorBidi" w:hAnsiTheme="majorBidi" w:cstheme="majorBidi"/>
          <w:sz w:val="24"/>
          <w:szCs w:val="24"/>
        </w:rPr>
        <w:t>Wintoki</w:t>
      </w:r>
      <w:proofErr w:type="spellEnd"/>
      <w:r w:rsidR="00BD17BC">
        <w:rPr>
          <w:rFonts w:asciiTheme="majorBidi" w:hAnsiTheme="majorBidi" w:cstheme="majorBidi"/>
          <w:sz w:val="24"/>
          <w:szCs w:val="24"/>
        </w:rPr>
        <w:t xml:space="preserve"> et al., 2012</w:t>
      </w:r>
      <w:r w:rsidR="00BD17BC" w:rsidRPr="00BD17BC">
        <w:rPr>
          <w:rFonts w:asciiTheme="majorBidi" w:hAnsiTheme="majorBidi" w:cstheme="majorBidi"/>
          <w:sz w:val="24"/>
          <w:szCs w:val="24"/>
        </w:rPr>
        <w:t>), we conducted dynamic-system GMM estimation.</w:t>
      </w:r>
      <w:r w:rsidR="00331746">
        <w:rPr>
          <w:rFonts w:asciiTheme="majorBidi" w:hAnsiTheme="majorBidi" w:cstheme="majorBidi"/>
          <w:sz w:val="24"/>
          <w:szCs w:val="24"/>
        </w:rPr>
        <w:t xml:space="preserve"> </w:t>
      </w:r>
    </w:p>
    <w:p w14:paraId="35A7660C" w14:textId="0A200E22" w:rsidR="00AC6262" w:rsidRPr="00237B98" w:rsidRDefault="00487301" w:rsidP="00770A0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D</w:t>
      </w:r>
      <w:r w:rsidR="00F57520">
        <w:rPr>
          <w:rFonts w:asciiTheme="majorBidi" w:hAnsiTheme="majorBidi" w:cstheme="majorBidi"/>
          <w:sz w:val="24"/>
          <w:szCs w:val="24"/>
        </w:rPr>
        <w:t xml:space="preserve">ynamic-system GMM </w:t>
      </w:r>
      <w:r>
        <w:rPr>
          <w:rFonts w:asciiTheme="majorBidi" w:hAnsiTheme="majorBidi" w:cstheme="majorBidi"/>
          <w:sz w:val="24"/>
          <w:szCs w:val="24"/>
        </w:rPr>
        <w:t>automatically generate its</w:t>
      </w:r>
      <w:r w:rsidR="00F57520">
        <w:rPr>
          <w:rFonts w:asciiTheme="majorBidi" w:hAnsiTheme="majorBidi" w:cstheme="majorBidi"/>
          <w:sz w:val="24"/>
          <w:szCs w:val="24"/>
        </w:rPr>
        <w:t xml:space="preserve"> </w:t>
      </w:r>
      <w:r>
        <w:rPr>
          <w:rFonts w:asciiTheme="majorBidi" w:hAnsiTheme="majorBidi" w:cstheme="majorBidi"/>
          <w:sz w:val="24"/>
          <w:szCs w:val="24"/>
        </w:rPr>
        <w:t xml:space="preserve">own </w:t>
      </w:r>
      <w:r w:rsidR="00F56BE1">
        <w:rPr>
          <w:rFonts w:asciiTheme="majorBidi" w:hAnsiTheme="majorBidi" w:cstheme="majorBidi"/>
          <w:sz w:val="24"/>
          <w:szCs w:val="24"/>
        </w:rPr>
        <w:t>internal instruments</w:t>
      </w:r>
      <w:r>
        <w:rPr>
          <w:rFonts w:asciiTheme="majorBidi" w:hAnsiTheme="majorBidi" w:cstheme="majorBidi"/>
          <w:sz w:val="24"/>
          <w:szCs w:val="24"/>
        </w:rPr>
        <w:t xml:space="preserve">, which </w:t>
      </w:r>
      <w:r w:rsidR="007F6235">
        <w:rPr>
          <w:rFonts w:asciiTheme="majorBidi" w:hAnsiTheme="majorBidi" w:cstheme="majorBidi"/>
          <w:sz w:val="24"/>
          <w:szCs w:val="24"/>
        </w:rPr>
        <w:t xml:space="preserve">are </w:t>
      </w:r>
      <w:r w:rsidR="00F56BE1">
        <w:rPr>
          <w:rFonts w:asciiTheme="majorBidi" w:hAnsiTheme="majorBidi" w:cstheme="majorBidi"/>
          <w:sz w:val="24"/>
          <w:szCs w:val="24"/>
        </w:rPr>
        <w:t>derived from the lagged-values of the explanatory and dependent variables</w:t>
      </w:r>
      <w:r>
        <w:rPr>
          <w:rFonts w:asciiTheme="majorBidi" w:hAnsiTheme="majorBidi" w:cstheme="majorBidi"/>
          <w:sz w:val="24"/>
          <w:szCs w:val="24"/>
        </w:rPr>
        <w:t xml:space="preserve"> (</w:t>
      </w:r>
      <w:proofErr w:type="spellStart"/>
      <w:r w:rsidRPr="00992062">
        <w:rPr>
          <w:rFonts w:asciiTheme="majorBidi" w:hAnsiTheme="majorBidi" w:cstheme="majorBidi"/>
          <w:sz w:val="24"/>
          <w:szCs w:val="24"/>
        </w:rPr>
        <w:t>Wintoki</w:t>
      </w:r>
      <w:proofErr w:type="spellEnd"/>
      <w:r>
        <w:rPr>
          <w:rFonts w:asciiTheme="majorBidi" w:hAnsiTheme="majorBidi" w:cstheme="majorBidi"/>
          <w:sz w:val="24"/>
          <w:szCs w:val="24"/>
        </w:rPr>
        <w:t xml:space="preserve"> et al., 2012</w:t>
      </w:r>
      <w:r w:rsidRPr="00BD17BC">
        <w:rPr>
          <w:rFonts w:asciiTheme="majorBidi" w:hAnsiTheme="majorBidi" w:cstheme="majorBidi"/>
          <w:sz w:val="24"/>
          <w:szCs w:val="24"/>
        </w:rPr>
        <w:t>)</w:t>
      </w:r>
      <w:r w:rsidR="007F6235">
        <w:rPr>
          <w:rFonts w:asciiTheme="majorBidi" w:hAnsiTheme="majorBidi" w:cstheme="majorBidi"/>
          <w:sz w:val="24"/>
          <w:szCs w:val="24"/>
        </w:rPr>
        <w:t>.</w:t>
      </w:r>
      <w:r w:rsidR="00F56BE1">
        <w:rPr>
          <w:rFonts w:asciiTheme="majorBidi" w:hAnsiTheme="majorBidi" w:cstheme="majorBidi"/>
          <w:sz w:val="24"/>
          <w:szCs w:val="24"/>
        </w:rPr>
        <w:t xml:space="preserve"> </w:t>
      </w:r>
      <w:r w:rsidR="007F6235">
        <w:rPr>
          <w:rFonts w:asciiTheme="majorBidi" w:hAnsiTheme="majorBidi" w:cstheme="majorBidi"/>
          <w:sz w:val="24"/>
          <w:szCs w:val="24"/>
        </w:rPr>
        <w:t>W</w:t>
      </w:r>
      <w:r>
        <w:rPr>
          <w:rFonts w:asciiTheme="majorBidi" w:hAnsiTheme="majorBidi" w:cstheme="majorBidi"/>
          <w:sz w:val="24"/>
          <w:szCs w:val="24"/>
        </w:rPr>
        <w:t xml:space="preserve">e </w:t>
      </w:r>
      <w:r w:rsidR="007F6235">
        <w:rPr>
          <w:rFonts w:asciiTheme="majorBidi" w:hAnsiTheme="majorBidi" w:cstheme="majorBidi"/>
          <w:sz w:val="24"/>
          <w:szCs w:val="24"/>
        </w:rPr>
        <w:t xml:space="preserve">next </w:t>
      </w:r>
      <w:r w:rsidR="00F43F43">
        <w:rPr>
          <w:rFonts w:asciiTheme="majorBidi" w:hAnsiTheme="majorBidi" w:cstheme="majorBidi"/>
          <w:sz w:val="24"/>
          <w:szCs w:val="24"/>
        </w:rPr>
        <w:t>performed</w:t>
      </w:r>
      <w:r>
        <w:rPr>
          <w:rFonts w:asciiTheme="majorBidi" w:hAnsiTheme="majorBidi" w:cstheme="majorBidi"/>
          <w:sz w:val="24"/>
          <w:szCs w:val="24"/>
        </w:rPr>
        <w:t xml:space="preserve"> different tests to </w:t>
      </w:r>
      <w:r w:rsidRPr="00B90110">
        <w:rPr>
          <w:rFonts w:asciiTheme="majorBidi" w:hAnsiTheme="majorBidi" w:cstheme="majorBidi"/>
          <w:sz w:val="24"/>
          <w:szCs w:val="24"/>
        </w:rPr>
        <w:t>check the validity of our instruments</w:t>
      </w:r>
      <w:r>
        <w:rPr>
          <w:rFonts w:asciiTheme="majorBidi" w:hAnsiTheme="majorBidi" w:cstheme="majorBidi"/>
          <w:sz w:val="24"/>
          <w:szCs w:val="24"/>
        </w:rPr>
        <w:t>, including</w:t>
      </w:r>
      <w:r w:rsidR="00B90110" w:rsidRPr="00B90110">
        <w:rPr>
          <w:rFonts w:asciiTheme="majorBidi" w:hAnsiTheme="majorBidi" w:cstheme="majorBidi"/>
          <w:sz w:val="24"/>
          <w:szCs w:val="24"/>
        </w:rPr>
        <w:t xml:space="preserve"> </w:t>
      </w:r>
      <w:r w:rsidR="00B90110" w:rsidRPr="00B90110">
        <w:rPr>
          <w:rFonts w:asciiTheme="majorBidi" w:hAnsiTheme="majorBidi" w:cstheme="majorBidi"/>
          <w:sz w:val="24"/>
          <w:szCs w:val="24"/>
        </w:rPr>
        <w:lastRenderedPageBreak/>
        <w:t xml:space="preserve">Arellano–Bond test for </w:t>
      </w:r>
      <w:proofErr w:type="gramStart"/>
      <w:r w:rsidR="00B90110" w:rsidRPr="00B90110">
        <w:rPr>
          <w:rFonts w:asciiTheme="majorBidi" w:hAnsiTheme="majorBidi" w:cstheme="majorBidi"/>
          <w:sz w:val="24"/>
          <w:szCs w:val="24"/>
        </w:rPr>
        <w:t>first-order</w:t>
      </w:r>
      <w:proofErr w:type="gramEnd"/>
      <w:r w:rsidR="00B90110" w:rsidRPr="00B90110">
        <w:rPr>
          <w:rFonts w:asciiTheme="majorBidi" w:hAnsiTheme="majorBidi" w:cstheme="majorBidi"/>
          <w:sz w:val="24"/>
          <w:szCs w:val="24"/>
        </w:rPr>
        <w:t xml:space="preserve"> (</w:t>
      </w:r>
      <w:r w:rsidR="00B90110" w:rsidRPr="00B90110">
        <w:rPr>
          <w:rFonts w:asciiTheme="majorBidi" w:hAnsiTheme="majorBidi" w:cstheme="majorBidi"/>
          <w:i/>
          <w:iCs/>
          <w:sz w:val="24"/>
          <w:szCs w:val="24"/>
        </w:rPr>
        <w:t>AR1</w:t>
      </w:r>
      <w:r w:rsidR="00B90110" w:rsidRPr="00B90110">
        <w:rPr>
          <w:rFonts w:asciiTheme="majorBidi" w:hAnsiTheme="majorBidi" w:cstheme="majorBidi"/>
          <w:sz w:val="24"/>
          <w:szCs w:val="24"/>
        </w:rPr>
        <w:t>) and second-order (</w:t>
      </w:r>
      <w:r w:rsidR="00B90110" w:rsidRPr="00B90110">
        <w:rPr>
          <w:rFonts w:asciiTheme="majorBidi" w:hAnsiTheme="majorBidi" w:cstheme="majorBidi"/>
          <w:i/>
          <w:iCs/>
          <w:sz w:val="24"/>
          <w:szCs w:val="24"/>
        </w:rPr>
        <w:t>AR2</w:t>
      </w:r>
      <w:r w:rsidR="00B90110" w:rsidRPr="00B90110">
        <w:rPr>
          <w:rFonts w:asciiTheme="majorBidi" w:hAnsiTheme="majorBidi" w:cstheme="majorBidi"/>
          <w:sz w:val="24"/>
          <w:szCs w:val="24"/>
        </w:rPr>
        <w:t xml:space="preserve">) serial correlation, as well as </w:t>
      </w:r>
      <w:proofErr w:type="spellStart"/>
      <w:r>
        <w:rPr>
          <w:rFonts w:asciiTheme="majorBidi" w:hAnsiTheme="majorBidi" w:cstheme="majorBidi"/>
          <w:sz w:val="24"/>
          <w:szCs w:val="24"/>
        </w:rPr>
        <w:t>Sargan</w:t>
      </w:r>
      <w:proofErr w:type="spellEnd"/>
      <w:r w:rsidR="00B90110" w:rsidRPr="00B90110">
        <w:rPr>
          <w:rFonts w:asciiTheme="majorBidi" w:hAnsiTheme="majorBidi" w:cstheme="majorBidi"/>
          <w:sz w:val="24"/>
          <w:szCs w:val="24"/>
        </w:rPr>
        <w:t xml:space="preserve"> test </w:t>
      </w:r>
      <w:r w:rsidR="00616095">
        <w:rPr>
          <w:rFonts w:asciiTheme="majorBidi" w:hAnsiTheme="majorBidi" w:cstheme="majorBidi"/>
          <w:sz w:val="24"/>
          <w:szCs w:val="24"/>
        </w:rPr>
        <w:t>for</w:t>
      </w:r>
      <w:r w:rsidR="00B90110" w:rsidRPr="00B90110">
        <w:rPr>
          <w:rFonts w:asciiTheme="majorBidi" w:hAnsiTheme="majorBidi" w:cstheme="majorBidi"/>
          <w:sz w:val="24"/>
          <w:szCs w:val="24"/>
        </w:rPr>
        <w:t xml:space="preserve"> over-identification and difference-in-Hansen test </w:t>
      </w:r>
      <w:r w:rsidR="005D5BF7">
        <w:rPr>
          <w:rFonts w:asciiTheme="majorBidi" w:hAnsiTheme="majorBidi" w:cstheme="majorBidi"/>
          <w:sz w:val="24"/>
          <w:szCs w:val="24"/>
        </w:rPr>
        <w:t>for</w:t>
      </w:r>
      <w:r w:rsidR="00B90110" w:rsidRPr="00B90110">
        <w:rPr>
          <w:rFonts w:asciiTheme="majorBidi" w:hAnsiTheme="majorBidi" w:cstheme="majorBidi"/>
          <w:sz w:val="24"/>
          <w:szCs w:val="24"/>
        </w:rPr>
        <w:t xml:space="preserve"> exogeneity. </w:t>
      </w:r>
      <w:r w:rsidR="005D7079" w:rsidRPr="005D7079">
        <w:rPr>
          <w:rFonts w:asciiTheme="majorBidi" w:hAnsiTheme="majorBidi" w:cstheme="majorBidi"/>
          <w:sz w:val="24"/>
          <w:szCs w:val="24"/>
        </w:rPr>
        <w:t>As shown in Table 4, all of our Models (5</w:t>
      </w:r>
      <w:r w:rsidR="00770A0B">
        <w:rPr>
          <w:rFonts w:asciiTheme="majorBidi" w:hAnsiTheme="majorBidi" w:cstheme="majorBidi"/>
          <w:sz w:val="24"/>
          <w:szCs w:val="24"/>
        </w:rPr>
        <w:t>–</w:t>
      </w:r>
      <w:r w:rsidR="005D7079" w:rsidRPr="005D7079">
        <w:rPr>
          <w:rFonts w:asciiTheme="majorBidi" w:hAnsiTheme="majorBidi" w:cstheme="majorBidi"/>
          <w:sz w:val="24"/>
          <w:szCs w:val="24"/>
        </w:rPr>
        <w:t>6 and 11</w:t>
      </w:r>
      <w:r w:rsidR="00770A0B">
        <w:rPr>
          <w:rFonts w:asciiTheme="majorBidi" w:hAnsiTheme="majorBidi" w:cstheme="majorBidi"/>
          <w:sz w:val="24"/>
          <w:szCs w:val="24"/>
        </w:rPr>
        <w:t>–</w:t>
      </w:r>
      <w:r w:rsidR="005D7079" w:rsidRPr="005D7079">
        <w:rPr>
          <w:rFonts w:asciiTheme="majorBidi" w:hAnsiTheme="majorBidi" w:cstheme="majorBidi"/>
          <w:sz w:val="24"/>
          <w:szCs w:val="24"/>
        </w:rPr>
        <w:t xml:space="preserve">12) pass the </w:t>
      </w:r>
      <w:proofErr w:type="gramStart"/>
      <w:r w:rsidR="005D7079" w:rsidRPr="005D7079">
        <w:rPr>
          <w:rFonts w:asciiTheme="majorBidi" w:hAnsiTheme="majorBidi" w:cstheme="majorBidi"/>
          <w:sz w:val="24"/>
          <w:szCs w:val="24"/>
        </w:rPr>
        <w:t>second-order</w:t>
      </w:r>
      <w:proofErr w:type="gramEnd"/>
      <w:r w:rsidR="005D7079" w:rsidRPr="005D7079">
        <w:rPr>
          <w:rFonts w:asciiTheme="majorBidi" w:hAnsiTheme="majorBidi" w:cstheme="majorBidi"/>
          <w:sz w:val="24"/>
          <w:szCs w:val="24"/>
        </w:rPr>
        <w:t xml:space="preserve"> (</w:t>
      </w:r>
      <w:r w:rsidR="005D7079" w:rsidRPr="005D7079">
        <w:rPr>
          <w:rFonts w:asciiTheme="majorBidi" w:hAnsiTheme="majorBidi" w:cstheme="majorBidi"/>
          <w:i/>
          <w:iCs/>
          <w:sz w:val="24"/>
          <w:szCs w:val="24"/>
        </w:rPr>
        <w:t>AR2</w:t>
      </w:r>
      <w:r w:rsidR="005D7079" w:rsidRPr="005D7079">
        <w:rPr>
          <w:rFonts w:asciiTheme="majorBidi" w:hAnsiTheme="majorBidi" w:cstheme="majorBidi"/>
          <w:sz w:val="24"/>
          <w:szCs w:val="24"/>
        </w:rPr>
        <w:t>) serial correlation test for the validity of employed instruments</w:t>
      </w:r>
      <w:r w:rsidR="00B90110" w:rsidRPr="00B90110">
        <w:rPr>
          <w:rFonts w:asciiTheme="majorBidi" w:hAnsiTheme="majorBidi" w:cstheme="majorBidi"/>
          <w:sz w:val="24"/>
          <w:szCs w:val="24"/>
        </w:rPr>
        <w:t xml:space="preserve">. Further, the results of </w:t>
      </w:r>
      <w:proofErr w:type="spellStart"/>
      <w:r w:rsidR="00B90110">
        <w:rPr>
          <w:rFonts w:asciiTheme="majorBidi" w:hAnsiTheme="majorBidi" w:cstheme="majorBidi"/>
          <w:sz w:val="24"/>
          <w:szCs w:val="24"/>
        </w:rPr>
        <w:t>Sargan</w:t>
      </w:r>
      <w:proofErr w:type="spellEnd"/>
      <w:r w:rsidR="00B90110" w:rsidRPr="00B90110">
        <w:rPr>
          <w:rFonts w:asciiTheme="majorBidi" w:hAnsiTheme="majorBidi" w:cstheme="majorBidi"/>
          <w:sz w:val="24"/>
          <w:szCs w:val="24"/>
        </w:rPr>
        <w:t xml:space="preserve"> test </w:t>
      </w:r>
      <w:r w:rsidR="009C1AEA">
        <w:rPr>
          <w:rFonts w:asciiTheme="majorBidi" w:hAnsiTheme="majorBidi" w:cstheme="majorBidi"/>
          <w:sz w:val="24"/>
          <w:szCs w:val="24"/>
        </w:rPr>
        <w:t>f</w:t>
      </w:r>
      <w:r w:rsidR="00B90110" w:rsidRPr="00B90110">
        <w:rPr>
          <w:rFonts w:asciiTheme="majorBidi" w:hAnsiTheme="majorBidi" w:cstheme="majorBidi"/>
          <w:sz w:val="24"/>
          <w:szCs w:val="24"/>
        </w:rPr>
        <w:t>o</w:t>
      </w:r>
      <w:r w:rsidR="009C1AEA">
        <w:rPr>
          <w:rFonts w:asciiTheme="majorBidi" w:hAnsiTheme="majorBidi" w:cstheme="majorBidi"/>
          <w:sz w:val="24"/>
          <w:szCs w:val="24"/>
        </w:rPr>
        <w:t>r</w:t>
      </w:r>
      <w:r w:rsidR="00B90110" w:rsidRPr="00B90110">
        <w:rPr>
          <w:rFonts w:asciiTheme="majorBidi" w:hAnsiTheme="majorBidi" w:cstheme="majorBidi"/>
          <w:sz w:val="24"/>
          <w:szCs w:val="24"/>
        </w:rPr>
        <w:t xml:space="preserve"> over-identification </w:t>
      </w:r>
      <w:r w:rsidR="005D7079" w:rsidRPr="005D7079">
        <w:rPr>
          <w:rFonts w:ascii="Times New Roman" w:eastAsia="Calibri" w:hAnsi="Times New Roman" w:cs="Times New Roman"/>
          <w:sz w:val="24"/>
          <w:szCs w:val="24"/>
        </w:rPr>
        <w:t xml:space="preserve">and difference-in-Hansen test </w:t>
      </w:r>
      <w:r w:rsidR="009C1AEA">
        <w:rPr>
          <w:rFonts w:ascii="Times New Roman" w:eastAsia="Calibri" w:hAnsi="Times New Roman" w:cs="Times New Roman"/>
          <w:sz w:val="24"/>
          <w:szCs w:val="24"/>
        </w:rPr>
        <w:t>f</w:t>
      </w:r>
      <w:r w:rsidR="005D7079" w:rsidRPr="005D7079">
        <w:rPr>
          <w:rFonts w:ascii="Times New Roman" w:eastAsia="Calibri" w:hAnsi="Times New Roman" w:cs="Times New Roman"/>
          <w:sz w:val="24"/>
          <w:szCs w:val="24"/>
        </w:rPr>
        <w:t>o</w:t>
      </w:r>
      <w:r w:rsidR="009C1AEA">
        <w:rPr>
          <w:rFonts w:ascii="Times New Roman" w:eastAsia="Calibri" w:hAnsi="Times New Roman" w:cs="Times New Roman"/>
          <w:sz w:val="24"/>
          <w:szCs w:val="24"/>
        </w:rPr>
        <w:t>r</w:t>
      </w:r>
      <w:r w:rsidR="005D7079" w:rsidRPr="005D7079">
        <w:rPr>
          <w:rFonts w:ascii="Times New Roman" w:eastAsia="Calibri" w:hAnsi="Times New Roman" w:cs="Times New Roman"/>
          <w:sz w:val="24"/>
          <w:szCs w:val="24"/>
        </w:rPr>
        <w:t xml:space="preserve"> exogeneity </w:t>
      </w:r>
      <w:r w:rsidR="00B90110" w:rsidRPr="00B90110">
        <w:rPr>
          <w:rFonts w:asciiTheme="majorBidi" w:hAnsiTheme="majorBidi" w:cstheme="majorBidi"/>
          <w:sz w:val="24"/>
          <w:szCs w:val="24"/>
        </w:rPr>
        <w:t>indicate that our instruments are valid.</w:t>
      </w:r>
      <w:r w:rsidR="005D7079">
        <w:rPr>
          <w:rFonts w:asciiTheme="majorBidi" w:hAnsiTheme="majorBidi" w:cstheme="majorBidi"/>
          <w:sz w:val="24"/>
          <w:szCs w:val="24"/>
        </w:rPr>
        <w:t xml:space="preserve"> </w:t>
      </w:r>
      <w:r w:rsidR="00D07F12" w:rsidRPr="00D07F12">
        <w:rPr>
          <w:rFonts w:asciiTheme="majorBidi" w:hAnsiTheme="majorBidi" w:cstheme="majorBidi"/>
          <w:sz w:val="24"/>
          <w:szCs w:val="24"/>
        </w:rPr>
        <w:t xml:space="preserve">The results reported in Models </w:t>
      </w:r>
      <w:r w:rsidR="00D07F12">
        <w:rPr>
          <w:rFonts w:asciiTheme="majorBidi" w:hAnsiTheme="majorBidi" w:cstheme="majorBidi"/>
          <w:sz w:val="24"/>
          <w:szCs w:val="24"/>
        </w:rPr>
        <w:t>5</w:t>
      </w:r>
      <w:r w:rsidR="00770A0B">
        <w:rPr>
          <w:rFonts w:asciiTheme="majorBidi" w:hAnsiTheme="majorBidi" w:cstheme="majorBidi"/>
          <w:sz w:val="24"/>
          <w:szCs w:val="24"/>
        </w:rPr>
        <w:t>–</w:t>
      </w:r>
      <w:r w:rsidR="00D07F12">
        <w:rPr>
          <w:rFonts w:asciiTheme="majorBidi" w:hAnsiTheme="majorBidi" w:cstheme="majorBidi"/>
          <w:sz w:val="24"/>
          <w:szCs w:val="24"/>
        </w:rPr>
        <w:t>6</w:t>
      </w:r>
      <w:r w:rsidR="00D07F12" w:rsidRPr="00D07F12">
        <w:rPr>
          <w:rFonts w:asciiTheme="majorBidi" w:hAnsiTheme="majorBidi" w:cstheme="majorBidi"/>
          <w:sz w:val="24"/>
          <w:szCs w:val="24"/>
        </w:rPr>
        <w:t xml:space="preserve"> and </w:t>
      </w:r>
      <w:r w:rsidR="00D07F12">
        <w:rPr>
          <w:rFonts w:asciiTheme="majorBidi" w:hAnsiTheme="majorBidi" w:cstheme="majorBidi"/>
          <w:sz w:val="24"/>
          <w:szCs w:val="24"/>
        </w:rPr>
        <w:t>11</w:t>
      </w:r>
      <w:r w:rsidR="00770A0B">
        <w:rPr>
          <w:rFonts w:asciiTheme="majorBidi" w:hAnsiTheme="majorBidi" w:cstheme="majorBidi"/>
          <w:sz w:val="24"/>
          <w:szCs w:val="24"/>
        </w:rPr>
        <w:t>–</w:t>
      </w:r>
      <w:r w:rsidR="00D07F12">
        <w:rPr>
          <w:rFonts w:asciiTheme="majorBidi" w:hAnsiTheme="majorBidi" w:cstheme="majorBidi"/>
          <w:sz w:val="24"/>
          <w:szCs w:val="24"/>
        </w:rPr>
        <w:t>12</w:t>
      </w:r>
      <w:r w:rsidR="00D07F12" w:rsidRPr="00D07F12">
        <w:rPr>
          <w:rFonts w:asciiTheme="majorBidi" w:hAnsiTheme="majorBidi" w:cstheme="majorBidi"/>
          <w:sz w:val="24"/>
          <w:szCs w:val="24"/>
        </w:rPr>
        <w:t xml:space="preserve"> in Table </w:t>
      </w:r>
      <w:r w:rsidR="00E96CFD">
        <w:rPr>
          <w:rFonts w:asciiTheme="majorBidi" w:hAnsiTheme="majorBidi" w:cstheme="majorBidi"/>
          <w:sz w:val="24"/>
          <w:szCs w:val="24"/>
        </w:rPr>
        <w:t>4</w:t>
      </w:r>
      <w:r w:rsidR="00D07F12" w:rsidRPr="00D07F12">
        <w:rPr>
          <w:rFonts w:asciiTheme="majorBidi" w:hAnsiTheme="majorBidi" w:cstheme="majorBidi"/>
          <w:sz w:val="24"/>
          <w:szCs w:val="24"/>
        </w:rPr>
        <w:t xml:space="preserve"> have similar directional signs and levels of significance, and hence our results appear not to be driven by any endogenous associations. </w:t>
      </w:r>
    </w:p>
    <w:p w14:paraId="475925DA" w14:textId="77777777" w:rsidR="00122DC5" w:rsidRDefault="00122DC5" w:rsidP="00270135">
      <w:pPr>
        <w:spacing w:line="360" w:lineRule="auto"/>
        <w:jc w:val="both"/>
        <w:rPr>
          <w:rFonts w:asciiTheme="majorBidi" w:hAnsiTheme="majorBidi" w:cstheme="majorBidi"/>
          <w:b/>
          <w:bCs/>
          <w:sz w:val="24"/>
          <w:szCs w:val="24"/>
        </w:rPr>
      </w:pPr>
    </w:p>
    <w:p w14:paraId="17763F18" w14:textId="6BE08737" w:rsidR="00615B5D" w:rsidRPr="00615B5D" w:rsidRDefault="00AE4598" w:rsidP="0027013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Discussion</w:t>
      </w:r>
      <w:r w:rsidR="003026CF">
        <w:rPr>
          <w:rFonts w:asciiTheme="majorBidi" w:hAnsiTheme="majorBidi" w:cstheme="majorBidi"/>
          <w:b/>
          <w:bCs/>
          <w:sz w:val="24"/>
          <w:szCs w:val="24"/>
        </w:rPr>
        <w:t xml:space="preserve"> and conclusions</w:t>
      </w:r>
      <w:r w:rsidR="00615B5D" w:rsidRPr="00615B5D">
        <w:rPr>
          <w:rFonts w:asciiTheme="majorBidi" w:hAnsiTheme="majorBidi" w:cstheme="majorBidi"/>
          <w:b/>
          <w:bCs/>
          <w:sz w:val="24"/>
          <w:szCs w:val="24"/>
        </w:rPr>
        <w:t xml:space="preserve"> </w:t>
      </w:r>
    </w:p>
    <w:p w14:paraId="72C18BDD" w14:textId="14EA9CF1" w:rsidR="004D771B" w:rsidRPr="009879E8" w:rsidRDefault="004D771B" w:rsidP="00535BF1">
      <w:pPr>
        <w:spacing w:after="0" w:line="480" w:lineRule="auto"/>
        <w:jc w:val="both"/>
        <w:rPr>
          <w:rFonts w:asciiTheme="majorBidi" w:hAnsiTheme="majorBidi" w:cstheme="majorBidi"/>
          <w:b/>
          <w:bCs/>
          <w:i/>
          <w:iCs/>
          <w:sz w:val="24"/>
          <w:szCs w:val="24"/>
        </w:rPr>
      </w:pPr>
      <w:r>
        <w:rPr>
          <w:rFonts w:asciiTheme="majorBidi" w:hAnsiTheme="majorBidi" w:cstheme="majorBidi"/>
          <w:b/>
          <w:bCs/>
          <w:i/>
          <w:iCs/>
          <w:sz w:val="24"/>
          <w:szCs w:val="24"/>
        </w:rPr>
        <w:t>Research c</w:t>
      </w:r>
      <w:r w:rsidRPr="009879E8">
        <w:rPr>
          <w:rFonts w:asciiTheme="majorBidi" w:hAnsiTheme="majorBidi" w:cstheme="majorBidi"/>
          <w:b/>
          <w:bCs/>
          <w:i/>
          <w:iCs/>
          <w:sz w:val="24"/>
          <w:szCs w:val="24"/>
        </w:rPr>
        <w:t>ontributions</w:t>
      </w:r>
      <w:r>
        <w:rPr>
          <w:rFonts w:asciiTheme="majorBidi" w:hAnsiTheme="majorBidi" w:cstheme="majorBidi"/>
          <w:b/>
          <w:bCs/>
          <w:i/>
          <w:iCs/>
          <w:sz w:val="24"/>
          <w:szCs w:val="24"/>
        </w:rPr>
        <w:t xml:space="preserve"> </w:t>
      </w:r>
    </w:p>
    <w:p w14:paraId="3A1B17C4" w14:textId="21D2A116" w:rsidR="00DE491C" w:rsidRDefault="00C401AD" w:rsidP="00535BF1">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7A34CA">
        <w:rPr>
          <w:rFonts w:asciiTheme="majorBidi" w:hAnsiTheme="majorBidi" w:cstheme="majorBidi"/>
          <w:sz w:val="24"/>
          <w:szCs w:val="24"/>
        </w:rPr>
        <w:t>his study</w:t>
      </w:r>
      <w:r>
        <w:rPr>
          <w:rFonts w:asciiTheme="majorBidi" w:hAnsiTheme="majorBidi" w:cstheme="majorBidi"/>
          <w:sz w:val="24"/>
          <w:szCs w:val="24"/>
        </w:rPr>
        <w:t xml:space="preserve"> has</w:t>
      </w:r>
      <w:r w:rsidR="007A34CA">
        <w:rPr>
          <w:rFonts w:asciiTheme="majorBidi" w:hAnsiTheme="majorBidi" w:cstheme="majorBidi"/>
          <w:sz w:val="24"/>
          <w:szCs w:val="24"/>
        </w:rPr>
        <w:t xml:space="preserve"> </w:t>
      </w:r>
      <w:r w:rsidR="00193E0C">
        <w:rPr>
          <w:rFonts w:asciiTheme="majorBidi" w:hAnsiTheme="majorBidi" w:cstheme="majorBidi"/>
          <w:sz w:val="24"/>
          <w:szCs w:val="24"/>
        </w:rPr>
        <w:t>inves</w:t>
      </w:r>
      <w:r>
        <w:rPr>
          <w:rFonts w:asciiTheme="majorBidi" w:hAnsiTheme="majorBidi" w:cstheme="majorBidi"/>
          <w:sz w:val="24"/>
          <w:szCs w:val="24"/>
        </w:rPr>
        <w:t>t</w:t>
      </w:r>
      <w:r w:rsidR="00193E0C">
        <w:rPr>
          <w:rFonts w:asciiTheme="majorBidi" w:hAnsiTheme="majorBidi" w:cstheme="majorBidi"/>
          <w:sz w:val="24"/>
          <w:szCs w:val="24"/>
        </w:rPr>
        <w:t>igate</w:t>
      </w:r>
      <w:r>
        <w:rPr>
          <w:rFonts w:asciiTheme="majorBidi" w:hAnsiTheme="majorBidi" w:cstheme="majorBidi"/>
          <w:sz w:val="24"/>
          <w:szCs w:val="24"/>
        </w:rPr>
        <w:t>d</w:t>
      </w:r>
      <w:r w:rsidR="007A34CA">
        <w:rPr>
          <w:rFonts w:asciiTheme="majorBidi" w:hAnsiTheme="majorBidi" w:cstheme="majorBidi"/>
          <w:sz w:val="24"/>
          <w:szCs w:val="24"/>
        </w:rPr>
        <w:t xml:space="preserve"> the extent to which</w:t>
      </w:r>
      <w:r w:rsidR="00ED298A">
        <w:rPr>
          <w:rFonts w:asciiTheme="majorBidi" w:hAnsiTheme="majorBidi" w:cstheme="majorBidi"/>
          <w:sz w:val="24"/>
          <w:szCs w:val="24"/>
        </w:rPr>
        <w:t xml:space="preserve"> HEIs</w:t>
      </w:r>
      <w:r w:rsidR="007A34CA">
        <w:rPr>
          <w:rFonts w:asciiTheme="majorBidi" w:hAnsiTheme="majorBidi" w:cstheme="majorBidi"/>
          <w:sz w:val="24"/>
          <w:szCs w:val="24"/>
        </w:rPr>
        <w:t xml:space="preserve"> performance can impact </w:t>
      </w:r>
      <w:r w:rsidR="005A643C">
        <w:rPr>
          <w:rFonts w:asciiTheme="majorBidi" w:hAnsiTheme="majorBidi" w:cstheme="majorBidi"/>
          <w:sz w:val="24"/>
          <w:szCs w:val="24"/>
        </w:rPr>
        <w:t xml:space="preserve">on </w:t>
      </w:r>
      <w:r w:rsidR="007A34CA">
        <w:rPr>
          <w:rFonts w:asciiTheme="majorBidi" w:hAnsiTheme="majorBidi" w:cstheme="majorBidi"/>
          <w:sz w:val="24"/>
          <w:szCs w:val="24"/>
        </w:rPr>
        <w:t xml:space="preserve">VC pay </w:t>
      </w:r>
      <w:r>
        <w:rPr>
          <w:rFonts w:asciiTheme="majorBidi" w:hAnsiTheme="majorBidi" w:cstheme="majorBidi"/>
          <w:sz w:val="24"/>
          <w:szCs w:val="24"/>
        </w:rPr>
        <w:t>using a</w:t>
      </w:r>
      <w:r w:rsidR="005A643C">
        <w:rPr>
          <w:rFonts w:asciiTheme="majorBidi" w:hAnsiTheme="majorBidi" w:cstheme="majorBidi"/>
          <w:sz w:val="24"/>
          <w:szCs w:val="24"/>
        </w:rPr>
        <w:t xml:space="preserve"> longitudinal</w:t>
      </w:r>
      <w:r>
        <w:rPr>
          <w:rFonts w:asciiTheme="majorBidi" w:hAnsiTheme="majorBidi" w:cstheme="majorBidi"/>
          <w:sz w:val="24"/>
          <w:szCs w:val="24"/>
        </w:rPr>
        <w:t xml:space="preserve"> sample of</w:t>
      </w:r>
      <w:r w:rsidR="007A34CA">
        <w:rPr>
          <w:rFonts w:asciiTheme="majorBidi" w:hAnsiTheme="majorBidi" w:cstheme="majorBidi"/>
          <w:sz w:val="24"/>
          <w:szCs w:val="24"/>
        </w:rPr>
        <w:t xml:space="preserve"> UK HEIs. </w:t>
      </w:r>
      <w:proofErr w:type="gramStart"/>
      <w:r w:rsidR="007A34CA">
        <w:rPr>
          <w:rFonts w:asciiTheme="majorBidi" w:hAnsiTheme="majorBidi" w:cstheme="majorBidi"/>
          <w:sz w:val="24"/>
          <w:szCs w:val="24"/>
        </w:rPr>
        <w:t>Specifically</w:t>
      </w:r>
      <w:proofErr w:type="gramEnd"/>
      <w:r w:rsidR="00194FB7">
        <w:rPr>
          <w:rFonts w:asciiTheme="majorBidi" w:hAnsiTheme="majorBidi" w:cstheme="majorBidi"/>
          <w:sz w:val="24"/>
          <w:szCs w:val="24"/>
        </w:rPr>
        <w:t xml:space="preserve"> and relying </w:t>
      </w:r>
      <w:r w:rsidR="00C10B3A">
        <w:rPr>
          <w:rFonts w:asciiTheme="majorBidi" w:hAnsiTheme="majorBidi" w:cstheme="majorBidi"/>
          <w:sz w:val="24"/>
          <w:szCs w:val="24"/>
        </w:rPr>
        <w:t xml:space="preserve">on </w:t>
      </w:r>
      <w:r w:rsidR="00194FB7">
        <w:rPr>
          <w:rFonts w:asciiTheme="majorBidi" w:hAnsiTheme="majorBidi" w:cstheme="majorBidi"/>
          <w:sz w:val="24"/>
          <w:szCs w:val="24"/>
        </w:rPr>
        <w:t>insights</w:t>
      </w:r>
      <w:r w:rsidR="00C10B3A">
        <w:rPr>
          <w:rFonts w:asciiTheme="majorBidi" w:hAnsiTheme="majorBidi" w:cstheme="majorBidi"/>
          <w:sz w:val="24"/>
          <w:szCs w:val="24"/>
        </w:rPr>
        <w:t xml:space="preserve"> drawn</w:t>
      </w:r>
      <w:r w:rsidR="00194FB7">
        <w:rPr>
          <w:rFonts w:asciiTheme="majorBidi" w:hAnsiTheme="majorBidi" w:cstheme="majorBidi"/>
          <w:sz w:val="24"/>
          <w:szCs w:val="24"/>
        </w:rPr>
        <w:t xml:space="preserve"> from optimal contracting (OCT) and prestige (PT) theories</w:t>
      </w:r>
      <w:r w:rsidR="007A34CA">
        <w:rPr>
          <w:rFonts w:asciiTheme="majorBidi" w:hAnsiTheme="majorBidi" w:cstheme="majorBidi"/>
          <w:sz w:val="24"/>
          <w:szCs w:val="24"/>
        </w:rPr>
        <w:t>, we examine the impact of both</w:t>
      </w:r>
      <w:r w:rsidR="00ED298A">
        <w:rPr>
          <w:rFonts w:asciiTheme="majorBidi" w:hAnsiTheme="majorBidi" w:cstheme="majorBidi"/>
          <w:sz w:val="24"/>
          <w:szCs w:val="24"/>
        </w:rPr>
        <w:t>: (i)</w:t>
      </w:r>
      <w:r w:rsidR="00160730">
        <w:rPr>
          <w:rFonts w:asciiTheme="majorBidi" w:hAnsiTheme="majorBidi" w:cstheme="majorBidi"/>
          <w:sz w:val="24"/>
          <w:szCs w:val="24"/>
        </w:rPr>
        <w:t xml:space="preserve"> long-term and (ii) short-term </w:t>
      </w:r>
      <w:r w:rsidR="00AF02E6">
        <w:rPr>
          <w:rFonts w:asciiTheme="majorBidi" w:hAnsiTheme="majorBidi" w:cstheme="majorBidi"/>
          <w:sz w:val="24"/>
          <w:szCs w:val="24"/>
        </w:rPr>
        <w:t xml:space="preserve">performance </w:t>
      </w:r>
      <w:r w:rsidR="00C10B3A">
        <w:rPr>
          <w:rFonts w:asciiTheme="majorBidi" w:hAnsiTheme="majorBidi" w:cstheme="majorBidi"/>
          <w:sz w:val="24"/>
          <w:szCs w:val="24"/>
        </w:rPr>
        <w:t xml:space="preserve">targets </w:t>
      </w:r>
      <w:r w:rsidR="007A34CA">
        <w:rPr>
          <w:rFonts w:asciiTheme="majorBidi" w:hAnsiTheme="majorBidi" w:cstheme="majorBidi"/>
          <w:sz w:val="24"/>
          <w:szCs w:val="24"/>
        </w:rPr>
        <w:t xml:space="preserve">on VC pay, and consequently </w:t>
      </w:r>
      <w:r w:rsidR="00C10B3A">
        <w:rPr>
          <w:rFonts w:asciiTheme="majorBidi" w:hAnsiTheme="majorBidi" w:cstheme="majorBidi"/>
          <w:sz w:val="24"/>
          <w:szCs w:val="24"/>
        </w:rPr>
        <w:t xml:space="preserve">ascertain </w:t>
      </w:r>
      <w:r w:rsidR="007A34CA">
        <w:rPr>
          <w:rFonts w:asciiTheme="majorBidi" w:hAnsiTheme="majorBidi" w:cstheme="majorBidi"/>
          <w:sz w:val="24"/>
          <w:szCs w:val="24"/>
        </w:rPr>
        <w:t>whether VC characteristics can moderate this relationship.</w:t>
      </w:r>
      <w:r w:rsidR="00A64439">
        <w:rPr>
          <w:rFonts w:asciiTheme="majorBidi" w:hAnsiTheme="majorBidi" w:cstheme="majorBidi"/>
          <w:sz w:val="24"/>
          <w:szCs w:val="24"/>
        </w:rPr>
        <w:t xml:space="preserve"> In doing so, </w:t>
      </w:r>
      <w:r w:rsidR="004364AA">
        <w:rPr>
          <w:rFonts w:asciiTheme="majorBidi" w:hAnsiTheme="majorBidi" w:cstheme="majorBidi"/>
          <w:sz w:val="24"/>
          <w:szCs w:val="24"/>
        </w:rPr>
        <w:t>our</w:t>
      </w:r>
      <w:r w:rsidR="00A64439">
        <w:rPr>
          <w:rFonts w:asciiTheme="majorBidi" w:hAnsiTheme="majorBidi" w:cstheme="majorBidi"/>
          <w:sz w:val="24"/>
          <w:szCs w:val="24"/>
        </w:rPr>
        <w:t xml:space="preserve"> study</w:t>
      </w:r>
      <w:r w:rsidR="004C5A92">
        <w:rPr>
          <w:rFonts w:asciiTheme="majorBidi" w:hAnsiTheme="majorBidi" w:cstheme="majorBidi"/>
          <w:sz w:val="24"/>
          <w:szCs w:val="24"/>
        </w:rPr>
        <w:t xml:space="preserve"> extends, as well as</w:t>
      </w:r>
      <w:r w:rsidR="00A64439">
        <w:rPr>
          <w:rFonts w:asciiTheme="majorBidi" w:hAnsiTheme="majorBidi" w:cstheme="majorBidi"/>
          <w:sz w:val="24"/>
          <w:szCs w:val="24"/>
        </w:rPr>
        <w:t xml:space="preserve"> make</w:t>
      </w:r>
      <w:r w:rsidR="004364AA">
        <w:rPr>
          <w:rFonts w:asciiTheme="majorBidi" w:hAnsiTheme="majorBidi" w:cstheme="majorBidi"/>
          <w:sz w:val="24"/>
          <w:szCs w:val="24"/>
        </w:rPr>
        <w:t>s several</w:t>
      </w:r>
      <w:r w:rsidR="00A64439">
        <w:rPr>
          <w:rFonts w:asciiTheme="majorBidi" w:hAnsiTheme="majorBidi" w:cstheme="majorBidi"/>
          <w:sz w:val="24"/>
          <w:szCs w:val="24"/>
        </w:rPr>
        <w:t xml:space="preserve"> </w:t>
      </w:r>
      <w:r w:rsidR="00C10B3A">
        <w:rPr>
          <w:rFonts w:asciiTheme="majorBidi" w:hAnsiTheme="majorBidi" w:cstheme="majorBidi"/>
          <w:sz w:val="24"/>
          <w:szCs w:val="24"/>
        </w:rPr>
        <w:t xml:space="preserve">new and </w:t>
      </w:r>
      <w:r w:rsidR="00A64439">
        <w:rPr>
          <w:rFonts w:asciiTheme="majorBidi" w:hAnsiTheme="majorBidi" w:cstheme="majorBidi"/>
          <w:sz w:val="24"/>
          <w:szCs w:val="24"/>
        </w:rPr>
        <w:t>original</w:t>
      </w:r>
      <w:r w:rsidR="00DE491C">
        <w:rPr>
          <w:rFonts w:asciiTheme="majorBidi" w:hAnsiTheme="majorBidi" w:cstheme="majorBidi"/>
          <w:sz w:val="24"/>
          <w:szCs w:val="24"/>
        </w:rPr>
        <w:t xml:space="preserve"> contributions</w:t>
      </w:r>
      <w:r w:rsidR="00A64439">
        <w:rPr>
          <w:rFonts w:asciiTheme="majorBidi" w:hAnsiTheme="majorBidi" w:cstheme="majorBidi"/>
          <w:sz w:val="24"/>
          <w:szCs w:val="24"/>
        </w:rPr>
        <w:t xml:space="preserve"> to </w:t>
      </w:r>
      <w:r w:rsidR="00C10B3A">
        <w:rPr>
          <w:rFonts w:asciiTheme="majorBidi" w:hAnsiTheme="majorBidi" w:cstheme="majorBidi"/>
          <w:sz w:val="24"/>
          <w:szCs w:val="24"/>
        </w:rPr>
        <w:t>existing literature</w:t>
      </w:r>
      <w:r w:rsidR="00A64439">
        <w:rPr>
          <w:rFonts w:asciiTheme="majorBidi" w:hAnsiTheme="majorBidi" w:cstheme="majorBidi"/>
          <w:sz w:val="24"/>
          <w:szCs w:val="24"/>
        </w:rPr>
        <w:t xml:space="preserve">. </w:t>
      </w:r>
    </w:p>
    <w:p w14:paraId="336B5540" w14:textId="0A28DBBB" w:rsidR="0084493A" w:rsidRDefault="00A64439" w:rsidP="004B459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First, we offer systematic evidence </w:t>
      </w:r>
      <w:r w:rsidR="00DE491C">
        <w:rPr>
          <w:rFonts w:asciiTheme="majorBidi" w:hAnsiTheme="majorBidi" w:cstheme="majorBidi"/>
          <w:sz w:val="24"/>
          <w:szCs w:val="24"/>
        </w:rPr>
        <w:t xml:space="preserve">for the first time </w:t>
      </w:r>
      <w:r>
        <w:rPr>
          <w:rFonts w:asciiTheme="majorBidi" w:hAnsiTheme="majorBidi" w:cstheme="majorBidi"/>
          <w:sz w:val="24"/>
          <w:szCs w:val="24"/>
        </w:rPr>
        <w:t>on the level of VC basic, non-basic and total pay</w:t>
      </w:r>
      <w:r w:rsidR="00F12AD5">
        <w:rPr>
          <w:rFonts w:asciiTheme="majorBidi" w:hAnsiTheme="majorBidi" w:cstheme="majorBidi"/>
          <w:sz w:val="24"/>
          <w:szCs w:val="24"/>
        </w:rPr>
        <w:t xml:space="preserve"> in the UK</w:t>
      </w:r>
      <w:r>
        <w:rPr>
          <w:rFonts w:asciiTheme="majorBidi" w:hAnsiTheme="majorBidi" w:cstheme="majorBidi"/>
          <w:sz w:val="24"/>
          <w:szCs w:val="24"/>
        </w:rPr>
        <w:t xml:space="preserve">. </w:t>
      </w:r>
      <w:r w:rsidR="00BC6819">
        <w:rPr>
          <w:rFonts w:asciiTheme="majorBidi" w:hAnsiTheme="majorBidi" w:cstheme="majorBidi"/>
          <w:sz w:val="24"/>
          <w:szCs w:val="24"/>
        </w:rPr>
        <w:t>We find that VC</w:t>
      </w:r>
      <w:r w:rsidR="00ED298A">
        <w:rPr>
          <w:rFonts w:asciiTheme="majorBidi" w:hAnsiTheme="majorBidi" w:cstheme="majorBidi"/>
          <w:sz w:val="24"/>
          <w:szCs w:val="24"/>
        </w:rPr>
        <w:t>s</w:t>
      </w:r>
      <w:r w:rsidR="00BC6819">
        <w:rPr>
          <w:rFonts w:asciiTheme="majorBidi" w:hAnsiTheme="majorBidi" w:cstheme="majorBidi"/>
          <w:sz w:val="24"/>
          <w:szCs w:val="24"/>
        </w:rPr>
        <w:t xml:space="preserve"> in UK HEIs receive significantly high</w:t>
      </w:r>
      <w:r w:rsidR="00A31611">
        <w:rPr>
          <w:rFonts w:asciiTheme="majorBidi" w:hAnsiTheme="majorBidi" w:cstheme="majorBidi"/>
          <w:sz w:val="24"/>
          <w:szCs w:val="24"/>
        </w:rPr>
        <w:t>er</w:t>
      </w:r>
      <w:r w:rsidR="00BC6819">
        <w:rPr>
          <w:rFonts w:asciiTheme="majorBidi" w:hAnsiTheme="majorBidi" w:cstheme="majorBidi"/>
          <w:sz w:val="24"/>
          <w:szCs w:val="24"/>
        </w:rPr>
        <w:t xml:space="preserve"> basic </w:t>
      </w:r>
      <w:r w:rsidR="00A31611">
        <w:rPr>
          <w:rFonts w:asciiTheme="majorBidi" w:hAnsiTheme="majorBidi" w:cstheme="majorBidi"/>
          <w:sz w:val="24"/>
          <w:szCs w:val="24"/>
        </w:rPr>
        <w:t xml:space="preserve">pay </w:t>
      </w:r>
      <w:r w:rsidR="00BC6819">
        <w:rPr>
          <w:rFonts w:asciiTheme="majorBidi" w:hAnsiTheme="majorBidi" w:cstheme="majorBidi"/>
          <w:sz w:val="24"/>
          <w:szCs w:val="24"/>
        </w:rPr>
        <w:t xml:space="preserve">than non-basic pay packages. </w:t>
      </w:r>
      <w:r>
        <w:rPr>
          <w:rFonts w:asciiTheme="majorBidi" w:hAnsiTheme="majorBidi" w:cstheme="majorBidi"/>
          <w:sz w:val="24"/>
          <w:szCs w:val="24"/>
        </w:rPr>
        <w:t>Second,</w:t>
      </w:r>
      <w:r w:rsidR="00DE491C">
        <w:rPr>
          <w:rFonts w:asciiTheme="majorBidi" w:hAnsiTheme="majorBidi" w:cstheme="majorBidi"/>
          <w:sz w:val="24"/>
          <w:szCs w:val="24"/>
        </w:rPr>
        <w:t xml:space="preserve"> unlike much of the existing literature that ha</w:t>
      </w:r>
      <w:r w:rsidR="00F12AD5">
        <w:rPr>
          <w:rFonts w:asciiTheme="majorBidi" w:hAnsiTheme="majorBidi" w:cstheme="majorBidi"/>
          <w:sz w:val="24"/>
          <w:szCs w:val="24"/>
        </w:rPr>
        <w:t>s</w:t>
      </w:r>
      <w:r w:rsidR="00DE491C">
        <w:rPr>
          <w:rFonts w:asciiTheme="majorBidi" w:hAnsiTheme="majorBidi" w:cstheme="majorBidi"/>
          <w:sz w:val="24"/>
          <w:szCs w:val="24"/>
        </w:rPr>
        <w:t xml:space="preserve"> mainly been conducted </w:t>
      </w:r>
      <w:r w:rsidR="00B6221E">
        <w:rPr>
          <w:rFonts w:asciiTheme="majorBidi" w:hAnsiTheme="majorBidi" w:cstheme="majorBidi"/>
          <w:sz w:val="24"/>
          <w:szCs w:val="24"/>
        </w:rPr>
        <w:t>i</w:t>
      </w:r>
      <w:r w:rsidR="00DE491C">
        <w:rPr>
          <w:rFonts w:asciiTheme="majorBidi" w:hAnsiTheme="majorBidi" w:cstheme="majorBidi"/>
          <w:sz w:val="24"/>
          <w:szCs w:val="24"/>
        </w:rPr>
        <w:t>n profitable organisations</w:t>
      </w:r>
      <w:r w:rsidR="00160730">
        <w:rPr>
          <w:rFonts w:asciiTheme="majorBidi" w:hAnsiTheme="majorBidi" w:cstheme="majorBidi"/>
          <w:sz w:val="24"/>
          <w:szCs w:val="24"/>
        </w:rPr>
        <w:t xml:space="preserve"> and focused mainly on financial performance </w:t>
      </w:r>
      <w:r w:rsidR="003428BA">
        <w:rPr>
          <w:rFonts w:asciiTheme="majorBidi" w:hAnsiTheme="majorBidi" w:cstheme="majorBidi"/>
          <w:sz w:val="24"/>
          <w:szCs w:val="24"/>
        </w:rPr>
        <w:t>measures</w:t>
      </w:r>
      <w:r w:rsidR="00DE491C">
        <w:rPr>
          <w:rFonts w:asciiTheme="majorBidi" w:hAnsiTheme="majorBidi" w:cstheme="majorBidi"/>
          <w:sz w:val="24"/>
          <w:szCs w:val="24"/>
        </w:rPr>
        <w:t xml:space="preserve"> (</w:t>
      </w:r>
      <w:r w:rsidR="00E22707">
        <w:rPr>
          <w:rFonts w:asciiTheme="majorBidi" w:hAnsiTheme="majorBidi" w:cstheme="majorBidi"/>
          <w:sz w:val="24"/>
          <w:szCs w:val="24"/>
        </w:rPr>
        <w:t>Jensen and Murphy, 1990</w:t>
      </w:r>
      <w:r w:rsidR="00563CD4">
        <w:rPr>
          <w:rFonts w:asciiTheme="majorBidi" w:hAnsiTheme="majorBidi" w:cstheme="majorBidi"/>
          <w:sz w:val="24"/>
          <w:szCs w:val="24"/>
        </w:rPr>
        <w:t>)</w:t>
      </w:r>
      <w:r w:rsidR="00A31611">
        <w:rPr>
          <w:rFonts w:asciiTheme="majorBidi" w:hAnsiTheme="majorBidi" w:cstheme="majorBidi"/>
          <w:sz w:val="24"/>
          <w:szCs w:val="24"/>
        </w:rPr>
        <w:t>,</w:t>
      </w:r>
      <w:r w:rsidR="00563CD4">
        <w:rPr>
          <w:rFonts w:asciiTheme="majorBidi" w:hAnsiTheme="majorBidi" w:cstheme="majorBidi"/>
          <w:sz w:val="24"/>
          <w:szCs w:val="24"/>
        </w:rPr>
        <w:t xml:space="preserve"> </w:t>
      </w:r>
      <w:r w:rsidR="00DE491C">
        <w:rPr>
          <w:rFonts w:asciiTheme="majorBidi" w:hAnsiTheme="majorBidi" w:cstheme="majorBidi"/>
          <w:sz w:val="24"/>
          <w:szCs w:val="24"/>
        </w:rPr>
        <w:t>our study offer</w:t>
      </w:r>
      <w:r w:rsidR="00F12AD5">
        <w:rPr>
          <w:rFonts w:asciiTheme="majorBidi" w:hAnsiTheme="majorBidi" w:cstheme="majorBidi"/>
          <w:sz w:val="24"/>
          <w:szCs w:val="24"/>
        </w:rPr>
        <w:t>s</w:t>
      </w:r>
      <w:r w:rsidR="00DE491C">
        <w:rPr>
          <w:rFonts w:asciiTheme="majorBidi" w:hAnsiTheme="majorBidi" w:cstheme="majorBidi"/>
          <w:sz w:val="24"/>
          <w:szCs w:val="24"/>
        </w:rPr>
        <w:t xml:space="preserve"> timely evidence in relation to the impact of HEIs </w:t>
      </w:r>
      <w:r w:rsidR="00160730">
        <w:rPr>
          <w:rFonts w:asciiTheme="majorBidi" w:hAnsiTheme="majorBidi" w:cstheme="majorBidi"/>
          <w:sz w:val="24"/>
          <w:szCs w:val="24"/>
        </w:rPr>
        <w:t>long- and short-term</w:t>
      </w:r>
      <w:r w:rsidR="00DE491C">
        <w:rPr>
          <w:rFonts w:asciiTheme="majorBidi" w:hAnsiTheme="majorBidi" w:cstheme="majorBidi"/>
          <w:sz w:val="24"/>
          <w:szCs w:val="24"/>
        </w:rPr>
        <w:t xml:space="preserve"> </w:t>
      </w:r>
      <w:r w:rsidR="00C20F1D">
        <w:rPr>
          <w:rFonts w:asciiTheme="majorBidi" w:hAnsiTheme="majorBidi" w:cstheme="majorBidi"/>
          <w:sz w:val="24"/>
          <w:szCs w:val="24"/>
        </w:rPr>
        <w:t>financial/</w:t>
      </w:r>
      <w:r w:rsidR="00DE491C">
        <w:rPr>
          <w:rFonts w:asciiTheme="majorBidi" w:hAnsiTheme="majorBidi" w:cstheme="majorBidi"/>
          <w:sz w:val="24"/>
          <w:szCs w:val="24"/>
        </w:rPr>
        <w:t>non-financial performance on VC pay.</w:t>
      </w:r>
      <w:r w:rsidR="00BC6819">
        <w:rPr>
          <w:rFonts w:asciiTheme="majorBidi" w:hAnsiTheme="majorBidi" w:cstheme="majorBidi"/>
          <w:sz w:val="24"/>
          <w:szCs w:val="24"/>
        </w:rPr>
        <w:t xml:space="preserve"> </w:t>
      </w:r>
      <w:bookmarkStart w:id="6" w:name="_Hlk50311917"/>
      <w:r w:rsidR="001C12D2">
        <w:rPr>
          <w:rFonts w:asciiTheme="majorBidi" w:hAnsiTheme="majorBidi" w:cstheme="majorBidi"/>
          <w:sz w:val="24"/>
          <w:szCs w:val="24"/>
        </w:rPr>
        <w:t xml:space="preserve">Our central evidence indicates that, on average, HEIs that </w:t>
      </w:r>
      <w:r w:rsidR="004B4592">
        <w:rPr>
          <w:rFonts w:asciiTheme="majorBidi" w:hAnsiTheme="majorBidi" w:cstheme="majorBidi"/>
          <w:sz w:val="24"/>
          <w:szCs w:val="24"/>
        </w:rPr>
        <w:t>commit to setting and meeting</w:t>
      </w:r>
      <w:r w:rsidR="001C12D2">
        <w:rPr>
          <w:rFonts w:asciiTheme="majorBidi" w:hAnsiTheme="majorBidi" w:cstheme="majorBidi"/>
          <w:sz w:val="24"/>
          <w:szCs w:val="24"/>
        </w:rPr>
        <w:t xml:space="preserve"> long-term </w:t>
      </w:r>
      <w:r w:rsidR="000829D9">
        <w:rPr>
          <w:rFonts w:asciiTheme="majorBidi" w:hAnsiTheme="majorBidi" w:cstheme="majorBidi"/>
          <w:sz w:val="24"/>
          <w:szCs w:val="24"/>
        </w:rPr>
        <w:t xml:space="preserve">social </w:t>
      </w:r>
      <w:r w:rsidR="001C12D2">
        <w:rPr>
          <w:rFonts w:asciiTheme="majorBidi" w:hAnsiTheme="majorBidi" w:cstheme="majorBidi"/>
          <w:sz w:val="24"/>
          <w:szCs w:val="24"/>
        </w:rPr>
        <w:t xml:space="preserve">performance </w:t>
      </w:r>
      <w:r w:rsidR="004B4592">
        <w:rPr>
          <w:rFonts w:asciiTheme="majorBidi" w:hAnsiTheme="majorBidi" w:cstheme="majorBidi"/>
          <w:sz w:val="24"/>
          <w:szCs w:val="24"/>
        </w:rPr>
        <w:t xml:space="preserve">targets </w:t>
      </w:r>
      <w:r w:rsidR="001C12D2">
        <w:rPr>
          <w:rFonts w:asciiTheme="majorBidi" w:hAnsiTheme="majorBidi" w:cstheme="majorBidi"/>
          <w:sz w:val="24"/>
          <w:szCs w:val="24"/>
        </w:rPr>
        <w:t>tend to pay their VCs less, whilst those that pursue short-term performance pay their</w:t>
      </w:r>
      <w:r w:rsidR="006F439C">
        <w:rPr>
          <w:rFonts w:asciiTheme="majorBidi" w:hAnsiTheme="majorBidi" w:cstheme="majorBidi"/>
          <w:sz w:val="24"/>
          <w:szCs w:val="24"/>
        </w:rPr>
        <w:t xml:space="preserve"> VCs more</w:t>
      </w:r>
      <w:bookmarkEnd w:id="6"/>
      <w:r w:rsidR="006F439C">
        <w:rPr>
          <w:rFonts w:asciiTheme="majorBidi" w:hAnsiTheme="majorBidi" w:cstheme="majorBidi"/>
          <w:sz w:val="24"/>
          <w:szCs w:val="24"/>
        </w:rPr>
        <w:t>.</w:t>
      </w:r>
      <w:r w:rsidR="001C12D2">
        <w:rPr>
          <w:rFonts w:asciiTheme="majorBidi" w:hAnsiTheme="majorBidi" w:cstheme="majorBidi"/>
          <w:sz w:val="24"/>
          <w:szCs w:val="24"/>
        </w:rPr>
        <w:t xml:space="preserve"> </w:t>
      </w:r>
      <w:r w:rsidR="006F439C">
        <w:rPr>
          <w:rFonts w:asciiTheme="majorBidi" w:hAnsiTheme="majorBidi" w:cstheme="majorBidi"/>
          <w:sz w:val="24"/>
          <w:szCs w:val="24"/>
        </w:rPr>
        <w:t>Specifically, o</w:t>
      </w:r>
      <w:r w:rsidR="00BC6819">
        <w:rPr>
          <w:rFonts w:asciiTheme="majorBidi" w:hAnsiTheme="majorBidi" w:cstheme="majorBidi"/>
          <w:sz w:val="24"/>
          <w:szCs w:val="24"/>
        </w:rPr>
        <w:t>ur results indicate that VC pay is</w:t>
      </w:r>
      <w:r w:rsidR="00160730">
        <w:rPr>
          <w:rFonts w:asciiTheme="majorBidi" w:hAnsiTheme="majorBidi" w:cstheme="majorBidi"/>
          <w:sz w:val="24"/>
          <w:szCs w:val="24"/>
        </w:rPr>
        <w:t xml:space="preserve"> </w:t>
      </w:r>
      <w:r w:rsidR="006F439C">
        <w:rPr>
          <w:rFonts w:asciiTheme="majorBidi" w:hAnsiTheme="majorBidi" w:cstheme="majorBidi"/>
          <w:sz w:val="24"/>
          <w:szCs w:val="24"/>
        </w:rPr>
        <w:t>negatively</w:t>
      </w:r>
      <w:r w:rsidR="00160730">
        <w:rPr>
          <w:rFonts w:asciiTheme="majorBidi" w:hAnsiTheme="majorBidi" w:cstheme="majorBidi"/>
          <w:sz w:val="24"/>
          <w:szCs w:val="24"/>
        </w:rPr>
        <w:t xml:space="preserve"> </w:t>
      </w:r>
      <w:r w:rsidR="00ED298A">
        <w:rPr>
          <w:rFonts w:asciiTheme="majorBidi" w:hAnsiTheme="majorBidi" w:cstheme="majorBidi"/>
          <w:sz w:val="24"/>
          <w:szCs w:val="24"/>
        </w:rPr>
        <w:t>related</w:t>
      </w:r>
      <w:r w:rsidR="00BC6819">
        <w:rPr>
          <w:rFonts w:asciiTheme="majorBidi" w:hAnsiTheme="majorBidi" w:cstheme="majorBidi"/>
          <w:sz w:val="24"/>
          <w:szCs w:val="24"/>
        </w:rPr>
        <w:t xml:space="preserve"> with </w:t>
      </w:r>
      <w:r w:rsidR="00BC6819">
        <w:rPr>
          <w:rFonts w:asciiTheme="majorBidi" w:hAnsiTheme="majorBidi" w:cstheme="majorBidi"/>
          <w:sz w:val="24"/>
          <w:szCs w:val="24"/>
        </w:rPr>
        <w:lastRenderedPageBreak/>
        <w:t xml:space="preserve">HEIs </w:t>
      </w:r>
      <w:r w:rsidR="00160730">
        <w:rPr>
          <w:rFonts w:asciiTheme="majorBidi" w:hAnsiTheme="majorBidi" w:cstheme="majorBidi"/>
          <w:sz w:val="24"/>
          <w:szCs w:val="24"/>
        </w:rPr>
        <w:t>long-term</w:t>
      </w:r>
      <w:r w:rsidR="00FE6933">
        <w:rPr>
          <w:rFonts w:asciiTheme="majorBidi" w:hAnsiTheme="majorBidi" w:cstheme="majorBidi"/>
          <w:sz w:val="24"/>
          <w:szCs w:val="24"/>
        </w:rPr>
        <w:t xml:space="preserve"> </w:t>
      </w:r>
      <w:r w:rsidR="000829D9">
        <w:rPr>
          <w:rFonts w:asciiTheme="majorBidi" w:hAnsiTheme="majorBidi" w:cstheme="majorBidi"/>
          <w:sz w:val="24"/>
          <w:szCs w:val="24"/>
        </w:rPr>
        <w:t xml:space="preserve">social </w:t>
      </w:r>
      <w:r w:rsidR="00935E3C">
        <w:rPr>
          <w:rFonts w:asciiTheme="majorBidi" w:hAnsiTheme="majorBidi" w:cstheme="majorBidi"/>
          <w:sz w:val="24"/>
          <w:szCs w:val="24"/>
        </w:rPr>
        <w:t>performance</w:t>
      </w:r>
      <w:r w:rsidR="006F439C">
        <w:rPr>
          <w:rFonts w:asciiTheme="majorBidi" w:hAnsiTheme="majorBidi" w:cstheme="majorBidi"/>
          <w:sz w:val="24"/>
          <w:szCs w:val="24"/>
        </w:rPr>
        <w:t xml:space="preserve">, but </w:t>
      </w:r>
      <w:r w:rsidR="00E65AB0">
        <w:rPr>
          <w:rFonts w:asciiTheme="majorBidi" w:hAnsiTheme="majorBidi" w:cstheme="majorBidi"/>
          <w:sz w:val="24"/>
          <w:szCs w:val="24"/>
        </w:rPr>
        <w:t>posi</w:t>
      </w:r>
      <w:r w:rsidR="006F439C">
        <w:rPr>
          <w:rFonts w:asciiTheme="majorBidi" w:hAnsiTheme="majorBidi" w:cstheme="majorBidi"/>
          <w:sz w:val="24"/>
          <w:szCs w:val="24"/>
        </w:rPr>
        <w:t>tively related to</w:t>
      </w:r>
      <w:r w:rsidR="006C32E5">
        <w:rPr>
          <w:rFonts w:asciiTheme="majorBidi" w:hAnsiTheme="majorBidi" w:cstheme="majorBidi"/>
          <w:sz w:val="24"/>
          <w:szCs w:val="24"/>
        </w:rPr>
        <w:t xml:space="preserve"> short-term performance, and thereby offer</w:t>
      </w:r>
      <w:r w:rsidR="006F439C">
        <w:rPr>
          <w:rFonts w:asciiTheme="majorBidi" w:hAnsiTheme="majorBidi" w:cstheme="majorBidi"/>
          <w:sz w:val="24"/>
          <w:szCs w:val="24"/>
        </w:rPr>
        <w:t>ing</w:t>
      </w:r>
      <w:r w:rsidR="006C32E5">
        <w:rPr>
          <w:rFonts w:asciiTheme="majorBidi" w:hAnsiTheme="majorBidi" w:cstheme="majorBidi"/>
          <w:sz w:val="24"/>
          <w:szCs w:val="24"/>
        </w:rPr>
        <w:t xml:space="preserve"> support for the predications of </w:t>
      </w:r>
      <w:r w:rsidR="006F439C">
        <w:rPr>
          <w:rFonts w:asciiTheme="majorBidi" w:hAnsiTheme="majorBidi" w:cstheme="majorBidi"/>
          <w:sz w:val="24"/>
          <w:szCs w:val="24"/>
        </w:rPr>
        <w:t xml:space="preserve">both </w:t>
      </w:r>
      <w:r w:rsidR="006C32E5">
        <w:rPr>
          <w:rFonts w:asciiTheme="majorBidi" w:hAnsiTheme="majorBidi" w:cstheme="majorBidi"/>
          <w:sz w:val="24"/>
          <w:szCs w:val="24"/>
        </w:rPr>
        <w:t>OCT</w:t>
      </w:r>
      <w:r w:rsidR="006F439C">
        <w:rPr>
          <w:rFonts w:asciiTheme="majorBidi" w:hAnsiTheme="majorBidi" w:cstheme="majorBidi"/>
          <w:sz w:val="24"/>
          <w:szCs w:val="24"/>
        </w:rPr>
        <w:t xml:space="preserve"> and PT</w:t>
      </w:r>
      <w:r w:rsidR="006C32E5">
        <w:rPr>
          <w:rFonts w:asciiTheme="majorBidi" w:hAnsiTheme="majorBidi" w:cstheme="majorBidi"/>
          <w:sz w:val="24"/>
          <w:szCs w:val="24"/>
        </w:rPr>
        <w:t xml:space="preserve">. </w:t>
      </w:r>
      <w:r w:rsidR="000829D9">
        <w:rPr>
          <w:rFonts w:asciiTheme="majorBidi" w:hAnsiTheme="majorBidi" w:cstheme="majorBidi"/>
          <w:sz w:val="24"/>
          <w:szCs w:val="24"/>
        </w:rPr>
        <w:t xml:space="preserve">In this case, our evidence extends existing </w:t>
      </w:r>
      <w:r w:rsidR="005C6BA8">
        <w:rPr>
          <w:rFonts w:asciiTheme="majorBidi" w:hAnsiTheme="majorBidi" w:cstheme="majorBidi"/>
          <w:sz w:val="24"/>
          <w:szCs w:val="24"/>
        </w:rPr>
        <w:t>finding</w:t>
      </w:r>
      <w:r w:rsidR="000829D9">
        <w:rPr>
          <w:rFonts w:asciiTheme="majorBidi" w:hAnsiTheme="majorBidi" w:cstheme="majorBidi"/>
          <w:sz w:val="24"/>
          <w:szCs w:val="24"/>
        </w:rPr>
        <w:t xml:space="preserve"> </w:t>
      </w:r>
      <w:r w:rsidR="005C6BA8">
        <w:rPr>
          <w:rFonts w:asciiTheme="majorBidi" w:hAnsiTheme="majorBidi" w:cstheme="majorBidi"/>
          <w:sz w:val="24"/>
          <w:szCs w:val="24"/>
        </w:rPr>
        <w:t xml:space="preserve">that </w:t>
      </w:r>
      <w:r w:rsidR="0084493A">
        <w:rPr>
          <w:rFonts w:asciiTheme="majorBidi" w:hAnsiTheme="majorBidi" w:cstheme="majorBidi"/>
          <w:sz w:val="24"/>
          <w:szCs w:val="24"/>
        </w:rPr>
        <w:t xml:space="preserve">does not only </w:t>
      </w:r>
      <w:r w:rsidR="000829D9">
        <w:rPr>
          <w:rFonts w:asciiTheme="majorBidi" w:hAnsiTheme="majorBidi" w:cstheme="majorBidi"/>
          <w:sz w:val="24"/>
          <w:szCs w:val="24"/>
        </w:rPr>
        <w:t>show a positive link between VC pay and short-term financial performance (</w:t>
      </w:r>
      <w:proofErr w:type="spellStart"/>
      <w:r w:rsidR="000829D9" w:rsidRPr="004C032D">
        <w:rPr>
          <w:rFonts w:asciiTheme="majorBidi" w:hAnsiTheme="majorBidi" w:cstheme="majorBidi"/>
          <w:sz w:val="24"/>
          <w:szCs w:val="24"/>
        </w:rPr>
        <w:t>Johnes</w:t>
      </w:r>
      <w:proofErr w:type="spellEnd"/>
      <w:r w:rsidR="000829D9" w:rsidRPr="004C032D">
        <w:rPr>
          <w:rFonts w:asciiTheme="majorBidi" w:hAnsiTheme="majorBidi" w:cstheme="majorBidi"/>
          <w:sz w:val="24"/>
          <w:szCs w:val="24"/>
        </w:rPr>
        <w:t xml:space="preserve"> and </w:t>
      </w:r>
      <w:proofErr w:type="spellStart"/>
      <w:r w:rsidR="000829D9" w:rsidRPr="004C032D">
        <w:rPr>
          <w:rFonts w:asciiTheme="majorBidi" w:hAnsiTheme="majorBidi" w:cstheme="majorBidi"/>
          <w:sz w:val="24"/>
          <w:szCs w:val="24"/>
        </w:rPr>
        <w:t>Virmani</w:t>
      </w:r>
      <w:proofErr w:type="spellEnd"/>
      <w:r w:rsidR="000829D9" w:rsidRPr="004C032D">
        <w:rPr>
          <w:rFonts w:asciiTheme="majorBidi" w:hAnsiTheme="majorBidi" w:cstheme="majorBidi"/>
          <w:sz w:val="24"/>
          <w:szCs w:val="24"/>
        </w:rPr>
        <w:t>, 2020; Walker et al., 2019</w:t>
      </w:r>
      <w:r w:rsidR="000829D9">
        <w:rPr>
          <w:rFonts w:asciiTheme="majorBidi" w:hAnsiTheme="majorBidi" w:cstheme="majorBidi"/>
          <w:sz w:val="24"/>
          <w:szCs w:val="24"/>
        </w:rPr>
        <w:t xml:space="preserve">), but </w:t>
      </w:r>
      <w:r w:rsidR="0084493A">
        <w:rPr>
          <w:rFonts w:asciiTheme="majorBidi" w:hAnsiTheme="majorBidi" w:cstheme="majorBidi"/>
          <w:sz w:val="24"/>
          <w:szCs w:val="24"/>
        </w:rPr>
        <w:t xml:space="preserve">also </w:t>
      </w:r>
      <w:r w:rsidR="000829D9">
        <w:rPr>
          <w:rFonts w:asciiTheme="majorBidi" w:hAnsiTheme="majorBidi" w:cstheme="majorBidi"/>
          <w:sz w:val="24"/>
          <w:szCs w:val="24"/>
        </w:rPr>
        <w:t xml:space="preserve">offer new evidence relating to the association between VC pay and long-term social performance. </w:t>
      </w:r>
    </w:p>
    <w:p w14:paraId="112E7737" w14:textId="7FC189CF" w:rsidR="00FA5AF7" w:rsidRDefault="00DE491C" w:rsidP="00742D29">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Finally, </w:t>
      </w:r>
      <w:r w:rsidR="00BC6819">
        <w:rPr>
          <w:rFonts w:asciiTheme="majorBidi" w:hAnsiTheme="majorBidi" w:cstheme="majorBidi"/>
          <w:sz w:val="24"/>
          <w:szCs w:val="24"/>
        </w:rPr>
        <w:t>this study</w:t>
      </w:r>
      <w:r w:rsidR="00847949">
        <w:rPr>
          <w:rFonts w:asciiTheme="majorBidi" w:hAnsiTheme="majorBidi" w:cstheme="majorBidi"/>
          <w:sz w:val="24"/>
          <w:szCs w:val="24"/>
        </w:rPr>
        <w:t xml:space="preserve"> contributes to the extant literature by</w:t>
      </w:r>
      <w:r w:rsidR="00BC6819">
        <w:rPr>
          <w:rFonts w:asciiTheme="majorBidi" w:hAnsiTheme="majorBidi" w:cstheme="majorBidi"/>
          <w:sz w:val="24"/>
          <w:szCs w:val="24"/>
        </w:rPr>
        <w:t xml:space="preserve"> offer</w:t>
      </w:r>
      <w:r w:rsidR="00847949">
        <w:rPr>
          <w:rFonts w:asciiTheme="majorBidi" w:hAnsiTheme="majorBidi" w:cstheme="majorBidi"/>
          <w:sz w:val="24"/>
          <w:szCs w:val="24"/>
        </w:rPr>
        <w:t>ing</w:t>
      </w:r>
      <w:r w:rsidR="00BC6819">
        <w:rPr>
          <w:rFonts w:asciiTheme="majorBidi" w:hAnsiTheme="majorBidi" w:cstheme="majorBidi"/>
          <w:sz w:val="24"/>
          <w:szCs w:val="24"/>
        </w:rPr>
        <w:t xml:space="preserve"> new insights on the moderati</w:t>
      </w:r>
      <w:r w:rsidR="00F12AD5">
        <w:rPr>
          <w:rFonts w:asciiTheme="majorBidi" w:hAnsiTheme="majorBidi" w:cstheme="majorBidi"/>
          <w:sz w:val="24"/>
          <w:szCs w:val="24"/>
        </w:rPr>
        <w:t>ng</w:t>
      </w:r>
      <w:r w:rsidR="00BC6819">
        <w:rPr>
          <w:rFonts w:asciiTheme="majorBidi" w:hAnsiTheme="majorBidi" w:cstheme="majorBidi"/>
          <w:sz w:val="24"/>
          <w:szCs w:val="24"/>
        </w:rPr>
        <w:t xml:space="preserve"> effect of VC </w:t>
      </w:r>
      <w:r w:rsidR="0056628A">
        <w:rPr>
          <w:rFonts w:asciiTheme="majorBidi" w:hAnsiTheme="majorBidi" w:cstheme="majorBidi"/>
          <w:sz w:val="24"/>
          <w:szCs w:val="24"/>
        </w:rPr>
        <w:t>characteristics</w:t>
      </w:r>
      <w:r w:rsidR="00BC6819">
        <w:rPr>
          <w:rFonts w:asciiTheme="majorBidi" w:hAnsiTheme="majorBidi" w:cstheme="majorBidi"/>
          <w:sz w:val="24"/>
          <w:szCs w:val="24"/>
        </w:rPr>
        <w:t xml:space="preserve"> on the </w:t>
      </w:r>
      <w:r w:rsidR="00935E3C">
        <w:rPr>
          <w:rFonts w:asciiTheme="majorBidi" w:hAnsiTheme="majorBidi" w:cstheme="majorBidi"/>
          <w:sz w:val="24"/>
          <w:szCs w:val="24"/>
        </w:rPr>
        <w:t>pay</w:t>
      </w:r>
      <w:r w:rsidR="00105C85">
        <w:rPr>
          <w:rFonts w:asciiTheme="majorBidi" w:hAnsiTheme="majorBidi" w:cstheme="majorBidi"/>
          <w:sz w:val="24"/>
          <w:szCs w:val="24"/>
        </w:rPr>
        <w:t>–</w:t>
      </w:r>
      <w:r w:rsidR="00BC6819">
        <w:rPr>
          <w:rFonts w:asciiTheme="majorBidi" w:hAnsiTheme="majorBidi" w:cstheme="majorBidi"/>
          <w:sz w:val="24"/>
          <w:szCs w:val="24"/>
        </w:rPr>
        <w:t>performance nexus. Our evidence suggests that</w:t>
      </w:r>
      <w:r w:rsidR="0056628A">
        <w:rPr>
          <w:rFonts w:asciiTheme="majorBidi" w:hAnsiTheme="majorBidi" w:cstheme="majorBidi"/>
          <w:sz w:val="24"/>
          <w:szCs w:val="24"/>
        </w:rPr>
        <w:t xml:space="preserve"> the link between </w:t>
      </w:r>
      <w:r w:rsidR="00FA5AF7">
        <w:rPr>
          <w:rFonts w:asciiTheme="majorBidi" w:hAnsiTheme="majorBidi" w:cstheme="majorBidi"/>
          <w:sz w:val="24"/>
          <w:szCs w:val="24"/>
        </w:rPr>
        <w:t>performance and pay has improved in HEIs w</w:t>
      </w:r>
      <w:r w:rsidR="00D54896">
        <w:rPr>
          <w:rFonts w:asciiTheme="majorBidi" w:hAnsiTheme="majorBidi" w:cstheme="majorBidi"/>
          <w:sz w:val="24"/>
          <w:szCs w:val="24"/>
        </w:rPr>
        <w:t>ith</w:t>
      </w:r>
      <w:r w:rsidR="00FA5AF7">
        <w:rPr>
          <w:rFonts w:asciiTheme="majorBidi" w:hAnsiTheme="majorBidi" w:cstheme="majorBidi"/>
          <w:sz w:val="24"/>
          <w:szCs w:val="24"/>
        </w:rPr>
        <w:t xml:space="preserve"> old</w:t>
      </w:r>
      <w:r w:rsidR="002F2FB4">
        <w:rPr>
          <w:rFonts w:asciiTheme="majorBidi" w:hAnsiTheme="majorBidi" w:cstheme="majorBidi"/>
          <w:sz w:val="24"/>
          <w:szCs w:val="24"/>
        </w:rPr>
        <w:t>er</w:t>
      </w:r>
      <w:r w:rsidR="00FA5AF7">
        <w:rPr>
          <w:rFonts w:asciiTheme="majorBidi" w:hAnsiTheme="majorBidi" w:cstheme="majorBidi"/>
          <w:sz w:val="24"/>
          <w:szCs w:val="24"/>
        </w:rPr>
        <w:t xml:space="preserve">, gender diverse and </w:t>
      </w:r>
      <w:r w:rsidR="00AC6564">
        <w:rPr>
          <w:rFonts w:asciiTheme="majorBidi" w:hAnsiTheme="majorBidi" w:cstheme="majorBidi"/>
          <w:sz w:val="24"/>
          <w:szCs w:val="24"/>
        </w:rPr>
        <w:t>long-tenured VCs.</w:t>
      </w:r>
      <w:r w:rsidR="00AC6564" w:rsidRPr="00AC6564">
        <w:rPr>
          <w:rFonts w:asciiTheme="majorBidi" w:hAnsiTheme="majorBidi" w:cstheme="majorBidi"/>
          <w:sz w:val="24"/>
          <w:szCs w:val="24"/>
        </w:rPr>
        <w:t xml:space="preserve"> In contrast, our evidence indicates that VC status</w:t>
      </w:r>
      <w:r w:rsidR="00C20F1D">
        <w:rPr>
          <w:rFonts w:asciiTheme="majorBidi" w:hAnsiTheme="majorBidi" w:cstheme="majorBidi"/>
          <w:sz w:val="24"/>
          <w:szCs w:val="24"/>
        </w:rPr>
        <w:t xml:space="preserve"> and</w:t>
      </w:r>
      <w:r w:rsidR="00AC6564" w:rsidRPr="00AC6564">
        <w:rPr>
          <w:rFonts w:asciiTheme="majorBidi" w:hAnsiTheme="majorBidi" w:cstheme="majorBidi"/>
          <w:sz w:val="24"/>
          <w:szCs w:val="24"/>
        </w:rPr>
        <w:t xml:space="preserve"> education background have insignificant moderating impact on the </w:t>
      </w:r>
      <w:r w:rsidR="004B4592">
        <w:rPr>
          <w:rFonts w:asciiTheme="majorBidi" w:hAnsiTheme="majorBidi" w:cstheme="majorBidi"/>
          <w:sz w:val="24"/>
          <w:szCs w:val="24"/>
        </w:rPr>
        <w:t>performance–</w:t>
      </w:r>
      <w:r w:rsidR="00FA5AF7">
        <w:rPr>
          <w:rFonts w:asciiTheme="majorBidi" w:hAnsiTheme="majorBidi" w:cstheme="majorBidi"/>
          <w:sz w:val="24"/>
          <w:szCs w:val="24"/>
        </w:rPr>
        <w:t>pay nexus</w:t>
      </w:r>
      <w:r w:rsidR="006B6BD9">
        <w:rPr>
          <w:rFonts w:asciiTheme="majorBidi" w:hAnsiTheme="majorBidi" w:cstheme="majorBidi"/>
          <w:sz w:val="24"/>
          <w:szCs w:val="24"/>
        </w:rPr>
        <w:t xml:space="preserve">. </w:t>
      </w:r>
      <w:r w:rsidR="00817281">
        <w:rPr>
          <w:rFonts w:asciiTheme="majorBidi" w:hAnsiTheme="majorBidi" w:cstheme="majorBidi"/>
          <w:sz w:val="24"/>
          <w:szCs w:val="24"/>
        </w:rPr>
        <w:t xml:space="preserve">Overall, our findings </w:t>
      </w:r>
      <w:r w:rsidR="00AD5F41">
        <w:rPr>
          <w:rFonts w:asciiTheme="majorBidi" w:hAnsiTheme="majorBidi" w:cstheme="majorBidi"/>
          <w:sz w:val="24"/>
          <w:szCs w:val="24"/>
        </w:rPr>
        <w:t>demonstrate</w:t>
      </w:r>
      <w:r w:rsidR="00817281">
        <w:rPr>
          <w:rFonts w:asciiTheme="majorBidi" w:hAnsiTheme="majorBidi" w:cstheme="majorBidi"/>
          <w:sz w:val="24"/>
          <w:szCs w:val="24"/>
        </w:rPr>
        <w:t xml:space="preserve"> further the VC pay is not only determined by </w:t>
      </w:r>
      <w:r w:rsidR="00AD5F41">
        <w:rPr>
          <w:rFonts w:asciiTheme="majorBidi" w:hAnsiTheme="majorBidi" w:cstheme="majorBidi"/>
          <w:sz w:val="24"/>
          <w:szCs w:val="24"/>
        </w:rPr>
        <w:t xml:space="preserve">the type of </w:t>
      </w:r>
      <w:r w:rsidR="00817281">
        <w:rPr>
          <w:rFonts w:asciiTheme="majorBidi" w:hAnsiTheme="majorBidi" w:cstheme="majorBidi"/>
          <w:sz w:val="24"/>
          <w:szCs w:val="24"/>
        </w:rPr>
        <w:t>HEI performance</w:t>
      </w:r>
      <w:r w:rsidR="00AD5F41">
        <w:rPr>
          <w:rFonts w:asciiTheme="majorBidi" w:hAnsiTheme="majorBidi" w:cstheme="majorBidi"/>
          <w:sz w:val="24"/>
          <w:szCs w:val="24"/>
        </w:rPr>
        <w:t xml:space="preserve"> (e.g., short-/long-term performance)</w:t>
      </w:r>
      <w:r w:rsidR="00817281">
        <w:rPr>
          <w:rFonts w:asciiTheme="majorBidi" w:hAnsiTheme="majorBidi" w:cstheme="majorBidi"/>
          <w:sz w:val="24"/>
          <w:szCs w:val="24"/>
        </w:rPr>
        <w:t xml:space="preserve">, but also </w:t>
      </w:r>
      <w:r w:rsidR="005C6BA8">
        <w:rPr>
          <w:rFonts w:asciiTheme="majorBidi" w:hAnsiTheme="majorBidi" w:cstheme="majorBidi"/>
          <w:sz w:val="24"/>
          <w:szCs w:val="24"/>
        </w:rPr>
        <w:t xml:space="preserve">other </w:t>
      </w:r>
      <w:r w:rsidR="00817281">
        <w:rPr>
          <w:rFonts w:asciiTheme="majorBidi" w:hAnsiTheme="majorBidi" w:cstheme="majorBidi"/>
          <w:sz w:val="24"/>
          <w:szCs w:val="24"/>
        </w:rPr>
        <w:t>factors</w:t>
      </w:r>
      <w:r w:rsidR="00AD5F41">
        <w:rPr>
          <w:rFonts w:asciiTheme="majorBidi" w:hAnsiTheme="majorBidi" w:cstheme="majorBidi"/>
          <w:sz w:val="24"/>
          <w:szCs w:val="24"/>
        </w:rPr>
        <w:t xml:space="preserve"> (e.g., </w:t>
      </w:r>
      <w:r w:rsidR="00817281">
        <w:rPr>
          <w:rFonts w:asciiTheme="majorBidi" w:hAnsiTheme="majorBidi" w:cstheme="majorBidi"/>
          <w:sz w:val="24"/>
          <w:szCs w:val="24"/>
        </w:rPr>
        <w:t>VC</w:t>
      </w:r>
      <w:r w:rsidR="00AD5F41">
        <w:rPr>
          <w:rFonts w:asciiTheme="majorBidi" w:hAnsiTheme="majorBidi" w:cstheme="majorBidi"/>
          <w:sz w:val="24"/>
          <w:szCs w:val="24"/>
        </w:rPr>
        <w:t>/governance</w:t>
      </w:r>
      <w:r w:rsidR="00817281">
        <w:rPr>
          <w:rFonts w:asciiTheme="majorBidi" w:hAnsiTheme="majorBidi" w:cstheme="majorBidi"/>
          <w:sz w:val="24"/>
          <w:szCs w:val="24"/>
        </w:rPr>
        <w:t xml:space="preserve"> characteristics</w:t>
      </w:r>
      <w:r w:rsidR="00AD5F41">
        <w:rPr>
          <w:rFonts w:asciiTheme="majorBidi" w:hAnsiTheme="majorBidi" w:cstheme="majorBidi"/>
          <w:sz w:val="24"/>
          <w:szCs w:val="24"/>
        </w:rPr>
        <w:t>)</w:t>
      </w:r>
      <w:r w:rsidR="00817281">
        <w:rPr>
          <w:rFonts w:asciiTheme="majorBidi" w:hAnsiTheme="majorBidi" w:cstheme="majorBidi"/>
          <w:sz w:val="24"/>
          <w:szCs w:val="24"/>
        </w:rPr>
        <w:t xml:space="preserve"> with clear differences in their effects in terms of the direction, </w:t>
      </w:r>
      <w:proofErr w:type="gramStart"/>
      <w:r w:rsidR="00817281">
        <w:rPr>
          <w:rFonts w:asciiTheme="majorBidi" w:hAnsiTheme="majorBidi" w:cstheme="majorBidi"/>
          <w:sz w:val="24"/>
          <w:szCs w:val="24"/>
        </w:rPr>
        <w:t>magnitude</w:t>
      </w:r>
      <w:proofErr w:type="gramEnd"/>
      <w:r w:rsidR="00817281">
        <w:rPr>
          <w:rFonts w:asciiTheme="majorBidi" w:hAnsiTheme="majorBidi" w:cstheme="majorBidi"/>
          <w:sz w:val="24"/>
          <w:szCs w:val="24"/>
        </w:rPr>
        <w:t xml:space="preserve"> and statistical significance on the pay–performance nexus.  </w:t>
      </w:r>
    </w:p>
    <w:p w14:paraId="7D617691" w14:textId="2E07209F" w:rsidR="00613C94" w:rsidRPr="009879E8" w:rsidRDefault="001940C8" w:rsidP="009879E8">
      <w:pPr>
        <w:spacing w:after="0" w:line="480" w:lineRule="auto"/>
        <w:jc w:val="both"/>
        <w:rPr>
          <w:rFonts w:asciiTheme="majorBidi" w:hAnsiTheme="majorBidi" w:cstheme="majorBidi"/>
          <w:b/>
          <w:bCs/>
          <w:i/>
          <w:iCs/>
          <w:sz w:val="24"/>
          <w:szCs w:val="24"/>
        </w:rPr>
      </w:pPr>
      <w:r>
        <w:rPr>
          <w:rFonts w:asciiTheme="majorBidi" w:hAnsiTheme="majorBidi" w:cstheme="majorBidi"/>
          <w:b/>
          <w:bCs/>
          <w:i/>
          <w:iCs/>
          <w:sz w:val="24"/>
          <w:szCs w:val="24"/>
        </w:rPr>
        <w:t>Research i</w:t>
      </w:r>
      <w:r w:rsidR="00613C94" w:rsidRPr="009879E8">
        <w:rPr>
          <w:rFonts w:asciiTheme="majorBidi" w:hAnsiTheme="majorBidi" w:cstheme="majorBidi"/>
          <w:b/>
          <w:bCs/>
          <w:i/>
          <w:iCs/>
          <w:sz w:val="24"/>
          <w:szCs w:val="24"/>
        </w:rPr>
        <w:t>mplications</w:t>
      </w:r>
    </w:p>
    <w:p w14:paraId="0AC3F73D" w14:textId="0ADEEFD0" w:rsidR="000B5DAB" w:rsidRDefault="00F20CDB" w:rsidP="00D74BDF">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Our findings </w:t>
      </w:r>
      <w:r w:rsidR="00F12AD5">
        <w:rPr>
          <w:rFonts w:asciiTheme="majorBidi" w:hAnsiTheme="majorBidi" w:cstheme="majorBidi"/>
          <w:sz w:val="24"/>
          <w:szCs w:val="24"/>
        </w:rPr>
        <w:t>ha</w:t>
      </w:r>
      <w:r w:rsidR="00012E50">
        <w:rPr>
          <w:rFonts w:asciiTheme="majorBidi" w:hAnsiTheme="majorBidi" w:cstheme="majorBidi"/>
          <w:sz w:val="24"/>
          <w:szCs w:val="24"/>
        </w:rPr>
        <w:t>ve</w:t>
      </w:r>
      <w:r>
        <w:rPr>
          <w:rFonts w:asciiTheme="majorBidi" w:hAnsiTheme="majorBidi" w:cstheme="majorBidi"/>
          <w:sz w:val="24"/>
          <w:szCs w:val="24"/>
        </w:rPr>
        <w:t xml:space="preserve"> a number of important implications </w:t>
      </w:r>
      <w:r w:rsidR="00DC61AF">
        <w:rPr>
          <w:rFonts w:asciiTheme="majorBidi" w:hAnsiTheme="majorBidi" w:cstheme="majorBidi"/>
          <w:sz w:val="24"/>
          <w:szCs w:val="24"/>
        </w:rPr>
        <w:t>for</w:t>
      </w:r>
      <w:r>
        <w:rPr>
          <w:rFonts w:asciiTheme="majorBidi" w:hAnsiTheme="majorBidi" w:cstheme="majorBidi"/>
          <w:sz w:val="24"/>
          <w:szCs w:val="24"/>
        </w:rPr>
        <w:t xml:space="preserve"> </w:t>
      </w:r>
      <w:r w:rsidR="007E599C">
        <w:rPr>
          <w:rFonts w:asciiTheme="majorBidi" w:hAnsiTheme="majorBidi" w:cstheme="majorBidi"/>
          <w:sz w:val="24"/>
          <w:szCs w:val="24"/>
        </w:rPr>
        <w:t xml:space="preserve">the various stakeholders of HEIs, such as </w:t>
      </w:r>
      <w:r w:rsidR="0003314E">
        <w:rPr>
          <w:rFonts w:asciiTheme="majorBidi" w:hAnsiTheme="majorBidi" w:cstheme="majorBidi"/>
          <w:sz w:val="24"/>
          <w:szCs w:val="24"/>
        </w:rPr>
        <w:t xml:space="preserve">student unions, </w:t>
      </w:r>
      <w:r w:rsidR="007E599C">
        <w:rPr>
          <w:rFonts w:asciiTheme="majorBidi" w:hAnsiTheme="majorBidi" w:cstheme="majorBidi"/>
          <w:sz w:val="24"/>
          <w:szCs w:val="24"/>
        </w:rPr>
        <w:t xml:space="preserve">past, current and prospective students, </w:t>
      </w:r>
      <w:r>
        <w:rPr>
          <w:rFonts w:asciiTheme="majorBidi" w:hAnsiTheme="majorBidi" w:cstheme="majorBidi"/>
          <w:sz w:val="24"/>
          <w:szCs w:val="24"/>
        </w:rPr>
        <w:t xml:space="preserve">researchers, </w:t>
      </w:r>
      <w:r w:rsidR="007E599C">
        <w:rPr>
          <w:rFonts w:asciiTheme="majorBidi" w:hAnsiTheme="majorBidi" w:cstheme="majorBidi"/>
          <w:sz w:val="24"/>
          <w:szCs w:val="24"/>
        </w:rPr>
        <w:t xml:space="preserve">governing boards, employee unions, </w:t>
      </w:r>
      <w:proofErr w:type="gramStart"/>
      <w:r>
        <w:rPr>
          <w:rFonts w:asciiTheme="majorBidi" w:hAnsiTheme="majorBidi" w:cstheme="majorBidi"/>
          <w:sz w:val="24"/>
          <w:szCs w:val="24"/>
        </w:rPr>
        <w:t>policy-makers</w:t>
      </w:r>
      <w:proofErr w:type="gramEnd"/>
      <w:r w:rsidR="00A23E78">
        <w:rPr>
          <w:rFonts w:asciiTheme="majorBidi" w:hAnsiTheme="majorBidi" w:cstheme="majorBidi"/>
          <w:sz w:val="24"/>
          <w:szCs w:val="24"/>
        </w:rPr>
        <w:t>,</w:t>
      </w:r>
      <w:r>
        <w:rPr>
          <w:rFonts w:asciiTheme="majorBidi" w:hAnsiTheme="majorBidi" w:cstheme="majorBidi"/>
          <w:sz w:val="24"/>
          <w:szCs w:val="24"/>
        </w:rPr>
        <w:t xml:space="preserve"> regulators</w:t>
      </w:r>
      <w:r w:rsidR="007E599C">
        <w:rPr>
          <w:rFonts w:asciiTheme="majorBidi" w:hAnsiTheme="majorBidi" w:cstheme="majorBidi"/>
          <w:sz w:val="24"/>
          <w:szCs w:val="24"/>
        </w:rPr>
        <w:t>/governments</w:t>
      </w:r>
      <w:r w:rsidR="0003314E">
        <w:rPr>
          <w:rFonts w:asciiTheme="majorBidi" w:hAnsiTheme="majorBidi" w:cstheme="majorBidi"/>
          <w:sz w:val="24"/>
          <w:szCs w:val="24"/>
        </w:rPr>
        <w:t xml:space="preserve"> </w:t>
      </w:r>
      <w:r w:rsidR="00293651">
        <w:rPr>
          <w:rFonts w:asciiTheme="majorBidi" w:hAnsiTheme="majorBidi" w:cstheme="majorBidi"/>
          <w:sz w:val="24"/>
          <w:szCs w:val="24"/>
        </w:rPr>
        <w:t>and taxpayers</w:t>
      </w:r>
      <w:r>
        <w:rPr>
          <w:rFonts w:asciiTheme="majorBidi" w:hAnsiTheme="majorBidi" w:cstheme="majorBidi"/>
          <w:sz w:val="24"/>
          <w:szCs w:val="24"/>
        </w:rPr>
        <w:t xml:space="preserve">. </w:t>
      </w:r>
      <w:r w:rsidR="00711C51">
        <w:rPr>
          <w:rFonts w:asciiTheme="majorBidi" w:hAnsiTheme="majorBidi" w:cstheme="majorBidi"/>
          <w:sz w:val="24"/>
          <w:szCs w:val="24"/>
        </w:rPr>
        <w:t>For</w:t>
      </w:r>
      <w:r>
        <w:rPr>
          <w:rFonts w:asciiTheme="majorBidi" w:hAnsiTheme="majorBidi" w:cstheme="majorBidi"/>
          <w:sz w:val="24"/>
          <w:szCs w:val="24"/>
        </w:rPr>
        <w:t xml:space="preserve"> </w:t>
      </w:r>
      <w:r w:rsidR="00293651">
        <w:rPr>
          <w:rFonts w:asciiTheme="majorBidi" w:hAnsiTheme="majorBidi" w:cstheme="majorBidi"/>
          <w:sz w:val="24"/>
          <w:szCs w:val="24"/>
        </w:rPr>
        <w:t xml:space="preserve">employee unions, </w:t>
      </w:r>
      <w:proofErr w:type="gramStart"/>
      <w:r w:rsidR="00B8229E">
        <w:rPr>
          <w:rFonts w:asciiTheme="majorBidi" w:hAnsiTheme="majorBidi" w:cstheme="majorBidi"/>
          <w:sz w:val="24"/>
          <w:szCs w:val="24"/>
        </w:rPr>
        <w:t>policy-makers</w:t>
      </w:r>
      <w:proofErr w:type="gramEnd"/>
      <w:r w:rsidR="00B8229E">
        <w:rPr>
          <w:rFonts w:asciiTheme="majorBidi" w:hAnsiTheme="majorBidi" w:cstheme="majorBidi"/>
          <w:sz w:val="24"/>
          <w:szCs w:val="24"/>
        </w:rPr>
        <w:t xml:space="preserve">, </w:t>
      </w:r>
      <w:r>
        <w:rPr>
          <w:rFonts w:asciiTheme="majorBidi" w:hAnsiTheme="majorBidi" w:cstheme="majorBidi"/>
          <w:sz w:val="24"/>
          <w:szCs w:val="24"/>
        </w:rPr>
        <w:t>regulators</w:t>
      </w:r>
      <w:r w:rsidR="00B8229E">
        <w:rPr>
          <w:rFonts w:asciiTheme="majorBidi" w:hAnsiTheme="majorBidi" w:cstheme="majorBidi"/>
          <w:sz w:val="24"/>
          <w:szCs w:val="24"/>
        </w:rPr>
        <w:t>/governments and taxpayers</w:t>
      </w:r>
      <w:r w:rsidR="008E45A6">
        <w:rPr>
          <w:rFonts w:asciiTheme="majorBidi" w:hAnsiTheme="majorBidi" w:cstheme="majorBidi"/>
          <w:sz w:val="24"/>
          <w:szCs w:val="24"/>
        </w:rPr>
        <w:t>,</w:t>
      </w:r>
      <w:r w:rsidR="007E599C">
        <w:rPr>
          <w:rFonts w:asciiTheme="majorBidi" w:hAnsiTheme="majorBidi" w:cstheme="majorBidi"/>
          <w:sz w:val="24"/>
          <w:szCs w:val="24"/>
        </w:rPr>
        <w:t xml:space="preserve"> </w:t>
      </w:r>
      <w:r w:rsidR="008E45A6">
        <w:rPr>
          <w:rFonts w:asciiTheme="majorBidi" w:hAnsiTheme="majorBidi" w:cstheme="majorBidi"/>
          <w:sz w:val="24"/>
          <w:szCs w:val="24"/>
        </w:rPr>
        <w:t>the</w:t>
      </w:r>
      <w:r w:rsidR="009639F5">
        <w:rPr>
          <w:rFonts w:asciiTheme="majorBidi" w:hAnsiTheme="majorBidi" w:cstheme="majorBidi"/>
          <w:sz w:val="24"/>
          <w:szCs w:val="24"/>
        </w:rPr>
        <w:t xml:space="preserve"> positive </w:t>
      </w:r>
      <w:r w:rsidR="008E45A6">
        <w:rPr>
          <w:rFonts w:asciiTheme="majorBidi" w:hAnsiTheme="majorBidi" w:cstheme="majorBidi"/>
          <w:sz w:val="24"/>
          <w:szCs w:val="24"/>
        </w:rPr>
        <w:t xml:space="preserve">link </w:t>
      </w:r>
      <w:r>
        <w:rPr>
          <w:rFonts w:asciiTheme="majorBidi" w:hAnsiTheme="majorBidi" w:cstheme="majorBidi"/>
          <w:sz w:val="24"/>
          <w:szCs w:val="24"/>
        </w:rPr>
        <w:t xml:space="preserve">between </w:t>
      </w:r>
      <w:r w:rsidR="004656A8">
        <w:rPr>
          <w:rFonts w:asciiTheme="majorBidi" w:hAnsiTheme="majorBidi" w:cstheme="majorBidi"/>
          <w:sz w:val="24"/>
          <w:szCs w:val="24"/>
        </w:rPr>
        <w:t xml:space="preserve">VC </w:t>
      </w:r>
      <w:r>
        <w:rPr>
          <w:rFonts w:asciiTheme="majorBidi" w:hAnsiTheme="majorBidi" w:cstheme="majorBidi"/>
          <w:sz w:val="24"/>
          <w:szCs w:val="24"/>
        </w:rPr>
        <w:t>p</w:t>
      </w:r>
      <w:r w:rsidR="004802D2">
        <w:rPr>
          <w:rFonts w:asciiTheme="majorBidi" w:hAnsiTheme="majorBidi" w:cstheme="majorBidi"/>
          <w:sz w:val="24"/>
          <w:szCs w:val="24"/>
        </w:rPr>
        <w:t>ay</w:t>
      </w:r>
      <w:r>
        <w:rPr>
          <w:rFonts w:asciiTheme="majorBidi" w:hAnsiTheme="majorBidi" w:cstheme="majorBidi"/>
          <w:sz w:val="24"/>
          <w:szCs w:val="24"/>
        </w:rPr>
        <w:t xml:space="preserve"> and </w:t>
      </w:r>
      <w:r w:rsidR="004B4592">
        <w:rPr>
          <w:rFonts w:asciiTheme="majorBidi" w:hAnsiTheme="majorBidi" w:cstheme="majorBidi"/>
          <w:sz w:val="24"/>
          <w:szCs w:val="24"/>
        </w:rPr>
        <w:t xml:space="preserve">short-term </w:t>
      </w:r>
      <w:r>
        <w:rPr>
          <w:rFonts w:asciiTheme="majorBidi" w:hAnsiTheme="majorBidi" w:cstheme="majorBidi"/>
          <w:sz w:val="24"/>
          <w:szCs w:val="24"/>
        </w:rPr>
        <w:t>p</w:t>
      </w:r>
      <w:r w:rsidR="004802D2">
        <w:rPr>
          <w:rFonts w:asciiTheme="majorBidi" w:hAnsiTheme="majorBidi" w:cstheme="majorBidi"/>
          <w:sz w:val="24"/>
          <w:szCs w:val="24"/>
        </w:rPr>
        <w:t>erformance</w:t>
      </w:r>
      <w:r w:rsidR="00515883">
        <w:rPr>
          <w:rFonts w:asciiTheme="majorBidi" w:hAnsiTheme="majorBidi" w:cstheme="majorBidi"/>
          <w:sz w:val="24"/>
          <w:szCs w:val="24"/>
        </w:rPr>
        <w:t xml:space="preserve"> provide</w:t>
      </w:r>
      <w:r w:rsidR="000125DD">
        <w:rPr>
          <w:rFonts w:asciiTheme="majorBidi" w:hAnsiTheme="majorBidi" w:cstheme="majorBidi"/>
          <w:sz w:val="24"/>
          <w:szCs w:val="24"/>
        </w:rPr>
        <w:t>s</w:t>
      </w:r>
      <w:r w:rsidR="00515883">
        <w:rPr>
          <w:rFonts w:asciiTheme="majorBidi" w:hAnsiTheme="majorBidi" w:cstheme="majorBidi"/>
          <w:sz w:val="24"/>
          <w:szCs w:val="24"/>
        </w:rPr>
        <w:t xml:space="preserve"> empirical</w:t>
      </w:r>
      <w:r w:rsidR="00DC61AF">
        <w:rPr>
          <w:rFonts w:asciiTheme="majorBidi" w:hAnsiTheme="majorBidi" w:cstheme="majorBidi"/>
          <w:sz w:val="24"/>
          <w:szCs w:val="24"/>
        </w:rPr>
        <w:t xml:space="preserve"> support</w:t>
      </w:r>
      <w:r w:rsidR="00515883">
        <w:rPr>
          <w:rFonts w:asciiTheme="majorBidi" w:hAnsiTheme="majorBidi" w:cstheme="majorBidi"/>
          <w:sz w:val="24"/>
          <w:szCs w:val="24"/>
        </w:rPr>
        <w:t xml:space="preserve"> </w:t>
      </w:r>
      <w:r w:rsidR="00F12AD5">
        <w:rPr>
          <w:rFonts w:asciiTheme="majorBidi" w:hAnsiTheme="majorBidi" w:cstheme="majorBidi"/>
          <w:sz w:val="24"/>
          <w:szCs w:val="24"/>
        </w:rPr>
        <w:t>f</w:t>
      </w:r>
      <w:r w:rsidR="00515883">
        <w:rPr>
          <w:rFonts w:asciiTheme="majorBidi" w:hAnsiTheme="majorBidi" w:cstheme="majorBidi"/>
          <w:sz w:val="24"/>
          <w:szCs w:val="24"/>
        </w:rPr>
        <w:t>o</w:t>
      </w:r>
      <w:r w:rsidR="00F12AD5">
        <w:rPr>
          <w:rFonts w:asciiTheme="majorBidi" w:hAnsiTheme="majorBidi" w:cstheme="majorBidi"/>
          <w:sz w:val="24"/>
          <w:szCs w:val="24"/>
        </w:rPr>
        <w:t>r</w:t>
      </w:r>
      <w:r w:rsidR="00515883">
        <w:rPr>
          <w:rFonts w:asciiTheme="majorBidi" w:hAnsiTheme="majorBidi" w:cstheme="majorBidi"/>
          <w:sz w:val="24"/>
          <w:szCs w:val="24"/>
        </w:rPr>
        <w:t xml:space="preserve"> the</w:t>
      </w:r>
      <w:r w:rsidR="00DC61AF">
        <w:rPr>
          <w:rFonts w:asciiTheme="majorBidi" w:hAnsiTheme="majorBidi" w:cstheme="majorBidi"/>
          <w:sz w:val="24"/>
          <w:szCs w:val="24"/>
        </w:rPr>
        <w:t xml:space="preserve"> current</w:t>
      </w:r>
      <w:r w:rsidR="004656A8">
        <w:rPr>
          <w:rFonts w:asciiTheme="majorBidi" w:hAnsiTheme="majorBidi" w:cstheme="majorBidi"/>
          <w:sz w:val="24"/>
          <w:szCs w:val="24"/>
        </w:rPr>
        <w:t xml:space="preserve"> intense</w:t>
      </w:r>
      <w:r w:rsidR="00DC61AF">
        <w:rPr>
          <w:rFonts w:asciiTheme="majorBidi" w:hAnsiTheme="majorBidi" w:cstheme="majorBidi"/>
          <w:sz w:val="24"/>
          <w:szCs w:val="24"/>
        </w:rPr>
        <w:t xml:space="preserve"> </w:t>
      </w:r>
      <w:r w:rsidR="004656A8">
        <w:rPr>
          <w:rFonts w:asciiTheme="majorBidi" w:hAnsiTheme="majorBidi" w:cstheme="majorBidi"/>
          <w:sz w:val="24"/>
          <w:szCs w:val="24"/>
        </w:rPr>
        <w:t>public</w:t>
      </w:r>
      <w:r w:rsidR="00436365">
        <w:rPr>
          <w:rFonts w:asciiTheme="majorBidi" w:hAnsiTheme="majorBidi" w:cstheme="majorBidi"/>
          <w:sz w:val="24"/>
          <w:szCs w:val="24"/>
        </w:rPr>
        <w:t xml:space="preserve"> </w:t>
      </w:r>
      <w:r w:rsidR="004656A8">
        <w:rPr>
          <w:rFonts w:asciiTheme="majorBidi" w:hAnsiTheme="majorBidi" w:cstheme="majorBidi"/>
          <w:sz w:val="24"/>
          <w:szCs w:val="24"/>
        </w:rPr>
        <w:t xml:space="preserve">debate </w:t>
      </w:r>
      <w:r w:rsidR="00355388">
        <w:rPr>
          <w:rFonts w:asciiTheme="majorBidi" w:hAnsiTheme="majorBidi" w:cstheme="majorBidi"/>
          <w:sz w:val="24"/>
          <w:szCs w:val="24"/>
        </w:rPr>
        <w:t>that suggest</w:t>
      </w:r>
      <w:r w:rsidR="00605379">
        <w:rPr>
          <w:rFonts w:asciiTheme="majorBidi" w:hAnsiTheme="majorBidi" w:cstheme="majorBidi"/>
          <w:sz w:val="24"/>
          <w:szCs w:val="24"/>
        </w:rPr>
        <w:t>s that</w:t>
      </w:r>
      <w:r w:rsidR="00355388">
        <w:rPr>
          <w:rFonts w:asciiTheme="majorBidi" w:hAnsiTheme="majorBidi" w:cstheme="majorBidi"/>
          <w:sz w:val="24"/>
          <w:szCs w:val="24"/>
        </w:rPr>
        <w:t xml:space="preserve"> the pay of </w:t>
      </w:r>
      <w:r w:rsidR="00DC61AF">
        <w:rPr>
          <w:rFonts w:asciiTheme="majorBidi" w:hAnsiTheme="majorBidi" w:cstheme="majorBidi"/>
          <w:sz w:val="24"/>
          <w:szCs w:val="24"/>
        </w:rPr>
        <w:t>VC</w:t>
      </w:r>
      <w:r w:rsidR="003A06BD">
        <w:rPr>
          <w:rFonts w:asciiTheme="majorBidi" w:hAnsiTheme="majorBidi" w:cstheme="majorBidi"/>
          <w:sz w:val="24"/>
          <w:szCs w:val="24"/>
        </w:rPr>
        <w:t>s</w:t>
      </w:r>
      <w:r w:rsidR="00DC61AF">
        <w:rPr>
          <w:rFonts w:asciiTheme="majorBidi" w:hAnsiTheme="majorBidi" w:cstheme="majorBidi"/>
          <w:sz w:val="24"/>
          <w:szCs w:val="24"/>
        </w:rPr>
        <w:t xml:space="preserve"> </w:t>
      </w:r>
      <w:r w:rsidR="00355388">
        <w:rPr>
          <w:rFonts w:asciiTheme="majorBidi" w:hAnsiTheme="majorBidi" w:cstheme="majorBidi"/>
          <w:sz w:val="24"/>
          <w:szCs w:val="24"/>
        </w:rPr>
        <w:t>may not always be fair</w:t>
      </w:r>
      <w:r w:rsidR="00197F7E">
        <w:rPr>
          <w:rFonts w:asciiTheme="majorBidi" w:hAnsiTheme="majorBidi" w:cstheme="majorBidi"/>
          <w:sz w:val="24"/>
          <w:szCs w:val="24"/>
        </w:rPr>
        <w:t>/</w:t>
      </w:r>
      <w:r w:rsidR="00355388">
        <w:rPr>
          <w:rFonts w:asciiTheme="majorBidi" w:hAnsiTheme="majorBidi" w:cstheme="majorBidi"/>
          <w:sz w:val="24"/>
          <w:szCs w:val="24"/>
        </w:rPr>
        <w:t>linked to long-term performance</w:t>
      </w:r>
      <w:r w:rsidR="007B1F7E">
        <w:rPr>
          <w:rFonts w:asciiTheme="majorBidi" w:hAnsiTheme="majorBidi" w:cstheme="majorBidi"/>
          <w:sz w:val="24"/>
          <w:szCs w:val="24"/>
        </w:rPr>
        <w:t xml:space="preserve"> of</w:t>
      </w:r>
      <w:r w:rsidR="00605379">
        <w:rPr>
          <w:rFonts w:asciiTheme="majorBidi" w:hAnsiTheme="majorBidi" w:cstheme="majorBidi"/>
          <w:sz w:val="24"/>
          <w:szCs w:val="24"/>
        </w:rPr>
        <w:t xml:space="preserve"> their institutions</w:t>
      </w:r>
      <w:r w:rsidR="00355388">
        <w:rPr>
          <w:rFonts w:asciiTheme="majorBidi" w:hAnsiTheme="majorBidi" w:cstheme="majorBidi"/>
          <w:sz w:val="24"/>
          <w:szCs w:val="24"/>
        </w:rPr>
        <w:t xml:space="preserve">. </w:t>
      </w:r>
      <w:r w:rsidR="00605379">
        <w:rPr>
          <w:rFonts w:asciiTheme="majorBidi" w:hAnsiTheme="majorBidi" w:cstheme="majorBidi"/>
          <w:sz w:val="24"/>
          <w:szCs w:val="24"/>
        </w:rPr>
        <w:t xml:space="preserve">In fact, our evidence indicates that for VCs that commit to setting and meeting long-term socially transformative </w:t>
      </w:r>
      <w:r w:rsidR="00B841C3">
        <w:rPr>
          <w:rFonts w:asciiTheme="majorBidi" w:hAnsiTheme="majorBidi" w:cstheme="majorBidi"/>
          <w:sz w:val="24"/>
          <w:szCs w:val="24"/>
        </w:rPr>
        <w:t>performance targets</w:t>
      </w:r>
      <w:r w:rsidR="00605379">
        <w:rPr>
          <w:rFonts w:asciiTheme="majorBidi" w:hAnsiTheme="majorBidi" w:cstheme="majorBidi"/>
          <w:sz w:val="24"/>
          <w:szCs w:val="24"/>
        </w:rPr>
        <w:t xml:space="preserve"> (community contributions</w:t>
      </w:r>
      <w:r w:rsidR="003E23AC">
        <w:rPr>
          <w:rFonts w:asciiTheme="majorBidi" w:hAnsiTheme="majorBidi" w:cstheme="majorBidi"/>
          <w:sz w:val="24"/>
          <w:szCs w:val="24"/>
        </w:rPr>
        <w:t>/</w:t>
      </w:r>
      <w:r w:rsidR="00605379">
        <w:rPr>
          <w:rFonts w:asciiTheme="majorBidi" w:hAnsiTheme="majorBidi" w:cstheme="majorBidi"/>
          <w:sz w:val="24"/>
          <w:szCs w:val="24"/>
        </w:rPr>
        <w:t>widening access), they are likely to receive lower pay than their counterparts that prioritise the achievement of short-term performance targets (rises in annual research</w:t>
      </w:r>
      <w:r w:rsidR="003E23AC">
        <w:rPr>
          <w:rFonts w:asciiTheme="majorBidi" w:hAnsiTheme="majorBidi" w:cstheme="majorBidi"/>
          <w:sz w:val="24"/>
          <w:szCs w:val="24"/>
        </w:rPr>
        <w:t>/</w:t>
      </w:r>
      <w:r w:rsidR="00605379">
        <w:rPr>
          <w:rFonts w:asciiTheme="majorBidi" w:hAnsiTheme="majorBidi" w:cstheme="majorBidi"/>
          <w:sz w:val="24"/>
          <w:szCs w:val="24"/>
        </w:rPr>
        <w:t>teaching rankings). For governing boards,</w:t>
      </w:r>
      <w:r w:rsidR="00B112FC">
        <w:rPr>
          <w:rFonts w:asciiTheme="majorBidi" w:hAnsiTheme="majorBidi" w:cstheme="majorBidi"/>
          <w:sz w:val="24"/>
          <w:szCs w:val="24"/>
        </w:rPr>
        <w:t xml:space="preserve"> senior management,</w:t>
      </w:r>
      <w:r w:rsidR="00605379">
        <w:rPr>
          <w:rFonts w:asciiTheme="majorBidi" w:hAnsiTheme="majorBidi" w:cstheme="majorBidi"/>
          <w:sz w:val="24"/>
          <w:szCs w:val="24"/>
        </w:rPr>
        <w:t xml:space="preserve"> staff and student unions, there appears </w:t>
      </w:r>
      <w:r w:rsidR="00605379">
        <w:rPr>
          <w:rFonts w:asciiTheme="majorBidi" w:hAnsiTheme="majorBidi" w:cstheme="majorBidi"/>
          <w:sz w:val="24"/>
          <w:szCs w:val="24"/>
        </w:rPr>
        <w:lastRenderedPageBreak/>
        <w:t>to b</w:t>
      </w:r>
      <w:r w:rsidR="00B112FC">
        <w:rPr>
          <w:rFonts w:asciiTheme="majorBidi" w:hAnsiTheme="majorBidi" w:cstheme="majorBidi"/>
          <w:sz w:val="24"/>
          <w:szCs w:val="24"/>
        </w:rPr>
        <w:t xml:space="preserve">e a need for greater input and scrutiny in setting and distinguishing between short- and long-term priorities and performance targets, with greater emphasis placed on rewarding achievement of such long-term targets in comparison </w:t>
      </w:r>
      <w:r w:rsidR="003E23AC">
        <w:rPr>
          <w:rFonts w:asciiTheme="majorBidi" w:hAnsiTheme="majorBidi" w:cstheme="majorBidi"/>
          <w:sz w:val="24"/>
          <w:szCs w:val="24"/>
        </w:rPr>
        <w:t>to</w:t>
      </w:r>
      <w:r w:rsidR="00B112FC">
        <w:rPr>
          <w:rFonts w:asciiTheme="majorBidi" w:hAnsiTheme="majorBidi" w:cstheme="majorBidi"/>
          <w:sz w:val="24"/>
          <w:szCs w:val="24"/>
        </w:rPr>
        <w:t xml:space="preserve"> short-term performance. </w:t>
      </w:r>
      <w:r w:rsidR="00D230C4">
        <w:rPr>
          <w:rFonts w:asciiTheme="majorBidi" w:hAnsiTheme="majorBidi" w:cstheme="majorBidi"/>
          <w:sz w:val="24"/>
          <w:szCs w:val="24"/>
        </w:rPr>
        <w:t>One way of enhancing decision</w:t>
      </w:r>
      <w:r w:rsidR="00A23E78">
        <w:rPr>
          <w:rFonts w:asciiTheme="majorBidi" w:hAnsiTheme="majorBidi" w:cstheme="majorBidi"/>
          <w:sz w:val="24"/>
          <w:szCs w:val="24"/>
        </w:rPr>
        <w:t>-</w:t>
      </w:r>
      <w:r w:rsidR="00D230C4">
        <w:rPr>
          <w:rFonts w:asciiTheme="majorBidi" w:hAnsiTheme="majorBidi" w:cstheme="majorBidi"/>
          <w:sz w:val="24"/>
          <w:szCs w:val="24"/>
        </w:rPr>
        <w:t xml:space="preserve">making, including </w:t>
      </w:r>
      <w:proofErr w:type="gramStart"/>
      <w:r w:rsidR="00D230C4">
        <w:rPr>
          <w:rFonts w:asciiTheme="majorBidi" w:hAnsiTheme="majorBidi" w:cstheme="majorBidi"/>
          <w:sz w:val="24"/>
          <w:szCs w:val="24"/>
        </w:rPr>
        <w:t>setting</w:t>
      </w:r>
      <w:proofErr w:type="gramEnd"/>
      <w:r w:rsidR="00D230C4">
        <w:rPr>
          <w:rFonts w:asciiTheme="majorBidi" w:hAnsiTheme="majorBidi" w:cstheme="majorBidi"/>
          <w:sz w:val="24"/>
          <w:szCs w:val="24"/>
        </w:rPr>
        <w:t xml:space="preserve"> and evaluati</w:t>
      </w:r>
      <w:r w:rsidR="003C7323">
        <w:rPr>
          <w:rFonts w:asciiTheme="majorBidi" w:hAnsiTheme="majorBidi" w:cstheme="majorBidi"/>
          <w:sz w:val="24"/>
          <w:szCs w:val="24"/>
        </w:rPr>
        <w:t>ng</w:t>
      </w:r>
      <w:r w:rsidR="00D230C4">
        <w:rPr>
          <w:rFonts w:asciiTheme="majorBidi" w:hAnsiTheme="majorBidi" w:cstheme="majorBidi"/>
          <w:sz w:val="24"/>
          <w:szCs w:val="24"/>
        </w:rPr>
        <w:t xml:space="preserve"> </w:t>
      </w:r>
      <w:r w:rsidR="0061313D">
        <w:rPr>
          <w:rFonts w:asciiTheme="majorBidi" w:hAnsiTheme="majorBidi" w:cstheme="majorBidi"/>
          <w:sz w:val="24"/>
          <w:szCs w:val="24"/>
        </w:rPr>
        <w:t xml:space="preserve">HEIs’ </w:t>
      </w:r>
      <w:r w:rsidR="00D230C4">
        <w:rPr>
          <w:rFonts w:asciiTheme="majorBidi" w:hAnsiTheme="majorBidi" w:cstheme="majorBidi"/>
          <w:sz w:val="24"/>
          <w:szCs w:val="24"/>
        </w:rPr>
        <w:t>performance</w:t>
      </w:r>
      <w:r w:rsidR="0061313D">
        <w:rPr>
          <w:rFonts w:asciiTheme="majorBidi" w:hAnsiTheme="majorBidi" w:cstheme="majorBidi"/>
          <w:sz w:val="24"/>
          <w:szCs w:val="24"/>
        </w:rPr>
        <w:t xml:space="preserve"> may be</w:t>
      </w:r>
      <w:r w:rsidR="003C7323">
        <w:rPr>
          <w:rFonts w:asciiTheme="majorBidi" w:hAnsiTheme="majorBidi" w:cstheme="majorBidi"/>
          <w:sz w:val="24"/>
          <w:szCs w:val="24"/>
        </w:rPr>
        <w:t xml:space="preserve"> </w:t>
      </w:r>
      <w:r w:rsidR="0061313D">
        <w:rPr>
          <w:rFonts w:asciiTheme="majorBidi" w:hAnsiTheme="majorBidi" w:cstheme="majorBidi"/>
          <w:sz w:val="24"/>
          <w:szCs w:val="24"/>
        </w:rPr>
        <w:t>broadening the</w:t>
      </w:r>
      <w:r w:rsidR="00F87354">
        <w:rPr>
          <w:rFonts w:asciiTheme="majorBidi" w:hAnsiTheme="majorBidi" w:cstheme="majorBidi"/>
          <w:sz w:val="24"/>
          <w:szCs w:val="24"/>
        </w:rPr>
        <w:t xml:space="preserve"> senior leadership</w:t>
      </w:r>
      <w:r w:rsidR="00DB5343">
        <w:rPr>
          <w:rFonts w:asciiTheme="majorBidi" w:hAnsiTheme="majorBidi" w:cstheme="majorBidi"/>
          <w:sz w:val="24"/>
          <w:szCs w:val="24"/>
        </w:rPr>
        <w:t>/</w:t>
      </w:r>
      <w:r w:rsidR="00F87354">
        <w:rPr>
          <w:rFonts w:asciiTheme="majorBidi" w:hAnsiTheme="majorBidi" w:cstheme="majorBidi"/>
          <w:sz w:val="24"/>
          <w:szCs w:val="24"/>
        </w:rPr>
        <w:t>management teams. In this case, our evidence indicate</w:t>
      </w:r>
      <w:r w:rsidR="00AC3566">
        <w:rPr>
          <w:rFonts w:asciiTheme="majorBidi" w:hAnsiTheme="majorBidi" w:cstheme="majorBidi"/>
          <w:sz w:val="24"/>
          <w:szCs w:val="24"/>
        </w:rPr>
        <w:t>s</w:t>
      </w:r>
      <w:r w:rsidR="00F87354">
        <w:rPr>
          <w:rFonts w:asciiTheme="majorBidi" w:hAnsiTheme="majorBidi" w:cstheme="majorBidi"/>
          <w:sz w:val="24"/>
          <w:szCs w:val="24"/>
        </w:rPr>
        <w:t xml:space="preserve"> that women</w:t>
      </w:r>
      <w:r w:rsidR="00C67FC3">
        <w:rPr>
          <w:rFonts w:asciiTheme="majorBidi" w:hAnsiTheme="majorBidi" w:cstheme="majorBidi"/>
          <w:sz w:val="24"/>
          <w:szCs w:val="24"/>
        </w:rPr>
        <w:t>/</w:t>
      </w:r>
      <w:r w:rsidR="00F87354">
        <w:rPr>
          <w:rFonts w:asciiTheme="majorBidi" w:hAnsiTheme="majorBidi" w:cstheme="majorBidi"/>
          <w:sz w:val="24"/>
          <w:szCs w:val="24"/>
        </w:rPr>
        <w:t>ethnic minorit</w:t>
      </w:r>
      <w:r w:rsidR="00AC3566">
        <w:rPr>
          <w:rFonts w:asciiTheme="majorBidi" w:hAnsiTheme="majorBidi" w:cstheme="majorBidi"/>
          <w:sz w:val="24"/>
          <w:szCs w:val="24"/>
        </w:rPr>
        <w:t xml:space="preserve">ies </w:t>
      </w:r>
      <w:proofErr w:type="gramStart"/>
      <w:r w:rsidR="005902B7">
        <w:rPr>
          <w:rFonts w:asciiTheme="majorBidi" w:hAnsiTheme="majorBidi" w:cstheme="majorBidi"/>
          <w:sz w:val="24"/>
          <w:szCs w:val="24"/>
        </w:rPr>
        <w:t xml:space="preserve">in particular </w:t>
      </w:r>
      <w:r w:rsidR="00AC3566">
        <w:rPr>
          <w:rFonts w:asciiTheme="majorBidi" w:hAnsiTheme="majorBidi" w:cstheme="majorBidi"/>
          <w:sz w:val="24"/>
          <w:szCs w:val="24"/>
        </w:rPr>
        <w:t>are</w:t>
      </w:r>
      <w:proofErr w:type="gramEnd"/>
      <w:r w:rsidR="00AC3566">
        <w:rPr>
          <w:rFonts w:asciiTheme="majorBidi" w:hAnsiTheme="majorBidi" w:cstheme="majorBidi"/>
          <w:sz w:val="24"/>
          <w:szCs w:val="24"/>
        </w:rPr>
        <w:t xml:space="preserve"> under-represented in senior leadership and management teams. </w:t>
      </w:r>
      <w:r w:rsidR="0009666D">
        <w:rPr>
          <w:rFonts w:asciiTheme="majorBidi" w:hAnsiTheme="majorBidi" w:cstheme="majorBidi"/>
          <w:sz w:val="24"/>
          <w:szCs w:val="24"/>
        </w:rPr>
        <w:t>Increasing the level of diversity within HEIs’ senior management teams and governing boards will be a step in the right direction.</w:t>
      </w:r>
      <w:r w:rsidR="00F87354">
        <w:rPr>
          <w:rFonts w:asciiTheme="majorBidi" w:hAnsiTheme="majorBidi" w:cstheme="majorBidi"/>
          <w:sz w:val="24"/>
          <w:szCs w:val="24"/>
        </w:rPr>
        <w:t xml:space="preserve"> </w:t>
      </w:r>
      <w:r w:rsidR="00B30469">
        <w:rPr>
          <w:rFonts w:asciiTheme="majorBidi" w:hAnsiTheme="majorBidi" w:cstheme="majorBidi"/>
          <w:sz w:val="24"/>
          <w:szCs w:val="24"/>
        </w:rPr>
        <w:t xml:space="preserve">In addition, our </w:t>
      </w:r>
      <w:r w:rsidR="002044DB">
        <w:rPr>
          <w:rFonts w:asciiTheme="majorBidi" w:hAnsiTheme="majorBidi" w:cstheme="majorBidi"/>
          <w:sz w:val="24"/>
          <w:szCs w:val="24"/>
        </w:rPr>
        <w:t xml:space="preserve">moderating </w:t>
      </w:r>
      <w:r w:rsidR="00B30469">
        <w:rPr>
          <w:rFonts w:asciiTheme="majorBidi" w:hAnsiTheme="majorBidi" w:cstheme="majorBidi"/>
          <w:sz w:val="24"/>
          <w:szCs w:val="24"/>
        </w:rPr>
        <w:t xml:space="preserve">evidence </w:t>
      </w:r>
      <w:r w:rsidR="002044DB">
        <w:rPr>
          <w:rFonts w:asciiTheme="majorBidi" w:hAnsiTheme="majorBidi" w:cstheme="majorBidi"/>
          <w:sz w:val="24"/>
          <w:szCs w:val="24"/>
        </w:rPr>
        <w:t xml:space="preserve">indicates that young </w:t>
      </w:r>
      <w:r w:rsidR="007C2051">
        <w:rPr>
          <w:rFonts w:asciiTheme="majorBidi" w:hAnsiTheme="majorBidi" w:cstheme="majorBidi"/>
          <w:sz w:val="24"/>
          <w:szCs w:val="24"/>
        </w:rPr>
        <w:t>male</w:t>
      </w:r>
      <w:r w:rsidR="002044DB">
        <w:rPr>
          <w:rFonts w:asciiTheme="majorBidi" w:hAnsiTheme="majorBidi" w:cstheme="majorBidi"/>
          <w:sz w:val="24"/>
          <w:szCs w:val="24"/>
        </w:rPr>
        <w:t xml:space="preserve"> VCs</w:t>
      </w:r>
      <w:r w:rsidR="00BB6385">
        <w:rPr>
          <w:rFonts w:asciiTheme="majorBidi" w:hAnsiTheme="majorBidi" w:cstheme="majorBidi"/>
          <w:sz w:val="24"/>
          <w:szCs w:val="24"/>
        </w:rPr>
        <w:t xml:space="preserve">, who </w:t>
      </w:r>
      <w:r w:rsidR="005C6D0D">
        <w:rPr>
          <w:rFonts w:asciiTheme="majorBidi" w:hAnsiTheme="majorBidi" w:cstheme="majorBidi"/>
          <w:sz w:val="24"/>
          <w:szCs w:val="24"/>
        </w:rPr>
        <w:t xml:space="preserve">often replace older retiring VCs, </w:t>
      </w:r>
      <w:r w:rsidR="00BB6385">
        <w:rPr>
          <w:rFonts w:asciiTheme="majorBidi" w:hAnsiTheme="majorBidi" w:cstheme="majorBidi"/>
          <w:sz w:val="24"/>
          <w:szCs w:val="24"/>
        </w:rPr>
        <w:t xml:space="preserve">are likely to push the logic of marketisation even further, </w:t>
      </w:r>
      <w:r w:rsidR="005C6D0D">
        <w:rPr>
          <w:rFonts w:asciiTheme="majorBidi" w:hAnsiTheme="majorBidi" w:cstheme="majorBidi"/>
          <w:sz w:val="24"/>
          <w:szCs w:val="24"/>
        </w:rPr>
        <w:t xml:space="preserve">as they </w:t>
      </w:r>
      <w:r w:rsidR="00F915CE">
        <w:rPr>
          <w:rFonts w:asciiTheme="majorBidi" w:hAnsiTheme="majorBidi" w:cstheme="majorBidi"/>
          <w:sz w:val="24"/>
          <w:szCs w:val="24"/>
        </w:rPr>
        <w:t>are</w:t>
      </w:r>
      <w:r w:rsidR="005C6D0D">
        <w:rPr>
          <w:rFonts w:asciiTheme="majorBidi" w:hAnsiTheme="majorBidi" w:cstheme="majorBidi"/>
          <w:sz w:val="24"/>
          <w:szCs w:val="24"/>
        </w:rPr>
        <w:t xml:space="preserve"> usually</w:t>
      </w:r>
      <w:r w:rsidR="00F915CE">
        <w:rPr>
          <w:rFonts w:asciiTheme="majorBidi" w:hAnsiTheme="majorBidi" w:cstheme="majorBidi"/>
          <w:sz w:val="24"/>
          <w:szCs w:val="24"/>
        </w:rPr>
        <w:t xml:space="preserve"> more</w:t>
      </w:r>
      <w:r w:rsidR="002044DB">
        <w:rPr>
          <w:rFonts w:asciiTheme="majorBidi" w:hAnsiTheme="majorBidi" w:cstheme="majorBidi"/>
          <w:sz w:val="24"/>
          <w:szCs w:val="24"/>
        </w:rPr>
        <w:t xml:space="preserve"> concerned </w:t>
      </w:r>
      <w:r w:rsidR="00F915CE">
        <w:rPr>
          <w:rFonts w:asciiTheme="majorBidi" w:hAnsiTheme="majorBidi" w:cstheme="majorBidi"/>
          <w:sz w:val="24"/>
          <w:szCs w:val="24"/>
        </w:rPr>
        <w:t>with</w:t>
      </w:r>
      <w:r w:rsidR="002044DB">
        <w:rPr>
          <w:rFonts w:asciiTheme="majorBidi" w:hAnsiTheme="majorBidi" w:cstheme="majorBidi"/>
          <w:sz w:val="24"/>
          <w:szCs w:val="24"/>
        </w:rPr>
        <w:t xml:space="preserve"> meeting short-term performance targets </w:t>
      </w:r>
      <w:proofErr w:type="gramStart"/>
      <w:r w:rsidR="00B06B6C">
        <w:rPr>
          <w:rFonts w:asciiTheme="majorBidi" w:hAnsiTheme="majorBidi" w:cstheme="majorBidi"/>
          <w:sz w:val="24"/>
          <w:szCs w:val="24"/>
        </w:rPr>
        <w:t>in order to</w:t>
      </w:r>
      <w:proofErr w:type="gramEnd"/>
      <w:r w:rsidR="00B06B6C">
        <w:rPr>
          <w:rFonts w:asciiTheme="majorBidi" w:hAnsiTheme="majorBidi" w:cstheme="majorBidi"/>
          <w:sz w:val="24"/>
          <w:szCs w:val="24"/>
        </w:rPr>
        <w:t xml:space="preserve"> justify their pa</w:t>
      </w:r>
      <w:r w:rsidR="007C2051">
        <w:rPr>
          <w:rFonts w:asciiTheme="majorBidi" w:hAnsiTheme="majorBidi" w:cstheme="majorBidi"/>
          <w:sz w:val="24"/>
          <w:szCs w:val="24"/>
        </w:rPr>
        <w:t>y</w:t>
      </w:r>
      <w:r w:rsidR="00B06B6C">
        <w:rPr>
          <w:rFonts w:asciiTheme="majorBidi" w:hAnsiTheme="majorBidi" w:cstheme="majorBidi"/>
          <w:sz w:val="24"/>
          <w:szCs w:val="24"/>
        </w:rPr>
        <w:t xml:space="preserve">, as well as </w:t>
      </w:r>
      <w:r w:rsidR="00F915CE">
        <w:rPr>
          <w:rFonts w:asciiTheme="majorBidi" w:hAnsiTheme="majorBidi" w:cstheme="majorBidi"/>
          <w:sz w:val="24"/>
          <w:szCs w:val="24"/>
        </w:rPr>
        <w:t xml:space="preserve">to </w:t>
      </w:r>
      <w:r w:rsidR="00B06B6C">
        <w:rPr>
          <w:rFonts w:asciiTheme="majorBidi" w:hAnsiTheme="majorBidi" w:cstheme="majorBidi"/>
          <w:sz w:val="24"/>
          <w:szCs w:val="24"/>
        </w:rPr>
        <w:t>establish</w:t>
      </w:r>
      <w:r w:rsidR="00F915CE">
        <w:rPr>
          <w:rFonts w:asciiTheme="majorBidi" w:hAnsiTheme="majorBidi" w:cstheme="majorBidi"/>
          <w:sz w:val="24"/>
          <w:szCs w:val="24"/>
        </w:rPr>
        <w:t xml:space="preserve"> their own professional legitimacy</w:t>
      </w:r>
      <w:r w:rsidR="00B06B6C">
        <w:rPr>
          <w:rFonts w:asciiTheme="majorBidi" w:hAnsiTheme="majorBidi" w:cstheme="majorBidi"/>
          <w:sz w:val="24"/>
          <w:szCs w:val="24"/>
        </w:rPr>
        <w:t xml:space="preserve">. This finding implies </w:t>
      </w:r>
      <w:r w:rsidR="006F6229">
        <w:rPr>
          <w:rFonts w:asciiTheme="majorBidi" w:hAnsiTheme="majorBidi" w:cstheme="majorBidi"/>
          <w:sz w:val="24"/>
          <w:szCs w:val="24"/>
        </w:rPr>
        <w:t xml:space="preserve">that </w:t>
      </w:r>
      <w:r w:rsidR="00633005">
        <w:rPr>
          <w:rFonts w:asciiTheme="majorBidi" w:hAnsiTheme="majorBidi" w:cstheme="majorBidi"/>
          <w:sz w:val="24"/>
          <w:szCs w:val="24"/>
        </w:rPr>
        <w:t>appointing old</w:t>
      </w:r>
      <w:r w:rsidR="00EF657D">
        <w:rPr>
          <w:rFonts w:asciiTheme="majorBidi" w:hAnsiTheme="majorBidi" w:cstheme="majorBidi"/>
          <w:sz w:val="24"/>
          <w:szCs w:val="24"/>
        </w:rPr>
        <w:t>er</w:t>
      </w:r>
      <w:r w:rsidR="00633005">
        <w:rPr>
          <w:rFonts w:asciiTheme="majorBidi" w:hAnsiTheme="majorBidi" w:cstheme="majorBidi"/>
          <w:sz w:val="24"/>
          <w:szCs w:val="24"/>
        </w:rPr>
        <w:t xml:space="preserve"> female VCs can be helpful in ensuring that UK HEIs deliver high</w:t>
      </w:r>
      <w:r w:rsidR="00BB6385">
        <w:rPr>
          <w:rFonts w:asciiTheme="majorBidi" w:hAnsiTheme="majorBidi" w:cstheme="majorBidi"/>
          <w:sz w:val="24"/>
          <w:szCs w:val="24"/>
        </w:rPr>
        <w:t xml:space="preserve"> long-term</w:t>
      </w:r>
      <w:r w:rsidR="00633005">
        <w:rPr>
          <w:rFonts w:asciiTheme="majorBidi" w:hAnsiTheme="majorBidi" w:cstheme="majorBidi"/>
          <w:sz w:val="24"/>
          <w:szCs w:val="24"/>
        </w:rPr>
        <w:t xml:space="preserve"> </w:t>
      </w:r>
      <w:r w:rsidR="00EF657D">
        <w:rPr>
          <w:rFonts w:asciiTheme="majorBidi" w:hAnsiTheme="majorBidi" w:cstheme="majorBidi"/>
          <w:sz w:val="24"/>
          <w:szCs w:val="24"/>
        </w:rPr>
        <w:t xml:space="preserve">social </w:t>
      </w:r>
      <w:r w:rsidR="00633005">
        <w:rPr>
          <w:rFonts w:asciiTheme="majorBidi" w:hAnsiTheme="majorBidi" w:cstheme="majorBidi"/>
          <w:sz w:val="24"/>
          <w:szCs w:val="24"/>
        </w:rPr>
        <w:t>performance that match the pay of their VCs.</w:t>
      </w:r>
      <w:r w:rsidR="00BB6385">
        <w:rPr>
          <w:rFonts w:asciiTheme="majorBidi" w:hAnsiTheme="majorBidi" w:cstheme="majorBidi"/>
          <w:sz w:val="24"/>
          <w:szCs w:val="24"/>
        </w:rPr>
        <w:t xml:space="preserve"> Similarly, </w:t>
      </w:r>
      <w:r w:rsidR="00BB6385" w:rsidRPr="00BB6385">
        <w:rPr>
          <w:rFonts w:asciiTheme="majorBidi" w:hAnsiTheme="majorBidi" w:cstheme="majorBidi"/>
          <w:sz w:val="24"/>
          <w:szCs w:val="24"/>
        </w:rPr>
        <w:t xml:space="preserve">the </w:t>
      </w:r>
      <w:r w:rsidR="00BB6385">
        <w:rPr>
          <w:rFonts w:asciiTheme="majorBidi" w:hAnsiTheme="majorBidi" w:cstheme="majorBidi"/>
          <w:sz w:val="24"/>
          <w:szCs w:val="24"/>
        </w:rPr>
        <w:t>positive</w:t>
      </w:r>
      <w:r w:rsidR="00BB6385" w:rsidRPr="00BB6385">
        <w:rPr>
          <w:rFonts w:asciiTheme="majorBidi" w:hAnsiTheme="majorBidi" w:cstheme="majorBidi"/>
          <w:sz w:val="24"/>
          <w:szCs w:val="24"/>
        </w:rPr>
        <w:t xml:space="preserve"> moderating effect of VC tenure</w:t>
      </w:r>
      <w:r w:rsidR="00BB6385">
        <w:rPr>
          <w:rFonts w:asciiTheme="majorBidi" w:hAnsiTheme="majorBidi" w:cstheme="majorBidi"/>
          <w:sz w:val="24"/>
          <w:szCs w:val="24"/>
        </w:rPr>
        <w:t xml:space="preserve"> on the </w:t>
      </w:r>
      <w:r w:rsidR="00D05BBE">
        <w:rPr>
          <w:rFonts w:asciiTheme="majorBidi" w:hAnsiTheme="majorBidi" w:cstheme="majorBidi"/>
          <w:sz w:val="24"/>
          <w:szCs w:val="24"/>
        </w:rPr>
        <w:t>community contribution index</w:t>
      </w:r>
      <w:r w:rsidR="00D74BDF">
        <w:rPr>
          <w:rFonts w:asciiTheme="majorBidi" w:hAnsiTheme="majorBidi" w:cstheme="majorBidi"/>
          <w:sz w:val="24"/>
          <w:szCs w:val="24"/>
        </w:rPr>
        <w:t>–</w:t>
      </w:r>
      <w:r w:rsidR="00BB6385">
        <w:rPr>
          <w:rFonts w:asciiTheme="majorBidi" w:hAnsiTheme="majorBidi" w:cstheme="majorBidi"/>
          <w:sz w:val="24"/>
          <w:szCs w:val="24"/>
        </w:rPr>
        <w:t xml:space="preserve">pay relationship </w:t>
      </w:r>
      <w:r w:rsidR="00D05BBE" w:rsidRPr="00D05BBE">
        <w:rPr>
          <w:rFonts w:asciiTheme="majorBidi" w:hAnsiTheme="majorBidi" w:cstheme="majorBidi"/>
          <w:sz w:val="24"/>
          <w:szCs w:val="24"/>
        </w:rPr>
        <w:t>suggest</w:t>
      </w:r>
      <w:r w:rsidR="00D05BBE">
        <w:rPr>
          <w:rFonts w:asciiTheme="majorBidi" w:hAnsiTheme="majorBidi" w:cstheme="majorBidi"/>
          <w:sz w:val="24"/>
          <w:szCs w:val="24"/>
        </w:rPr>
        <w:t>s</w:t>
      </w:r>
      <w:r w:rsidR="00D05BBE" w:rsidRPr="00D05BBE">
        <w:rPr>
          <w:rFonts w:asciiTheme="majorBidi" w:hAnsiTheme="majorBidi" w:cstheme="majorBidi"/>
          <w:sz w:val="24"/>
          <w:szCs w:val="24"/>
        </w:rPr>
        <w:t xml:space="preserve"> that </w:t>
      </w:r>
      <w:r w:rsidR="001F0A7A">
        <w:rPr>
          <w:rFonts w:asciiTheme="majorBidi" w:hAnsiTheme="majorBidi" w:cstheme="majorBidi"/>
          <w:sz w:val="24"/>
          <w:szCs w:val="24"/>
        </w:rPr>
        <w:t>long-tenured VCs</w:t>
      </w:r>
      <w:r w:rsidR="00B8287A" w:rsidRPr="00B8287A">
        <w:rPr>
          <w:rFonts w:asciiTheme="majorBidi" w:hAnsiTheme="majorBidi" w:cstheme="majorBidi"/>
          <w:sz w:val="24"/>
          <w:szCs w:val="24"/>
        </w:rPr>
        <w:t xml:space="preserve"> </w:t>
      </w:r>
      <w:r w:rsidR="00B8287A">
        <w:rPr>
          <w:rFonts w:asciiTheme="majorBidi" w:hAnsiTheme="majorBidi" w:cstheme="majorBidi"/>
          <w:sz w:val="24"/>
          <w:szCs w:val="24"/>
        </w:rPr>
        <w:t xml:space="preserve">are more </w:t>
      </w:r>
      <w:r w:rsidR="00195CCC" w:rsidRPr="00195CCC">
        <w:rPr>
          <w:rFonts w:asciiTheme="majorBidi" w:hAnsiTheme="majorBidi" w:cstheme="majorBidi"/>
          <w:sz w:val="24"/>
          <w:szCs w:val="24"/>
        </w:rPr>
        <w:t>committed to meet and represent the expectations of stakeholders</w:t>
      </w:r>
      <w:r w:rsidR="00195CCC">
        <w:rPr>
          <w:rFonts w:asciiTheme="majorBidi" w:hAnsiTheme="majorBidi" w:cstheme="majorBidi"/>
          <w:sz w:val="24"/>
          <w:szCs w:val="24"/>
        </w:rPr>
        <w:t xml:space="preserve">, and hence they are likely to accept </w:t>
      </w:r>
      <w:r w:rsidR="00195CCC" w:rsidRPr="00195CCC">
        <w:rPr>
          <w:rFonts w:asciiTheme="majorBidi" w:hAnsiTheme="majorBidi" w:cstheme="majorBidi"/>
          <w:sz w:val="24"/>
          <w:szCs w:val="24"/>
        </w:rPr>
        <w:t>pay packages that are linked to their institutions’</w:t>
      </w:r>
      <w:r w:rsidR="00195CCC">
        <w:rPr>
          <w:rFonts w:asciiTheme="majorBidi" w:hAnsiTheme="majorBidi" w:cstheme="majorBidi"/>
          <w:sz w:val="24"/>
          <w:szCs w:val="24"/>
        </w:rPr>
        <w:t xml:space="preserve"> long-term</w:t>
      </w:r>
      <w:r w:rsidR="00195CCC" w:rsidRPr="00195CCC">
        <w:rPr>
          <w:rFonts w:asciiTheme="majorBidi" w:hAnsiTheme="majorBidi" w:cstheme="majorBidi"/>
          <w:sz w:val="24"/>
          <w:szCs w:val="24"/>
        </w:rPr>
        <w:t xml:space="preserve"> performance</w:t>
      </w:r>
      <w:r w:rsidR="00195CCC">
        <w:rPr>
          <w:rFonts w:asciiTheme="majorBidi" w:hAnsiTheme="majorBidi" w:cstheme="majorBidi"/>
          <w:sz w:val="24"/>
          <w:szCs w:val="24"/>
        </w:rPr>
        <w:t xml:space="preserve">. This finding can serve as a motivation for UK HEIs to retain long-tenured VCs, who often have </w:t>
      </w:r>
      <w:r w:rsidR="001F0A7A" w:rsidRPr="001F0A7A">
        <w:rPr>
          <w:rFonts w:asciiTheme="majorBidi" w:hAnsiTheme="majorBidi" w:cstheme="majorBidi"/>
          <w:sz w:val="24"/>
          <w:szCs w:val="24"/>
        </w:rPr>
        <w:t xml:space="preserve">greater </w:t>
      </w:r>
      <w:r w:rsidR="001F0A7A">
        <w:rPr>
          <w:rFonts w:asciiTheme="majorBidi" w:hAnsiTheme="majorBidi" w:cstheme="majorBidi"/>
          <w:sz w:val="24"/>
          <w:szCs w:val="24"/>
        </w:rPr>
        <w:t xml:space="preserve">skills, </w:t>
      </w:r>
      <w:r w:rsidR="001F0A7A" w:rsidRPr="001F0A7A">
        <w:rPr>
          <w:rFonts w:asciiTheme="majorBidi" w:hAnsiTheme="majorBidi" w:cstheme="majorBidi"/>
          <w:sz w:val="24"/>
          <w:szCs w:val="24"/>
        </w:rPr>
        <w:t>experience and knowledge</w:t>
      </w:r>
      <w:r w:rsidR="001F0A7A">
        <w:rPr>
          <w:rFonts w:asciiTheme="majorBidi" w:hAnsiTheme="majorBidi" w:cstheme="majorBidi"/>
          <w:sz w:val="24"/>
          <w:szCs w:val="24"/>
        </w:rPr>
        <w:t xml:space="preserve"> </w:t>
      </w:r>
      <w:r w:rsidR="00C0448B">
        <w:rPr>
          <w:rFonts w:asciiTheme="majorBidi" w:hAnsiTheme="majorBidi" w:cstheme="majorBidi"/>
          <w:sz w:val="24"/>
          <w:szCs w:val="24"/>
        </w:rPr>
        <w:t xml:space="preserve">that are necessary </w:t>
      </w:r>
      <w:r w:rsidR="00C0448B" w:rsidRPr="00C0448B">
        <w:rPr>
          <w:rFonts w:asciiTheme="majorBidi" w:hAnsiTheme="majorBidi" w:cstheme="majorBidi"/>
          <w:sz w:val="24"/>
          <w:szCs w:val="24"/>
        </w:rPr>
        <w:t xml:space="preserve">to deal with uncertainty, operational complexity and competition in </w:t>
      </w:r>
      <w:r w:rsidR="00C0448B">
        <w:rPr>
          <w:rFonts w:asciiTheme="majorBidi" w:hAnsiTheme="majorBidi" w:cstheme="majorBidi"/>
          <w:sz w:val="24"/>
          <w:szCs w:val="24"/>
        </w:rPr>
        <w:t>the HE</w:t>
      </w:r>
      <w:r w:rsidR="00C0448B" w:rsidRPr="00C0448B">
        <w:rPr>
          <w:rFonts w:asciiTheme="majorBidi" w:hAnsiTheme="majorBidi" w:cstheme="majorBidi"/>
          <w:sz w:val="24"/>
          <w:szCs w:val="24"/>
        </w:rPr>
        <w:t xml:space="preserve"> </w:t>
      </w:r>
      <w:proofErr w:type="gramStart"/>
      <w:r w:rsidR="00C0448B" w:rsidRPr="00C0448B">
        <w:rPr>
          <w:rFonts w:asciiTheme="majorBidi" w:hAnsiTheme="majorBidi" w:cstheme="majorBidi"/>
          <w:sz w:val="24"/>
          <w:szCs w:val="24"/>
        </w:rPr>
        <w:t>sector</w:t>
      </w:r>
      <w:proofErr w:type="gramEnd"/>
      <w:r w:rsidR="009C53EA">
        <w:rPr>
          <w:rFonts w:asciiTheme="majorBidi" w:hAnsiTheme="majorBidi" w:cstheme="majorBidi"/>
          <w:sz w:val="24"/>
          <w:szCs w:val="24"/>
        </w:rPr>
        <w:t xml:space="preserve">. </w:t>
      </w:r>
      <w:r w:rsidR="00B83513">
        <w:rPr>
          <w:rFonts w:asciiTheme="majorBidi" w:hAnsiTheme="majorBidi" w:cstheme="majorBidi"/>
          <w:sz w:val="24"/>
          <w:szCs w:val="24"/>
        </w:rPr>
        <w:t xml:space="preserve">Our findings </w:t>
      </w:r>
      <w:r w:rsidR="004A5988">
        <w:rPr>
          <w:rFonts w:asciiTheme="majorBidi" w:hAnsiTheme="majorBidi" w:cstheme="majorBidi"/>
          <w:sz w:val="24"/>
          <w:szCs w:val="24"/>
        </w:rPr>
        <w:t xml:space="preserve">also </w:t>
      </w:r>
      <w:r w:rsidR="00B83513">
        <w:rPr>
          <w:rFonts w:asciiTheme="majorBidi" w:hAnsiTheme="majorBidi" w:cstheme="majorBidi"/>
          <w:sz w:val="24"/>
          <w:szCs w:val="24"/>
        </w:rPr>
        <w:t>have important im</w:t>
      </w:r>
      <w:r w:rsidR="000F5B71">
        <w:rPr>
          <w:rFonts w:asciiTheme="majorBidi" w:hAnsiTheme="majorBidi" w:cstheme="majorBidi"/>
          <w:sz w:val="24"/>
          <w:szCs w:val="24"/>
        </w:rPr>
        <w:t xml:space="preserve">plication </w:t>
      </w:r>
      <w:r w:rsidR="004A5988">
        <w:rPr>
          <w:rFonts w:asciiTheme="majorBidi" w:hAnsiTheme="majorBidi" w:cstheme="majorBidi"/>
          <w:sz w:val="24"/>
          <w:szCs w:val="24"/>
        </w:rPr>
        <w:t>f</w:t>
      </w:r>
      <w:r w:rsidR="000F5B71">
        <w:rPr>
          <w:rFonts w:asciiTheme="majorBidi" w:hAnsiTheme="majorBidi" w:cstheme="majorBidi"/>
          <w:sz w:val="24"/>
          <w:szCs w:val="24"/>
        </w:rPr>
        <w:t>o</w:t>
      </w:r>
      <w:r w:rsidR="004A5988">
        <w:rPr>
          <w:rFonts w:asciiTheme="majorBidi" w:hAnsiTheme="majorBidi" w:cstheme="majorBidi"/>
          <w:sz w:val="24"/>
          <w:szCs w:val="24"/>
        </w:rPr>
        <w:t>r</w:t>
      </w:r>
      <w:r w:rsidR="000F5B71">
        <w:rPr>
          <w:rFonts w:asciiTheme="majorBidi" w:hAnsiTheme="majorBidi" w:cstheme="majorBidi"/>
          <w:sz w:val="24"/>
          <w:szCs w:val="24"/>
        </w:rPr>
        <w:t xml:space="preserve"> researchers, since we offer early evidence relating to the impact of HEIs </w:t>
      </w:r>
      <w:r w:rsidR="0049614A">
        <w:rPr>
          <w:rFonts w:asciiTheme="majorBidi" w:hAnsiTheme="majorBidi" w:cstheme="majorBidi"/>
          <w:sz w:val="24"/>
          <w:szCs w:val="24"/>
        </w:rPr>
        <w:t>long- and short-term</w:t>
      </w:r>
      <w:r w:rsidR="000F5B71">
        <w:rPr>
          <w:rFonts w:asciiTheme="majorBidi" w:hAnsiTheme="majorBidi" w:cstheme="majorBidi"/>
          <w:sz w:val="24"/>
          <w:szCs w:val="24"/>
        </w:rPr>
        <w:t xml:space="preserve"> </w:t>
      </w:r>
      <w:r w:rsidR="00D74BDF">
        <w:rPr>
          <w:rFonts w:asciiTheme="majorBidi" w:hAnsiTheme="majorBidi" w:cstheme="majorBidi"/>
          <w:sz w:val="24"/>
          <w:szCs w:val="24"/>
        </w:rPr>
        <w:t>financial/</w:t>
      </w:r>
      <w:r w:rsidR="000F5B71">
        <w:rPr>
          <w:rFonts w:asciiTheme="majorBidi" w:hAnsiTheme="majorBidi" w:cstheme="majorBidi"/>
          <w:sz w:val="24"/>
          <w:szCs w:val="24"/>
        </w:rPr>
        <w:t xml:space="preserve">non-financial performance proxies on VC basic, non-basic and total pay. Our study </w:t>
      </w:r>
      <w:r w:rsidR="00C3210C">
        <w:rPr>
          <w:rFonts w:asciiTheme="majorBidi" w:hAnsiTheme="majorBidi" w:cstheme="majorBidi"/>
          <w:sz w:val="24"/>
          <w:szCs w:val="24"/>
        </w:rPr>
        <w:t>further</w:t>
      </w:r>
      <w:r w:rsidR="000F5B71">
        <w:rPr>
          <w:rFonts w:asciiTheme="majorBidi" w:hAnsiTheme="majorBidi" w:cstheme="majorBidi"/>
          <w:sz w:val="24"/>
          <w:szCs w:val="24"/>
        </w:rPr>
        <w:t xml:space="preserve"> provide</w:t>
      </w:r>
      <w:r w:rsidR="00CC4D52">
        <w:rPr>
          <w:rFonts w:asciiTheme="majorBidi" w:hAnsiTheme="majorBidi" w:cstheme="majorBidi"/>
          <w:sz w:val="24"/>
          <w:szCs w:val="24"/>
        </w:rPr>
        <w:t>s</w:t>
      </w:r>
      <w:r w:rsidR="000F5B71">
        <w:rPr>
          <w:rFonts w:asciiTheme="majorBidi" w:hAnsiTheme="majorBidi" w:cstheme="majorBidi"/>
          <w:sz w:val="24"/>
          <w:szCs w:val="24"/>
        </w:rPr>
        <w:t xml:space="preserve"> early evidence regarding the moderatin</w:t>
      </w:r>
      <w:r w:rsidR="004A5988">
        <w:rPr>
          <w:rFonts w:asciiTheme="majorBidi" w:hAnsiTheme="majorBidi" w:cstheme="majorBidi"/>
          <w:sz w:val="24"/>
          <w:szCs w:val="24"/>
        </w:rPr>
        <w:t>g</w:t>
      </w:r>
      <w:r w:rsidR="000F5B71">
        <w:rPr>
          <w:rFonts w:asciiTheme="majorBidi" w:hAnsiTheme="majorBidi" w:cstheme="majorBidi"/>
          <w:sz w:val="24"/>
          <w:szCs w:val="24"/>
        </w:rPr>
        <w:t xml:space="preserve"> effect of VC characteristics on the p</w:t>
      </w:r>
      <w:r w:rsidR="009773F0">
        <w:rPr>
          <w:rFonts w:asciiTheme="majorBidi" w:hAnsiTheme="majorBidi" w:cstheme="majorBidi"/>
          <w:sz w:val="24"/>
          <w:szCs w:val="24"/>
        </w:rPr>
        <w:t>ay</w:t>
      </w:r>
      <w:r w:rsidR="007317AA">
        <w:rPr>
          <w:rFonts w:asciiTheme="majorBidi" w:hAnsiTheme="majorBidi" w:cstheme="majorBidi"/>
          <w:sz w:val="24"/>
          <w:szCs w:val="24"/>
        </w:rPr>
        <w:t>–</w:t>
      </w:r>
      <w:r w:rsidR="000F5B71">
        <w:rPr>
          <w:rFonts w:asciiTheme="majorBidi" w:hAnsiTheme="majorBidi" w:cstheme="majorBidi"/>
          <w:sz w:val="24"/>
          <w:szCs w:val="24"/>
        </w:rPr>
        <w:t>p</w:t>
      </w:r>
      <w:r w:rsidR="009773F0">
        <w:rPr>
          <w:rFonts w:asciiTheme="majorBidi" w:hAnsiTheme="majorBidi" w:cstheme="majorBidi"/>
          <w:sz w:val="24"/>
          <w:szCs w:val="24"/>
        </w:rPr>
        <w:t>erformance</w:t>
      </w:r>
      <w:r w:rsidR="000F5B71">
        <w:rPr>
          <w:rFonts w:asciiTheme="majorBidi" w:hAnsiTheme="majorBidi" w:cstheme="majorBidi"/>
          <w:sz w:val="24"/>
          <w:szCs w:val="24"/>
        </w:rPr>
        <w:t xml:space="preserve"> nexus. Therefore, future studies </w:t>
      </w:r>
      <w:r w:rsidR="009773F0">
        <w:rPr>
          <w:rFonts w:asciiTheme="majorBidi" w:hAnsiTheme="majorBidi" w:cstheme="majorBidi"/>
          <w:sz w:val="24"/>
          <w:szCs w:val="24"/>
        </w:rPr>
        <w:t>ma</w:t>
      </w:r>
      <w:r w:rsidR="000F5B71">
        <w:rPr>
          <w:rFonts w:asciiTheme="majorBidi" w:hAnsiTheme="majorBidi" w:cstheme="majorBidi"/>
          <w:sz w:val="24"/>
          <w:szCs w:val="24"/>
        </w:rPr>
        <w:t>y</w:t>
      </w:r>
      <w:r w:rsidR="009773F0">
        <w:rPr>
          <w:rFonts w:asciiTheme="majorBidi" w:hAnsiTheme="majorBidi" w:cstheme="majorBidi"/>
          <w:sz w:val="24"/>
          <w:szCs w:val="24"/>
        </w:rPr>
        <w:t xml:space="preserve"> offer new insights by drawing</w:t>
      </w:r>
      <w:r w:rsidR="000F5B71">
        <w:rPr>
          <w:rFonts w:asciiTheme="majorBidi" w:hAnsiTheme="majorBidi" w:cstheme="majorBidi"/>
          <w:sz w:val="24"/>
          <w:szCs w:val="24"/>
        </w:rPr>
        <w:t xml:space="preserve"> on our </w:t>
      </w:r>
      <w:r w:rsidR="009773F0">
        <w:rPr>
          <w:rFonts w:asciiTheme="majorBidi" w:hAnsiTheme="majorBidi" w:cstheme="majorBidi"/>
          <w:sz w:val="24"/>
          <w:szCs w:val="24"/>
        </w:rPr>
        <w:t>current research in conducting their VC pay–performance research</w:t>
      </w:r>
      <w:r w:rsidR="000F5B71">
        <w:rPr>
          <w:rFonts w:asciiTheme="majorBidi" w:hAnsiTheme="majorBidi" w:cstheme="majorBidi"/>
          <w:sz w:val="24"/>
          <w:szCs w:val="24"/>
        </w:rPr>
        <w:t>.</w:t>
      </w:r>
    </w:p>
    <w:p w14:paraId="78EAB992" w14:textId="768A0A81" w:rsidR="008B6330" w:rsidRPr="00B12F7D" w:rsidRDefault="008B6330" w:rsidP="008B6330">
      <w:pPr>
        <w:spacing w:after="0" w:line="480" w:lineRule="auto"/>
        <w:ind w:firstLine="720"/>
        <w:jc w:val="both"/>
        <w:rPr>
          <w:rFonts w:asciiTheme="majorBidi" w:hAnsiTheme="majorBidi" w:cstheme="majorBidi"/>
          <w:sz w:val="24"/>
          <w:szCs w:val="24"/>
        </w:rPr>
      </w:pPr>
      <w:r w:rsidRPr="00AE4598">
        <w:rPr>
          <w:rFonts w:asciiTheme="majorBidi" w:hAnsiTheme="majorBidi" w:cstheme="majorBidi"/>
          <w:sz w:val="24"/>
          <w:szCs w:val="24"/>
        </w:rPr>
        <w:lastRenderedPageBreak/>
        <w:t>Our findings have implications</w:t>
      </w:r>
      <w:r w:rsidR="009879E8">
        <w:rPr>
          <w:rFonts w:asciiTheme="majorBidi" w:hAnsiTheme="majorBidi" w:cstheme="majorBidi"/>
          <w:sz w:val="24"/>
          <w:szCs w:val="24"/>
        </w:rPr>
        <w:t xml:space="preserve"> also</w:t>
      </w:r>
      <w:r w:rsidRPr="00AE4598">
        <w:rPr>
          <w:rFonts w:asciiTheme="majorBidi" w:hAnsiTheme="majorBidi" w:cstheme="majorBidi"/>
          <w:sz w:val="24"/>
          <w:szCs w:val="24"/>
        </w:rPr>
        <w:t xml:space="preserve"> for</w:t>
      </w:r>
      <w:r w:rsidR="003B5033">
        <w:rPr>
          <w:rFonts w:asciiTheme="majorBidi" w:hAnsiTheme="majorBidi" w:cstheme="majorBidi"/>
          <w:sz w:val="24"/>
          <w:szCs w:val="24"/>
        </w:rPr>
        <w:t>,</w:t>
      </w:r>
      <w:r w:rsidRPr="00AE4598">
        <w:rPr>
          <w:rFonts w:asciiTheme="majorBidi" w:hAnsiTheme="majorBidi" w:cstheme="majorBidi"/>
          <w:sz w:val="24"/>
          <w:szCs w:val="24"/>
        </w:rPr>
        <w:t xml:space="preserve"> and/or contribute to</w:t>
      </w:r>
      <w:r w:rsidR="003B5033">
        <w:rPr>
          <w:rFonts w:asciiTheme="majorBidi" w:hAnsiTheme="majorBidi" w:cstheme="majorBidi"/>
          <w:sz w:val="24"/>
          <w:szCs w:val="24"/>
        </w:rPr>
        <w:t>,</w:t>
      </w:r>
      <w:r w:rsidRPr="00AE4598">
        <w:rPr>
          <w:rFonts w:asciiTheme="majorBidi" w:hAnsiTheme="majorBidi" w:cstheme="majorBidi"/>
          <w:sz w:val="24"/>
          <w:szCs w:val="24"/>
        </w:rPr>
        <w:t xml:space="preserve"> the broader national</w:t>
      </w:r>
      <w:r w:rsidR="00650F1B">
        <w:rPr>
          <w:rFonts w:asciiTheme="majorBidi" w:hAnsiTheme="majorBidi" w:cstheme="majorBidi"/>
          <w:sz w:val="24"/>
          <w:szCs w:val="24"/>
        </w:rPr>
        <w:t>/</w:t>
      </w:r>
      <w:r w:rsidRPr="00AE4598">
        <w:rPr>
          <w:rFonts w:asciiTheme="majorBidi" w:hAnsiTheme="majorBidi" w:cstheme="majorBidi"/>
          <w:sz w:val="24"/>
          <w:szCs w:val="24"/>
        </w:rPr>
        <w:t xml:space="preserve">international </w:t>
      </w:r>
      <w:r w:rsidR="00E161B9">
        <w:rPr>
          <w:rFonts w:asciiTheme="majorBidi" w:hAnsiTheme="majorBidi" w:cstheme="majorBidi"/>
          <w:sz w:val="24"/>
          <w:szCs w:val="24"/>
        </w:rPr>
        <w:t xml:space="preserve">public/policy </w:t>
      </w:r>
      <w:r w:rsidRPr="00AE4598">
        <w:rPr>
          <w:rFonts w:asciiTheme="majorBidi" w:hAnsiTheme="majorBidi" w:cstheme="majorBidi"/>
          <w:sz w:val="24"/>
          <w:szCs w:val="24"/>
        </w:rPr>
        <w:t xml:space="preserve">debates regarding the </w:t>
      </w:r>
      <w:proofErr w:type="spellStart"/>
      <w:r w:rsidRPr="00AE4598">
        <w:rPr>
          <w:rFonts w:asciiTheme="majorBidi" w:hAnsiTheme="majorBidi" w:cstheme="majorBidi"/>
          <w:sz w:val="24"/>
          <w:szCs w:val="24"/>
        </w:rPr>
        <w:t>financi</w:t>
      </w:r>
      <w:r w:rsidR="003722B7">
        <w:rPr>
          <w:rFonts w:asciiTheme="majorBidi" w:hAnsiTheme="majorBidi" w:cstheme="majorBidi"/>
          <w:sz w:val="24"/>
          <w:szCs w:val="24"/>
        </w:rPr>
        <w:t>a</w:t>
      </w:r>
      <w:r w:rsidRPr="00AE4598">
        <w:rPr>
          <w:rFonts w:asciiTheme="majorBidi" w:hAnsiTheme="majorBidi" w:cstheme="majorBidi"/>
          <w:sz w:val="24"/>
          <w:szCs w:val="24"/>
        </w:rPr>
        <w:t>lisation</w:t>
      </w:r>
      <w:proofErr w:type="spellEnd"/>
      <w:r w:rsidRPr="00AE4598">
        <w:rPr>
          <w:rFonts w:asciiTheme="majorBidi" w:hAnsiTheme="majorBidi" w:cstheme="majorBidi"/>
          <w:sz w:val="24"/>
          <w:szCs w:val="24"/>
        </w:rPr>
        <w:t xml:space="preserve">/marketisation reforms that have been pursued in the HE </w:t>
      </w:r>
      <w:proofErr w:type="gramStart"/>
      <w:r w:rsidRPr="00AE4598">
        <w:rPr>
          <w:rFonts w:asciiTheme="majorBidi" w:hAnsiTheme="majorBidi" w:cstheme="majorBidi"/>
          <w:sz w:val="24"/>
          <w:szCs w:val="24"/>
        </w:rPr>
        <w:t>sector</w:t>
      </w:r>
      <w:proofErr w:type="gramEnd"/>
      <w:r w:rsidRPr="00AE4598">
        <w:rPr>
          <w:rFonts w:asciiTheme="majorBidi" w:hAnsiTheme="majorBidi" w:cstheme="majorBidi"/>
          <w:sz w:val="24"/>
          <w:szCs w:val="24"/>
        </w:rPr>
        <w:t xml:space="preserve"> over the </w:t>
      </w:r>
      <w:r>
        <w:rPr>
          <w:rFonts w:asciiTheme="majorBidi" w:hAnsiTheme="majorBidi" w:cstheme="majorBidi"/>
          <w:sz w:val="24"/>
          <w:szCs w:val="24"/>
        </w:rPr>
        <w:t xml:space="preserve">past decades, especially in fostering dysfunctional senior leadership </w:t>
      </w:r>
      <w:proofErr w:type="spellStart"/>
      <w:r>
        <w:rPr>
          <w:rFonts w:asciiTheme="majorBidi" w:hAnsiTheme="majorBidi" w:cstheme="majorBidi"/>
          <w:sz w:val="24"/>
          <w:szCs w:val="24"/>
        </w:rPr>
        <w:t>bahviour</w:t>
      </w:r>
      <w:proofErr w:type="spellEnd"/>
      <w:r>
        <w:rPr>
          <w:rFonts w:asciiTheme="majorBidi" w:hAnsiTheme="majorBidi" w:cstheme="majorBidi"/>
          <w:sz w:val="24"/>
          <w:szCs w:val="24"/>
        </w:rPr>
        <w:t xml:space="preserve"> and strategies. </w:t>
      </w:r>
      <w:r w:rsidRPr="00AE4598">
        <w:rPr>
          <w:rFonts w:asciiTheme="majorBidi" w:hAnsiTheme="majorBidi" w:cstheme="majorBidi"/>
          <w:sz w:val="24"/>
          <w:szCs w:val="24"/>
        </w:rPr>
        <w:t xml:space="preserve">Specifically, our study provides evidence that </w:t>
      </w:r>
      <w:r>
        <w:rPr>
          <w:rFonts w:asciiTheme="majorBidi" w:hAnsiTheme="majorBidi" w:cstheme="majorBidi"/>
          <w:sz w:val="24"/>
          <w:szCs w:val="24"/>
        </w:rPr>
        <w:t xml:space="preserve">suggests </w:t>
      </w:r>
      <w:r w:rsidRPr="00AE4598">
        <w:rPr>
          <w:rFonts w:asciiTheme="majorBidi" w:hAnsiTheme="majorBidi" w:cstheme="majorBidi"/>
          <w:sz w:val="24"/>
          <w:szCs w:val="24"/>
        </w:rPr>
        <w:t>th</w:t>
      </w:r>
      <w:r>
        <w:rPr>
          <w:rFonts w:asciiTheme="majorBidi" w:hAnsiTheme="majorBidi" w:cstheme="majorBidi"/>
          <w:sz w:val="24"/>
          <w:szCs w:val="24"/>
        </w:rPr>
        <w:t>at increasing</w:t>
      </w:r>
      <w:r w:rsidRPr="00AE4598">
        <w:rPr>
          <w:rFonts w:asciiTheme="majorBidi" w:hAnsiTheme="majorBidi" w:cstheme="majorBidi"/>
          <w:sz w:val="24"/>
          <w:szCs w:val="24"/>
        </w:rPr>
        <w:t xml:space="preserve"> </w:t>
      </w:r>
      <w:proofErr w:type="spellStart"/>
      <w:r w:rsidRPr="00AE4598">
        <w:rPr>
          <w:rFonts w:asciiTheme="majorBidi" w:hAnsiTheme="majorBidi" w:cstheme="majorBidi"/>
          <w:sz w:val="24"/>
          <w:szCs w:val="24"/>
        </w:rPr>
        <w:t>financi</w:t>
      </w:r>
      <w:r w:rsidR="00D01439">
        <w:rPr>
          <w:rFonts w:asciiTheme="majorBidi" w:hAnsiTheme="majorBidi" w:cstheme="majorBidi"/>
          <w:sz w:val="24"/>
          <w:szCs w:val="24"/>
        </w:rPr>
        <w:t>a</w:t>
      </w:r>
      <w:r w:rsidRPr="00AE4598">
        <w:rPr>
          <w:rFonts w:asciiTheme="majorBidi" w:hAnsiTheme="majorBidi" w:cstheme="majorBidi"/>
          <w:sz w:val="24"/>
          <w:szCs w:val="24"/>
        </w:rPr>
        <w:t>lisation</w:t>
      </w:r>
      <w:proofErr w:type="spellEnd"/>
      <w:r w:rsidRPr="00AE4598">
        <w:rPr>
          <w:rFonts w:asciiTheme="majorBidi" w:hAnsiTheme="majorBidi" w:cstheme="majorBidi"/>
          <w:sz w:val="24"/>
          <w:szCs w:val="24"/>
        </w:rPr>
        <w:t>/marketisation of UK HE sector</w:t>
      </w:r>
      <w:r>
        <w:rPr>
          <w:rFonts w:asciiTheme="majorBidi" w:hAnsiTheme="majorBidi" w:cstheme="majorBidi"/>
          <w:sz w:val="24"/>
          <w:szCs w:val="24"/>
        </w:rPr>
        <w:t xml:space="preserve"> has shifted HEIs from focusing and delivering on their original civic mandate of facilitating long-term social progression and transformation towards setting and achieving short-term financial surplus and reputation</w:t>
      </w:r>
      <w:r w:rsidR="007A4A8D">
        <w:rPr>
          <w:rFonts w:asciiTheme="majorBidi" w:hAnsiTheme="majorBidi" w:cstheme="majorBidi"/>
          <w:sz w:val="24"/>
          <w:szCs w:val="24"/>
        </w:rPr>
        <w:t>al-oriented</w:t>
      </w:r>
      <w:r>
        <w:rPr>
          <w:rFonts w:asciiTheme="majorBidi" w:hAnsiTheme="majorBidi" w:cstheme="majorBidi"/>
          <w:sz w:val="24"/>
          <w:szCs w:val="24"/>
        </w:rPr>
        <w:t xml:space="preserve"> targets. For example,</w:t>
      </w:r>
      <w:r w:rsidRPr="00AE4598">
        <w:rPr>
          <w:rFonts w:asciiTheme="majorBidi" w:hAnsiTheme="majorBidi" w:cstheme="majorBidi"/>
          <w:sz w:val="24"/>
          <w:szCs w:val="24"/>
        </w:rPr>
        <w:t xml:space="preserve"> </w:t>
      </w:r>
      <w:r>
        <w:rPr>
          <w:rFonts w:asciiTheme="majorBidi" w:hAnsiTheme="majorBidi" w:cstheme="majorBidi"/>
          <w:sz w:val="24"/>
          <w:szCs w:val="24"/>
        </w:rPr>
        <w:t xml:space="preserve">our findings indicate that </w:t>
      </w:r>
      <w:proofErr w:type="spellStart"/>
      <w:r>
        <w:rPr>
          <w:rFonts w:asciiTheme="majorBidi" w:hAnsiTheme="majorBidi" w:cstheme="majorBidi"/>
          <w:sz w:val="24"/>
          <w:szCs w:val="24"/>
        </w:rPr>
        <w:t>financialisation</w:t>
      </w:r>
      <w:proofErr w:type="spellEnd"/>
      <w:r>
        <w:rPr>
          <w:rFonts w:asciiTheme="majorBidi" w:hAnsiTheme="majorBidi" w:cstheme="majorBidi"/>
          <w:sz w:val="24"/>
          <w:szCs w:val="24"/>
        </w:rPr>
        <w:t xml:space="preserve"> policies </w:t>
      </w:r>
      <w:r w:rsidRPr="00AE4598">
        <w:rPr>
          <w:rFonts w:asciiTheme="majorBidi" w:hAnsiTheme="majorBidi" w:cstheme="majorBidi"/>
          <w:sz w:val="24"/>
          <w:szCs w:val="24"/>
        </w:rPr>
        <w:t xml:space="preserve">may have encouraged the adoption of metric-driven approaches (teaching/research rankings) to assess the performance of HEIs, and this in turn, appear to have encouraged VCs to behave as value-maximising agents, like CEOs of corporations, by motivating them to focus more on the short-term performance oriented-metrics </w:t>
      </w:r>
      <w:proofErr w:type="gramStart"/>
      <w:r w:rsidRPr="00AE4598">
        <w:rPr>
          <w:rFonts w:asciiTheme="majorBidi" w:hAnsiTheme="majorBidi" w:cstheme="majorBidi"/>
          <w:sz w:val="24"/>
          <w:szCs w:val="24"/>
        </w:rPr>
        <w:t>in order to</w:t>
      </w:r>
      <w:proofErr w:type="gramEnd"/>
      <w:r w:rsidRPr="00AE4598">
        <w:rPr>
          <w:rFonts w:asciiTheme="majorBidi" w:hAnsiTheme="majorBidi" w:cstheme="majorBidi"/>
          <w:sz w:val="24"/>
          <w:szCs w:val="24"/>
        </w:rPr>
        <w:t xml:space="preserve"> justify their</w:t>
      </w:r>
      <w:r w:rsidR="005D75E5">
        <w:rPr>
          <w:rFonts w:asciiTheme="majorBidi" w:hAnsiTheme="majorBidi" w:cstheme="majorBidi"/>
          <w:sz w:val="24"/>
          <w:szCs w:val="24"/>
        </w:rPr>
        <w:t xml:space="preserve"> usually relatively</w:t>
      </w:r>
      <w:r w:rsidRPr="00AE4598">
        <w:rPr>
          <w:rFonts w:asciiTheme="majorBidi" w:hAnsiTheme="majorBidi" w:cstheme="majorBidi"/>
          <w:sz w:val="24"/>
          <w:szCs w:val="24"/>
        </w:rPr>
        <w:t xml:space="preserve"> high pay. </w:t>
      </w:r>
      <w:r>
        <w:rPr>
          <w:rFonts w:asciiTheme="majorBidi" w:hAnsiTheme="majorBidi" w:cstheme="majorBidi"/>
          <w:sz w:val="24"/>
          <w:szCs w:val="24"/>
        </w:rPr>
        <w:t>Similarly</w:t>
      </w:r>
      <w:r w:rsidRPr="00AE4598">
        <w:rPr>
          <w:rFonts w:asciiTheme="majorBidi" w:hAnsiTheme="majorBidi" w:cstheme="majorBidi"/>
          <w:sz w:val="24"/>
          <w:szCs w:val="24"/>
        </w:rPr>
        <w:t>, the short-term focus of VCs as motivated by pay means that HEIs are not committ</w:t>
      </w:r>
      <w:r w:rsidR="005D75E5">
        <w:rPr>
          <w:rFonts w:asciiTheme="majorBidi" w:hAnsiTheme="majorBidi" w:cstheme="majorBidi"/>
          <w:sz w:val="24"/>
          <w:szCs w:val="24"/>
        </w:rPr>
        <w:t>ing</w:t>
      </w:r>
      <w:r w:rsidRPr="00AE4598">
        <w:rPr>
          <w:rFonts w:asciiTheme="majorBidi" w:hAnsiTheme="majorBidi" w:cstheme="majorBidi"/>
          <w:sz w:val="24"/>
          <w:szCs w:val="24"/>
        </w:rPr>
        <w:t xml:space="preserve"> to long-term investment</w:t>
      </w:r>
      <w:r w:rsidR="005D75E5">
        <w:rPr>
          <w:rFonts w:asciiTheme="majorBidi" w:hAnsiTheme="majorBidi" w:cstheme="majorBidi"/>
          <w:sz w:val="24"/>
          <w:szCs w:val="24"/>
        </w:rPr>
        <w:t>s</w:t>
      </w:r>
      <w:r w:rsidRPr="00AE4598">
        <w:rPr>
          <w:rFonts w:asciiTheme="majorBidi" w:hAnsiTheme="majorBidi" w:cstheme="majorBidi"/>
          <w:sz w:val="24"/>
          <w:szCs w:val="24"/>
        </w:rPr>
        <w:t>, which may have negative consequences for individual HEIs and the sector</w:t>
      </w:r>
      <w:r w:rsidR="005D75E5">
        <w:rPr>
          <w:rFonts w:asciiTheme="majorBidi" w:hAnsiTheme="majorBidi" w:cstheme="majorBidi"/>
          <w:sz w:val="24"/>
          <w:szCs w:val="24"/>
        </w:rPr>
        <w:t xml:space="preserve">. These negative consequences </w:t>
      </w:r>
      <w:r w:rsidRPr="00AE4598">
        <w:rPr>
          <w:rFonts w:asciiTheme="majorBidi" w:hAnsiTheme="majorBidi" w:cstheme="majorBidi"/>
          <w:sz w:val="24"/>
          <w:szCs w:val="24"/>
        </w:rPr>
        <w:t>includ</w:t>
      </w:r>
      <w:r w:rsidR="005D75E5">
        <w:rPr>
          <w:rFonts w:asciiTheme="majorBidi" w:hAnsiTheme="majorBidi" w:cstheme="majorBidi"/>
          <w:sz w:val="24"/>
          <w:szCs w:val="24"/>
        </w:rPr>
        <w:t>e</w:t>
      </w:r>
      <w:r w:rsidRPr="00AE4598">
        <w:rPr>
          <w:rFonts w:asciiTheme="majorBidi" w:hAnsiTheme="majorBidi" w:cstheme="majorBidi"/>
          <w:sz w:val="24"/>
          <w:szCs w:val="24"/>
        </w:rPr>
        <w:t xml:space="preserve"> increas</w:t>
      </w:r>
      <w:r w:rsidR="0035750E">
        <w:rPr>
          <w:rFonts w:asciiTheme="majorBidi" w:hAnsiTheme="majorBidi" w:cstheme="majorBidi"/>
          <w:sz w:val="24"/>
          <w:szCs w:val="24"/>
        </w:rPr>
        <w:t>es in</w:t>
      </w:r>
      <w:r w:rsidR="00F3465F">
        <w:rPr>
          <w:rFonts w:asciiTheme="majorBidi" w:hAnsiTheme="majorBidi" w:cstheme="majorBidi"/>
          <w:sz w:val="24"/>
          <w:szCs w:val="24"/>
        </w:rPr>
        <w:t xml:space="preserve"> </w:t>
      </w:r>
      <w:r w:rsidRPr="00AE4598">
        <w:rPr>
          <w:rFonts w:asciiTheme="majorBidi" w:hAnsiTheme="majorBidi" w:cstheme="majorBidi"/>
          <w:sz w:val="24"/>
          <w:szCs w:val="24"/>
        </w:rPr>
        <w:t>tuition fees, borrowing and interest payment for students</w:t>
      </w:r>
      <w:r w:rsidR="00F3465F">
        <w:rPr>
          <w:rFonts w:asciiTheme="majorBidi" w:hAnsiTheme="majorBidi" w:cstheme="majorBidi"/>
          <w:sz w:val="24"/>
          <w:szCs w:val="24"/>
        </w:rPr>
        <w:t>,</w:t>
      </w:r>
      <w:r w:rsidR="0035750E">
        <w:rPr>
          <w:rFonts w:asciiTheme="majorBidi" w:hAnsiTheme="majorBidi" w:cstheme="majorBidi"/>
          <w:sz w:val="24"/>
          <w:szCs w:val="24"/>
        </w:rPr>
        <w:t xml:space="preserve"> fi</w:t>
      </w:r>
      <w:r w:rsidRPr="00AE4598">
        <w:rPr>
          <w:rFonts w:asciiTheme="majorBidi" w:hAnsiTheme="majorBidi" w:cstheme="majorBidi"/>
          <w:sz w:val="24"/>
          <w:szCs w:val="24"/>
        </w:rPr>
        <w:t xml:space="preserve">nancial debt for HEIs, </w:t>
      </w:r>
      <w:r w:rsidR="00F3465F">
        <w:rPr>
          <w:rFonts w:asciiTheme="majorBidi" w:hAnsiTheme="majorBidi" w:cstheme="majorBidi"/>
          <w:sz w:val="24"/>
          <w:szCs w:val="24"/>
        </w:rPr>
        <w:t xml:space="preserve">and </w:t>
      </w:r>
      <w:r w:rsidRPr="00AE4598">
        <w:rPr>
          <w:rFonts w:asciiTheme="majorBidi" w:hAnsiTheme="majorBidi" w:cstheme="majorBidi"/>
          <w:sz w:val="24"/>
          <w:szCs w:val="24"/>
        </w:rPr>
        <w:t>casualisation</w:t>
      </w:r>
      <w:r w:rsidR="005D75E5">
        <w:rPr>
          <w:rFonts w:asciiTheme="majorBidi" w:hAnsiTheme="majorBidi" w:cstheme="majorBidi"/>
          <w:sz w:val="24"/>
          <w:szCs w:val="24"/>
        </w:rPr>
        <w:t>/</w:t>
      </w:r>
      <w:r w:rsidR="00F3465F">
        <w:rPr>
          <w:rFonts w:asciiTheme="majorBidi" w:hAnsiTheme="majorBidi" w:cstheme="majorBidi"/>
          <w:sz w:val="24"/>
          <w:szCs w:val="24"/>
        </w:rPr>
        <w:t>fixed-term/</w:t>
      </w:r>
      <w:r w:rsidR="005D75E5">
        <w:rPr>
          <w:rFonts w:asciiTheme="majorBidi" w:hAnsiTheme="majorBidi" w:cstheme="majorBidi"/>
          <w:sz w:val="24"/>
          <w:szCs w:val="24"/>
        </w:rPr>
        <w:t>zero</w:t>
      </w:r>
      <w:r w:rsidR="00F3465F">
        <w:rPr>
          <w:rFonts w:asciiTheme="majorBidi" w:hAnsiTheme="majorBidi" w:cstheme="majorBidi"/>
          <w:sz w:val="24"/>
          <w:szCs w:val="24"/>
        </w:rPr>
        <w:t>-</w:t>
      </w:r>
      <w:r w:rsidR="005D75E5">
        <w:rPr>
          <w:rFonts w:asciiTheme="majorBidi" w:hAnsiTheme="majorBidi" w:cstheme="majorBidi"/>
          <w:sz w:val="24"/>
          <w:szCs w:val="24"/>
        </w:rPr>
        <w:t>hour contracts,</w:t>
      </w:r>
      <w:r w:rsidRPr="00AE4598">
        <w:rPr>
          <w:rFonts w:asciiTheme="majorBidi" w:hAnsiTheme="majorBidi" w:cstheme="majorBidi"/>
          <w:sz w:val="24"/>
          <w:szCs w:val="24"/>
        </w:rPr>
        <w:t xml:space="preserve"> </w:t>
      </w:r>
      <w:r w:rsidR="00F3465F">
        <w:rPr>
          <w:rFonts w:asciiTheme="majorBidi" w:hAnsiTheme="majorBidi" w:cstheme="majorBidi"/>
          <w:sz w:val="24"/>
          <w:szCs w:val="24"/>
        </w:rPr>
        <w:t xml:space="preserve">perpetual strikes, </w:t>
      </w:r>
      <w:r w:rsidRPr="00AE4598">
        <w:rPr>
          <w:rFonts w:asciiTheme="majorBidi" w:hAnsiTheme="majorBidi" w:cstheme="majorBidi"/>
          <w:sz w:val="24"/>
          <w:szCs w:val="24"/>
        </w:rPr>
        <w:t>redundancies,</w:t>
      </w:r>
      <w:r w:rsidR="00F3465F">
        <w:rPr>
          <w:rFonts w:asciiTheme="majorBidi" w:hAnsiTheme="majorBidi" w:cstheme="majorBidi"/>
          <w:sz w:val="24"/>
          <w:szCs w:val="24"/>
        </w:rPr>
        <w:t xml:space="preserve"> </w:t>
      </w:r>
      <w:r w:rsidRPr="00AE4598">
        <w:rPr>
          <w:rFonts w:asciiTheme="majorBidi" w:hAnsiTheme="majorBidi" w:cstheme="majorBidi"/>
          <w:sz w:val="24"/>
          <w:szCs w:val="24"/>
        </w:rPr>
        <w:t>workload pressure</w:t>
      </w:r>
      <w:r w:rsidR="00F3465F">
        <w:rPr>
          <w:rFonts w:asciiTheme="majorBidi" w:hAnsiTheme="majorBidi" w:cstheme="majorBidi"/>
          <w:sz w:val="24"/>
          <w:szCs w:val="24"/>
        </w:rPr>
        <w:t xml:space="preserve"> and</w:t>
      </w:r>
      <w:r w:rsidRPr="00AE4598">
        <w:rPr>
          <w:rFonts w:asciiTheme="majorBidi" w:hAnsiTheme="majorBidi" w:cstheme="majorBidi"/>
          <w:sz w:val="24"/>
          <w:szCs w:val="24"/>
        </w:rPr>
        <w:t xml:space="preserve"> stress</w:t>
      </w:r>
      <w:r w:rsidR="00F3465F">
        <w:rPr>
          <w:rFonts w:asciiTheme="majorBidi" w:hAnsiTheme="majorBidi" w:cstheme="majorBidi"/>
          <w:sz w:val="24"/>
          <w:szCs w:val="24"/>
        </w:rPr>
        <w:t xml:space="preserve"> for staff. </w:t>
      </w:r>
      <w:r w:rsidR="00670C72">
        <w:rPr>
          <w:rFonts w:asciiTheme="majorBidi" w:hAnsiTheme="majorBidi" w:cstheme="majorBidi"/>
          <w:sz w:val="24"/>
          <w:szCs w:val="24"/>
        </w:rPr>
        <w:t>In contrast, reductions in staff pension entitlements, morale and welfare/wellbeing</w:t>
      </w:r>
      <w:r w:rsidR="003722B7">
        <w:rPr>
          <w:rFonts w:asciiTheme="majorBidi" w:hAnsiTheme="majorBidi" w:cstheme="majorBidi"/>
          <w:sz w:val="24"/>
          <w:szCs w:val="24"/>
        </w:rPr>
        <w:t>,</w:t>
      </w:r>
      <w:r w:rsidR="00670C72">
        <w:rPr>
          <w:rFonts w:asciiTheme="majorBidi" w:hAnsiTheme="majorBidi" w:cstheme="majorBidi"/>
          <w:sz w:val="24"/>
          <w:szCs w:val="24"/>
        </w:rPr>
        <w:t xml:space="preserve"> and graduate job opportunities for students are observable</w:t>
      </w:r>
      <w:r w:rsidR="003722B7">
        <w:rPr>
          <w:rFonts w:asciiTheme="majorBidi" w:hAnsiTheme="majorBidi" w:cstheme="majorBidi"/>
          <w:sz w:val="24"/>
          <w:szCs w:val="24"/>
        </w:rPr>
        <w:t>,</w:t>
      </w:r>
      <w:r w:rsidR="007A4A8D">
        <w:rPr>
          <w:rFonts w:asciiTheme="majorBidi" w:hAnsiTheme="majorBidi" w:cstheme="majorBidi"/>
          <w:sz w:val="24"/>
          <w:szCs w:val="24"/>
        </w:rPr>
        <w:t xml:space="preserve"> </w:t>
      </w:r>
      <w:r w:rsidR="007A4A8D" w:rsidRPr="00AE4598">
        <w:rPr>
          <w:rFonts w:asciiTheme="majorBidi" w:hAnsiTheme="majorBidi" w:cstheme="majorBidi"/>
          <w:sz w:val="24"/>
          <w:szCs w:val="24"/>
        </w:rPr>
        <w:t xml:space="preserve">and thereby posing serious threat to the long-term sustainability of the HE </w:t>
      </w:r>
      <w:proofErr w:type="gramStart"/>
      <w:r w:rsidR="007A4A8D" w:rsidRPr="00AE4598">
        <w:rPr>
          <w:rFonts w:asciiTheme="majorBidi" w:hAnsiTheme="majorBidi" w:cstheme="majorBidi"/>
          <w:sz w:val="24"/>
          <w:szCs w:val="24"/>
        </w:rPr>
        <w:t>sector</w:t>
      </w:r>
      <w:proofErr w:type="gramEnd"/>
      <w:r w:rsidR="00670C72">
        <w:rPr>
          <w:rFonts w:asciiTheme="majorBidi" w:hAnsiTheme="majorBidi" w:cstheme="majorBidi"/>
          <w:sz w:val="24"/>
          <w:szCs w:val="24"/>
        </w:rPr>
        <w:t>.</w:t>
      </w:r>
      <w:r w:rsidR="007A4A8D">
        <w:rPr>
          <w:rFonts w:asciiTheme="majorBidi" w:hAnsiTheme="majorBidi" w:cstheme="majorBidi"/>
          <w:sz w:val="24"/>
          <w:szCs w:val="24"/>
        </w:rPr>
        <w:t xml:space="preserve"> </w:t>
      </w:r>
      <w:r w:rsidR="00670C72">
        <w:rPr>
          <w:rFonts w:asciiTheme="majorBidi" w:hAnsiTheme="majorBidi" w:cstheme="majorBidi"/>
          <w:sz w:val="24"/>
          <w:szCs w:val="24"/>
        </w:rPr>
        <w:t>Together, these neo</w:t>
      </w:r>
      <w:r w:rsidR="007B4FE4">
        <w:rPr>
          <w:rFonts w:asciiTheme="majorBidi" w:hAnsiTheme="majorBidi" w:cstheme="majorBidi"/>
          <w:sz w:val="24"/>
          <w:szCs w:val="24"/>
        </w:rPr>
        <w:t>liberal-oriented reforms aimed at financialising HEIs</w:t>
      </w:r>
      <w:r w:rsidR="00670C72">
        <w:rPr>
          <w:rFonts w:asciiTheme="majorBidi" w:hAnsiTheme="majorBidi" w:cstheme="majorBidi"/>
          <w:sz w:val="24"/>
          <w:szCs w:val="24"/>
        </w:rPr>
        <w:t xml:space="preserve"> have fur</w:t>
      </w:r>
      <w:r w:rsidR="007B4FE4">
        <w:rPr>
          <w:rFonts w:asciiTheme="majorBidi" w:hAnsiTheme="majorBidi" w:cstheme="majorBidi"/>
          <w:sz w:val="24"/>
          <w:szCs w:val="24"/>
        </w:rPr>
        <w:t>t</w:t>
      </w:r>
      <w:r w:rsidR="00670C72">
        <w:rPr>
          <w:rFonts w:asciiTheme="majorBidi" w:hAnsiTheme="majorBidi" w:cstheme="majorBidi"/>
          <w:sz w:val="24"/>
          <w:szCs w:val="24"/>
        </w:rPr>
        <w:t>her</w:t>
      </w:r>
      <w:r w:rsidR="005D75E5" w:rsidRPr="00AE4598">
        <w:rPr>
          <w:rFonts w:asciiTheme="majorBidi" w:hAnsiTheme="majorBidi" w:cstheme="majorBidi"/>
          <w:sz w:val="24"/>
          <w:szCs w:val="24"/>
        </w:rPr>
        <w:t xml:space="preserve"> impacted negatively on their</w:t>
      </w:r>
      <w:r w:rsidR="007B4FE4">
        <w:rPr>
          <w:rFonts w:asciiTheme="majorBidi" w:hAnsiTheme="majorBidi" w:cstheme="majorBidi"/>
          <w:sz w:val="24"/>
          <w:szCs w:val="24"/>
        </w:rPr>
        <w:t xml:space="preserve"> ability to bring about </w:t>
      </w:r>
      <w:r w:rsidR="005D75E5" w:rsidRPr="00AE4598">
        <w:rPr>
          <w:rFonts w:asciiTheme="majorBidi" w:hAnsiTheme="majorBidi" w:cstheme="majorBidi"/>
          <w:sz w:val="24"/>
          <w:szCs w:val="24"/>
        </w:rPr>
        <w:t xml:space="preserve">social </w:t>
      </w:r>
      <w:r w:rsidR="007B4FE4">
        <w:rPr>
          <w:rFonts w:asciiTheme="majorBidi" w:hAnsiTheme="majorBidi" w:cstheme="majorBidi"/>
          <w:sz w:val="24"/>
          <w:szCs w:val="24"/>
        </w:rPr>
        <w:t>transformatio</w:t>
      </w:r>
      <w:r w:rsidR="007A4A8D">
        <w:rPr>
          <w:rFonts w:asciiTheme="majorBidi" w:hAnsiTheme="majorBidi" w:cstheme="majorBidi"/>
          <w:sz w:val="24"/>
          <w:szCs w:val="24"/>
        </w:rPr>
        <w:t>n, including reducing</w:t>
      </w:r>
      <w:r w:rsidR="005D75E5" w:rsidRPr="00AE4598">
        <w:rPr>
          <w:rFonts w:asciiTheme="majorBidi" w:hAnsiTheme="majorBidi" w:cstheme="majorBidi"/>
          <w:sz w:val="24"/>
          <w:szCs w:val="24"/>
        </w:rPr>
        <w:t xml:space="preserve"> gender pay gap, student non-continuation rate</w:t>
      </w:r>
      <w:r w:rsidR="005B6649">
        <w:rPr>
          <w:rFonts w:asciiTheme="majorBidi" w:hAnsiTheme="majorBidi" w:cstheme="majorBidi"/>
          <w:sz w:val="24"/>
          <w:szCs w:val="24"/>
        </w:rPr>
        <w:t>s</w:t>
      </w:r>
      <w:r w:rsidR="005D75E5" w:rsidRPr="00AE4598">
        <w:rPr>
          <w:rFonts w:asciiTheme="majorBidi" w:hAnsiTheme="majorBidi" w:cstheme="majorBidi"/>
          <w:sz w:val="24"/>
          <w:szCs w:val="24"/>
        </w:rPr>
        <w:t>, unemployment of young</w:t>
      </w:r>
      <w:r w:rsidR="00E161B9">
        <w:rPr>
          <w:rFonts w:asciiTheme="majorBidi" w:hAnsiTheme="majorBidi" w:cstheme="majorBidi"/>
          <w:sz w:val="24"/>
          <w:szCs w:val="24"/>
        </w:rPr>
        <w:t>/disabled</w:t>
      </w:r>
      <w:r w:rsidR="005D75E5" w:rsidRPr="00AE4598">
        <w:rPr>
          <w:rFonts w:asciiTheme="majorBidi" w:hAnsiTheme="majorBidi" w:cstheme="majorBidi"/>
          <w:sz w:val="24"/>
          <w:szCs w:val="24"/>
        </w:rPr>
        <w:t xml:space="preserve"> people</w:t>
      </w:r>
      <w:r w:rsidR="007A4A8D">
        <w:rPr>
          <w:rFonts w:asciiTheme="majorBidi" w:hAnsiTheme="majorBidi" w:cstheme="majorBidi"/>
          <w:sz w:val="24"/>
          <w:szCs w:val="24"/>
        </w:rPr>
        <w:t>,</w:t>
      </w:r>
      <w:r w:rsidR="005D75E5" w:rsidRPr="00AE4598">
        <w:rPr>
          <w:rFonts w:asciiTheme="majorBidi" w:hAnsiTheme="majorBidi" w:cstheme="majorBidi"/>
          <w:sz w:val="24"/>
          <w:szCs w:val="24"/>
        </w:rPr>
        <w:t xml:space="preserve"> contribution to the wider community</w:t>
      </w:r>
      <w:r w:rsidR="007A4A8D">
        <w:rPr>
          <w:rFonts w:asciiTheme="majorBidi" w:hAnsiTheme="majorBidi" w:cstheme="majorBidi"/>
          <w:sz w:val="24"/>
          <w:szCs w:val="24"/>
        </w:rPr>
        <w:t xml:space="preserve"> and </w:t>
      </w:r>
      <w:r w:rsidR="00E161B9">
        <w:rPr>
          <w:rFonts w:asciiTheme="majorBidi" w:hAnsiTheme="majorBidi" w:cstheme="majorBidi"/>
          <w:sz w:val="24"/>
          <w:szCs w:val="24"/>
        </w:rPr>
        <w:t xml:space="preserve">in addressing </w:t>
      </w:r>
      <w:r w:rsidR="007A4A8D">
        <w:rPr>
          <w:rFonts w:asciiTheme="majorBidi" w:hAnsiTheme="majorBidi" w:cstheme="majorBidi"/>
          <w:sz w:val="24"/>
          <w:szCs w:val="24"/>
        </w:rPr>
        <w:t xml:space="preserve">other societal </w:t>
      </w:r>
      <w:r w:rsidR="00E64C0E">
        <w:rPr>
          <w:rFonts w:asciiTheme="majorBidi" w:hAnsiTheme="majorBidi" w:cstheme="majorBidi"/>
          <w:sz w:val="24"/>
          <w:szCs w:val="24"/>
        </w:rPr>
        <w:t xml:space="preserve">social </w:t>
      </w:r>
      <w:r w:rsidR="007A4A8D">
        <w:rPr>
          <w:rFonts w:asciiTheme="majorBidi" w:hAnsiTheme="majorBidi" w:cstheme="majorBidi"/>
          <w:sz w:val="24"/>
          <w:szCs w:val="24"/>
        </w:rPr>
        <w:t>inequalities</w:t>
      </w:r>
      <w:r w:rsidR="005D75E5" w:rsidRPr="00AE4598">
        <w:rPr>
          <w:rFonts w:asciiTheme="majorBidi" w:hAnsiTheme="majorBidi" w:cstheme="majorBidi"/>
          <w:sz w:val="24"/>
          <w:szCs w:val="24"/>
        </w:rPr>
        <w:t>.</w:t>
      </w:r>
    </w:p>
    <w:p w14:paraId="459A5D8B" w14:textId="6EFF5F9B" w:rsidR="00AE4598" w:rsidRPr="009879E8" w:rsidRDefault="004D771B" w:rsidP="009879E8">
      <w:pPr>
        <w:spacing w:after="0" w:line="480" w:lineRule="auto"/>
        <w:jc w:val="both"/>
        <w:rPr>
          <w:rFonts w:asciiTheme="majorBidi" w:hAnsiTheme="majorBidi" w:cstheme="majorBidi"/>
          <w:b/>
          <w:bCs/>
          <w:i/>
          <w:iCs/>
          <w:sz w:val="24"/>
          <w:szCs w:val="24"/>
        </w:rPr>
      </w:pPr>
      <w:r>
        <w:rPr>
          <w:rFonts w:asciiTheme="majorBidi" w:hAnsiTheme="majorBidi" w:cstheme="majorBidi"/>
          <w:b/>
          <w:bCs/>
          <w:i/>
          <w:iCs/>
          <w:sz w:val="24"/>
          <w:szCs w:val="24"/>
        </w:rPr>
        <w:t>Research l</w:t>
      </w:r>
      <w:r w:rsidR="00AE4598" w:rsidRPr="009879E8">
        <w:rPr>
          <w:rFonts w:asciiTheme="majorBidi" w:hAnsiTheme="majorBidi" w:cstheme="majorBidi"/>
          <w:b/>
          <w:bCs/>
          <w:i/>
          <w:iCs/>
          <w:sz w:val="24"/>
          <w:szCs w:val="24"/>
        </w:rPr>
        <w:t>imitations and opportunities</w:t>
      </w:r>
      <w:r w:rsidR="001940C8">
        <w:rPr>
          <w:rFonts w:asciiTheme="majorBidi" w:hAnsiTheme="majorBidi" w:cstheme="majorBidi"/>
          <w:b/>
          <w:bCs/>
          <w:i/>
          <w:iCs/>
          <w:sz w:val="24"/>
          <w:szCs w:val="24"/>
        </w:rPr>
        <w:t xml:space="preserve"> for future studies</w:t>
      </w:r>
    </w:p>
    <w:p w14:paraId="44646C37" w14:textId="70EAB4E4" w:rsidR="00564750" w:rsidRDefault="005F7F2D" w:rsidP="00FA3FB1">
      <w:pPr>
        <w:spacing w:after="0" w:line="480" w:lineRule="auto"/>
        <w:ind w:firstLine="720"/>
        <w:jc w:val="both"/>
        <w:rPr>
          <w:rFonts w:asciiTheme="majorBidi" w:hAnsiTheme="majorBidi" w:cstheme="majorBidi"/>
          <w:sz w:val="24"/>
          <w:szCs w:val="24"/>
        </w:rPr>
        <w:sectPr w:rsidR="00564750" w:rsidSect="00C71722">
          <w:pgSz w:w="11906" w:h="16838"/>
          <w:pgMar w:top="993" w:right="1440" w:bottom="1440" w:left="1440" w:header="708" w:footer="708" w:gutter="0"/>
          <w:cols w:space="708"/>
          <w:docGrid w:linePitch="360"/>
        </w:sectPr>
      </w:pPr>
      <w:r>
        <w:rPr>
          <w:rFonts w:asciiTheme="majorBidi" w:hAnsiTheme="majorBidi" w:cstheme="majorBidi"/>
          <w:sz w:val="24"/>
          <w:szCs w:val="24"/>
        </w:rPr>
        <w:lastRenderedPageBreak/>
        <w:t>Although our study is important as it highlight</w:t>
      </w:r>
      <w:r w:rsidR="009D5BE9">
        <w:rPr>
          <w:rFonts w:asciiTheme="majorBidi" w:hAnsiTheme="majorBidi" w:cstheme="majorBidi"/>
          <w:sz w:val="24"/>
          <w:szCs w:val="24"/>
        </w:rPr>
        <w:t>s</w:t>
      </w:r>
      <w:r>
        <w:rPr>
          <w:rFonts w:asciiTheme="majorBidi" w:hAnsiTheme="majorBidi" w:cstheme="majorBidi"/>
          <w:sz w:val="24"/>
          <w:szCs w:val="24"/>
        </w:rPr>
        <w:t xml:space="preserve"> the need to link VC pay to</w:t>
      </w:r>
      <w:r w:rsidR="00C3210C">
        <w:rPr>
          <w:rFonts w:asciiTheme="majorBidi" w:hAnsiTheme="majorBidi" w:cstheme="majorBidi"/>
          <w:sz w:val="24"/>
          <w:szCs w:val="24"/>
        </w:rPr>
        <w:t xml:space="preserve"> </w:t>
      </w:r>
      <w:r>
        <w:rPr>
          <w:rFonts w:asciiTheme="majorBidi" w:hAnsiTheme="majorBidi" w:cstheme="majorBidi"/>
          <w:sz w:val="24"/>
          <w:szCs w:val="24"/>
        </w:rPr>
        <w:t xml:space="preserve">performance, it also suffers from </w:t>
      </w:r>
      <w:proofErr w:type="gramStart"/>
      <w:r>
        <w:rPr>
          <w:rFonts w:asciiTheme="majorBidi" w:hAnsiTheme="majorBidi" w:cstheme="majorBidi"/>
          <w:sz w:val="24"/>
          <w:szCs w:val="24"/>
        </w:rPr>
        <w:t>a number of</w:t>
      </w:r>
      <w:proofErr w:type="gramEnd"/>
      <w:r>
        <w:rPr>
          <w:rFonts w:asciiTheme="majorBidi" w:hAnsiTheme="majorBidi" w:cstheme="majorBidi"/>
          <w:sz w:val="24"/>
          <w:szCs w:val="24"/>
        </w:rPr>
        <w:t xml:space="preserve"> limitations, including focusing only on UK HEIs, and hence </w:t>
      </w:r>
      <w:r w:rsidR="005E3473">
        <w:rPr>
          <w:rFonts w:asciiTheme="majorBidi" w:hAnsiTheme="majorBidi" w:cstheme="majorBidi"/>
          <w:sz w:val="24"/>
          <w:szCs w:val="24"/>
        </w:rPr>
        <w:t xml:space="preserve">further research </w:t>
      </w:r>
      <w:r>
        <w:rPr>
          <w:rFonts w:asciiTheme="majorBidi" w:hAnsiTheme="majorBidi" w:cstheme="majorBidi"/>
          <w:sz w:val="24"/>
          <w:szCs w:val="24"/>
        </w:rPr>
        <w:t>may</w:t>
      </w:r>
      <w:r w:rsidR="005E3473">
        <w:rPr>
          <w:rFonts w:asciiTheme="majorBidi" w:hAnsiTheme="majorBidi" w:cstheme="majorBidi"/>
          <w:sz w:val="24"/>
          <w:szCs w:val="24"/>
        </w:rPr>
        <w:t xml:space="preserve"> offer new insights by</w:t>
      </w:r>
      <w:r>
        <w:rPr>
          <w:rFonts w:asciiTheme="majorBidi" w:hAnsiTheme="majorBidi" w:cstheme="majorBidi"/>
          <w:sz w:val="24"/>
          <w:szCs w:val="24"/>
        </w:rPr>
        <w:t xml:space="preserve"> extend</w:t>
      </w:r>
      <w:r w:rsidR="005E3473">
        <w:rPr>
          <w:rFonts w:asciiTheme="majorBidi" w:hAnsiTheme="majorBidi" w:cstheme="majorBidi"/>
          <w:sz w:val="24"/>
          <w:szCs w:val="24"/>
        </w:rPr>
        <w:t>ing</w:t>
      </w:r>
      <w:r>
        <w:rPr>
          <w:rFonts w:asciiTheme="majorBidi" w:hAnsiTheme="majorBidi" w:cstheme="majorBidi"/>
          <w:sz w:val="24"/>
          <w:szCs w:val="24"/>
        </w:rPr>
        <w:t xml:space="preserve"> our analysis </w:t>
      </w:r>
      <w:r w:rsidR="009664D8">
        <w:rPr>
          <w:rFonts w:asciiTheme="majorBidi" w:hAnsiTheme="majorBidi" w:cstheme="majorBidi"/>
          <w:sz w:val="24"/>
          <w:szCs w:val="24"/>
        </w:rPr>
        <w:t>by</w:t>
      </w:r>
      <w:r w:rsidR="005E3473">
        <w:rPr>
          <w:rFonts w:asciiTheme="majorBidi" w:hAnsiTheme="majorBidi" w:cstheme="majorBidi"/>
          <w:sz w:val="24"/>
          <w:szCs w:val="24"/>
        </w:rPr>
        <w:t xml:space="preserve"> in</w:t>
      </w:r>
      <w:r w:rsidR="00275E88">
        <w:rPr>
          <w:rFonts w:asciiTheme="majorBidi" w:hAnsiTheme="majorBidi" w:cstheme="majorBidi"/>
          <w:sz w:val="24"/>
          <w:szCs w:val="24"/>
        </w:rPr>
        <w:t>cluding</w:t>
      </w:r>
      <w:r>
        <w:rPr>
          <w:rFonts w:asciiTheme="majorBidi" w:hAnsiTheme="majorBidi" w:cstheme="majorBidi"/>
          <w:sz w:val="24"/>
          <w:szCs w:val="24"/>
        </w:rPr>
        <w:t xml:space="preserve"> HEIs from other developed and developing nations. </w:t>
      </w:r>
      <w:r w:rsidR="00846781">
        <w:rPr>
          <w:rFonts w:asciiTheme="majorBidi" w:hAnsiTheme="majorBidi" w:cstheme="majorBidi"/>
          <w:sz w:val="24"/>
          <w:szCs w:val="24"/>
        </w:rPr>
        <w:t>Further, and given that it is difficult to manually collect the required data using annual reports, we limited our analysis to the period between 2009</w:t>
      </w:r>
      <w:r w:rsidR="0032135D">
        <w:rPr>
          <w:rFonts w:asciiTheme="majorBidi" w:hAnsiTheme="majorBidi" w:cstheme="majorBidi"/>
          <w:sz w:val="24"/>
          <w:szCs w:val="24"/>
        </w:rPr>
        <w:t xml:space="preserve"> and </w:t>
      </w:r>
      <w:r w:rsidR="00846781">
        <w:rPr>
          <w:rFonts w:asciiTheme="majorBidi" w:hAnsiTheme="majorBidi" w:cstheme="majorBidi"/>
          <w:sz w:val="24"/>
          <w:szCs w:val="24"/>
        </w:rPr>
        <w:t>2014</w:t>
      </w:r>
      <w:r w:rsidR="004A5988">
        <w:rPr>
          <w:rFonts w:asciiTheme="majorBidi" w:hAnsiTheme="majorBidi" w:cstheme="majorBidi"/>
          <w:sz w:val="24"/>
          <w:szCs w:val="24"/>
        </w:rPr>
        <w:t>, which can influence our results</w:t>
      </w:r>
      <w:r w:rsidR="00846781">
        <w:rPr>
          <w:rFonts w:asciiTheme="majorBidi" w:hAnsiTheme="majorBidi" w:cstheme="majorBidi"/>
          <w:sz w:val="24"/>
          <w:szCs w:val="24"/>
        </w:rPr>
        <w:t xml:space="preserve">, and thus, as data become </w:t>
      </w:r>
      <w:r w:rsidR="004A5988">
        <w:rPr>
          <w:rFonts w:asciiTheme="majorBidi" w:hAnsiTheme="majorBidi" w:cstheme="majorBidi"/>
          <w:sz w:val="24"/>
          <w:szCs w:val="24"/>
        </w:rPr>
        <w:t xml:space="preserve">more </w:t>
      </w:r>
      <w:r w:rsidR="00846781">
        <w:rPr>
          <w:rFonts w:asciiTheme="majorBidi" w:hAnsiTheme="majorBidi" w:cstheme="majorBidi"/>
          <w:sz w:val="24"/>
          <w:szCs w:val="24"/>
        </w:rPr>
        <w:t xml:space="preserve">easily accessible in the future, </w:t>
      </w:r>
      <w:r w:rsidR="000874AC">
        <w:rPr>
          <w:rFonts w:asciiTheme="majorBidi" w:hAnsiTheme="majorBidi" w:cstheme="majorBidi"/>
          <w:sz w:val="24"/>
          <w:szCs w:val="24"/>
        </w:rPr>
        <w:t>further</w:t>
      </w:r>
      <w:r w:rsidR="00846781">
        <w:rPr>
          <w:rFonts w:asciiTheme="majorBidi" w:hAnsiTheme="majorBidi" w:cstheme="majorBidi"/>
          <w:sz w:val="24"/>
          <w:szCs w:val="24"/>
        </w:rPr>
        <w:t xml:space="preserve"> </w:t>
      </w:r>
      <w:r w:rsidR="000874AC">
        <w:rPr>
          <w:rFonts w:asciiTheme="majorBidi" w:hAnsiTheme="majorBidi" w:cstheme="majorBidi"/>
          <w:sz w:val="24"/>
          <w:szCs w:val="24"/>
        </w:rPr>
        <w:t>research</w:t>
      </w:r>
      <w:r w:rsidR="00846781">
        <w:rPr>
          <w:rFonts w:asciiTheme="majorBidi" w:hAnsiTheme="majorBidi" w:cstheme="majorBidi"/>
          <w:sz w:val="24"/>
          <w:szCs w:val="24"/>
        </w:rPr>
        <w:t xml:space="preserve"> may extend our </w:t>
      </w:r>
      <w:r w:rsidR="000874AC">
        <w:rPr>
          <w:rFonts w:asciiTheme="majorBidi" w:hAnsiTheme="majorBidi" w:cstheme="majorBidi"/>
          <w:sz w:val="24"/>
          <w:szCs w:val="24"/>
        </w:rPr>
        <w:t>study</w:t>
      </w:r>
      <w:r w:rsidR="00846781">
        <w:rPr>
          <w:rFonts w:asciiTheme="majorBidi" w:hAnsiTheme="majorBidi" w:cstheme="majorBidi"/>
          <w:sz w:val="24"/>
          <w:szCs w:val="24"/>
        </w:rPr>
        <w:t xml:space="preserve"> by analysing longer period</w:t>
      </w:r>
      <w:r w:rsidR="009D5BE9">
        <w:rPr>
          <w:rFonts w:asciiTheme="majorBidi" w:hAnsiTheme="majorBidi" w:cstheme="majorBidi"/>
          <w:sz w:val="24"/>
          <w:szCs w:val="24"/>
        </w:rPr>
        <w:t>s</w:t>
      </w:r>
      <w:r w:rsidR="00846781">
        <w:rPr>
          <w:rFonts w:asciiTheme="majorBidi" w:hAnsiTheme="majorBidi" w:cstheme="majorBidi"/>
          <w:sz w:val="24"/>
          <w:szCs w:val="24"/>
        </w:rPr>
        <w:t xml:space="preserve"> of time. </w:t>
      </w:r>
      <w:r w:rsidR="005902B7">
        <w:rPr>
          <w:rFonts w:asciiTheme="majorBidi" w:hAnsiTheme="majorBidi" w:cstheme="majorBidi"/>
          <w:sz w:val="24"/>
          <w:szCs w:val="24"/>
        </w:rPr>
        <w:t xml:space="preserve">Additionally, and </w:t>
      </w:r>
      <w:proofErr w:type="gramStart"/>
      <w:r w:rsidR="005902B7">
        <w:rPr>
          <w:rFonts w:asciiTheme="majorBidi" w:hAnsiTheme="majorBidi" w:cstheme="majorBidi"/>
          <w:sz w:val="24"/>
          <w:szCs w:val="24"/>
        </w:rPr>
        <w:t>similar to</w:t>
      </w:r>
      <w:proofErr w:type="gramEnd"/>
      <w:r w:rsidR="005902B7">
        <w:rPr>
          <w:rFonts w:asciiTheme="majorBidi" w:hAnsiTheme="majorBidi" w:cstheme="majorBidi"/>
          <w:sz w:val="24"/>
          <w:szCs w:val="24"/>
        </w:rPr>
        <w:t xml:space="preserve"> most archival studies of this nature, our variables and measures for VC pay, performance</w:t>
      </w:r>
      <w:r w:rsidR="00885B2A">
        <w:rPr>
          <w:rFonts w:asciiTheme="majorBidi" w:hAnsiTheme="majorBidi" w:cstheme="majorBidi"/>
          <w:sz w:val="24"/>
          <w:szCs w:val="24"/>
        </w:rPr>
        <w:t>,</w:t>
      </w:r>
      <w:r w:rsidR="005902B7">
        <w:rPr>
          <w:rFonts w:asciiTheme="majorBidi" w:hAnsiTheme="majorBidi" w:cstheme="majorBidi"/>
          <w:sz w:val="24"/>
          <w:szCs w:val="24"/>
        </w:rPr>
        <w:t xml:space="preserve"> governance</w:t>
      </w:r>
      <w:r w:rsidR="00885B2A">
        <w:rPr>
          <w:rFonts w:asciiTheme="majorBidi" w:hAnsiTheme="majorBidi" w:cstheme="majorBidi"/>
          <w:sz w:val="24"/>
          <w:szCs w:val="24"/>
        </w:rPr>
        <w:t xml:space="preserve"> and VC characteristics</w:t>
      </w:r>
      <w:r w:rsidR="005902B7">
        <w:rPr>
          <w:rFonts w:asciiTheme="majorBidi" w:hAnsiTheme="majorBidi" w:cstheme="majorBidi"/>
          <w:sz w:val="24"/>
          <w:szCs w:val="24"/>
        </w:rPr>
        <w:t xml:space="preserve">, for instance, may or may not reflect practice. For example, future studies may consider measuring social performance by using some form of index instead of individual measures. </w:t>
      </w:r>
      <w:r w:rsidR="0016058F">
        <w:rPr>
          <w:rFonts w:asciiTheme="majorBidi" w:hAnsiTheme="majorBidi" w:cstheme="majorBidi"/>
          <w:sz w:val="24"/>
          <w:szCs w:val="24"/>
        </w:rPr>
        <w:t>Finally</w:t>
      </w:r>
      <w:r w:rsidR="000874AC">
        <w:rPr>
          <w:rFonts w:asciiTheme="majorBidi" w:hAnsiTheme="majorBidi" w:cstheme="majorBidi"/>
          <w:sz w:val="24"/>
          <w:szCs w:val="24"/>
        </w:rPr>
        <w:t xml:space="preserve">, </w:t>
      </w:r>
      <w:r w:rsidR="0043547F">
        <w:rPr>
          <w:rFonts w:asciiTheme="majorBidi" w:hAnsiTheme="majorBidi" w:cstheme="majorBidi"/>
          <w:sz w:val="24"/>
          <w:szCs w:val="24"/>
        </w:rPr>
        <w:t xml:space="preserve">we have only employed quantitative research approach to analyse our data and this </w:t>
      </w:r>
      <w:r w:rsidR="0016058F">
        <w:rPr>
          <w:rFonts w:asciiTheme="majorBidi" w:hAnsiTheme="majorBidi" w:cstheme="majorBidi"/>
          <w:sz w:val="24"/>
          <w:szCs w:val="24"/>
        </w:rPr>
        <w:t>may</w:t>
      </w:r>
      <w:r w:rsidR="0043547F">
        <w:rPr>
          <w:rFonts w:asciiTheme="majorBidi" w:hAnsiTheme="majorBidi" w:cstheme="majorBidi"/>
          <w:sz w:val="24"/>
          <w:szCs w:val="24"/>
        </w:rPr>
        <w:t xml:space="preserve"> impair the generalisability of our results, and </w:t>
      </w:r>
      <w:r w:rsidR="0016058F">
        <w:rPr>
          <w:rFonts w:asciiTheme="majorBidi" w:hAnsiTheme="majorBidi" w:cstheme="majorBidi"/>
          <w:sz w:val="24"/>
          <w:szCs w:val="24"/>
        </w:rPr>
        <w:t xml:space="preserve">hence future studies </w:t>
      </w:r>
      <w:r w:rsidR="009D5BE9">
        <w:rPr>
          <w:rFonts w:asciiTheme="majorBidi" w:hAnsiTheme="majorBidi" w:cstheme="majorBidi"/>
          <w:sz w:val="24"/>
          <w:szCs w:val="24"/>
        </w:rPr>
        <w:t>may</w:t>
      </w:r>
      <w:r w:rsidR="0016058F">
        <w:rPr>
          <w:rFonts w:asciiTheme="majorBidi" w:hAnsiTheme="majorBidi" w:cstheme="majorBidi"/>
          <w:sz w:val="24"/>
          <w:szCs w:val="24"/>
        </w:rPr>
        <w:t xml:space="preserve"> use qualitative </w:t>
      </w:r>
      <w:r w:rsidR="002C13C0">
        <w:rPr>
          <w:rFonts w:asciiTheme="majorBidi" w:hAnsiTheme="majorBidi" w:cstheme="majorBidi"/>
          <w:sz w:val="24"/>
          <w:szCs w:val="24"/>
        </w:rPr>
        <w:t>data</w:t>
      </w:r>
      <w:r w:rsidR="002806C0">
        <w:rPr>
          <w:rFonts w:asciiTheme="majorBidi" w:hAnsiTheme="majorBidi" w:cstheme="majorBidi"/>
          <w:sz w:val="24"/>
          <w:szCs w:val="24"/>
        </w:rPr>
        <w:t xml:space="preserve"> analysis techniques, such as</w:t>
      </w:r>
      <w:r w:rsidR="0016058F">
        <w:rPr>
          <w:rFonts w:asciiTheme="majorBidi" w:hAnsiTheme="majorBidi" w:cstheme="majorBidi"/>
          <w:sz w:val="24"/>
          <w:szCs w:val="24"/>
        </w:rPr>
        <w:t xml:space="preserve"> </w:t>
      </w:r>
      <w:r w:rsidR="002806C0">
        <w:rPr>
          <w:rFonts w:asciiTheme="majorBidi" w:hAnsiTheme="majorBidi" w:cstheme="majorBidi"/>
          <w:sz w:val="24"/>
          <w:szCs w:val="24"/>
        </w:rPr>
        <w:t xml:space="preserve">in-depth </w:t>
      </w:r>
      <w:r w:rsidR="0016058F">
        <w:rPr>
          <w:rFonts w:asciiTheme="majorBidi" w:hAnsiTheme="majorBidi" w:cstheme="majorBidi"/>
          <w:sz w:val="24"/>
          <w:szCs w:val="24"/>
        </w:rPr>
        <w:t xml:space="preserve">case studies to </w:t>
      </w:r>
      <w:r w:rsidR="002806C0">
        <w:rPr>
          <w:rFonts w:asciiTheme="majorBidi" w:hAnsiTheme="majorBidi" w:cstheme="majorBidi"/>
          <w:sz w:val="24"/>
          <w:szCs w:val="24"/>
        </w:rPr>
        <w:t xml:space="preserve">further explore and </w:t>
      </w:r>
      <w:r w:rsidR="0016058F">
        <w:rPr>
          <w:rFonts w:asciiTheme="majorBidi" w:hAnsiTheme="majorBidi" w:cstheme="majorBidi"/>
          <w:sz w:val="24"/>
          <w:szCs w:val="24"/>
        </w:rPr>
        <w:t xml:space="preserve">better understand the impact of HEIs performance on VC pay, as well as the role </w:t>
      </w:r>
      <w:r w:rsidR="008A7834">
        <w:rPr>
          <w:rFonts w:asciiTheme="majorBidi" w:hAnsiTheme="majorBidi" w:cstheme="majorBidi"/>
          <w:sz w:val="24"/>
          <w:szCs w:val="24"/>
        </w:rPr>
        <w:t xml:space="preserve">of </w:t>
      </w:r>
      <w:r w:rsidR="0016058F">
        <w:rPr>
          <w:rFonts w:asciiTheme="majorBidi" w:hAnsiTheme="majorBidi" w:cstheme="majorBidi"/>
          <w:sz w:val="24"/>
          <w:szCs w:val="24"/>
        </w:rPr>
        <w:t>VC characteristics in explaining this link</w:t>
      </w:r>
      <w:r w:rsidR="002806C0">
        <w:rPr>
          <w:rFonts w:asciiTheme="majorBidi" w:hAnsiTheme="majorBidi" w:cstheme="majorBidi"/>
          <w:sz w:val="24"/>
          <w:szCs w:val="24"/>
        </w:rPr>
        <w:t xml:space="preserve"> by interviewing HEI executives, </w:t>
      </w:r>
      <w:r w:rsidR="00BA31A5">
        <w:rPr>
          <w:rFonts w:asciiTheme="majorBidi" w:hAnsiTheme="majorBidi" w:cstheme="majorBidi"/>
          <w:sz w:val="24"/>
          <w:szCs w:val="24"/>
        </w:rPr>
        <w:t>government</w:t>
      </w:r>
      <w:r w:rsidR="003722B7">
        <w:rPr>
          <w:rFonts w:asciiTheme="majorBidi" w:hAnsiTheme="majorBidi" w:cstheme="majorBidi"/>
          <w:sz w:val="24"/>
          <w:szCs w:val="24"/>
        </w:rPr>
        <w:t xml:space="preserve"> officials</w:t>
      </w:r>
      <w:r w:rsidR="00BA31A5">
        <w:rPr>
          <w:rFonts w:asciiTheme="majorBidi" w:hAnsiTheme="majorBidi" w:cstheme="majorBidi"/>
          <w:sz w:val="24"/>
          <w:szCs w:val="24"/>
        </w:rPr>
        <w:t xml:space="preserve">, </w:t>
      </w:r>
      <w:r w:rsidR="002806C0">
        <w:rPr>
          <w:rFonts w:asciiTheme="majorBidi" w:hAnsiTheme="majorBidi" w:cstheme="majorBidi"/>
          <w:sz w:val="24"/>
          <w:szCs w:val="24"/>
        </w:rPr>
        <w:t>governors, poly-makers/regulators, staff</w:t>
      </w:r>
      <w:r w:rsidR="00BA31A5">
        <w:rPr>
          <w:rFonts w:asciiTheme="majorBidi" w:hAnsiTheme="majorBidi" w:cstheme="majorBidi"/>
          <w:sz w:val="24"/>
          <w:szCs w:val="24"/>
        </w:rPr>
        <w:t xml:space="preserve">, </w:t>
      </w:r>
      <w:r w:rsidR="002806C0">
        <w:rPr>
          <w:rFonts w:asciiTheme="majorBidi" w:hAnsiTheme="majorBidi" w:cstheme="majorBidi"/>
          <w:sz w:val="24"/>
          <w:szCs w:val="24"/>
        </w:rPr>
        <w:t>students</w:t>
      </w:r>
      <w:r w:rsidR="00BA31A5">
        <w:rPr>
          <w:rFonts w:asciiTheme="majorBidi" w:hAnsiTheme="majorBidi" w:cstheme="majorBidi"/>
          <w:sz w:val="24"/>
          <w:szCs w:val="24"/>
        </w:rPr>
        <w:t xml:space="preserve"> </w:t>
      </w:r>
      <w:r w:rsidR="002806C0">
        <w:rPr>
          <w:rFonts w:asciiTheme="majorBidi" w:hAnsiTheme="majorBidi" w:cstheme="majorBidi"/>
          <w:sz w:val="24"/>
          <w:szCs w:val="24"/>
        </w:rPr>
        <w:t xml:space="preserve"> and </w:t>
      </w:r>
      <w:r w:rsidR="00BA31A5">
        <w:rPr>
          <w:rFonts w:asciiTheme="majorBidi" w:hAnsiTheme="majorBidi" w:cstheme="majorBidi"/>
          <w:sz w:val="24"/>
          <w:szCs w:val="24"/>
        </w:rPr>
        <w:t>trade unions regarding these issues</w:t>
      </w:r>
      <w:r w:rsidR="0016058F">
        <w:rPr>
          <w:rFonts w:asciiTheme="majorBidi" w:hAnsiTheme="majorBidi" w:cstheme="majorBidi"/>
          <w:sz w:val="24"/>
          <w:szCs w:val="24"/>
        </w:rPr>
        <w:t>.</w:t>
      </w:r>
      <w:r w:rsidR="005902B7">
        <w:rPr>
          <w:rFonts w:asciiTheme="majorBidi" w:hAnsiTheme="majorBidi" w:cstheme="majorBidi"/>
          <w:sz w:val="24"/>
          <w:szCs w:val="24"/>
        </w:rPr>
        <w:t xml:space="preserve"> </w:t>
      </w:r>
    </w:p>
    <w:p w14:paraId="1CE19531" w14:textId="3C7516B2" w:rsidR="00E15B2B" w:rsidRDefault="00E15B2B" w:rsidP="00C90C31">
      <w:pPr>
        <w:jc w:val="both"/>
        <w:rPr>
          <w:rFonts w:asciiTheme="majorBidi" w:hAnsiTheme="majorBidi" w:cstheme="majorBidi"/>
          <w:b/>
          <w:bCs/>
          <w:sz w:val="24"/>
          <w:szCs w:val="24"/>
        </w:rPr>
      </w:pPr>
      <w:bookmarkStart w:id="7" w:name="_Hlk68331742"/>
      <w:r w:rsidRPr="00E44664">
        <w:rPr>
          <w:rFonts w:asciiTheme="majorBidi" w:hAnsiTheme="majorBidi" w:cstheme="majorBidi"/>
          <w:b/>
          <w:bCs/>
          <w:sz w:val="24"/>
          <w:szCs w:val="24"/>
        </w:rPr>
        <w:lastRenderedPageBreak/>
        <w:t>R</w:t>
      </w:r>
      <w:r w:rsidR="003026CF">
        <w:rPr>
          <w:rFonts w:asciiTheme="majorBidi" w:hAnsiTheme="majorBidi" w:cstheme="majorBidi"/>
          <w:b/>
          <w:bCs/>
          <w:sz w:val="24"/>
          <w:szCs w:val="24"/>
        </w:rPr>
        <w:t>eferences</w:t>
      </w:r>
    </w:p>
    <w:p w14:paraId="6ABC09A7" w14:textId="0BD5FB94" w:rsidR="002D7E41" w:rsidRDefault="00D52F99" w:rsidP="000345E3">
      <w:pPr>
        <w:spacing w:after="0" w:line="240" w:lineRule="auto"/>
        <w:ind w:left="170" w:hanging="170"/>
        <w:jc w:val="both"/>
        <w:rPr>
          <w:rFonts w:asciiTheme="majorBidi" w:hAnsiTheme="majorBidi" w:cstheme="majorBidi"/>
          <w:sz w:val="24"/>
          <w:szCs w:val="24"/>
          <w:shd w:val="clear" w:color="auto" w:fill="FFFFFF"/>
        </w:rPr>
      </w:pPr>
      <w:r w:rsidRPr="00237B98">
        <w:rPr>
          <w:rFonts w:asciiTheme="majorBidi" w:hAnsiTheme="majorBidi" w:cstheme="majorBidi"/>
          <w:sz w:val="24"/>
          <w:szCs w:val="24"/>
          <w:shd w:val="clear" w:color="auto" w:fill="FFFFFF"/>
        </w:rPr>
        <w:t>Adams RB and Ferreira D</w:t>
      </w:r>
      <w:r w:rsidR="00270135" w:rsidRPr="00237B98">
        <w:rPr>
          <w:rFonts w:asciiTheme="majorBidi" w:hAnsiTheme="majorBidi" w:cstheme="majorBidi"/>
          <w:sz w:val="24"/>
          <w:szCs w:val="24"/>
          <w:shd w:val="clear" w:color="auto" w:fill="FFFFFF"/>
        </w:rPr>
        <w:t xml:space="preserve"> </w:t>
      </w:r>
      <w:r w:rsidRPr="00237B98">
        <w:rPr>
          <w:rFonts w:asciiTheme="majorBidi" w:hAnsiTheme="majorBidi" w:cstheme="majorBidi"/>
          <w:sz w:val="24"/>
          <w:szCs w:val="24"/>
          <w:shd w:val="clear" w:color="auto" w:fill="FFFFFF"/>
        </w:rPr>
        <w:t>(</w:t>
      </w:r>
      <w:r w:rsidR="00270135" w:rsidRPr="00237B98">
        <w:rPr>
          <w:rFonts w:asciiTheme="majorBidi" w:hAnsiTheme="majorBidi" w:cstheme="majorBidi"/>
          <w:sz w:val="24"/>
          <w:szCs w:val="24"/>
          <w:shd w:val="clear" w:color="auto" w:fill="FFFFFF"/>
        </w:rPr>
        <w:t>2009</w:t>
      </w:r>
      <w:r w:rsidRPr="00237B98">
        <w:rPr>
          <w:rFonts w:asciiTheme="majorBidi" w:hAnsiTheme="majorBidi" w:cstheme="majorBidi"/>
          <w:sz w:val="24"/>
          <w:szCs w:val="24"/>
          <w:shd w:val="clear" w:color="auto" w:fill="FFFFFF"/>
        </w:rPr>
        <w:t>)</w:t>
      </w:r>
      <w:r w:rsidR="002D7E41" w:rsidRPr="00237B98">
        <w:rPr>
          <w:rFonts w:asciiTheme="majorBidi" w:hAnsiTheme="majorBidi" w:cstheme="majorBidi"/>
          <w:sz w:val="24"/>
          <w:szCs w:val="24"/>
          <w:shd w:val="clear" w:color="auto" w:fill="FFFFFF"/>
        </w:rPr>
        <w:t xml:space="preserve"> Women in the boardroom and their impact on governance and performance. </w:t>
      </w:r>
      <w:r w:rsidR="002D7E41" w:rsidRPr="00237B98">
        <w:rPr>
          <w:rFonts w:asciiTheme="majorBidi" w:hAnsiTheme="majorBidi" w:cstheme="majorBidi"/>
          <w:bCs/>
          <w:i/>
          <w:iCs/>
          <w:sz w:val="24"/>
          <w:szCs w:val="24"/>
          <w:shd w:val="clear" w:color="auto" w:fill="FFFFFF"/>
        </w:rPr>
        <w:t>Journal of Financial Economics</w:t>
      </w:r>
      <w:r w:rsidR="002D7E41" w:rsidRPr="00237B98">
        <w:rPr>
          <w:rFonts w:asciiTheme="majorBidi" w:hAnsiTheme="majorBidi" w:cstheme="majorBidi"/>
          <w:i/>
          <w:iCs/>
          <w:sz w:val="24"/>
          <w:szCs w:val="24"/>
          <w:shd w:val="clear" w:color="auto" w:fill="FFFFFF"/>
        </w:rPr>
        <w:t> </w:t>
      </w:r>
      <w:r w:rsidR="002D7E41" w:rsidRPr="00237B98">
        <w:rPr>
          <w:rFonts w:asciiTheme="majorBidi" w:hAnsiTheme="majorBidi" w:cstheme="majorBidi"/>
          <w:sz w:val="24"/>
          <w:szCs w:val="24"/>
          <w:shd w:val="clear" w:color="auto" w:fill="FFFFFF"/>
        </w:rPr>
        <w:t>94</w:t>
      </w:r>
      <w:r w:rsidR="00270135" w:rsidRPr="00237B98">
        <w:rPr>
          <w:rFonts w:asciiTheme="majorBidi" w:hAnsiTheme="majorBidi" w:cstheme="majorBidi"/>
          <w:sz w:val="24"/>
          <w:szCs w:val="24"/>
          <w:shd w:val="clear" w:color="auto" w:fill="FFFFFF"/>
        </w:rPr>
        <w:t>(2):</w:t>
      </w:r>
      <w:r w:rsidR="002D7E41" w:rsidRPr="00237B98">
        <w:rPr>
          <w:rFonts w:asciiTheme="majorBidi" w:hAnsiTheme="majorBidi" w:cstheme="majorBidi"/>
          <w:sz w:val="24"/>
          <w:szCs w:val="24"/>
          <w:shd w:val="clear" w:color="auto" w:fill="FFFFFF"/>
        </w:rPr>
        <w:t xml:space="preserve"> 291-309.</w:t>
      </w:r>
    </w:p>
    <w:p w14:paraId="2F3F4346" w14:textId="0D9A625B" w:rsidR="00720D54" w:rsidRPr="00720D54" w:rsidRDefault="00720D54" w:rsidP="00720D54">
      <w:pPr>
        <w:spacing w:after="0" w:line="240" w:lineRule="auto"/>
        <w:ind w:left="170" w:hanging="170"/>
        <w:jc w:val="both"/>
        <w:rPr>
          <w:rFonts w:asciiTheme="majorBidi" w:hAnsiTheme="majorBidi" w:cstheme="majorBidi"/>
          <w:sz w:val="24"/>
          <w:szCs w:val="24"/>
          <w:shd w:val="clear" w:color="auto" w:fill="FFFFFF"/>
        </w:rPr>
      </w:pPr>
      <w:proofErr w:type="spellStart"/>
      <w:r w:rsidRPr="00720D54">
        <w:rPr>
          <w:rFonts w:asciiTheme="majorBidi" w:hAnsiTheme="majorBidi" w:cstheme="majorBidi"/>
          <w:sz w:val="24"/>
          <w:szCs w:val="24"/>
          <w:shd w:val="clear" w:color="auto" w:fill="FFFFFF"/>
        </w:rPr>
        <w:t>Bachan</w:t>
      </w:r>
      <w:proofErr w:type="spellEnd"/>
      <w:r w:rsidRPr="00720D54">
        <w:rPr>
          <w:rFonts w:asciiTheme="majorBidi" w:hAnsiTheme="majorBidi" w:cstheme="majorBidi"/>
          <w:sz w:val="24"/>
          <w:szCs w:val="24"/>
          <w:shd w:val="clear" w:color="auto" w:fill="FFFFFF"/>
        </w:rPr>
        <w:t xml:space="preserve"> R and Reilly B (2015) Is UK vice chancellor pay justified by university performance? </w:t>
      </w:r>
      <w:r w:rsidRPr="00720D54">
        <w:rPr>
          <w:rFonts w:asciiTheme="majorBidi" w:hAnsiTheme="majorBidi" w:cstheme="majorBidi"/>
          <w:i/>
          <w:iCs/>
          <w:sz w:val="24"/>
          <w:szCs w:val="24"/>
          <w:shd w:val="clear" w:color="auto" w:fill="FFFFFF"/>
        </w:rPr>
        <w:t>Fiscal Studies</w:t>
      </w:r>
      <w:r w:rsidRPr="00720D54">
        <w:rPr>
          <w:rFonts w:asciiTheme="majorBidi" w:hAnsiTheme="majorBidi" w:cstheme="majorBidi"/>
          <w:sz w:val="24"/>
          <w:szCs w:val="24"/>
          <w:shd w:val="clear" w:color="auto" w:fill="FFFFFF"/>
        </w:rPr>
        <w:t> 36(1): 51-73.</w:t>
      </w:r>
    </w:p>
    <w:p w14:paraId="7BC45438" w14:textId="6895A370" w:rsidR="00E74B07" w:rsidRPr="00327EA6" w:rsidRDefault="00E74B07" w:rsidP="00714D0E">
      <w:pPr>
        <w:spacing w:after="0" w:line="240" w:lineRule="auto"/>
        <w:ind w:left="170" w:hanging="170"/>
        <w:jc w:val="both"/>
        <w:rPr>
          <w:rFonts w:ascii="Times New Roman" w:hAnsi="Times New Roman" w:cs="Times New Roman"/>
          <w:sz w:val="24"/>
          <w:szCs w:val="24"/>
          <w:shd w:val="clear" w:color="auto" w:fill="FFFFFF"/>
        </w:rPr>
      </w:pPr>
      <w:bookmarkStart w:id="8" w:name="_Hlk99445418"/>
      <w:proofErr w:type="spellStart"/>
      <w:r w:rsidRPr="00327EA6">
        <w:rPr>
          <w:rFonts w:ascii="Times New Roman" w:hAnsi="Times New Roman" w:cs="Times New Roman"/>
          <w:sz w:val="24"/>
          <w:szCs w:val="24"/>
          <w:shd w:val="clear" w:color="auto" w:fill="FFFFFF"/>
        </w:rPr>
        <w:t>Ballo</w:t>
      </w:r>
      <w:proofErr w:type="spellEnd"/>
      <w:r w:rsidRPr="00327EA6">
        <w:rPr>
          <w:rFonts w:ascii="Times New Roman" w:hAnsi="Times New Roman" w:cs="Times New Roman"/>
          <w:sz w:val="24"/>
          <w:szCs w:val="24"/>
          <w:shd w:val="clear" w:color="auto" w:fill="FFFFFF"/>
        </w:rPr>
        <w:t xml:space="preserve"> JG (2020) Labour market participation for young people with disabilities: The impact of gender and higher education. </w:t>
      </w:r>
      <w:r w:rsidRPr="00327EA6">
        <w:rPr>
          <w:rFonts w:ascii="Times New Roman" w:hAnsi="Times New Roman" w:cs="Times New Roman"/>
          <w:i/>
          <w:iCs/>
          <w:sz w:val="24"/>
          <w:szCs w:val="24"/>
          <w:shd w:val="clear" w:color="auto" w:fill="FFFFFF"/>
        </w:rPr>
        <w:t xml:space="preserve">Work, Employment </w:t>
      </w:r>
      <w:r w:rsidR="0090362A">
        <w:rPr>
          <w:rFonts w:ascii="Times New Roman" w:hAnsi="Times New Roman" w:cs="Times New Roman"/>
          <w:i/>
          <w:iCs/>
          <w:sz w:val="24"/>
          <w:szCs w:val="24"/>
          <w:shd w:val="clear" w:color="auto" w:fill="FFFFFF"/>
        </w:rPr>
        <w:t>&amp;</w:t>
      </w:r>
      <w:r w:rsidR="0090362A" w:rsidRPr="00327EA6">
        <w:rPr>
          <w:rFonts w:ascii="Times New Roman" w:hAnsi="Times New Roman" w:cs="Times New Roman"/>
          <w:i/>
          <w:iCs/>
          <w:sz w:val="24"/>
          <w:szCs w:val="24"/>
          <w:shd w:val="clear" w:color="auto" w:fill="FFFFFF"/>
        </w:rPr>
        <w:t xml:space="preserve"> </w:t>
      </w:r>
      <w:r w:rsidRPr="00327EA6">
        <w:rPr>
          <w:rFonts w:ascii="Times New Roman" w:hAnsi="Times New Roman" w:cs="Times New Roman"/>
          <w:i/>
          <w:iCs/>
          <w:sz w:val="24"/>
          <w:szCs w:val="24"/>
          <w:shd w:val="clear" w:color="auto" w:fill="FFFFFF"/>
        </w:rPr>
        <w:t>Society</w:t>
      </w:r>
      <w:r w:rsidRPr="00327EA6">
        <w:rPr>
          <w:rFonts w:ascii="Times New Roman" w:hAnsi="Times New Roman" w:cs="Times New Roman"/>
          <w:sz w:val="24"/>
          <w:szCs w:val="24"/>
          <w:shd w:val="clear" w:color="auto" w:fill="FFFFFF"/>
        </w:rPr>
        <w:t> 34(2)</w:t>
      </w:r>
      <w:r w:rsidR="004149CD" w:rsidRPr="00327EA6">
        <w:rPr>
          <w:rFonts w:ascii="Times New Roman" w:hAnsi="Times New Roman" w:cs="Times New Roman"/>
          <w:sz w:val="24"/>
          <w:szCs w:val="24"/>
          <w:shd w:val="clear" w:color="auto" w:fill="FFFFFF"/>
        </w:rPr>
        <w:t>:</w:t>
      </w:r>
      <w:r w:rsidRPr="00327EA6">
        <w:rPr>
          <w:rFonts w:ascii="Times New Roman" w:hAnsi="Times New Roman" w:cs="Times New Roman"/>
          <w:sz w:val="24"/>
          <w:szCs w:val="24"/>
          <w:shd w:val="clear" w:color="auto" w:fill="FFFFFF"/>
        </w:rPr>
        <w:t xml:space="preserve"> 336-355.</w:t>
      </w:r>
    </w:p>
    <w:p w14:paraId="5C050B33" w14:textId="38502FC1" w:rsidR="000345E3" w:rsidRDefault="00D52F99" w:rsidP="00714D0E">
      <w:pPr>
        <w:spacing w:after="0" w:line="240" w:lineRule="auto"/>
        <w:ind w:left="170" w:hanging="170"/>
        <w:jc w:val="both"/>
        <w:rPr>
          <w:rFonts w:asciiTheme="majorBidi" w:hAnsiTheme="majorBidi" w:cstheme="majorBidi"/>
          <w:noProof/>
          <w:sz w:val="24"/>
          <w:szCs w:val="24"/>
        </w:rPr>
      </w:pPr>
      <w:bookmarkStart w:id="9" w:name="_Hlk46584900"/>
      <w:bookmarkEnd w:id="8"/>
      <w:r w:rsidRPr="00237B98">
        <w:rPr>
          <w:rFonts w:asciiTheme="majorBidi" w:hAnsiTheme="majorBidi" w:cstheme="majorBidi"/>
          <w:bCs/>
          <w:noProof/>
          <w:sz w:val="24"/>
          <w:szCs w:val="24"/>
        </w:rPr>
        <w:t>Bebchuk L</w:t>
      </w:r>
      <w:r w:rsidR="000345E3" w:rsidRPr="00237B98">
        <w:rPr>
          <w:rFonts w:asciiTheme="majorBidi" w:hAnsiTheme="majorBidi" w:cstheme="majorBidi"/>
          <w:bCs/>
          <w:noProof/>
          <w:sz w:val="24"/>
          <w:szCs w:val="24"/>
        </w:rPr>
        <w:t>A, Fried</w:t>
      </w:r>
      <w:r w:rsidRPr="00237B98">
        <w:rPr>
          <w:rFonts w:asciiTheme="majorBidi" w:hAnsiTheme="majorBidi" w:cstheme="majorBidi"/>
          <w:bCs/>
          <w:noProof/>
          <w:sz w:val="24"/>
          <w:szCs w:val="24"/>
        </w:rPr>
        <w:t xml:space="preserve"> J</w:t>
      </w:r>
      <w:r w:rsidR="000345E3" w:rsidRPr="00237B98">
        <w:rPr>
          <w:rFonts w:asciiTheme="majorBidi" w:hAnsiTheme="majorBidi" w:cstheme="majorBidi"/>
          <w:bCs/>
          <w:noProof/>
          <w:sz w:val="24"/>
          <w:szCs w:val="24"/>
        </w:rPr>
        <w:t>M and Walker</w:t>
      </w:r>
      <w:r w:rsidRPr="00237B98">
        <w:rPr>
          <w:rFonts w:asciiTheme="majorBidi" w:hAnsiTheme="majorBidi" w:cstheme="majorBidi"/>
          <w:bCs/>
          <w:noProof/>
          <w:sz w:val="24"/>
          <w:szCs w:val="24"/>
        </w:rPr>
        <w:t xml:space="preserve"> D</w:t>
      </w:r>
      <w:r w:rsidR="00714D0E" w:rsidRPr="00237B98">
        <w:rPr>
          <w:rFonts w:asciiTheme="majorBidi" w:hAnsiTheme="majorBidi" w:cstheme="majorBidi"/>
          <w:bCs/>
          <w:noProof/>
          <w:sz w:val="24"/>
          <w:szCs w:val="24"/>
        </w:rPr>
        <w:t xml:space="preserve">I </w:t>
      </w:r>
      <w:r w:rsidRPr="00237B98">
        <w:rPr>
          <w:rFonts w:asciiTheme="majorBidi" w:hAnsiTheme="majorBidi" w:cstheme="majorBidi"/>
          <w:bCs/>
          <w:noProof/>
          <w:sz w:val="24"/>
          <w:szCs w:val="24"/>
        </w:rPr>
        <w:t>(</w:t>
      </w:r>
      <w:r w:rsidR="000345E3" w:rsidRPr="00237B98">
        <w:rPr>
          <w:rFonts w:asciiTheme="majorBidi" w:hAnsiTheme="majorBidi" w:cstheme="majorBidi"/>
          <w:noProof/>
          <w:sz w:val="24"/>
          <w:szCs w:val="24"/>
        </w:rPr>
        <w:t>2002</w:t>
      </w:r>
      <w:r w:rsidRPr="00237B98">
        <w:rPr>
          <w:rFonts w:asciiTheme="majorBidi" w:hAnsiTheme="majorBidi" w:cstheme="majorBidi"/>
          <w:noProof/>
          <w:sz w:val="24"/>
          <w:szCs w:val="24"/>
        </w:rPr>
        <w:t>)</w:t>
      </w:r>
      <w:r w:rsidR="000345E3" w:rsidRPr="00237B98">
        <w:rPr>
          <w:rFonts w:asciiTheme="majorBidi" w:hAnsiTheme="majorBidi" w:cstheme="majorBidi"/>
          <w:noProof/>
          <w:sz w:val="24"/>
          <w:szCs w:val="24"/>
        </w:rPr>
        <w:t xml:space="preserve"> Managerial power and rent extraction in the design of executive compensation. </w:t>
      </w:r>
      <w:r w:rsidR="000345E3" w:rsidRPr="00237B98">
        <w:rPr>
          <w:rFonts w:asciiTheme="majorBidi" w:hAnsiTheme="majorBidi" w:cstheme="majorBidi"/>
          <w:bCs/>
          <w:i/>
          <w:iCs/>
          <w:sz w:val="24"/>
          <w:szCs w:val="24"/>
          <w:shd w:val="clear" w:color="auto" w:fill="FFFFFF"/>
        </w:rPr>
        <w:t>University of Chicago Law Review</w:t>
      </w:r>
      <w:r w:rsidR="000345E3" w:rsidRPr="00237B98">
        <w:rPr>
          <w:rFonts w:asciiTheme="majorBidi" w:hAnsiTheme="majorBidi" w:cstheme="majorBidi"/>
          <w:i/>
          <w:iCs/>
          <w:noProof/>
          <w:sz w:val="24"/>
          <w:szCs w:val="24"/>
        </w:rPr>
        <w:t xml:space="preserve"> </w:t>
      </w:r>
      <w:r w:rsidR="000345E3" w:rsidRPr="00237B98">
        <w:rPr>
          <w:rFonts w:asciiTheme="majorBidi" w:hAnsiTheme="majorBidi" w:cstheme="majorBidi"/>
          <w:bCs/>
          <w:iCs/>
          <w:noProof/>
          <w:sz w:val="24"/>
          <w:szCs w:val="24"/>
        </w:rPr>
        <w:t>69</w:t>
      </w:r>
      <w:r w:rsidR="00714D0E" w:rsidRPr="00237B98">
        <w:rPr>
          <w:rFonts w:asciiTheme="majorBidi" w:hAnsiTheme="majorBidi" w:cstheme="majorBidi"/>
          <w:bCs/>
          <w:noProof/>
          <w:sz w:val="24"/>
          <w:szCs w:val="24"/>
        </w:rPr>
        <w:t>:</w:t>
      </w:r>
      <w:r w:rsidR="000345E3" w:rsidRPr="00237B98">
        <w:rPr>
          <w:rFonts w:asciiTheme="majorBidi" w:hAnsiTheme="majorBidi" w:cstheme="majorBidi"/>
          <w:noProof/>
          <w:sz w:val="24"/>
          <w:szCs w:val="24"/>
        </w:rPr>
        <w:t xml:space="preserve"> 751–846.</w:t>
      </w:r>
    </w:p>
    <w:p w14:paraId="04651B7C" w14:textId="2C5E3BF8" w:rsidR="00720D54" w:rsidRPr="00720D54" w:rsidRDefault="00720D54" w:rsidP="00720D54">
      <w:pPr>
        <w:spacing w:after="0" w:line="240" w:lineRule="auto"/>
        <w:ind w:left="170" w:hanging="170"/>
        <w:jc w:val="both"/>
        <w:rPr>
          <w:rFonts w:asciiTheme="majorBidi" w:hAnsiTheme="majorBidi" w:cstheme="majorBidi"/>
          <w:sz w:val="24"/>
          <w:szCs w:val="24"/>
          <w:shd w:val="clear" w:color="auto" w:fill="FFFFFF"/>
        </w:rPr>
      </w:pPr>
      <w:bookmarkStart w:id="10" w:name="_Hlk105017947"/>
      <w:r w:rsidRPr="00720D54">
        <w:rPr>
          <w:rFonts w:asciiTheme="majorBidi" w:hAnsiTheme="majorBidi" w:cstheme="majorBidi"/>
          <w:sz w:val="24"/>
          <w:szCs w:val="24"/>
          <w:shd w:val="clear" w:color="auto" w:fill="FFFFFF"/>
        </w:rPr>
        <w:t>Boden R and Rowlands J (2020</w:t>
      </w:r>
      <w:bookmarkEnd w:id="10"/>
      <w:r w:rsidRPr="00720D54">
        <w:rPr>
          <w:rFonts w:asciiTheme="majorBidi" w:hAnsiTheme="majorBidi" w:cstheme="majorBidi"/>
          <w:sz w:val="24"/>
          <w:szCs w:val="24"/>
          <w:shd w:val="clear" w:color="auto" w:fill="FFFFFF"/>
        </w:rPr>
        <w:t xml:space="preserve">) Paying the piper: </w:t>
      </w:r>
      <w:r w:rsidR="00221A14">
        <w:rPr>
          <w:rFonts w:asciiTheme="majorBidi" w:hAnsiTheme="majorBidi" w:cstheme="majorBidi"/>
          <w:sz w:val="24"/>
          <w:szCs w:val="24"/>
          <w:shd w:val="clear" w:color="auto" w:fill="FFFFFF"/>
        </w:rPr>
        <w:t>T</w:t>
      </w:r>
      <w:r w:rsidRPr="00720D54">
        <w:rPr>
          <w:rFonts w:asciiTheme="majorBidi" w:hAnsiTheme="majorBidi" w:cstheme="majorBidi"/>
          <w:sz w:val="24"/>
          <w:szCs w:val="24"/>
          <w:shd w:val="clear" w:color="auto" w:fill="FFFFFF"/>
        </w:rPr>
        <w:t>he governance of vice-chancellors’ remuneration in Australian and UK universities. </w:t>
      </w:r>
      <w:r w:rsidRPr="00720D54">
        <w:rPr>
          <w:rFonts w:asciiTheme="majorBidi" w:hAnsiTheme="majorBidi" w:cstheme="majorBidi"/>
          <w:i/>
          <w:iCs/>
          <w:sz w:val="24"/>
          <w:szCs w:val="24"/>
          <w:shd w:val="clear" w:color="auto" w:fill="FFFFFF"/>
        </w:rPr>
        <w:t>Higher Education Research &amp; Development</w:t>
      </w:r>
      <w:r w:rsidRPr="00720D54">
        <w:rPr>
          <w:rFonts w:asciiTheme="majorBidi" w:hAnsiTheme="majorBidi" w:cstheme="majorBidi"/>
          <w:sz w:val="24"/>
          <w:szCs w:val="24"/>
          <w:shd w:val="clear" w:color="auto" w:fill="FFFFFF"/>
        </w:rPr>
        <w:t xml:space="preserve"> 1-15.</w:t>
      </w:r>
    </w:p>
    <w:bookmarkEnd w:id="9"/>
    <w:p w14:paraId="6880E4AD" w14:textId="24FE92D0" w:rsidR="00344DCE" w:rsidRPr="0090362A" w:rsidRDefault="00344DCE" w:rsidP="00714D0E">
      <w:pPr>
        <w:spacing w:after="0" w:line="240" w:lineRule="auto"/>
        <w:ind w:left="170" w:hanging="170"/>
        <w:jc w:val="both"/>
        <w:rPr>
          <w:rFonts w:asciiTheme="majorBidi" w:hAnsiTheme="majorBidi" w:cstheme="majorBidi"/>
          <w:sz w:val="24"/>
          <w:szCs w:val="24"/>
        </w:rPr>
      </w:pPr>
      <w:r w:rsidRPr="00237B98">
        <w:rPr>
          <w:rFonts w:asciiTheme="majorBidi" w:hAnsiTheme="majorBidi" w:cstheme="majorBidi"/>
          <w:sz w:val="24"/>
          <w:szCs w:val="24"/>
        </w:rPr>
        <w:t>Bone J (2006) ‘The longest day’:</w:t>
      </w:r>
      <w:r w:rsidR="00221A14">
        <w:rPr>
          <w:rFonts w:asciiTheme="majorBidi" w:hAnsiTheme="majorBidi" w:cstheme="majorBidi"/>
          <w:sz w:val="24"/>
          <w:szCs w:val="24"/>
        </w:rPr>
        <w:t xml:space="preserve"> </w:t>
      </w:r>
      <w:r w:rsidRPr="00237B98">
        <w:rPr>
          <w:rFonts w:asciiTheme="majorBidi" w:hAnsiTheme="majorBidi" w:cstheme="majorBidi"/>
          <w:sz w:val="24"/>
          <w:szCs w:val="24"/>
        </w:rPr>
        <w:t>‘</w:t>
      </w:r>
      <w:proofErr w:type="spellStart"/>
      <w:r w:rsidR="00221A14">
        <w:rPr>
          <w:rFonts w:asciiTheme="majorBidi" w:hAnsiTheme="majorBidi" w:cstheme="majorBidi"/>
          <w:sz w:val="24"/>
          <w:szCs w:val="24"/>
        </w:rPr>
        <w:t>F</w:t>
      </w:r>
      <w:r w:rsidRPr="00237B98">
        <w:rPr>
          <w:rFonts w:asciiTheme="majorBidi" w:hAnsiTheme="majorBidi" w:cstheme="majorBidi"/>
          <w:sz w:val="24"/>
          <w:szCs w:val="24"/>
        </w:rPr>
        <w:t>lexible’contracts</w:t>
      </w:r>
      <w:proofErr w:type="spellEnd"/>
      <w:r w:rsidRPr="00237B98">
        <w:rPr>
          <w:rFonts w:asciiTheme="majorBidi" w:hAnsiTheme="majorBidi" w:cstheme="majorBidi"/>
          <w:sz w:val="24"/>
          <w:szCs w:val="24"/>
        </w:rPr>
        <w:t>, performance-related pay and risk shifting in the UK direct selling sector. </w:t>
      </w:r>
      <w:r w:rsidRPr="00237B98">
        <w:rPr>
          <w:rFonts w:asciiTheme="majorBidi" w:hAnsiTheme="majorBidi" w:cstheme="majorBidi"/>
          <w:i/>
          <w:sz w:val="24"/>
          <w:szCs w:val="24"/>
        </w:rPr>
        <w:t xml:space="preserve">Work, Employment </w:t>
      </w:r>
      <w:r w:rsidR="0090362A">
        <w:rPr>
          <w:rFonts w:asciiTheme="majorBidi" w:hAnsiTheme="majorBidi" w:cstheme="majorBidi"/>
          <w:i/>
          <w:sz w:val="24"/>
          <w:szCs w:val="24"/>
        </w:rPr>
        <w:t>&amp;</w:t>
      </w:r>
      <w:r w:rsidR="0090362A" w:rsidRPr="0090362A">
        <w:rPr>
          <w:rFonts w:asciiTheme="majorBidi" w:hAnsiTheme="majorBidi" w:cstheme="majorBidi"/>
          <w:i/>
          <w:sz w:val="24"/>
          <w:szCs w:val="24"/>
        </w:rPr>
        <w:t xml:space="preserve"> </w:t>
      </w:r>
      <w:r w:rsidRPr="0090362A">
        <w:rPr>
          <w:rFonts w:asciiTheme="majorBidi" w:hAnsiTheme="majorBidi" w:cstheme="majorBidi"/>
          <w:i/>
          <w:sz w:val="24"/>
          <w:szCs w:val="24"/>
        </w:rPr>
        <w:t>Society</w:t>
      </w:r>
      <w:r w:rsidRPr="0090362A">
        <w:rPr>
          <w:rFonts w:asciiTheme="majorBidi" w:hAnsiTheme="majorBidi" w:cstheme="majorBidi"/>
          <w:sz w:val="24"/>
          <w:szCs w:val="24"/>
        </w:rPr>
        <w:t> 20(1), 109-127.</w:t>
      </w:r>
    </w:p>
    <w:p w14:paraId="4EADD7A8" w14:textId="5552F061" w:rsidR="002D7E41" w:rsidRPr="00237B98" w:rsidRDefault="007F3D01" w:rsidP="00714D0E">
      <w:pPr>
        <w:spacing w:after="0" w:line="240" w:lineRule="auto"/>
        <w:ind w:left="170" w:hanging="170"/>
        <w:jc w:val="both"/>
        <w:rPr>
          <w:rFonts w:asciiTheme="majorBidi" w:hAnsiTheme="majorBidi" w:cstheme="majorBidi"/>
          <w:sz w:val="24"/>
          <w:szCs w:val="24"/>
          <w:shd w:val="clear" w:color="auto" w:fill="FFFFFF"/>
        </w:rPr>
      </w:pPr>
      <w:bookmarkStart w:id="11" w:name="_Hlk67828582"/>
      <w:r w:rsidRPr="0090362A">
        <w:rPr>
          <w:rFonts w:asciiTheme="majorBidi" w:hAnsiTheme="majorBidi" w:cstheme="majorBidi"/>
          <w:sz w:val="24"/>
          <w:szCs w:val="24"/>
          <w:shd w:val="clear" w:color="auto" w:fill="FFFFFF"/>
        </w:rPr>
        <w:t xml:space="preserve">Breakwell GM and </w:t>
      </w:r>
      <w:proofErr w:type="spellStart"/>
      <w:r w:rsidRPr="0090362A">
        <w:rPr>
          <w:rFonts w:asciiTheme="majorBidi" w:hAnsiTheme="majorBidi" w:cstheme="majorBidi"/>
          <w:sz w:val="24"/>
          <w:szCs w:val="24"/>
          <w:shd w:val="clear" w:color="auto" w:fill="FFFFFF"/>
        </w:rPr>
        <w:t>Tytherleigh</w:t>
      </w:r>
      <w:proofErr w:type="spellEnd"/>
      <w:r w:rsidRPr="0090362A">
        <w:rPr>
          <w:rFonts w:asciiTheme="majorBidi" w:hAnsiTheme="majorBidi" w:cstheme="majorBidi"/>
          <w:sz w:val="24"/>
          <w:szCs w:val="24"/>
          <w:shd w:val="clear" w:color="auto" w:fill="FFFFFF"/>
        </w:rPr>
        <w:t xml:space="preserve"> MY (</w:t>
      </w:r>
      <w:r w:rsidR="002D7E41" w:rsidRPr="0090362A">
        <w:rPr>
          <w:rFonts w:asciiTheme="majorBidi" w:hAnsiTheme="majorBidi" w:cstheme="majorBidi"/>
          <w:sz w:val="24"/>
          <w:szCs w:val="24"/>
          <w:shd w:val="clear" w:color="auto" w:fill="FFFFFF"/>
        </w:rPr>
        <w:t>2010</w:t>
      </w:r>
      <w:r w:rsidRPr="0090362A">
        <w:rPr>
          <w:rFonts w:asciiTheme="majorBidi" w:hAnsiTheme="majorBidi" w:cstheme="majorBidi"/>
          <w:sz w:val="24"/>
          <w:szCs w:val="24"/>
          <w:shd w:val="clear" w:color="auto" w:fill="FFFFFF"/>
        </w:rPr>
        <w:t>)</w:t>
      </w:r>
      <w:r w:rsidR="002D7E41" w:rsidRPr="0090362A">
        <w:rPr>
          <w:rFonts w:asciiTheme="majorBidi" w:hAnsiTheme="majorBidi" w:cstheme="majorBidi"/>
          <w:sz w:val="24"/>
          <w:szCs w:val="24"/>
          <w:shd w:val="clear" w:color="auto" w:fill="FFFFFF"/>
        </w:rPr>
        <w:t xml:space="preserve"> University leaders and university performance in the United Kingdom: </w:t>
      </w:r>
      <w:r w:rsidR="00221A14">
        <w:rPr>
          <w:rFonts w:asciiTheme="majorBidi" w:hAnsiTheme="majorBidi" w:cstheme="majorBidi"/>
          <w:sz w:val="24"/>
          <w:szCs w:val="24"/>
          <w:shd w:val="clear" w:color="auto" w:fill="FFFFFF"/>
        </w:rPr>
        <w:t>I</w:t>
      </w:r>
      <w:r w:rsidR="002D7E41" w:rsidRPr="0090362A">
        <w:rPr>
          <w:rFonts w:asciiTheme="majorBidi" w:hAnsiTheme="majorBidi" w:cstheme="majorBidi"/>
          <w:sz w:val="24"/>
          <w:szCs w:val="24"/>
          <w:shd w:val="clear" w:color="auto" w:fill="FFFFFF"/>
        </w:rPr>
        <w:t>s it ‘who’</w:t>
      </w:r>
      <w:r w:rsidRPr="00237B98">
        <w:rPr>
          <w:rFonts w:asciiTheme="majorBidi" w:hAnsiTheme="majorBidi" w:cstheme="majorBidi"/>
          <w:sz w:val="24"/>
          <w:szCs w:val="24"/>
          <w:shd w:val="clear" w:color="auto" w:fill="FFFFFF"/>
        </w:rPr>
        <w:t xml:space="preserve"> </w:t>
      </w:r>
      <w:r w:rsidR="002D7E41" w:rsidRPr="00237B98">
        <w:rPr>
          <w:rFonts w:asciiTheme="majorBidi" w:hAnsiTheme="majorBidi" w:cstheme="majorBidi"/>
          <w:sz w:val="24"/>
          <w:szCs w:val="24"/>
          <w:shd w:val="clear" w:color="auto" w:fill="FFFFFF"/>
        </w:rPr>
        <w:t>leads, or ‘where’</w:t>
      </w:r>
      <w:r w:rsidRPr="00237B98">
        <w:rPr>
          <w:rFonts w:asciiTheme="majorBidi" w:hAnsiTheme="majorBidi" w:cstheme="majorBidi"/>
          <w:sz w:val="24"/>
          <w:szCs w:val="24"/>
          <w:shd w:val="clear" w:color="auto" w:fill="FFFFFF"/>
        </w:rPr>
        <w:t xml:space="preserve"> </w:t>
      </w:r>
      <w:r w:rsidR="002D7E41" w:rsidRPr="00237B98">
        <w:rPr>
          <w:rFonts w:asciiTheme="majorBidi" w:hAnsiTheme="majorBidi" w:cstheme="majorBidi"/>
          <w:sz w:val="24"/>
          <w:szCs w:val="24"/>
          <w:shd w:val="clear" w:color="auto" w:fill="FFFFFF"/>
        </w:rPr>
        <w:t>they lead that matters most? </w:t>
      </w:r>
      <w:r w:rsidR="002D7E41" w:rsidRPr="00237B98">
        <w:rPr>
          <w:rFonts w:asciiTheme="majorBidi" w:hAnsiTheme="majorBidi" w:cstheme="majorBidi"/>
          <w:bCs/>
          <w:i/>
          <w:iCs/>
          <w:sz w:val="24"/>
          <w:szCs w:val="24"/>
          <w:shd w:val="clear" w:color="auto" w:fill="FFFFFF"/>
        </w:rPr>
        <w:t>Higher Education</w:t>
      </w:r>
      <w:r w:rsidR="002D7E41" w:rsidRPr="00237B98">
        <w:rPr>
          <w:rFonts w:asciiTheme="majorBidi" w:hAnsiTheme="majorBidi" w:cstheme="majorBidi"/>
          <w:i/>
          <w:iCs/>
          <w:sz w:val="24"/>
          <w:szCs w:val="24"/>
          <w:shd w:val="clear" w:color="auto" w:fill="FFFFFF"/>
        </w:rPr>
        <w:t> </w:t>
      </w:r>
      <w:r w:rsidR="002D7E41" w:rsidRPr="00237B98">
        <w:rPr>
          <w:rFonts w:asciiTheme="majorBidi" w:hAnsiTheme="majorBidi" w:cstheme="majorBidi"/>
          <w:sz w:val="24"/>
          <w:szCs w:val="24"/>
          <w:shd w:val="clear" w:color="auto" w:fill="FFFFFF"/>
        </w:rPr>
        <w:t>60</w:t>
      </w:r>
      <w:r w:rsidR="00714D0E" w:rsidRPr="00237B98">
        <w:rPr>
          <w:rFonts w:asciiTheme="majorBidi" w:hAnsiTheme="majorBidi" w:cstheme="majorBidi"/>
          <w:sz w:val="24"/>
          <w:szCs w:val="24"/>
          <w:shd w:val="clear" w:color="auto" w:fill="FFFFFF"/>
        </w:rPr>
        <w:t>(5):</w:t>
      </w:r>
      <w:r w:rsidR="002D7E41" w:rsidRPr="00237B98">
        <w:rPr>
          <w:rFonts w:asciiTheme="majorBidi" w:hAnsiTheme="majorBidi" w:cstheme="majorBidi"/>
          <w:sz w:val="24"/>
          <w:szCs w:val="24"/>
          <w:shd w:val="clear" w:color="auto" w:fill="FFFFFF"/>
        </w:rPr>
        <w:t xml:space="preserve"> 491-506.</w:t>
      </w:r>
    </w:p>
    <w:bookmarkEnd w:id="11"/>
    <w:p w14:paraId="289B6343" w14:textId="405F62D4" w:rsidR="00242C0E" w:rsidRDefault="007F3D01" w:rsidP="00714D0E">
      <w:pPr>
        <w:spacing w:after="0" w:line="240" w:lineRule="auto"/>
        <w:ind w:left="170" w:hanging="170"/>
        <w:jc w:val="both"/>
        <w:rPr>
          <w:rFonts w:asciiTheme="majorBidi" w:hAnsiTheme="majorBidi" w:cstheme="majorBidi"/>
          <w:sz w:val="24"/>
          <w:szCs w:val="24"/>
          <w:shd w:val="clear" w:color="auto" w:fill="FFFFFF"/>
        </w:rPr>
      </w:pPr>
      <w:proofErr w:type="spellStart"/>
      <w:r w:rsidRPr="00237B98">
        <w:rPr>
          <w:rFonts w:asciiTheme="majorBidi" w:hAnsiTheme="majorBidi" w:cstheme="majorBidi"/>
          <w:sz w:val="24"/>
          <w:szCs w:val="24"/>
          <w:shd w:val="clear" w:color="auto" w:fill="FFFFFF"/>
        </w:rPr>
        <w:t>Brickley</w:t>
      </w:r>
      <w:proofErr w:type="spellEnd"/>
      <w:r w:rsidRPr="00237B98">
        <w:rPr>
          <w:rFonts w:asciiTheme="majorBidi" w:hAnsiTheme="majorBidi" w:cstheme="majorBidi"/>
          <w:sz w:val="24"/>
          <w:szCs w:val="24"/>
          <w:shd w:val="clear" w:color="auto" w:fill="FFFFFF"/>
        </w:rPr>
        <w:t xml:space="preserve"> JA,</w:t>
      </w:r>
      <w:r w:rsidR="00242C0E" w:rsidRPr="00237B98">
        <w:rPr>
          <w:rFonts w:asciiTheme="majorBidi" w:hAnsiTheme="majorBidi" w:cstheme="majorBidi"/>
          <w:sz w:val="24"/>
          <w:szCs w:val="24"/>
          <w:shd w:val="clear" w:color="auto" w:fill="FFFFFF"/>
        </w:rPr>
        <w:t xml:space="preserve"> V</w:t>
      </w:r>
      <w:r w:rsidRPr="00237B98">
        <w:rPr>
          <w:rFonts w:asciiTheme="majorBidi" w:hAnsiTheme="majorBidi" w:cstheme="majorBidi"/>
          <w:sz w:val="24"/>
          <w:szCs w:val="24"/>
          <w:shd w:val="clear" w:color="auto" w:fill="FFFFFF"/>
        </w:rPr>
        <w:t xml:space="preserve">an Horn RL and </w:t>
      </w:r>
      <w:proofErr w:type="spellStart"/>
      <w:r w:rsidRPr="00237B98">
        <w:rPr>
          <w:rFonts w:asciiTheme="majorBidi" w:hAnsiTheme="majorBidi" w:cstheme="majorBidi"/>
          <w:sz w:val="24"/>
          <w:szCs w:val="24"/>
          <w:shd w:val="clear" w:color="auto" w:fill="FFFFFF"/>
        </w:rPr>
        <w:t>Wedig</w:t>
      </w:r>
      <w:proofErr w:type="spellEnd"/>
      <w:r w:rsidRPr="00237B98">
        <w:rPr>
          <w:rFonts w:asciiTheme="majorBidi" w:hAnsiTheme="majorBidi" w:cstheme="majorBidi"/>
          <w:sz w:val="24"/>
          <w:szCs w:val="24"/>
          <w:shd w:val="clear" w:color="auto" w:fill="FFFFFF"/>
        </w:rPr>
        <w:t xml:space="preserve"> GJ (</w:t>
      </w:r>
      <w:r w:rsidR="00242C0E" w:rsidRPr="00237B98">
        <w:rPr>
          <w:rFonts w:asciiTheme="majorBidi" w:hAnsiTheme="majorBidi" w:cstheme="majorBidi"/>
          <w:sz w:val="24"/>
          <w:szCs w:val="24"/>
          <w:shd w:val="clear" w:color="auto" w:fill="FFFFFF"/>
        </w:rPr>
        <w:t>2010</w:t>
      </w:r>
      <w:r w:rsidRPr="00237B98">
        <w:rPr>
          <w:rFonts w:asciiTheme="majorBidi" w:hAnsiTheme="majorBidi" w:cstheme="majorBidi"/>
          <w:sz w:val="24"/>
          <w:szCs w:val="24"/>
          <w:shd w:val="clear" w:color="auto" w:fill="FFFFFF"/>
        </w:rPr>
        <w:t>)</w:t>
      </w:r>
      <w:r w:rsidR="00242C0E" w:rsidRPr="00237B98">
        <w:rPr>
          <w:rFonts w:asciiTheme="majorBidi" w:hAnsiTheme="majorBidi" w:cstheme="majorBidi"/>
          <w:sz w:val="24"/>
          <w:szCs w:val="24"/>
          <w:shd w:val="clear" w:color="auto" w:fill="FFFFFF"/>
        </w:rPr>
        <w:t xml:space="preserve"> Board composition and </w:t>
      </w:r>
      <w:proofErr w:type="spellStart"/>
      <w:r w:rsidR="00242C0E" w:rsidRPr="00237B98">
        <w:rPr>
          <w:rFonts w:asciiTheme="majorBidi" w:hAnsiTheme="majorBidi" w:cstheme="majorBidi"/>
          <w:sz w:val="24"/>
          <w:szCs w:val="24"/>
          <w:shd w:val="clear" w:color="auto" w:fill="FFFFFF"/>
        </w:rPr>
        <w:t>nonprofit</w:t>
      </w:r>
      <w:proofErr w:type="spellEnd"/>
      <w:r w:rsidR="00242C0E" w:rsidRPr="00237B98">
        <w:rPr>
          <w:rFonts w:asciiTheme="majorBidi" w:hAnsiTheme="majorBidi" w:cstheme="majorBidi"/>
          <w:sz w:val="24"/>
          <w:szCs w:val="24"/>
          <w:shd w:val="clear" w:color="auto" w:fill="FFFFFF"/>
        </w:rPr>
        <w:t xml:space="preserve"> conduct: Evidence from hospitals. </w:t>
      </w:r>
      <w:r w:rsidR="00242C0E" w:rsidRPr="00237B98">
        <w:rPr>
          <w:rFonts w:asciiTheme="majorBidi" w:hAnsiTheme="majorBidi" w:cstheme="majorBidi"/>
          <w:i/>
          <w:iCs/>
          <w:sz w:val="24"/>
          <w:szCs w:val="24"/>
          <w:shd w:val="clear" w:color="auto" w:fill="FFFFFF"/>
        </w:rPr>
        <w:t xml:space="preserve">Journal of Economic </w:t>
      </w:r>
      <w:r w:rsidRPr="00237B98">
        <w:rPr>
          <w:rFonts w:asciiTheme="majorBidi" w:hAnsiTheme="majorBidi" w:cstheme="majorBidi"/>
          <w:bCs/>
          <w:i/>
          <w:iCs/>
          <w:sz w:val="24"/>
          <w:szCs w:val="24"/>
          <w:shd w:val="clear" w:color="auto" w:fill="FFFFFF"/>
        </w:rPr>
        <w:t>Behaviour &amp; Organization</w:t>
      </w:r>
      <w:r w:rsidR="00242C0E" w:rsidRPr="00237B98">
        <w:rPr>
          <w:rFonts w:asciiTheme="majorBidi" w:hAnsiTheme="majorBidi" w:cstheme="majorBidi"/>
          <w:sz w:val="24"/>
          <w:szCs w:val="24"/>
          <w:shd w:val="clear" w:color="auto" w:fill="FFFFFF"/>
        </w:rPr>
        <w:t> 76</w:t>
      </w:r>
      <w:r w:rsidR="00714D0E" w:rsidRPr="00237B98">
        <w:rPr>
          <w:rFonts w:asciiTheme="majorBidi" w:hAnsiTheme="majorBidi" w:cstheme="majorBidi"/>
          <w:sz w:val="24"/>
          <w:szCs w:val="24"/>
          <w:shd w:val="clear" w:color="auto" w:fill="FFFFFF"/>
        </w:rPr>
        <w:t>(2):</w:t>
      </w:r>
      <w:r w:rsidR="00242C0E" w:rsidRPr="00237B98">
        <w:rPr>
          <w:rFonts w:asciiTheme="majorBidi" w:hAnsiTheme="majorBidi" w:cstheme="majorBidi"/>
          <w:sz w:val="24"/>
          <w:szCs w:val="24"/>
          <w:shd w:val="clear" w:color="auto" w:fill="FFFFFF"/>
        </w:rPr>
        <w:t xml:space="preserve"> 196-208.</w:t>
      </w:r>
    </w:p>
    <w:p w14:paraId="265F4405" w14:textId="15504CAB" w:rsidR="00720D54" w:rsidRDefault="00720D54" w:rsidP="00720D54">
      <w:pPr>
        <w:spacing w:after="0" w:line="240" w:lineRule="auto"/>
        <w:ind w:left="170" w:hanging="170"/>
        <w:jc w:val="both"/>
        <w:rPr>
          <w:rFonts w:asciiTheme="majorBidi" w:hAnsiTheme="majorBidi" w:cstheme="majorBidi"/>
          <w:sz w:val="24"/>
          <w:szCs w:val="24"/>
          <w:shd w:val="clear" w:color="auto" w:fill="FFFFFF"/>
        </w:rPr>
      </w:pPr>
      <w:r w:rsidRPr="00720D54">
        <w:rPr>
          <w:rFonts w:asciiTheme="majorBidi" w:hAnsiTheme="majorBidi" w:cstheme="majorBidi"/>
          <w:sz w:val="24"/>
          <w:szCs w:val="24"/>
          <w:shd w:val="clear" w:color="auto" w:fill="FFFFFF"/>
        </w:rPr>
        <w:t xml:space="preserve">Bugeja M, </w:t>
      </w:r>
      <w:proofErr w:type="spellStart"/>
      <w:r w:rsidRPr="00720D54">
        <w:rPr>
          <w:rFonts w:asciiTheme="majorBidi" w:hAnsiTheme="majorBidi" w:cstheme="majorBidi"/>
          <w:sz w:val="24"/>
          <w:szCs w:val="24"/>
          <w:shd w:val="clear" w:color="auto" w:fill="FFFFFF"/>
        </w:rPr>
        <w:t>Govendir</w:t>
      </w:r>
      <w:proofErr w:type="spellEnd"/>
      <w:r w:rsidRPr="00720D54">
        <w:rPr>
          <w:rFonts w:asciiTheme="majorBidi" w:hAnsiTheme="majorBidi" w:cstheme="majorBidi"/>
          <w:sz w:val="24"/>
          <w:szCs w:val="24"/>
          <w:shd w:val="clear" w:color="auto" w:fill="FFFFFF"/>
        </w:rPr>
        <w:t xml:space="preserve"> B, </w:t>
      </w:r>
      <w:proofErr w:type="spellStart"/>
      <w:r w:rsidRPr="00720D54">
        <w:rPr>
          <w:rFonts w:asciiTheme="majorBidi" w:hAnsiTheme="majorBidi" w:cstheme="majorBidi"/>
          <w:sz w:val="24"/>
          <w:szCs w:val="24"/>
          <w:shd w:val="clear" w:color="auto" w:fill="FFFFFF"/>
        </w:rPr>
        <w:t>Matolcsy</w:t>
      </w:r>
      <w:proofErr w:type="spellEnd"/>
      <w:r w:rsidRPr="00720D54">
        <w:rPr>
          <w:rFonts w:asciiTheme="majorBidi" w:hAnsiTheme="majorBidi" w:cstheme="majorBidi"/>
          <w:sz w:val="24"/>
          <w:szCs w:val="24"/>
          <w:shd w:val="clear" w:color="auto" w:fill="FFFFFF"/>
        </w:rPr>
        <w:t xml:space="preserve"> Z and </w:t>
      </w:r>
      <w:proofErr w:type="spellStart"/>
      <w:r w:rsidRPr="00720D54">
        <w:rPr>
          <w:rFonts w:asciiTheme="majorBidi" w:hAnsiTheme="majorBidi" w:cstheme="majorBidi"/>
          <w:sz w:val="24"/>
          <w:szCs w:val="24"/>
          <w:shd w:val="clear" w:color="auto" w:fill="FFFFFF"/>
        </w:rPr>
        <w:t>Pazmandy</w:t>
      </w:r>
      <w:proofErr w:type="spellEnd"/>
      <w:r w:rsidRPr="00720D54">
        <w:rPr>
          <w:rFonts w:asciiTheme="majorBidi" w:hAnsiTheme="majorBidi" w:cstheme="majorBidi"/>
          <w:sz w:val="24"/>
          <w:szCs w:val="24"/>
          <w:shd w:val="clear" w:color="auto" w:fill="FFFFFF"/>
        </w:rPr>
        <w:t xml:space="preserve"> G (2021) Is there an association between </w:t>
      </w:r>
      <w:r w:rsidR="00221A14">
        <w:rPr>
          <w:rFonts w:asciiTheme="majorBidi" w:hAnsiTheme="majorBidi" w:cstheme="majorBidi"/>
          <w:sz w:val="24"/>
          <w:szCs w:val="24"/>
          <w:shd w:val="clear" w:color="auto" w:fill="FFFFFF"/>
        </w:rPr>
        <w:t>v</w:t>
      </w:r>
      <w:r w:rsidRPr="00720D54">
        <w:rPr>
          <w:rFonts w:asciiTheme="majorBidi" w:hAnsiTheme="majorBidi" w:cstheme="majorBidi"/>
          <w:sz w:val="24"/>
          <w:szCs w:val="24"/>
          <w:shd w:val="clear" w:color="auto" w:fill="FFFFFF"/>
        </w:rPr>
        <w:t>ice‐</w:t>
      </w:r>
      <w:r w:rsidR="00221A14">
        <w:rPr>
          <w:rFonts w:asciiTheme="majorBidi" w:hAnsiTheme="majorBidi" w:cstheme="majorBidi"/>
          <w:sz w:val="24"/>
          <w:szCs w:val="24"/>
          <w:shd w:val="clear" w:color="auto" w:fill="FFFFFF"/>
        </w:rPr>
        <w:t>c</w:t>
      </w:r>
      <w:r w:rsidRPr="00720D54">
        <w:rPr>
          <w:rFonts w:asciiTheme="majorBidi" w:hAnsiTheme="majorBidi" w:cstheme="majorBidi"/>
          <w:sz w:val="24"/>
          <w:szCs w:val="24"/>
          <w:shd w:val="clear" w:color="auto" w:fill="FFFFFF"/>
        </w:rPr>
        <w:t>hancellors’ compensation and external performance measures? </w:t>
      </w:r>
      <w:r w:rsidRPr="00720D54">
        <w:rPr>
          <w:rFonts w:asciiTheme="majorBidi" w:hAnsiTheme="majorBidi" w:cstheme="majorBidi"/>
          <w:i/>
          <w:iCs/>
          <w:sz w:val="24"/>
          <w:szCs w:val="24"/>
          <w:shd w:val="clear" w:color="auto" w:fill="FFFFFF"/>
        </w:rPr>
        <w:t>Accounting &amp; Finance</w:t>
      </w:r>
      <w:r w:rsidRPr="00720D54">
        <w:rPr>
          <w:rFonts w:asciiTheme="majorBidi" w:hAnsiTheme="majorBidi" w:cstheme="majorBidi"/>
          <w:sz w:val="24"/>
          <w:szCs w:val="24"/>
          <w:shd w:val="clear" w:color="auto" w:fill="FFFFFF"/>
        </w:rPr>
        <w:t> </w:t>
      </w:r>
      <w:r w:rsidRPr="001252A6">
        <w:rPr>
          <w:rFonts w:asciiTheme="majorBidi" w:hAnsiTheme="majorBidi" w:cstheme="majorBidi"/>
          <w:sz w:val="24"/>
          <w:szCs w:val="24"/>
          <w:shd w:val="clear" w:color="auto" w:fill="FFFFFF"/>
        </w:rPr>
        <w:t>61</w:t>
      </w:r>
      <w:r w:rsidRPr="00720D54">
        <w:rPr>
          <w:rFonts w:asciiTheme="majorBidi" w:hAnsiTheme="majorBidi" w:cstheme="majorBidi"/>
          <w:sz w:val="24"/>
          <w:szCs w:val="24"/>
          <w:shd w:val="clear" w:color="auto" w:fill="FFFFFF"/>
        </w:rPr>
        <w:t>(1): 689-726.</w:t>
      </w:r>
    </w:p>
    <w:p w14:paraId="7FA6FC32" w14:textId="772A9240" w:rsidR="00971CF9" w:rsidRDefault="00971CF9" w:rsidP="00714D0E">
      <w:pPr>
        <w:spacing w:after="0" w:line="240" w:lineRule="auto"/>
        <w:ind w:left="170" w:hanging="170"/>
        <w:jc w:val="both"/>
        <w:rPr>
          <w:rFonts w:asciiTheme="majorBidi" w:hAnsiTheme="majorBidi" w:cstheme="majorBidi"/>
          <w:sz w:val="24"/>
          <w:szCs w:val="24"/>
          <w:shd w:val="clear" w:color="auto" w:fill="FFFFFF"/>
        </w:rPr>
      </w:pPr>
      <w:bookmarkStart w:id="12" w:name="_Hlk101427373"/>
      <w:r w:rsidRPr="00971CF9">
        <w:rPr>
          <w:rFonts w:asciiTheme="majorBidi" w:hAnsiTheme="majorBidi" w:cstheme="majorBidi"/>
          <w:sz w:val="24"/>
          <w:szCs w:val="24"/>
          <w:shd w:val="clear" w:color="auto" w:fill="FFFFFF"/>
        </w:rPr>
        <w:t>Committee of University of Chair</w:t>
      </w:r>
      <w:r w:rsidR="006D15E0">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 xml:space="preserve"> (2018</w:t>
      </w:r>
      <w:r w:rsidR="00E41D93">
        <w:rPr>
          <w:rFonts w:asciiTheme="majorBidi" w:hAnsiTheme="majorBidi" w:cstheme="majorBidi"/>
          <w:sz w:val="24"/>
          <w:szCs w:val="24"/>
          <w:shd w:val="clear" w:color="auto" w:fill="FFFFFF"/>
        </w:rPr>
        <w:t>/</w:t>
      </w:r>
      <w:r w:rsidR="006D15E0">
        <w:rPr>
          <w:rFonts w:asciiTheme="majorBidi" w:hAnsiTheme="majorBidi" w:cstheme="majorBidi"/>
          <w:sz w:val="24"/>
          <w:szCs w:val="24"/>
          <w:shd w:val="clear" w:color="auto" w:fill="FFFFFF"/>
        </w:rPr>
        <w:t>2021</w:t>
      </w:r>
      <w:r>
        <w:rPr>
          <w:rFonts w:asciiTheme="majorBidi" w:hAnsiTheme="majorBidi" w:cstheme="majorBidi"/>
          <w:sz w:val="24"/>
          <w:szCs w:val="24"/>
          <w:shd w:val="clear" w:color="auto" w:fill="FFFFFF"/>
        </w:rPr>
        <w:t>)</w:t>
      </w:r>
      <w:r w:rsidR="006D15E0" w:rsidRPr="006D15E0">
        <w:t xml:space="preserve"> </w:t>
      </w:r>
      <w:r w:rsidR="006D15E0" w:rsidRPr="006D15E0">
        <w:rPr>
          <w:rFonts w:asciiTheme="majorBidi" w:hAnsiTheme="majorBidi" w:cstheme="majorBidi"/>
          <w:i/>
          <w:iCs/>
          <w:sz w:val="24"/>
          <w:szCs w:val="24"/>
          <w:shd w:val="clear" w:color="auto" w:fill="FFFFFF"/>
        </w:rPr>
        <w:t>The Higher Education Senior Staff Remuneration Code</w:t>
      </w:r>
      <w:r w:rsidR="006D15E0">
        <w:rPr>
          <w:rFonts w:asciiTheme="majorBidi" w:hAnsiTheme="majorBidi" w:cstheme="majorBidi"/>
          <w:sz w:val="24"/>
          <w:szCs w:val="24"/>
          <w:shd w:val="clear" w:color="auto" w:fill="FFFFFF"/>
        </w:rPr>
        <w:t xml:space="preserve">. </w:t>
      </w:r>
      <w:r w:rsidR="006D15E0" w:rsidRPr="006D15E0">
        <w:rPr>
          <w:rFonts w:asciiTheme="majorBidi" w:hAnsiTheme="majorBidi" w:cstheme="majorBidi"/>
          <w:sz w:val="24"/>
          <w:szCs w:val="24"/>
          <w:shd w:val="clear" w:color="auto" w:fill="FFFFFF"/>
        </w:rPr>
        <w:t>London. CUC</w:t>
      </w:r>
      <w:r w:rsidR="006D15E0">
        <w:rPr>
          <w:rFonts w:asciiTheme="majorBidi" w:hAnsiTheme="majorBidi" w:cstheme="majorBidi"/>
          <w:sz w:val="24"/>
          <w:szCs w:val="24"/>
          <w:shd w:val="clear" w:color="auto" w:fill="FFFFFF"/>
        </w:rPr>
        <w:t>.</w:t>
      </w:r>
    </w:p>
    <w:p w14:paraId="4A843832" w14:textId="68C32FF8" w:rsidR="00965FF5" w:rsidRPr="00A2640C" w:rsidRDefault="00965FF5" w:rsidP="00714D0E">
      <w:pPr>
        <w:spacing w:after="0" w:line="240" w:lineRule="auto"/>
        <w:ind w:left="170" w:hanging="17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CUC (1995</w:t>
      </w:r>
      <w:r w:rsidR="00E41D93">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1998</w:t>
      </w:r>
      <w:r w:rsidR="00E41D93">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2000</w:t>
      </w:r>
      <w:r w:rsidR="00E41D93">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2004</w:t>
      </w:r>
      <w:r w:rsidR="00E41D93">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2009</w:t>
      </w:r>
      <w:r w:rsidR="00E41D93">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2014</w:t>
      </w:r>
      <w:r w:rsidR="00E41D93">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2018</w:t>
      </w:r>
      <w:r w:rsidR="00E41D93">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2020) </w:t>
      </w:r>
      <w:r w:rsidRPr="009879E8">
        <w:rPr>
          <w:rFonts w:asciiTheme="majorBidi" w:hAnsiTheme="majorBidi" w:cstheme="majorBidi"/>
          <w:i/>
          <w:iCs/>
          <w:sz w:val="24"/>
          <w:szCs w:val="24"/>
          <w:shd w:val="clear" w:color="auto" w:fill="FFFFFF"/>
        </w:rPr>
        <w:t>Higher Education Code of Governance</w:t>
      </w:r>
      <w:r w:rsidR="00A2640C">
        <w:rPr>
          <w:rFonts w:asciiTheme="majorBidi" w:hAnsiTheme="majorBidi" w:cstheme="majorBidi"/>
          <w:sz w:val="24"/>
          <w:szCs w:val="24"/>
          <w:shd w:val="clear" w:color="auto" w:fill="FFFFFF"/>
        </w:rPr>
        <w:t xml:space="preserve">. </w:t>
      </w:r>
      <w:r w:rsidR="00A2640C" w:rsidRPr="006D15E0">
        <w:rPr>
          <w:rFonts w:asciiTheme="majorBidi" w:hAnsiTheme="majorBidi" w:cstheme="majorBidi"/>
          <w:sz w:val="24"/>
          <w:szCs w:val="24"/>
          <w:shd w:val="clear" w:color="auto" w:fill="FFFFFF"/>
        </w:rPr>
        <w:t>London. CUC</w:t>
      </w:r>
      <w:r w:rsidR="00A2640C">
        <w:rPr>
          <w:rFonts w:asciiTheme="majorBidi" w:hAnsiTheme="majorBidi" w:cstheme="majorBidi"/>
          <w:sz w:val="24"/>
          <w:szCs w:val="24"/>
          <w:shd w:val="clear" w:color="auto" w:fill="FFFFFF"/>
        </w:rPr>
        <w:t>.</w:t>
      </w:r>
    </w:p>
    <w:bookmarkEnd w:id="12"/>
    <w:p w14:paraId="59D7AC44" w14:textId="659BE1A0" w:rsidR="00F479FA" w:rsidRDefault="009A6036" w:rsidP="00D66011">
      <w:pPr>
        <w:spacing w:after="0" w:line="240" w:lineRule="auto"/>
        <w:ind w:left="170" w:hanging="170"/>
        <w:jc w:val="both"/>
        <w:rPr>
          <w:rFonts w:asciiTheme="majorBidi" w:hAnsiTheme="majorBidi" w:cstheme="majorBidi"/>
          <w:sz w:val="24"/>
          <w:szCs w:val="24"/>
          <w:shd w:val="clear" w:color="auto" w:fill="FFFFFF"/>
        </w:rPr>
      </w:pPr>
      <w:proofErr w:type="spellStart"/>
      <w:r w:rsidRPr="00237B98">
        <w:rPr>
          <w:rFonts w:asciiTheme="majorBidi" w:hAnsiTheme="majorBidi" w:cstheme="majorBidi"/>
          <w:sz w:val="24"/>
          <w:szCs w:val="24"/>
          <w:shd w:val="clear" w:color="auto" w:fill="FFFFFF"/>
        </w:rPr>
        <w:t>Custódio</w:t>
      </w:r>
      <w:proofErr w:type="spellEnd"/>
      <w:r w:rsidRPr="00237B98">
        <w:rPr>
          <w:rFonts w:asciiTheme="majorBidi" w:hAnsiTheme="majorBidi" w:cstheme="majorBidi"/>
          <w:sz w:val="24"/>
          <w:szCs w:val="24"/>
          <w:shd w:val="clear" w:color="auto" w:fill="FFFFFF"/>
        </w:rPr>
        <w:t xml:space="preserve"> C,</w:t>
      </w:r>
      <w:r w:rsidR="00D66011" w:rsidRPr="00237B98">
        <w:rPr>
          <w:rFonts w:asciiTheme="majorBidi" w:hAnsiTheme="majorBidi" w:cstheme="majorBidi"/>
          <w:sz w:val="24"/>
          <w:szCs w:val="24"/>
          <w:shd w:val="clear" w:color="auto" w:fill="FFFFFF"/>
        </w:rPr>
        <w:t xml:space="preserve"> Ferreira</w:t>
      </w:r>
      <w:r w:rsidRPr="00237B98">
        <w:rPr>
          <w:rFonts w:asciiTheme="majorBidi" w:hAnsiTheme="majorBidi" w:cstheme="majorBidi"/>
          <w:sz w:val="24"/>
          <w:szCs w:val="24"/>
          <w:shd w:val="clear" w:color="auto" w:fill="FFFFFF"/>
        </w:rPr>
        <w:t xml:space="preserve"> </w:t>
      </w:r>
      <w:proofErr w:type="gramStart"/>
      <w:r w:rsidRPr="00237B98">
        <w:rPr>
          <w:rFonts w:asciiTheme="majorBidi" w:hAnsiTheme="majorBidi" w:cstheme="majorBidi"/>
          <w:sz w:val="24"/>
          <w:szCs w:val="24"/>
          <w:shd w:val="clear" w:color="auto" w:fill="FFFFFF"/>
        </w:rPr>
        <w:t>MA</w:t>
      </w:r>
      <w:proofErr w:type="gramEnd"/>
      <w:r w:rsidRPr="00237B98">
        <w:rPr>
          <w:rFonts w:asciiTheme="majorBidi" w:hAnsiTheme="majorBidi" w:cstheme="majorBidi"/>
          <w:sz w:val="24"/>
          <w:szCs w:val="24"/>
          <w:shd w:val="clear" w:color="auto" w:fill="FFFFFF"/>
        </w:rPr>
        <w:t xml:space="preserve"> and Matos P (</w:t>
      </w:r>
      <w:r w:rsidR="00F479FA" w:rsidRPr="00237B98">
        <w:rPr>
          <w:rFonts w:asciiTheme="majorBidi" w:hAnsiTheme="majorBidi" w:cstheme="majorBidi"/>
          <w:sz w:val="24"/>
          <w:szCs w:val="24"/>
          <w:shd w:val="clear" w:color="auto" w:fill="FFFFFF"/>
        </w:rPr>
        <w:t>2013</w:t>
      </w:r>
      <w:r w:rsidRPr="00237B98">
        <w:rPr>
          <w:rFonts w:asciiTheme="majorBidi" w:hAnsiTheme="majorBidi" w:cstheme="majorBidi"/>
          <w:sz w:val="24"/>
          <w:szCs w:val="24"/>
          <w:shd w:val="clear" w:color="auto" w:fill="FFFFFF"/>
        </w:rPr>
        <w:t>)</w:t>
      </w:r>
      <w:r w:rsidR="00F479FA" w:rsidRPr="00237B98">
        <w:rPr>
          <w:rFonts w:asciiTheme="majorBidi" w:hAnsiTheme="majorBidi" w:cstheme="majorBidi"/>
          <w:sz w:val="24"/>
          <w:szCs w:val="24"/>
          <w:shd w:val="clear" w:color="auto" w:fill="FFFFFF"/>
        </w:rPr>
        <w:t xml:space="preserve"> Generalists versus specialists: Lifetime work experience and chief executive officer pay. </w:t>
      </w:r>
      <w:r w:rsidR="00F479FA" w:rsidRPr="00237B98">
        <w:rPr>
          <w:rFonts w:asciiTheme="majorBidi" w:hAnsiTheme="majorBidi" w:cstheme="majorBidi"/>
          <w:bCs/>
          <w:i/>
          <w:iCs/>
          <w:sz w:val="24"/>
          <w:szCs w:val="24"/>
          <w:shd w:val="clear" w:color="auto" w:fill="FFFFFF"/>
        </w:rPr>
        <w:t>Journal of Financial Economics</w:t>
      </w:r>
      <w:r w:rsidR="00F479FA" w:rsidRPr="00237B98">
        <w:rPr>
          <w:rFonts w:asciiTheme="majorBidi" w:hAnsiTheme="majorBidi" w:cstheme="majorBidi"/>
          <w:sz w:val="24"/>
          <w:szCs w:val="24"/>
          <w:shd w:val="clear" w:color="auto" w:fill="FFFFFF"/>
        </w:rPr>
        <w:t> 108(2)</w:t>
      </w:r>
      <w:r w:rsidR="00D66011" w:rsidRPr="00237B98">
        <w:rPr>
          <w:rFonts w:asciiTheme="majorBidi" w:hAnsiTheme="majorBidi" w:cstheme="majorBidi"/>
          <w:sz w:val="24"/>
          <w:szCs w:val="24"/>
          <w:shd w:val="clear" w:color="auto" w:fill="FFFFFF"/>
        </w:rPr>
        <w:t>:</w:t>
      </w:r>
      <w:r w:rsidR="00F479FA" w:rsidRPr="00237B98">
        <w:rPr>
          <w:rFonts w:asciiTheme="majorBidi" w:hAnsiTheme="majorBidi" w:cstheme="majorBidi"/>
          <w:sz w:val="24"/>
          <w:szCs w:val="24"/>
          <w:shd w:val="clear" w:color="auto" w:fill="FFFFFF"/>
        </w:rPr>
        <w:t xml:space="preserve"> 471-492.</w:t>
      </w:r>
    </w:p>
    <w:p w14:paraId="5F1B0E1B" w14:textId="77777777" w:rsidR="00720D54" w:rsidRPr="00720D54" w:rsidRDefault="00720D54" w:rsidP="00720D54">
      <w:pPr>
        <w:spacing w:after="0" w:line="240" w:lineRule="auto"/>
        <w:ind w:left="170" w:hanging="170"/>
        <w:jc w:val="both"/>
        <w:rPr>
          <w:rFonts w:asciiTheme="majorBidi" w:hAnsiTheme="majorBidi" w:cstheme="majorBidi"/>
          <w:sz w:val="24"/>
          <w:szCs w:val="24"/>
          <w:shd w:val="clear" w:color="auto" w:fill="FFFFFF"/>
        </w:rPr>
      </w:pPr>
      <w:r w:rsidRPr="00720D54">
        <w:rPr>
          <w:rFonts w:asciiTheme="majorBidi" w:hAnsiTheme="majorBidi" w:cstheme="majorBidi"/>
          <w:sz w:val="24"/>
          <w:szCs w:val="24"/>
          <w:shd w:val="clear" w:color="auto" w:fill="FFFFFF"/>
        </w:rPr>
        <w:t xml:space="preserve">De </w:t>
      </w:r>
      <w:proofErr w:type="spellStart"/>
      <w:r w:rsidRPr="00720D54">
        <w:rPr>
          <w:rFonts w:asciiTheme="majorBidi" w:hAnsiTheme="majorBidi" w:cstheme="majorBidi"/>
          <w:sz w:val="24"/>
          <w:szCs w:val="24"/>
          <w:shd w:val="clear" w:color="auto" w:fill="FFFFFF"/>
        </w:rPr>
        <w:t>Fraja</w:t>
      </w:r>
      <w:proofErr w:type="spellEnd"/>
      <w:r w:rsidRPr="00720D54">
        <w:rPr>
          <w:rFonts w:asciiTheme="majorBidi" w:hAnsiTheme="majorBidi" w:cstheme="majorBidi"/>
          <w:sz w:val="24"/>
          <w:szCs w:val="24"/>
          <w:shd w:val="clear" w:color="auto" w:fill="FFFFFF"/>
        </w:rPr>
        <w:t xml:space="preserve"> G, </w:t>
      </w:r>
      <w:proofErr w:type="spellStart"/>
      <w:r w:rsidRPr="00720D54">
        <w:rPr>
          <w:rFonts w:asciiTheme="majorBidi" w:hAnsiTheme="majorBidi" w:cstheme="majorBidi"/>
          <w:sz w:val="24"/>
          <w:szCs w:val="24"/>
          <w:shd w:val="clear" w:color="auto" w:fill="FFFFFF"/>
        </w:rPr>
        <w:t>Facchini</w:t>
      </w:r>
      <w:proofErr w:type="spellEnd"/>
      <w:r w:rsidRPr="00720D54">
        <w:rPr>
          <w:rFonts w:asciiTheme="majorBidi" w:hAnsiTheme="majorBidi" w:cstheme="majorBidi"/>
          <w:sz w:val="24"/>
          <w:szCs w:val="24"/>
          <w:shd w:val="clear" w:color="auto" w:fill="FFFFFF"/>
        </w:rPr>
        <w:t xml:space="preserve"> G and </w:t>
      </w:r>
      <w:proofErr w:type="spellStart"/>
      <w:r w:rsidRPr="00720D54">
        <w:rPr>
          <w:rFonts w:asciiTheme="majorBidi" w:hAnsiTheme="majorBidi" w:cstheme="majorBidi"/>
          <w:sz w:val="24"/>
          <w:szCs w:val="24"/>
          <w:shd w:val="clear" w:color="auto" w:fill="FFFFFF"/>
        </w:rPr>
        <w:t>Gathergood</w:t>
      </w:r>
      <w:proofErr w:type="spellEnd"/>
      <w:r w:rsidRPr="00720D54">
        <w:rPr>
          <w:rFonts w:asciiTheme="majorBidi" w:hAnsiTheme="majorBidi" w:cstheme="majorBidi"/>
          <w:sz w:val="24"/>
          <w:szCs w:val="24"/>
          <w:shd w:val="clear" w:color="auto" w:fill="FFFFFF"/>
        </w:rPr>
        <w:t xml:space="preserve"> J (2017) </w:t>
      </w:r>
      <w:r w:rsidRPr="00720D54">
        <w:rPr>
          <w:rFonts w:asciiTheme="majorBidi" w:hAnsiTheme="majorBidi" w:cstheme="majorBidi"/>
          <w:i/>
          <w:iCs/>
          <w:sz w:val="24"/>
          <w:szCs w:val="24"/>
          <w:shd w:val="clear" w:color="auto" w:fill="FFFFFF"/>
        </w:rPr>
        <w:t>Professorial salaries and research performance in UK universities</w:t>
      </w:r>
      <w:r w:rsidRPr="00720D54">
        <w:rPr>
          <w:rFonts w:asciiTheme="majorBidi" w:hAnsiTheme="majorBidi" w:cstheme="majorBidi"/>
          <w:sz w:val="24"/>
          <w:szCs w:val="24"/>
          <w:shd w:val="clear" w:color="auto" w:fill="FFFFFF"/>
        </w:rPr>
        <w:t>. CEPR discussion paper no. DP11638.</w:t>
      </w:r>
    </w:p>
    <w:p w14:paraId="3630C991" w14:textId="5AC21E53" w:rsidR="001042E7" w:rsidRPr="00BD3A9C" w:rsidRDefault="001042E7" w:rsidP="00D66011">
      <w:pPr>
        <w:spacing w:after="0" w:line="240" w:lineRule="auto"/>
        <w:ind w:left="170" w:hanging="170"/>
        <w:jc w:val="both"/>
        <w:rPr>
          <w:rFonts w:asciiTheme="majorBidi" w:hAnsiTheme="majorBidi" w:cstheme="majorBidi"/>
          <w:sz w:val="24"/>
          <w:szCs w:val="24"/>
          <w:shd w:val="clear" w:color="auto" w:fill="FFFFFF"/>
        </w:rPr>
      </w:pPr>
      <w:proofErr w:type="spellStart"/>
      <w:r w:rsidRPr="00237B98">
        <w:rPr>
          <w:rFonts w:asciiTheme="majorBidi" w:hAnsiTheme="majorBidi" w:cstheme="majorBidi"/>
          <w:sz w:val="24"/>
          <w:szCs w:val="24"/>
          <w:shd w:val="clear" w:color="auto" w:fill="FFFFFF"/>
        </w:rPr>
        <w:t>Dowsett</w:t>
      </w:r>
      <w:proofErr w:type="spellEnd"/>
      <w:r w:rsidRPr="00237B98">
        <w:rPr>
          <w:rFonts w:asciiTheme="majorBidi" w:hAnsiTheme="majorBidi" w:cstheme="majorBidi"/>
          <w:sz w:val="24"/>
          <w:szCs w:val="24"/>
          <w:shd w:val="clear" w:color="auto" w:fill="FFFFFF"/>
        </w:rPr>
        <w:t xml:space="preserve"> L (2020) Global university rankings and strategic planning: </w:t>
      </w:r>
      <w:r w:rsidR="00F44C28">
        <w:rPr>
          <w:rFonts w:asciiTheme="majorBidi" w:hAnsiTheme="majorBidi" w:cstheme="majorBidi"/>
          <w:sz w:val="24"/>
          <w:szCs w:val="24"/>
          <w:shd w:val="clear" w:color="auto" w:fill="FFFFFF"/>
        </w:rPr>
        <w:t>A</w:t>
      </w:r>
      <w:r w:rsidRPr="00237B98">
        <w:rPr>
          <w:rFonts w:asciiTheme="majorBidi" w:hAnsiTheme="majorBidi" w:cstheme="majorBidi"/>
          <w:sz w:val="24"/>
          <w:szCs w:val="24"/>
          <w:shd w:val="clear" w:color="auto" w:fill="FFFFFF"/>
        </w:rPr>
        <w:t xml:space="preserve"> case study of Australian institutional performance. </w:t>
      </w:r>
      <w:r w:rsidRPr="00237B98">
        <w:rPr>
          <w:rFonts w:asciiTheme="majorBidi" w:hAnsiTheme="majorBidi" w:cstheme="majorBidi"/>
          <w:i/>
          <w:iCs/>
          <w:sz w:val="24"/>
          <w:szCs w:val="24"/>
          <w:shd w:val="clear" w:color="auto" w:fill="FFFFFF"/>
        </w:rPr>
        <w:t>Journal of Higher Education Policy and Management</w:t>
      </w:r>
      <w:r w:rsidR="00DE169E" w:rsidRPr="00237B98">
        <w:rPr>
          <w:rFonts w:asciiTheme="majorBidi" w:hAnsiTheme="majorBidi" w:cstheme="majorBidi"/>
          <w:sz w:val="24"/>
          <w:szCs w:val="24"/>
          <w:shd w:val="clear" w:color="auto" w:fill="FFFFFF"/>
        </w:rPr>
        <w:t xml:space="preserve"> </w:t>
      </w:r>
      <w:r w:rsidR="00DE169E" w:rsidRPr="00327EA6">
        <w:rPr>
          <w:rFonts w:asciiTheme="majorBidi" w:hAnsiTheme="majorBidi" w:cstheme="majorBidi"/>
          <w:sz w:val="24"/>
          <w:szCs w:val="24"/>
          <w:shd w:val="clear" w:color="auto" w:fill="FFFFFF"/>
        </w:rPr>
        <w:t>42</w:t>
      </w:r>
      <w:r w:rsidR="00DE169E" w:rsidRPr="00237B98">
        <w:rPr>
          <w:rFonts w:asciiTheme="majorBidi" w:hAnsiTheme="majorBidi" w:cstheme="majorBidi"/>
          <w:sz w:val="24"/>
          <w:szCs w:val="24"/>
          <w:shd w:val="clear" w:color="auto" w:fill="FFFFFF"/>
        </w:rPr>
        <w:t>(4): 478-494.</w:t>
      </w:r>
    </w:p>
    <w:p w14:paraId="308D9A72" w14:textId="65488FF1" w:rsidR="00661497" w:rsidRDefault="009A6036" w:rsidP="0081586F">
      <w:pPr>
        <w:spacing w:after="0" w:line="240" w:lineRule="auto"/>
        <w:ind w:left="170" w:hanging="170"/>
        <w:jc w:val="both"/>
        <w:rPr>
          <w:rFonts w:asciiTheme="majorBidi" w:hAnsiTheme="majorBidi" w:cstheme="majorBidi"/>
          <w:sz w:val="24"/>
          <w:szCs w:val="24"/>
          <w:shd w:val="clear" w:color="auto" w:fill="FFFFFF"/>
        </w:rPr>
      </w:pPr>
      <w:bookmarkStart w:id="13" w:name="_Hlk46584937"/>
      <w:proofErr w:type="spellStart"/>
      <w:r w:rsidRPr="00237B98">
        <w:rPr>
          <w:rFonts w:asciiTheme="majorBidi" w:hAnsiTheme="majorBidi" w:cstheme="majorBidi"/>
          <w:sz w:val="24"/>
          <w:szCs w:val="24"/>
          <w:shd w:val="clear" w:color="auto" w:fill="FFFFFF"/>
        </w:rPr>
        <w:t>Focke</w:t>
      </w:r>
      <w:proofErr w:type="spellEnd"/>
      <w:r w:rsidRPr="00237B98">
        <w:rPr>
          <w:rFonts w:asciiTheme="majorBidi" w:hAnsiTheme="majorBidi" w:cstheme="majorBidi"/>
          <w:sz w:val="24"/>
          <w:szCs w:val="24"/>
          <w:shd w:val="clear" w:color="auto" w:fill="FFFFFF"/>
        </w:rPr>
        <w:t xml:space="preserve"> F, </w:t>
      </w:r>
      <w:proofErr w:type="spellStart"/>
      <w:r w:rsidRPr="00237B98">
        <w:rPr>
          <w:rFonts w:asciiTheme="majorBidi" w:hAnsiTheme="majorBidi" w:cstheme="majorBidi"/>
          <w:sz w:val="24"/>
          <w:szCs w:val="24"/>
          <w:shd w:val="clear" w:color="auto" w:fill="FFFFFF"/>
        </w:rPr>
        <w:t>Maug</w:t>
      </w:r>
      <w:proofErr w:type="spellEnd"/>
      <w:r w:rsidRPr="00237B98">
        <w:rPr>
          <w:rFonts w:asciiTheme="majorBidi" w:hAnsiTheme="majorBidi" w:cstheme="majorBidi"/>
          <w:sz w:val="24"/>
          <w:szCs w:val="24"/>
          <w:shd w:val="clear" w:color="auto" w:fill="FFFFFF"/>
        </w:rPr>
        <w:t xml:space="preserve"> E and</w:t>
      </w:r>
      <w:r w:rsidR="00B914FE" w:rsidRPr="00237B98">
        <w:rPr>
          <w:rFonts w:asciiTheme="majorBidi" w:hAnsiTheme="majorBidi" w:cstheme="majorBidi"/>
          <w:sz w:val="24"/>
          <w:szCs w:val="24"/>
          <w:shd w:val="clear" w:color="auto" w:fill="FFFFFF"/>
        </w:rPr>
        <w:t xml:space="preserve"> </w:t>
      </w:r>
      <w:proofErr w:type="spellStart"/>
      <w:r w:rsidR="00B914FE" w:rsidRPr="00237B98">
        <w:rPr>
          <w:rFonts w:asciiTheme="majorBidi" w:hAnsiTheme="majorBidi" w:cstheme="majorBidi"/>
          <w:sz w:val="24"/>
          <w:szCs w:val="24"/>
          <w:shd w:val="clear" w:color="auto" w:fill="FFFFFF"/>
        </w:rPr>
        <w:t>Niessen-Ruenzi</w:t>
      </w:r>
      <w:proofErr w:type="spellEnd"/>
      <w:r w:rsidRPr="00237B98">
        <w:rPr>
          <w:rFonts w:asciiTheme="majorBidi" w:hAnsiTheme="majorBidi" w:cstheme="majorBidi"/>
          <w:sz w:val="24"/>
          <w:szCs w:val="24"/>
          <w:shd w:val="clear" w:color="auto" w:fill="FFFFFF"/>
        </w:rPr>
        <w:t xml:space="preserve"> A (</w:t>
      </w:r>
      <w:r w:rsidR="00B914FE" w:rsidRPr="00237B98">
        <w:rPr>
          <w:rFonts w:asciiTheme="majorBidi" w:hAnsiTheme="majorBidi" w:cstheme="majorBidi"/>
          <w:sz w:val="24"/>
          <w:szCs w:val="24"/>
          <w:shd w:val="clear" w:color="auto" w:fill="FFFFFF"/>
        </w:rPr>
        <w:t>2017</w:t>
      </w:r>
      <w:r w:rsidRPr="00237B98">
        <w:rPr>
          <w:rFonts w:asciiTheme="majorBidi" w:hAnsiTheme="majorBidi" w:cstheme="majorBidi"/>
          <w:sz w:val="24"/>
          <w:szCs w:val="24"/>
          <w:shd w:val="clear" w:color="auto" w:fill="FFFFFF"/>
        </w:rPr>
        <w:t>)</w:t>
      </w:r>
      <w:r w:rsidR="00B914FE" w:rsidRPr="00237B98">
        <w:rPr>
          <w:rFonts w:asciiTheme="majorBidi" w:hAnsiTheme="majorBidi" w:cstheme="majorBidi"/>
          <w:sz w:val="24"/>
          <w:szCs w:val="24"/>
          <w:shd w:val="clear" w:color="auto" w:fill="FFFFFF"/>
        </w:rPr>
        <w:t xml:space="preserve"> The impact of firm prestige on executive compensation. </w:t>
      </w:r>
      <w:r w:rsidR="00B914FE" w:rsidRPr="00237B98">
        <w:rPr>
          <w:rFonts w:asciiTheme="majorBidi" w:hAnsiTheme="majorBidi" w:cstheme="majorBidi"/>
          <w:bCs/>
          <w:i/>
          <w:iCs/>
          <w:sz w:val="24"/>
          <w:szCs w:val="24"/>
          <w:shd w:val="clear" w:color="auto" w:fill="FFFFFF"/>
        </w:rPr>
        <w:t>Journal of Financial Economics</w:t>
      </w:r>
      <w:r w:rsidR="00B914FE" w:rsidRPr="00237B98">
        <w:rPr>
          <w:rFonts w:asciiTheme="majorBidi" w:hAnsiTheme="majorBidi" w:cstheme="majorBidi"/>
          <w:i/>
          <w:iCs/>
          <w:sz w:val="24"/>
          <w:szCs w:val="24"/>
          <w:shd w:val="clear" w:color="auto" w:fill="FFFFFF"/>
        </w:rPr>
        <w:t> </w:t>
      </w:r>
      <w:r w:rsidR="00B914FE" w:rsidRPr="00237B98">
        <w:rPr>
          <w:rFonts w:asciiTheme="majorBidi" w:hAnsiTheme="majorBidi" w:cstheme="majorBidi"/>
          <w:sz w:val="24"/>
          <w:szCs w:val="24"/>
          <w:shd w:val="clear" w:color="auto" w:fill="FFFFFF"/>
        </w:rPr>
        <w:t>123</w:t>
      </w:r>
      <w:r w:rsidR="00D66011" w:rsidRPr="00237B98">
        <w:rPr>
          <w:rFonts w:asciiTheme="majorBidi" w:hAnsiTheme="majorBidi" w:cstheme="majorBidi"/>
          <w:sz w:val="24"/>
          <w:szCs w:val="24"/>
          <w:shd w:val="clear" w:color="auto" w:fill="FFFFFF"/>
        </w:rPr>
        <w:t>(2):</w:t>
      </w:r>
      <w:r w:rsidR="00B914FE" w:rsidRPr="00237B98">
        <w:rPr>
          <w:rFonts w:asciiTheme="majorBidi" w:hAnsiTheme="majorBidi" w:cstheme="majorBidi"/>
          <w:sz w:val="24"/>
          <w:szCs w:val="24"/>
          <w:shd w:val="clear" w:color="auto" w:fill="FFFFFF"/>
        </w:rPr>
        <w:t xml:space="preserve"> 313-336.</w:t>
      </w:r>
      <w:bookmarkEnd w:id="13"/>
    </w:p>
    <w:p w14:paraId="2BC7001F" w14:textId="449A0806" w:rsidR="003A2F63" w:rsidRPr="00237B98" w:rsidRDefault="003A2F63" w:rsidP="0081586F">
      <w:pPr>
        <w:spacing w:after="0" w:line="240" w:lineRule="auto"/>
        <w:ind w:left="170" w:hanging="170"/>
        <w:jc w:val="both"/>
        <w:rPr>
          <w:rFonts w:asciiTheme="majorBidi" w:hAnsiTheme="majorBidi" w:cstheme="majorBidi"/>
          <w:sz w:val="24"/>
          <w:szCs w:val="24"/>
          <w:shd w:val="clear" w:color="auto" w:fill="FFFFFF"/>
        </w:rPr>
      </w:pPr>
      <w:bookmarkStart w:id="14" w:name="_Hlk99445396"/>
      <w:r w:rsidRPr="003A2F63">
        <w:rPr>
          <w:rFonts w:asciiTheme="majorBidi" w:hAnsiTheme="majorBidi" w:cstheme="majorBidi"/>
          <w:sz w:val="24"/>
          <w:szCs w:val="24"/>
          <w:shd w:val="clear" w:color="auto" w:fill="FFFFFF"/>
        </w:rPr>
        <w:t>Franzen EM</w:t>
      </w:r>
      <w:r>
        <w:rPr>
          <w:rFonts w:asciiTheme="majorBidi" w:hAnsiTheme="majorBidi" w:cstheme="majorBidi"/>
          <w:sz w:val="24"/>
          <w:szCs w:val="24"/>
          <w:shd w:val="clear" w:color="auto" w:fill="FFFFFF"/>
        </w:rPr>
        <w:t xml:space="preserve"> and</w:t>
      </w:r>
      <w:r w:rsidRPr="003A2F63">
        <w:rPr>
          <w:rFonts w:asciiTheme="majorBidi" w:hAnsiTheme="majorBidi" w:cstheme="majorBidi"/>
          <w:sz w:val="24"/>
          <w:szCs w:val="24"/>
          <w:shd w:val="clear" w:color="auto" w:fill="FFFFFF"/>
        </w:rPr>
        <w:t xml:space="preserve"> </w:t>
      </w:r>
      <w:proofErr w:type="spellStart"/>
      <w:r w:rsidRPr="003A2F63">
        <w:rPr>
          <w:rFonts w:asciiTheme="majorBidi" w:hAnsiTheme="majorBidi" w:cstheme="majorBidi"/>
          <w:sz w:val="24"/>
          <w:szCs w:val="24"/>
          <w:shd w:val="clear" w:color="auto" w:fill="FFFFFF"/>
        </w:rPr>
        <w:t>Kassman</w:t>
      </w:r>
      <w:proofErr w:type="spellEnd"/>
      <w:r w:rsidRPr="003A2F63">
        <w:rPr>
          <w:rFonts w:asciiTheme="majorBidi" w:hAnsiTheme="majorBidi" w:cstheme="majorBidi"/>
          <w:sz w:val="24"/>
          <w:szCs w:val="24"/>
          <w:shd w:val="clear" w:color="auto" w:fill="FFFFFF"/>
        </w:rPr>
        <w:t xml:space="preserve"> A (2005) Longer-term labour-market consequences of economic inactivity during young adulthood: </w:t>
      </w:r>
      <w:r w:rsidR="00221A14">
        <w:rPr>
          <w:rFonts w:asciiTheme="majorBidi" w:hAnsiTheme="majorBidi" w:cstheme="majorBidi"/>
          <w:sz w:val="24"/>
          <w:szCs w:val="24"/>
          <w:shd w:val="clear" w:color="auto" w:fill="FFFFFF"/>
        </w:rPr>
        <w:t>A</w:t>
      </w:r>
      <w:r w:rsidRPr="003A2F63">
        <w:rPr>
          <w:rFonts w:asciiTheme="majorBidi" w:hAnsiTheme="majorBidi" w:cstheme="majorBidi"/>
          <w:sz w:val="24"/>
          <w:szCs w:val="24"/>
          <w:shd w:val="clear" w:color="auto" w:fill="FFFFFF"/>
        </w:rPr>
        <w:t xml:space="preserve"> Swedish national cohort study. </w:t>
      </w:r>
      <w:r w:rsidRPr="003A2F63">
        <w:rPr>
          <w:rFonts w:asciiTheme="majorBidi" w:hAnsiTheme="majorBidi" w:cstheme="majorBidi"/>
          <w:i/>
          <w:iCs/>
          <w:sz w:val="24"/>
          <w:szCs w:val="24"/>
          <w:shd w:val="clear" w:color="auto" w:fill="FFFFFF"/>
        </w:rPr>
        <w:t xml:space="preserve">Journal of </w:t>
      </w:r>
      <w:r>
        <w:rPr>
          <w:rFonts w:asciiTheme="majorBidi" w:hAnsiTheme="majorBidi" w:cstheme="majorBidi"/>
          <w:i/>
          <w:iCs/>
          <w:sz w:val="24"/>
          <w:szCs w:val="24"/>
          <w:shd w:val="clear" w:color="auto" w:fill="FFFFFF"/>
        </w:rPr>
        <w:t>Y</w:t>
      </w:r>
      <w:r w:rsidRPr="003A2F63">
        <w:rPr>
          <w:rFonts w:asciiTheme="majorBidi" w:hAnsiTheme="majorBidi" w:cstheme="majorBidi"/>
          <w:i/>
          <w:iCs/>
          <w:sz w:val="24"/>
          <w:szCs w:val="24"/>
          <w:shd w:val="clear" w:color="auto" w:fill="FFFFFF"/>
        </w:rPr>
        <w:t xml:space="preserve">outh </w:t>
      </w:r>
      <w:r>
        <w:rPr>
          <w:rFonts w:asciiTheme="majorBidi" w:hAnsiTheme="majorBidi" w:cstheme="majorBidi"/>
          <w:i/>
          <w:iCs/>
          <w:sz w:val="24"/>
          <w:szCs w:val="24"/>
          <w:shd w:val="clear" w:color="auto" w:fill="FFFFFF"/>
        </w:rPr>
        <w:t>S</w:t>
      </w:r>
      <w:r w:rsidRPr="003A2F63">
        <w:rPr>
          <w:rFonts w:asciiTheme="majorBidi" w:hAnsiTheme="majorBidi" w:cstheme="majorBidi"/>
          <w:i/>
          <w:iCs/>
          <w:sz w:val="24"/>
          <w:szCs w:val="24"/>
          <w:shd w:val="clear" w:color="auto" w:fill="FFFFFF"/>
        </w:rPr>
        <w:t>tudies</w:t>
      </w:r>
      <w:r w:rsidRPr="003A2F63">
        <w:rPr>
          <w:rFonts w:asciiTheme="majorBidi" w:hAnsiTheme="majorBidi" w:cstheme="majorBidi"/>
          <w:sz w:val="24"/>
          <w:szCs w:val="24"/>
          <w:shd w:val="clear" w:color="auto" w:fill="FFFFFF"/>
        </w:rPr>
        <w:t> 8(4)</w:t>
      </w:r>
      <w:r>
        <w:rPr>
          <w:rFonts w:asciiTheme="majorBidi" w:hAnsiTheme="majorBidi" w:cstheme="majorBidi"/>
          <w:sz w:val="24"/>
          <w:szCs w:val="24"/>
          <w:shd w:val="clear" w:color="auto" w:fill="FFFFFF"/>
        </w:rPr>
        <w:t>:</w:t>
      </w:r>
      <w:r w:rsidRPr="003A2F63">
        <w:rPr>
          <w:rFonts w:asciiTheme="majorBidi" w:hAnsiTheme="majorBidi" w:cstheme="majorBidi"/>
          <w:sz w:val="24"/>
          <w:szCs w:val="24"/>
          <w:shd w:val="clear" w:color="auto" w:fill="FFFFFF"/>
        </w:rPr>
        <w:t xml:space="preserve"> 403-424.</w:t>
      </w:r>
    </w:p>
    <w:p w14:paraId="10D6AB4C" w14:textId="7D1D235B" w:rsidR="00FC7FCF" w:rsidRPr="00237B98" w:rsidRDefault="00FC7FCF" w:rsidP="00FC7FCF">
      <w:pPr>
        <w:spacing w:after="0" w:line="240" w:lineRule="auto"/>
        <w:ind w:left="170" w:hanging="170"/>
        <w:jc w:val="both"/>
        <w:rPr>
          <w:rFonts w:asciiTheme="majorBidi" w:hAnsiTheme="majorBidi" w:cstheme="majorBidi"/>
          <w:sz w:val="24"/>
          <w:szCs w:val="24"/>
          <w:shd w:val="clear" w:color="auto" w:fill="FFFFFF"/>
        </w:rPr>
      </w:pPr>
      <w:bookmarkStart w:id="15" w:name="_Hlk105019439"/>
      <w:bookmarkEnd w:id="14"/>
      <w:r w:rsidRPr="00237B98">
        <w:rPr>
          <w:rFonts w:asciiTheme="majorBidi" w:hAnsiTheme="majorBidi" w:cstheme="majorBidi"/>
          <w:sz w:val="24"/>
          <w:szCs w:val="24"/>
          <w:shd w:val="clear" w:color="auto" w:fill="FFFFFF"/>
        </w:rPr>
        <w:t>Geiger RL (2006</w:t>
      </w:r>
      <w:bookmarkEnd w:id="15"/>
      <w:r w:rsidRPr="00237B98">
        <w:rPr>
          <w:rFonts w:asciiTheme="majorBidi" w:hAnsiTheme="majorBidi" w:cstheme="majorBidi"/>
          <w:sz w:val="24"/>
          <w:szCs w:val="24"/>
          <w:shd w:val="clear" w:color="auto" w:fill="FFFFFF"/>
        </w:rPr>
        <w:t>) The quest for ‘economic relevance’</w:t>
      </w:r>
      <w:r w:rsidR="00221A14">
        <w:rPr>
          <w:rFonts w:asciiTheme="majorBidi" w:hAnsiTheme="majorBidi" w:cstheme="majorBidi"/>
          <w:sz w:val="24"/>
          <w:szCs w:val="24"/>
          <w:shd w:val="clear" w:color="auto" w:fill="FFFFFF"/>
        </w:rPr>
        <w:t xml:space="preserve"> </w:t>
      </w:r>
      <w:r w:rsidRPr="00237B98">
        <w:rPr>
          <w:rFonts w:asciiTheme="majorBidi" w:hAnsiTheme="majorBidi" w:cstheme="majorBidi"/>
          <w:sz w:val="24"/>
          <w:szCs w:val="24"/>
          <w:shd w:val="clear" w:color="auto" w:fill="FFFFFF"/>
        </w:rPr>
        <w:t>by US research universities. </w:t>
      </w:r>
      <w:r w:rsidRPr="00237B98">
        <w:rPr>
          <w:rFonts w:asciiTheme="majorBidi" w:hAnsiTheme="majorBidi" w:cstheme="majorBidi"/>
          <w:i/>
          <w:iCs/>
          <w:sz w:val="24"/>
          <w:szCs w:val="24"/>
          <w:shd w:val="clear" w:color="auto" w:fill="FFFFFF"/>
        </w:rPr>
        <w:t>Higher Education Policy</w:t>
      </w:r>
      <w:r w:rsidRPr="00237B98">
        <w:rPr>
          <w:rFonts w:asciiTheme="majorBidi" w:hAnsiTheme="majorBidi" w:cstheme="majorBidi"/>
          <w:sz w:val="24"/>
          <w:szCs w:val="24"/>
          <w:shd w:val="clear" w:color="auto" w:fill="FFFFFF"/>
        </w:rPr>
        <w:t> 19(4): 411-431.</w:t>
      </w:r>
    </w:p>
    <w:p w14:paraId="21EAB163" w14:textId="77777777" w:rsidR="001F27EF" w:rsidRPr="00237B98" w:rsidRDefault="00FC7FCF" w:rsidP="001F27EF">
      <w:pPr>
        <w:spacing w:after="0" w:line="240" w:lineRule="auto"/>
        <w:ind w:left="170" w:hanging="170"/>
        <w:jc w:val="both"/>
        <w:rPr>
          <w:rFonts w:asciiTheme="majorBidi" w:hAnsiTheme="majorBidi" w:cstheme="majorBidi"/>
          <w:sz w:val="24"/>
          <w:szCs w:val="24"/>
          <w:shd w:val="clear" w:color="auto" w:fill="FFFFFF"/>
        </w:rPr>
      </w:pPr>
      <w:bookmarkStart w:id="16" w:name="_Hlk105018473"/>
      <w:r w:rsidRPr="00237B98">
        <w:rPr>
          <w:rFonts w:asciiTheme="majorBidi" w:hAnsiTheme="majorBidi" w:cstheme="majorBidi"/>
          <w:sz w:val="24"/>
          <w:szCs w:val="24"/>
          <w:shd w:val="clear" w:color="auto" w:fill="FFFFFF"/>
        </w:rPr>
        <w:t>Geiger RL (2004</w:t>
      </w:r>
      <w:bookmarkEnd w:id="16"/>
      <w:r w:rsidRPr="00237B98">
        <w:rPr>
          <w:rFonts w:asciiTheme="majorBidi" w:hAnsiTheme="majorBidi" w:cstheme="majorBidi"/>
          <w:sz w:val="24"/>
          <w:szCs w:val="24"/>
          <w:shd w:val="clear" w:color="auto" w:fill="FFFFFF"/>
        </w:rPr>
        <w:t>) </w:t>
      </w:r>
      <w:r w:rsidRPr="00237B98">
        <w:rPr>
          <w:rFonts w:asciiTheme="majorBidi" w:hAnsiTheme="majorBidi" w:cstheme="majorBidi"/>
          <w:i/>
          <w:iCs/>
          <w:sz w:val="24"/>
          <w:szCs w:val="24"/>
          <w:shd w:val="clear" w:color="auto" w:fill="FFFFFF"/>
        </w:rPr>
        <w:t>Knowledge and money: Research universities and the paradox of the marketplace</w:t>
      </w:r>
      <w:r w:rsidRPr="00237B98">
        <w:rPr>
          <w:rFonts w:asciiTheme="majorBidi" w:hAnsiTheme="majorBidi" w:cstheme="majorBidi"/>
          <w:sz w:val="24"/>
          <w:szCs w:val="24"/>
          <w:shd w:val="clear" w:color="auto" w:fill="FFFFFF"/>
        </w:rPr>
        <w:t xml:space="preserve">. </w:t>
      </w:r>
      <w:bookmarkStart w:id="17" w:name="_Hlk46585599"/>
      <w:r w:rsidRPr="00237B98">
        <w:rPr>
          <w:rFonts w:asciiTheme="majorBidi" w:hAnsiTheme="majorBidi" w:cstheme="majorBidi"/>
          <w:sz w:val="24"/>
          <w:szCs w:val="24"/>
          <w:shd w:val="clear" w:color="auto" w:fill="FFFFFF"/>
        </w:rPr>
        <w:t>Stanford</w:t>
      </w:r>
      <w:bookmarkEnd w:id="17"/>
      <w:r w:rsidRPr="00237B98">
        <w:rPr>
          <w:rFonts w:asciiTheme="majorBidi" w:hAnsiTheme="majorBidi" w:cstheme="majorBidi"/>
          <w:sz w:val="24"/>
          <w:szCs w:val="24"/>
          <w:shd w:val="clear" w:color="auto" w:fill="FFFFFF"/>
        </w:rPr>
        <w:t>. Stanford University Press.</w:t>
      </w:r>
    </w:p>
    <w:p w14:paraId="74906087" w14:textId="6B546DAF" w:rsidR="00180542" w:rsidRPr="00237B98" w:rsidRDefault="00180542" w:rsidP="00180542">
      <w:pPr>
        <w:spacing w:after="0" w:line="240" w:lineRule="auto"/>
        <w:ind w:left="170" w:hanging="170"/>
        <w:jc w:val="both"/>
        <w:rPr>
          <w:rFonts w:asciiTheme="majorBidi" w:hAnsiTheme="majorBidi" w:cstheme="majorBidi"/>
          <w:sz w:val="24"/>
          <w:szCs w:val="24"/>
          <w:shd w:val="clear" w:color="auto" w:fill="FFFFFF"/>
        </w:rPr>
      </w:pPr>
      <w:r w:rsidRPr="00327EA6">
        <w:rPr>
          <w:rFonts w:asciiTheme="majorBidi" w:hAnsiTheme="majorBidi" w:cstheme="majorBidi"/>
          <w:sz w:val="24"/>
          <w:szCs w:val="24"/>
          <w:shd w:val="clear" w:color="auto" w:fill="FFFFFF"/>
        </w:rPr>
        <w:t>Gerber TP and Cheung SY (2008) Horizontal stratification in postsecondary education: Forms, explanations, and implications. </w:t>
      </w:r>
      <w:hyperlink r:id="rId9" w:history="1">
        <w:r w:rsidRPr="00327EA6">
          <w:rPr>
            <w:rFonts w:asciiTheme="majorBidi" w:hAnsiTheme="majorBidi" w:cstheme="majorBidi"/>
            <w:i/>
            <w:iCs/>
            <w:sz w:val="24"/>
            <w:szCs w:val="24"/>
            <w:shd w:val="clear" w:color="auto" w:fill="FFFFFF"/>
          </w:rPr>
          <w:t>Annual Review of Sociology</w:t>
        </w:r>
        <w:r w:rsidRPr="00327EA6">
          <w:rPr>
            <w:rFonts w:asciiTheme="majorBidi" w:hAnsiTheme="majorBidi" w:cstheme="majorBidi"/>
            <w:sz w:val="24"/>
            <w:szCs w:val="24"/>
            <w:shd w:val="clear" w:color="auto" w:fill="FFFFFF"/>
          </w:rPr>
          <w:t> </w:t>
        </w:r>
      </w:hyperlink>
      <w:r w:rsidRPr="00327EA6">
        <w:rPr>
          <w:rFonts w:asciiTheme="majorBidi" w:hAnsiTheme="majorBidi" w:cstheme="majorBidi"/>
          <w:sz w:val="24"/>
          <w:szCs w:val="24"/>
          <w:shd w:val="clear" w:color="auto" w:fill="FFFFFF"/>
        </w:rPr>
        <w:t>34</w:t>
      </w:r>
      <w:r w:rsidR="004149CD" w:rsidRPr="00327EA6">
        <w:rPr>
          <w:rFonts w:asciiTheme="majorBidi" w:hAnsiTheme="majorBidi" w:cstheme="majorBidi"/>
          <w:sz w:val="24"/>
          <w:szCs w:val="24"/>
          <w:shd w:val="clear" w:color="auto" w:fill="FFFFFF"/>
        </w:rPr>
        <w:t>:</w:t>
      </w:r>
      <w:r w:rsidRPr="00327EA6">
        <w:rPr>
          <w:rFonts w:asciiTheme="majorBidi" w:hAnsiTheme="majorBidi" w:cstheme="majorBidi"/>
          <w:sz w:val="24"/>
          <w:szCs w:val="24"/>
          <w:shd w:val="clear" w:color="auto" w:fill="FFFFFF"/>
        </w:rPr>
        <w:t xml:space="preserve"> 299-318.</w:t>
      </w:r>
    </w:p>
    <w:p w14:paraId="6393885E" w14:textId="50936EE5" w:rsidR="000E0F12" w:rsidRPr="00237B98" w:rsidRDefault="009A6036" w:rsidP="00D66011">
      <w:pPr>
        <w:spacing w:after="0" w:line="240" w:lineRule="auto"/>
        <w:ind w:left="170" w:hanging="170"/>
        <w:jc w:val="both"/>
        <w:rPr>
          <w:rFonts w:asciiTheme="majorBidi" w:hAnsiTheme="majorBidi" w:cstheme="majorBidi"/>
          <w:sz w:val="24"/>
          <w:szCs w:val="24"/>
        </w:rPr>
      </w:pPr>
      <w:r w:rsidRPr="00237B98">
        <w:rPr>
          <w:rFonts w:asciiTheme="majorBidi" w:hAnsiTheme="majorBidi" w:cstheme="majorBidi"/>
          <w:sz w:val="24"/>
          <w:szCs w:val="24"/>
          <w:shd w:val="clear" w:color="auto" w:fill="FFFFFF"/>
        </w:rPr>
        <w:t>Grove J (</w:t>
      </w:r>
      <w:r w:rsidR="00EC33AF" w:rsidRPr="00237B98">
        <w:rPr>
          <w:rFonts w:asciiTheme="majorBidi" w:hAnsiTheme="majorBidi" w:cstheme="majorBidi"/>
          <w:sz w:val="24"/>
          <w:szCs w:val="24"/>
          <w:shd w:val="clear" w:color="auto" w:fill="FFFFFF"/>
        </w:rPr>
        <w:t>2018</w:t>
      </w:r>
      <w:r w:rsidRPr="00237B98">
        <w:rPr>
          <w:rFonts w:asciiTheme="majorBidi" w:hAnsiTheme="majorBidi" w:cstheme="majorBidi"/>
          <w:sz w:val="24"/>
          <w:szCs w:val="24"/>
          <w:shd w:val="clear" w:color="auto" w:fill="FFFFFF"/>
        </w:rPr>
        <w:t>)</w:t>
      </w:r>
      <w:r w:rsidR="00EC33AF" w:rsidRPr="00237B98">
        <w:rPr>
          <w:rFonts w:asciiTheme="majorBidi" w:hAnsiTheme="majorBidi" w:cstheme="majorBidi"/>
          <w:sz w:val="24"/>
          <w:szCs w:val="24"/>
          <w:shd w:val="clear" w:color="auto" w:fill="FFFFFF"/>
        </w:rPr>
        <w:t xml:space="preserve"> </w:t>
      </w:r>
      <w:r w:rsidR="00EC33AF" w:rsidRPr="00237B98">
        <w:rPr>
          <w:rFonts w:asciiTheme="majorBidi" w:hAnsiTheme="majorBidi" w:cstheme="majorBidi"/>
          <w:bCs/>
          <w:i/>
          <w:iCs/>
          <w:sz w:val="24"/>
          <w:szCs w:val="24"/>
          <w:shd w:val="clear" w:color="auto" w:fill="FFFFFF"/>
        </w:rPr>
        <w:t>The Times Higher Education VC pay survey 2018.</w:t>
      </w:r>
      <w:r w:rsidR="00EC33AF" w:rsidRPr="00237B98">
        <w:rPr>
          <w:rFonts w:asciiTheme="majorBidi" w:hAnsiTheme="majorBidi" w:cstheme="majorBidi"/>
          <w:sz w:val="24"/>
          <w:szCs w:val="24"/>
          <w:shd w:val="clear" w:color="auto" w:fill="FFFFFF"/>
        </w:rPr>
        <w:t xml:space="preserve"> Available at: </w:t>
      </w:r>
      <w:hyperlink r:id="rId10" w:history="1">
        <w:r w:rsidR="00EC33AF" w:rsidRPr="00237B98">
          <w:rPr>
            <w:rStyle w:val="Hyperlink"/>
            <w:rFonts w:asciiTheme="majorBidi" w:hAnsiTheme="majorBidi" w:cstheme="majorBidi"/>
            <w:sz w:val="24"/>
            <w:szCs w:val="24"/>
          </w:rPr>
          <w:t>https://www.timeshighereducation.com/features/times-higher-education-v-c-pay-survey-2018</w:t>
        </w:r>
      </w:hyperlink>
      <w:r w:rsidR="00EC33AF" w:rsidRPr="00237B98">
        <w:rPr>
          <w:rFonts w:asciiTheme="majorBidi" w:hAnsiTheme="majorBidi" w:cstheme="majorBidi"/>
          <w:sz w:val="24"/>
          <w:szCs w:val="24"/>
        </w:rPr>
        <w:t>. Accessed on 10 February 2019.</w:t>
      </w:r>
    </w:p>
    <w:p w14:paraId="6EC2973E" w14:textId="2D400CD7" w:rsidR="00F22E56" w:rsidRDefault="00F22E56" w:rsidP="00D66011">
      <w:pPr>
        <w:spacing w:after="0" w:line="240" w:lineRule="auto"/>
        <w:ind w:left="170" w:hanging="170"/>
        <w:jc w:val="both"/>
        <w:rPr>
          <w:rFonts w:asciiTheme="majorBidi" w:hAnsiTheme="majorBidi" w:cstheme="majorBidi"/>
          <w:sz w:val="24"/>
          <w:szCs w:val="24"/>
          <w:shd w:val="clear" w:color="auto" w:fill="FFFFFF"/>
        </w:rPr>
      </w:pPr>
      <w:proofErr w:type="spellStart"/>
      <w:r w:rsidRPr="00327EA6">
        <w:rPr>
          <w:rFonts w:asciiTheme="majorBidi" w:hAnsiTheme="majorBidi" w:cstheme="majorBidi"/>
          <w:sz w:val="24"/>
          <w:szCs w:val="24"/>
          <w:shd w:val="clear" w:color="auto" w:fill="FFFFFF"/>
        </w:rPr>
        <w:lastRenderedPageBreak/>
        <w:t>Heery</w:t>
      </w:r>
      <w:proofErr w:type="spellEnd"/>
      <w:r w:rsidRPr="00327EA6">
        <w:rPr>
          <w:rFonts w:asciiTheme="majorBidi" w:hAnsiTheme="majorBidi" w:cstheme="majorBidi"/>
          <w:sz w:val="24"/>
          <w:szCs w:val="24"/>
          <w:shd w:val="clear" w:color="auto" w:fill="FFFFFF"/>
        </w:rPr>
        <w:t xml:space="preserve"> E (1998) A return to contract? Performance related pay in a public service. </w:t>
      </w:r>
      <w:r w:rsidRPr="00327EA6">
        <w:rPr>
          <w:rFonts w:asciiTheme="majorBidi" w:hAnsiTheme="majorBidi" w:cstheme="majorBidi"/>
          <w:i/>
          <w:sz w:val="24"/>
          <w:szCs w:val="24"/>
          <w:shd w:val="clear" w:color="auto" w:fill="FFFFFF"/>
        </w:rPr>
        <w:t xml:space="preserve">Work, Employment </w:t>
      </w:r>
      <w:r w:rsidR="0090362A">
        <w:rPr>
          <w:rFonts w:asciiTheme="majorBidi" w:hAnsiTheme="majorBidi" w:cstheme="majorBidi"/>
          <w:i/>
          <w:sz w:val="24"/>
          <w:szCs w:val="24"/>
          <w:shd w:val="clear" w:color="auto" w:fill="FFFFFF"/>
        </w:rPr>
        <w:t>&amp;</w:t>
      </w:r>
      <w:r w:rsidR="0090362A" w:rsidRPr="00327EA6">
        <w:rPr>
          <w:rFonts w:asciiTheme="majorBidi" w:hAnsiTheme="majorBidi" w:cstheme="majorBidi"/>
          <w:i/>
          <w:sz w:val="24"/>
          <w:szCs w:val="24"/>
          <w:shd w:val="clear" w:color="auto" w:fill="FFFFFF"/>
        </w:rPr>
        <w:t xml:space="preserve"> </w:t>
      </w:r>
      <w:r w:rsidRPr="00327EA6">
        <w:rPr>
          <w:rFonts w:asciiTheme="majorBidi" w:hAnsiTheme="majorBidi" w:cstheme="majorBidi"/>
          <w:i/>
          <w:sz w:val="24"/>
          <w:szCs w:val="24"/>
          <w:shd w:val="clear" w:color="auto" w:fill="FFFFFF"/>
        </w:rPr>
        <w:t>Society</w:t>
      </w:r>
      <w:r w:rsidRPr="00327EA6">
        <w:rPr>
          <w:rFonts w:asciiTheme="majorBidi" w:hAnsiTheme="majorBidi" w:cstheme="majorBidi"/>
          <w:sz w:val="24"/>
          <w:szCs w:val="24"/>
          <w:shd w:val="clear" w:color="auto" w:fill="FFFFFF"/>
        </w:rPr>
        <w:t> 12(1)</w:t>
      </w:r>
      <w:r w:rsidR="000217AD">
        <w:rPr>
          <w:rFonts w:asciiTheme="majorBidi" w:hAnsiTheme="majorBidi" w:cstheme="majorBidi"/>
          <w:sz w:val="24"/>
          <w:szCs w:val="24"/>
          <w:shd w:val="clear" w:color="auto" w:fill="FFFFFF"/>
        </w:rPr>
        <w:t>:</w:t>
      </w:r>
      <w:r w:rsidRPr="00327EA6">
        <w:rPr>
          <w:rFonts w:asciiTheme="majorBidi" w:hAnsiTheme="majorBidi" w:cstheme="majorBidi"/>
          <w:sz w:val="24"/>
          <w:szCs w:val="24"/>
          <w:shd w:val="clear" w:color="auto" w:fill="FFFFFF"/>
        </w:rPr>
        <w:t xml:space="preserve"> 73-95.</w:t>
      </w:r>
    </w:p>
    <w:p w14:paraId="535751C1" w14:textId="6432A817" w:rsidR="003E24A7" w:rsidRPr="003E24A7" w:rsidRDefault="003E24A7" w:rsidP="00D66011">
      <w:pPr>
        <w:spacing w:after="0" w:line="240" w:lineRule="auto"/>
        <w:ind w:left="170" w:hanging="170"/>
        <w:jc w:val="both"/>
        <w:rPr>
          <w:rFonts w:asciiTheme="majorBidi" w:hAnsiTheme="majorBidi" w:cstheme="majorBidi"/>
          <w:sz w:val="24"/>
          <w:szCs w:val="24"/>
          <w:shd w:val="clear" w:color="auto" w:fill="FFFFFF"/>
        </w:rPr>
      </w:pPr>
      <w:r w:rsidRPr="003E24A7">
        <w:rPr>
          <w:rFonts w:asciiTheme="majorBidi" w:hAnsiTheme="majorBidi" w:cstheme="majorBidi"/>
          <w:sz w:val="24"/>
          <w:szCs w:val="24"/>
          <w:shd w:val="clear" w:color="auto" w:fill="FFFFFF"/>
        </w:rPr>
        <w:t>Hubble</w:t>
      </w:r>
      <w:r>
        <w:rPr>
          <w:rFonts w:asciiTheme="majorBidi" w:hAnsiTheme="majorBidi" w:cstheme="majorBidi"/>
          <w:sz w:val="24"/>
          <w:szCs w:val="24"/>
          <w:shd w:val="clear" w:color="auto" w:fill="FFFFFF"/>
        </w:rPr>
        <w:t xml:space="preserve"> S and</w:t>
      </w:r>
      <w:r w:rsidRPr="003E24A7">
        <w:rPr>
          <w:rFonts w:asciiTheme="majorBidi" w:hAnsiTheme="majorBidi" w:cstheme="majorBidi"/>
          <w:sz w:val="24"/>
          <w:szCs w:val="24"/>
          <w:shd w:val="clear" w:color="auto" w:fill="FFFFFF"/>
        </w:rPr>
        <w:t xml:space="preserve"> Bolton</w:t>
      </w:r>
      <w:r>
        <w:rPr>
          <w:rFonts w:asciiTheme="majorBidi" w:hAnsiTheme="majorBidi" w:cstheme="majorBidi"/>
          <w:sz w:val="24"/>
          <w:szCs w:val="24"/>
          <w:shd w:val="clear" w:color="auto" w:fill="FFFFFF"/>
        </w:rPr>
        <w:t xml:space="preserve"> P (2019) </w:t>
      </w:r>
      <w:r>
        <w:rPr>
          <w:rFonts w:asciiTheme="majorBidi" w:hAnsiTheme="majorBidi" w:cstheme="majorBidi"/>
          <w:i/>
          <w:iCs/>
          <w:sz w:val="24"/>
          <w:szCs w:val="24"/>
          <w:shd w:val="clear" w:color="auto" w:fill="FFFFFF"/>
        </w:rPr>
        <w:t xml:space="preserve">Briefing paper: </w:t>
      </w:r>
      <w:r w:rsidR="00221A14">
        <w:rPr>
          <w:rFonts w:asciiTheme="majorBidi" w:hAnsiTheme="majorBidi" w:cstheme="majorBidi"/>
          <w:i/>
          <w:iCs/>
          <w:sz w:val="24"/>
          <w:szCs w:val="24"/>
          <w:shd w:val="clear" w:color="auto" w:fill="FFFFFF"/>
        </w:rPr>
        <w:t>U</w:t>
      </w:r>
      <w:r w:rsidRPr="003E24A7">
        <w:rPr>
          <w:rFonts w:asciiTheme="majorBidi" w:hAnsiTheme="majorBidi" w:cstheme="majorBidi"/>
          <w:i/>
          <w:iCs/>
          <w:sz w:val="24"/>
          <w:szCs w:val="24"/>
          <w:shd w:val="clear" w:color="auto" w:fill="FFFFFF"/>
        </w:rPr>
        <w:t>pdate on vice-chancellors pay in higher education institutions in England</w:t>
      </w:r>
      <w:r>
        <w:rPr>
          <w:rFonts w:asciiTheme="majorBidi" w:hAnsiTheme="majorBidi" w:cstheme="majorBidi"/>
          <w:sz w:val="24"/>
          <w:szCs w:val="24"/>
          <w:shd w:val="clear" w:color="auto" w:fill="FFFFFF"/>
        </w:rPr>
        <w:t>.</w:t>
      </w:r>
      <w:r w:rsidR="00090234" w:rsidRPr="00090234">
        <w:t xml:space="preserve"> </w:t>
      </w:r>
      <w:r w:rsidR="00090234" w:rsidRPr="00090234">
        <w:rPr>
          <w:rFonts w:asciiTheme="majorBidi" w:hAnsiTheme="majorBidi" w:cstheme="majorBidi"/>
          <w:sz w:val="24"/>
          <w:szCs w:val="24"/>
          <w:shd w:val="clear" w:color="auto" w:fill="FFFFFF"/>
        </w:rPr>
        <w:t>The House of Commons Library</w:t>
      </w:r>
      <w:r w:rsidR="00090234">
        <w:rPr>
          <w:rFonts w:asciiTheme="majorBidi" w:hAnsiTheme="majorBidi" w:cstheme="majorBidi"/>
          <w:sz w:val="24"/>
          <w:szCs w:val="24"/>
          <w:shd w:val="clear" w:color="auto" w:fill="FFFFFF"/>
        </w:rPr>
        <w:t>. UK.</w:t>
      </w:r>
    </w:p>
    <w:p w14:paraId="55CD4B41" w14:textId="20F5B77B" w:rsidR="003E0489" w:rsidRPr="00237B98" w:rsidRDefault="003E0489" w:rsidP="00D66011">
      <w:pPr>
        <w:spacing w:after="0" w:line="240" w:lineRule="auto"/>
        <w:ind w:left="170" w:hanging="170"/>
        <w:jc w:val="both"/>
        <w:rPr>
          <w:rFonts w:asciiTheme="majorBidi" w:hAnsiTheme="majorBidi" w:cstheme="majorBidi"/>
          <w:sz w:val="24"/>
          <w:szCs w:val="24"/>
          <w:shd w:val="clear" w:color="auto" w:fill="FFFFFF"/>
        </w:rPr>
      </w:pPr>
      <w:r w:rsidRPr="003E0489">
        <w:rPr>
          <w:rFonts w:asciiTheme="majorBidi" w:hAnsiTheme="majorBidi" w:cstheme="majorBidi"/>
          <w:sz w:val="24"/>
          <w:szCs w:val="24"/>
          <w:shd w:val="clear" w:color="auto" w:fill="FFFFFF"/>
        </w:rPr>
        <w:t xml:space="preserve">Hurt E (2012). The marketization of higher education. </w:t>
      </w:r>
      <w:r w:rsidRPr="003E0489">
        <w:rPr>
          <w:rFonts w:asciiTheme="majorBidi" w:hAnsiTheme="majorBidi" w:cstheme="majorBidi"/>
          <w:i/>
          <w:iCs/>
          <w:sz w:val="24"/>
          <w:szCs w:val="24"/>
          <w:shd w:val="clear" w:color="auto" w:fill="FFFFFF"/>
        </w:rPr>
        <w:t>College Literature</w:t>
      </w:r>
      <w:r w:rsidRPr="003E0489">
        <w:rPr>
          <w:rFonts w:asciiTheme="majorBidi" w:hAnsiTheme="majorBidi" w:cstheme="majorBidi"/>
          <w:sz w:val="24"/>
          <w:szCs w:val="24"/>
          <w:shd w:val="clear" w:color="auto" w:fill="FFFFFF"/>
        </w:rPr>
        <w:t xml:space="preserve"> 39</w:t>
      </w:r>
      <w:r>
        <w:rPr>
          <w:rFonts w:asciiTheme="majorBidi" w:hAnsiTheme="majorBidi" w:cstheme="majorBidi"/>
          <w:sz w:val="24"/>
          <w:szCs w:val="24"/>
          <w:shd w:val="clear" w:color="auto" w:fill="FFFFFF"/>
        </w:rPr>
        <w:t>(</w:t>
      </w:r>
      <w:r w:rsidRPr="003E0489">
        <w:rPr>
          <w:rFonts w:asciiTheme="majorBidi" w:hAnsiTheme="majorBidi" w:cstheme="majorBidi"/>
          <w:sz w:val="24"/>
          <w:szCs w:val="24"/>
          <w:shd w:val="clear" w:color="auto" w:fill="FFFFFF"/>
        </w:rPr>
        <w:t>2</w:t>
      </w:r>
      <w:r>
        <w:rPr>
          <w:rFonts w:asciiTheme="majorBidi" w:hAnsiTheme="majorBidi" w:cstheme="majorBidi"/>
          <w:sz w:val="24"/>
          <w:szCs w:val="24"/>
          <w:shd w:val="clear" w:color="auto" w:fill="FFFFFF"/>
        </w:rPr>
        <w:t>):</w:t>
      </w:r>
      <w:r w:rsidRPr="003E0489">
        <w:rPr>
          <w:rFonts w:asciiTheme="majorBidi" w:hAnsiTheme="majorBidi" w:cstheme="majorBidi"/>
          <w:sz w:val="24"/>
          <w:szCs w:val="24"/>
          <w:shd w:val="clear" w:color="auto" w:fill="FFFFFF"/>
        </w:rPr>
        <w:t xml:space="preserve"> 121-132</w:t>
      </w:r>
    </w:p>
    <w:p w14:paraId="686D2A59" w14:textId="3C6966BB" w:rsidR="000345E3" w:rsidRDefault="004D3F82" w:rsidP="00AC5F3B">
      <w:pPr>
        <w:spacing w:after="0" w:line="240" w:lineRule="auto"/>
        <w:ind w:left="170" w:hanging="170"/>
        <w:jc w:val="both"/>
        <w:rPr>
          <w:rFonts w:asciiTheme="majorBidi" w:hAnsiTheme="majorBidi" w:cstheme="majorBidi"/>
          <w:sz w:val="24"/>
          <w:szCs w:val="24"/>
          <w:shd w:val="clear" w:color="auto" w:fill="FFFFFF"/>
        </w:rPr>
      </w:pPr>
      <w:bookmarkStart w:id="18" w:name="_Hlk46584720"/>
      <w:r w:rsidRPr="00237B98">
        <w:rPr>
          <w:rFonts w:asciiTheme="majorBidi" w:hAnsiTheme="majorBidi" w:cstheme="majorBidi"/>
          <w:sz w:val="24"/>
          <w:szCs w:val="24"/>
          <w:shd w:val="clear" w:color="auto" w:fill="FFFFFF"/>
        </w:rPr>
        <w:t>Jensen MC and</w:t>
      </w:r>
      <w:r w:rsidR="00AC5F3B" w:rsidRPr="00237B98">
        <w:rPr>
          <w:rFonts w:asciiTheme="majorBidi" w:hAnsiTheme="majorBidi" w:cstheme="majorBidi"/>
          <w:sz w:val="24"/>
          <w:szCs w:val="24"/>
          <w:shd w:val="clear" w:color="auto" w:fill="FFFFFF"/>
        </w:rPr>
        <w:t xml:space="preserve"> Murphy</w:t>
      </w:r>
      <w:r w:rsidRPr="00237B98">
        <w:rPr>
          <w:rFonts w:asciiTheme="majorBidi" w:hAnsiTheme="majorBidi" w:cstheme="majorBidi"/>
          <w:sz w:val="24"/>
          <w:szCs w:val="24"/>
          <w:shd w:val="clear" w:color="auto" w:fill="FFFFFF"/>
        </w:rPr>
        <w:t xml:space="preserve"> K J (</w:t>
      </w:r>
      <w:r w:rsidR="000345E3" w:rsidRPr="00237B98">
        <w:rPr>
          <w:rFonts w:asciiTheme="majorBidi" w:hAnsiTheme="majorBidi" w:cstheme="majorBidi"/>
          <w:sz w:val="24"/>
          <w:szCs w:val="24"/>
          <w:shd w:val="clear" w:color="auto" w:fill="FFFFFF"/>
        </w:rPr>
        <w:t>1990</w:t>
      </w:r>
      <w:r w:rsidRPr="00237B98">
        <w:rPr>
          <w:rFonts w:asciiTheme="majorBidi" w:hAnsiTheme="majorBidi" w:cstheme="majorBidi"/>
          <w:sz w:val="24"/>
          <w:szCs w:val="24"/>
          <w:shd w:val="clear" w:color="auto" w:fill="FFFFFF"/>
        </w:rPr>
        <w:t>)</w:t>
      </w:r>
      <w:r w:rsidR="000345E3" w:rsidRPr="00237B98">
        <w:rPr>
          <w:rFonts w:asciiTheme="majorBidi" w:hAnsiTheme="majorBidi" w:cstheme="majorBidi"/>
          <w:sz w:val="24"/>
          <w:szCs w:val="24"/>
          <w:shd w:val="clear" w:color="auto" w:fill="FFFFFF"/>
        </w:rPr>
        <w:t xml:space="preserve"> Performance pay and top-management incentives. </w:t>
      </w:r>
      <w:r w:rsidR="000345E3" w:rsidRPr="00237B98">
        <w:rPr>
          <w:rFonts w:asciiTheme="majorBidi" w:hAnsiTheme="majorBidi" w:cstheme="majorBidi"/>
          <w:bCs/>
          <w:i/>
          <w:iCs/>
          <w:sz w:val="24"/>
          <w:szCs w:val="24"/>
          <w:shd w:val="clear" w:color="auto" w:fill="FFFFFF"/>
        </w:rPr>
        <w:t>Journal of Political Economy</w:t>
      </w:r>
      <w:r w:rsidR="000345E3" w:rsidRPr="00237B98">
        <w:rPr>
          <w:rFonts w:asciiTheme="majorBidi" w:hAnsiTheme="majorBidi" w:cstheme="majorBidi"/>
          <w:sz w:val="24"/>
          <w:szCs w:val="24"/>
          <w:shd w:val="clear" w:color="auto" w:fill="FFFFFF"/>
        </w:rPr>
        <w:t> 98</w:t>
      </w:r>
      <w:r w:rsidR="00AC5F3B" w:rsidRPr="00237B98">
        <w:rPr>
          <w:rFonts w:asciiTheme="majorBidi" w:hAnsiTheme="majorBidi" w:cstheme="majorBidi"/>
          <w:sz w:val="24"/>
          <w:szCs w:val="24"/>
          <w:shd w:val="clear" w:color="auto" w:fill="FFFFFF"/>
        </w:rPr>
        <w:t>(2):</w:t>
      </w:r>
      <w:r w:rsidR="000345E3" w:rsidRPr="00237B98">
        <w:rPr>
          <w:rFonts w:asciiTheme="majorBidi" w:hAnsiTheme="majorBidi" w:cstheme="majorBidi"/>
          <w:sz w:val="24"/>
          <w:szCs w:val="24"/>
          <w:shd w:val="clear" w:color="auto" w:fill="FFFFFF"/>
        </w:rPr>
        <w:t xml:space="preserve"> 225-264.</w:t>
      </w:r>
    </w:p>
    <w:p w14:paraId="3296EC80" w14:textId="0667795D" w:rsidR="00C436A9" w:rsidRPr="00237B98" w:rsidRDefault="00C436A9" w:rsidP="00C436A9">
      <w:pPr>
        <w:spacing w:after="0" w:line="240" w:lineRule="auto"/>
        <w:ind w:left="170" w:hanging="170"/>
        <w:jc w:val="both"/>
        <w:rPr>
          <w:rFonts w:asciiTheme="majorBidi" w:hAnsiTheme="majorBidi" w:cstheme="majorBidi"/>
          <w:sz w:val="24"/>
          <w:szCs w:val="24"/>
          <w:shd w:val="clear" w:color="auto" w:fill="FFFFFF"/>
        </w:rPr>
      </w:pPr>
      <w:proofErr w:type="spellStart"/>
      <w:r w:rsidRPr="00C436A9">
        <w:rPr>
          <w:rFonts w:asciiTheme="majorBidi" w:hAnsiTheme="majorBidi" w:cstheme="majorBidi"/>
          <w:sz w:val="24"/>
          <w:szCs w:val="24"/>
          <w:shd w:val="clear" w:color="auto" w:fill="FFFFFF"/>
        </w:rPr>
        <w:t>Johnes</w:t>
      </w:r>
      <w:proofErr w:type="spellEnd"/>
      <w:r w:rsidRPr="00C436A9">
        <w:rPr>
          <w:rFonts w:asciiTheme="majorBidi" w:hAnsiTheme="majorBidi" w:cstheme="majorBidi"/>
          <w:sz w:val="24"/>
          <w:szCs w:val="24"/>
          <w:shd w:val="clear" w:color="auto" w:fill="FFFFFF"/>
        </w:rPr>
        <w:t xml:space="preserve"> J and </w:t>
      </w:r>
      <w:proofErr w:type="spellStart"/>
      <w:r w:rsidRPr="00C436A9">
        <w:rPr>
          <w:rFonts w:asciiTheme="majorBidi" w:hAnsiTheme="majorBidi" w:cstheme="majorBidi"/>
          <w:sz w:val="24"/>
          <w:szCs w:val="24"/>
          <w:shd w:val="clear" w:color="auto" w:fill="FFFFFF"/>
        </w:rPr>
        <w:t>Virmani</w:t>
      </w:r>
      <w:proofErr w:type="spellEnd"/>
      <w:r w:rsidRPr="00C436A9">
        <w:rPr>
          <w:rFonts w:asciiTheme="majorBidi" w:hAnsiTheme="majorBidi" w:cstheme="majorBidi"/>
          <w:sz w:val="24"/>
          <w:szCs w:val="24"/>
          <w:shd w:val="clear" w:color="auto" w:fill="FFFFFF"/>
        </w:rPr>
        <w:t xml:space="preserve"> S (2020) Chief executive pay in UK higher education: </w:t>
      </w:r>
      <w:r w:rsidR="00221A14">
        <w:rPr>
          <w:rFonts w:asciiTheme="majorBidi" w:hAnsiTheme="majorBidi" w:cstheme="majorBidi"/>
          <w:sz w:val="24"/>
          <w:szCs w:val="24"/>
          <w:shd w:val="clear" w:color="auto" w:fill="FFFFFF"/>
        </w:rPr>
        <w:t>T</w:t>
      </w:r>
      <w:r w:rsidRPr="00C436A9">
        <w:rPr>
          <w:rFonts w:asciiTheme="majorBidi" w:hAnsiTheme="majorBidi" w:cstheme="majorBidi"/>
          <w:sz w:val="24"/>
          <w:szCs w:val="24"/>
          <w:shd w:val="clear" w:color="auto" w:fill="FFFFFF"/>
        </w:rPr>
        <w:t>he role of university performance. </w:t>
      </w:r>
      <w:r w:rsidRPr="00C436A9">
        <w:rPr>
          <w:rFonts w:asciiTheme="majorBidi" w:hAnsiTheme="majorBidi" w:cstheme="majorBidi"/>
          <w:i/>
          <w:iCs/>
          <w:sz w:val="24"/>
          <w:szCs w:val="24"/>
          <w:shd w:val="clear" w:color="auto" w:fill="FFFFFF"/>
        </w:rPr>
        <w:t>Annals of Operations Research</w:t>
      </w:r>
      <w:r w:rsidRPr="00C436A9">
        <w:rPr>
          <w:rFonts w:asciiTheme="majorBidi" w:hAnsiTheme="majorBidi" w:cstheme="majorBidi"/>
          <w:sz w:val="24"/>
          <w:szCs w:val="24"/>
          <w:shd w:val="clear" w:color="auto" w:fill="FFFFFF"/>
        </w:rPr>
        <w:t> 288(2): 547-576.</w:t>
      </w:r>
    </w:p>
    <w:bookmarkEnd w:id="18"/>
    <w:p w14:paraId="6B48DE82" w14:textId="5C3ACD93" w:rsidR="0084602D" w:rsidRPr="00237B98" w:rsidRDefault="00CA7FC1" w:rsidP="0084602D">
      <w:pPr>
        <w:spacing w:after="0" w:line="240" w:lineRule="auto"/>
        <w:jc w:val="both"/>
        <w:rPr>
          <w:rFonts w:ascii="Times New Roman" w:hAnsi="Times New Roman" w:cs="Times New Roman"/>
          <w:sz w:val="24"/>
          <w:szCs w:val="24"/>
          <w:shd w:val="clear" w:color="auto" w:fill="FFFFFF"/>
        </w:rPr>
      </w:pPr>
      <w:r w:rsidRPr="00327EA6">
        <w:rPr>
          <w:rFonts w:ascii="Times New Roman" w:hAnsi="Times New Roman" w:cs="Times New Roman"/>
          <w:sz w:val="24"/>
          <w:szCs w:val="24"/>
          <w:shd w:val="clear" w:color="auto" w:fill="FFFFFF"/>
        </w:rPr>
        <w:t xml:space="preserve">Kingston G, </w:t>
      </w:r>
      <w:proofErr w:type="spellStart"/>
      <w:r w:rsidRPr="00327EA6">
        <w:rPr>
          <w:rFonts w:ascii="Times New Roman" w:hAnsi="Times New Roman" w:cs="Times New Roman"/>
          <w:sz w:val="24"/>
          <w:szCs w:val="24"/>
          <w:shd w:val="clear" w:color="auto" w:fill="FFFFFF"/>
        </w:rPr>
        <w:t>McGinnity</w:t>
      </w:r>
      <w:proofErr w:type="spellEnd"/>
      <w:r w:rsidRPr="00327EA6">
        <w:rPr>
          <w:rFonts w:ascii="Times New Roman" w:hAnsi="Times New Roman" w:cs="Times New Roman"/>
          <w:sz w:val="24"/>
          <w:szCs w:val="24"/>
          <w:shd w:val="clear" w:color="auto" w:fill="FFFFFF"/>
        </w:rPr>
        <w:t xml:space="preserve"> F and O’Connell PJ (2015) Discrimination in the labour market: </w:t>
      </w:r>
      <w:r w:rsidR="00EC402B">
        <w:rPr>
          <w:rFonts w:ascii="Times New Roman" w:hAnsi="Times New Roman" w:cs="Times New Roman"/>
          <w:sz w:val="24"/>
          <w:szCs w:val="24"/>
          <w:shd w:val="clear" w:color="auto" w:fill="FFFFFF"/>
        </w:rPr>
        <w:t>N</w:t>
      </w:r>
      <w:r w:rsidRPr="00327EA6">
        <w:rPr>
          <w:rFonts w:ascii="Times New Roman" w:hAnsi="Times New Roman" w:cs="Times New Roman"/>
          <w:sz w:val="24"/>
          <w:szCs w:val="24"/>
          <w:shd w:val="clear" w:color="auto" w:fill="FFFFFF"/>
        </w:rPr>
        <w:t xml:space="preserve">ationality, </w:t>
      </w:r>
      <w:proofErr w:type="gramStart"/>
      <w:r w:rsidRPr="00327EA6">
        <w:rPr>
          <w:rFonts w:ascii="Times New Roman" w:hAnsi="Times New Roman" w:cs="Times New Roman"/>
          <w:sz w:val="24"/>
          <w:szCs w:val="24"/>
          <w:shd w:val="clear" w:color="auto" w:fill="FFFFFF"/>
        </w:rPr>
        <w:t>ethnicity</w:t>
      </w:r>
      <w:proofErr w:type="gramEnd"/>
      <w:r w:rsidRPr="00327EA6">
        <w:rPr>
          <w:rFonts w:ascii="Times New Roman" w:hAnsi="Times New Roman" w:cs="Times New Roman"/>
          <w:sz w:val="24"/>
          <w:szCs w:val="24"/>
          <w:shd w:val="clear" w:color="auto" w:fill="FFFFFF"/>
        </w:rPr>
        <w:t xml:space="preserve"> and the recession. </w:t>
      </w:r>
      <w:r w:rsidRPr="00327EA6">
        <w:rPr>
          <w:rFonts w:ascii="Times New Roman" w:hAnsi="Times New Roman" w:cs="Times New Roman"/>
          <w:i/>
          <w:iCs/>
          <w:sz w:val="24"/>
          <w:szCs w:val="24"/>
          <w:shd w:val="clear" w:color="auto" w:fill="FFFFFF"/>
        </w:rPr>
        <w:t xml:space="preserve">Work, Employment </w:t>
      </w:r>
      <w:r w:rsidR="0090362A">
        <w:rPr>
          <w:rFonts w:ascii="Times New Roman" w:hAnsi="Times New Roman" w:cs="Times New Roman"/>
          <w:i/>
          <w:iCs/>
          <w:sz w:val="24"/>
          <w:szCs w:val="24"/>
          <w:shd w:val="clear" w:color="auto" w:fill="FFFFFF"/>
        </w:rPr>
        <w:t>&amp;</w:t>
      </w:r>
      <w:r w:rsidR="0090362A" w:rsidRPr="00327EA6">
        <w:rPr>
          <w:rFonts w:ascii="Times New Roman" w:hAnsi="Times New Roman" w:cs="Times New Roman"/>
          <w:i/>
          <w:iCs/>
          <w:sz w:val="24"/>
          <w:szCs w:val="24"/>
          <w:shd w:val="clear" w:color="auto" w:fill="FFFFFF"/>
        </w:rPr>
        <w:t xml:space="preserve"> </w:t>
      </w:r>
      <w:r w:rsidRPr="00327EA6">
        <w:rPr>
          <w:rFonts w:ascii="Times New Roman" w:hAnsi="Times New Roman" w:cs="Times New Roman"/>
          <w:i/>
          <w:iCs/>
          <w:sz w:val="24"/>
          <w:szCs w:val="24"/>
          <w:shd w:val="clear" w:color="auto" w:fill="FFFFFF"/>
        </w:rPr>
        <w:t>Society</w:t>
      </w:r>
      <w:r w:rsidRPr="00327EA6">
        <w:rPr>
          <w:rFonts w:ascii="Times New Roman" w:hAnsi="Times New Roman" w:cs="Times New Roman"/>
          <w:sz w:val="24"/>
          <w:szCs w:val="24"/>
          <w:shd w:val="clear" w:color="auto" w:fill="FFFFFF"/>
        </w:rPr>
        <w:t xml:space="preserve"> 29(2)</w:t>
      </w:r>
      <w:r w:rsidR="004149CD" w:rsidRPr="00327EA6">
        <w:rPr>
          <w:rFonts w:ascii="Times New Roman" w:hAnsi="Times New Roman" w:cs="Times New Roman"/>
          <w:sz w:val="24"/>
          <w:szCs w:val="24"/>
          <w:shd w:val="clear" w:color="auto" w:fill="FFFFFF"/>
        </w:rPr>
        <w:t>:</w:t>
      </w:r>
      <w:r w:rsidRPr="00327EA6">
        <w:rPr>
          <w:rFonts w:ascii="Times New Roman" w:hAnsi="Times New Roman" w:cs="Times New Roman"/>
          <w:sz w:val="24"/>
          <w:szCs w:val="24"/>
          <w:shd w:val="clear" w:color="auto" w:fill="FFFFFF"/>
        </w:rPr>
        <w:t xml:space="preserve"> 213-232.</w:t>
      </w:r>
    </w:p>
    <w:p w14:paraId="13A21319" w14:textId="3A74A848" w:rsidR="00026831" w:rsidRDefault="00026831" w:rsidP="00E736F6">
      <w:pPr>
        <w:spacing w:after="0" w:line="240" w:lineRule="auto"/>
        <w:ind w:left="170" w:hanging="170"/>
        <w:jc w:val="both"/>
        <w:rPr>
          <w:rFonts w:ascii="Times New Roman" w:hAnsi="Times New Roman" w:cs="Times New Roman"/>
          <w:sz w:val="24"/>
          <w:szCs w:val="24"/>
          <w:shd w:val="clear" w:color="auto" w:fill="FFFFFF"/>
        </w:rPr>
      </w:pPr>
      <w:r w:rsidRPr="00327EA6">
        <w:rPr>
          <w:rFonts w:ascii="Times New Roman" w:hAnsi="Times New Roman" w:cs="Times New Roman"/>
          <w:sz w:val="24"/>
          <w:szCs w:val="24"/>
          <w:shd w:val="clear" w:color="auto" w:fill="FFFFFF"/>
        </w:rPr>
        <w:t xml:space="preserve">Main BG, Bruce </w:t>
      </w:r>
      <w:r w:rsidR="00744174" w:rsidRPr="00327EA6">
        <w:rPr>
          <w:rFonts w:ascii="Times New Roman" w:hAnsi="Times New Roman" w:cs="Times New Roman"/>
          <w:sz w:val="24"/>
          <w:szCs w:val="24"/>
          <w:shd w:val="clear" w:color="auto" w:fill="FFFFFF"/>
        </w:rPr>
        <w:t xml:space="preserve">A and </w:t>
      </w:r>
      <w:r w:rsidRPr="00327EA6">
        <w:rPr>
          <w:rFonts w:ascii="Times New Roman" w:hAnsi="Times New Roman" w:cs="Times New Roman"/>
          <w:sz w:val="24"/>
          <w:szCs w:val="24"/>
          <w:shd w:val="clear" w:color="auto" w:fill="FFFFFF"/>
        </w:rPr>
        <w:t>Buck T (1996) Total board remuneration and company performance. </w:t>
      </w:r>
      <w:r w:rsidRPr="00327EA6">
        <w:rPr>
          <w:rFonts w:ascii="Times New Roman" w:hAnsi="Times New Roman" w:cs="Times New Roman"/>
          <w:i/>
          <w:iCs/>
          <w:sz w:val="24"/>
          <w:szCs w:val="24"/>
          <w:shd w:val="clear" w:color="auto" w:fill="FFFFFF"/>
        </w:rPr>
        <w:t>The Economic Journal</w:t>
      </w:r>
      <w:r w:rsidR="00744174" w:rsidRPr="00327EA6">
        <w:rPr>
          <w:rFonts w:ascii="Times New Roman" w:hAnsi="Times New Roman" w:cs="Times New Roman"/>
          <w:sz w:val="24"/>
          <w:szCs w:val="24"/>
          <w:shd w:val="clear" w:color="auto" w:fill="FFFFFF"/>
        </w:rPr>
        <w:t xml:space="preserve"> </w:t>
      </w:r>
      <w:r w:rsidRPr="00327EA6">
        <w:rPr>
          <w:rFonts w:ascii="Times New Roman" w:hAnsi="Times New Roman" w:cs="Times New Roman"/>
          <w:sz w:val="24"/>
          <w:szCs w:val="24"/>
          <w:shd w:val="clear" w:color="auto" w:fill="FFFFFF"/>
        </w:rPr>
        <w:t>106(439)</w:t>
      </w:r>
      <w:r w:rsidR="00744174" w:rsidRPr="00327EA6">
        <w:rPr>
          <w:rFonts w:ascii="Times New Roman" w:hAnsi="Times New Roman" w:cs="Times New Roman"/>
          <w:sz w:val="24"/>
          <w:szCs w:val="24"/>
          <w:shd w:val="clear" w:color="auto" w:fill="FFFFFF"/>
        </w:rPr>
        <w:t>:</w:t>
      </w:r>
      <w:r w:rsidRPr="00327EA6">
        <w:rPr>
          <w:rFonts w:ascii="Times New Roman" w:hAnsi="Times New Roman" w:cs="Times New Roman"/>
          <w:sz w:val="24"/>
          <w:szCs w:val="24"/>
          <w:shd w:val="clear" w:color="auto" w:fill="FFFFFF"/>
        </w:rPr>
        <w:t xml:space="preserve"> 1627-1644.</w:t>
      </w:r>
    </w:p>
    <w:p w14:paraId="37B17234" w14:textId="542FB2E4" w:rsidR="00E26FCB" w:rsidRPr="00237B98" w:rsidRDefault="00E26FCB" w:rsidP="00E26FCB">
      <w:pPr>
        <w:spacing w:after="0" w:line="240" w:lineRule="auto"/>
        <w:ind w:left="170" w:hanging="170"/>
        <w:jc w:val="both"/>
        <w:rPr>
          <w:rFonts w:ascii="Times New Roman" w:hAnsi="Times New Roman" w:cs="Times New Roman"/>
          <w:sz w:val="24"/>
          <w:szCs w:val="24"/>
        </w:rPr>
      </w:pPr>
      <w:proofErr w:type="spellStart"/>
      <w:r w:rsidRPr="00327EA6">
        <w:rPr>
          <w:rFonts w:ascii="Times New Roman" w:hAnsi="Times New Roman" w:cs="Times New Roman"/>
          <w:sz w:val="24"/>
          <w:szCs w:val="24"/>
        </w:rPr>
        <w:t>Malmendier</w:t>
      </w:r>
      <w:proofErr w:type="spellEnd"/>
      <w:r w:rsidR="004D3F82" w:rsidRPr="00327EA6">
        <w:rPr>
          <w:rFonts w:ascii="Times New Roman" w:hAnsi="Times New Roman" w:cs="Times New Roman"/>
          <w:sz w:val="24"/>
          <w:szCs w:val="24"/>
        </w:rPr>
        <w:t xml:space="preserve"> U and</w:t>
      </w:r>
      <w:r w:rsidRPr="00327EA6">
        <w:rPr>
          <w:rFonts w:ascii="Times New Roman" w:hAnsi="Times New Roman" w:cs="Times New Roman"/>
          <w:sz w:val="24"/>
          <w:szCs w:val="24"/>
        </w:rPr>
        <w:t xml:space="preserve"> Tate</w:t>
      </w:r>
      <w:r w:rsidR="004D3F82" w:rsidRPr="00327EA6">
        <w:rPr>
          <w:rFonts w:ascii="Times New Roman" w:hAnsi="Times New Roman" w:cs="Times New Roman"/>
          <w:sz w:val="24"/>
          <w:szCs w:val="24"/>
        </w:rPr>
        <w:t xml:space="preserve"> G (</w:t>
      </w:r>
      <w:r w:rsidRPr="00327EA6">
        <w:rPr>
          <w:rFonts w:ascii="Times New Roman" w:hAnsi="Times New Roman" w:cs="Times New Roman"/>
          <w:sz w:val="24"/>
          <w:szCs w:val="24"/>
        </w:rPr>
        <w:t>2009</w:t>
      </w:r>
      <w:r w:rsidR="004D3F82" w:rsidRPr="00327EA6">
        <w:rPr>
          <w:rFonts w:ascii="Times New Roman" w:hAnsi="Times New Roman" w:cs="Times New Roman"/>
          <w:sz w:val="24"/>
          <w:szCs w:val="24"/>
        </w:rPr>
        <w:t>)</w:t>
      </w:r>
      <w:r w:rsidRPr="00327EA6">
        <w:rPr>
          <w:rFonts w:ascii="Times New Roman" w:hAnsi="Times New Roman" w:cs="Times New Roman"/>
          <w:sz w:val="24"/>
          <w:szCs w:val="24"/>
        </w:rPr>
        <w:t xml:space="preserve"> Superstar CEOs. </w:t>
      </w:r>
      <w:r w:rsidRPr="00327EA6">
        <w:rPr>
          <w:rFonts w:ascii="Times New Roman" w:hAnsi="Times New Roman" w:cs="Times New Roman"/>
          <w:i/>
          <w:sz w:val="24"/>
          <w:szCs w:val="24"/>
        </w:rPr>
        <w:t>Quarterly Journal of Economics</w:t>
      </w:r>
      <w:r w:rsidR="004D3F82" w:rsidRPr="00327EA6">
        <w:rPr>
          <w:rFonts w:ascii="Times New Roman" w:hAnsi="Times New Roman" w:cs="Times New Roman"/>
          <w:sz w:val="24"/>
          <w:szCs w:val="24"/>
        </w:rPr>
        <w:t xml:space="preserve"> </w:t>
      </w:r>
      <w:r w:rsidRPr="00327EA6">
        <w:rPr>
          <w:rFonts w:ascii="Times New Roman" w:hAnsi="Times New Roman" w:cs="Times New Roman"/>
          <w:sz w:val="24"/>
          <w:szCs w:val="24"/>
        </w:rPr>
        <w:t>124(4): 1593-1638</w:t>
      </w:r>
      <w:r w:rsidR="00363454" w:rsidRPr="00327EA6">
        <w:rPr>
          <w:rFonts w:ascii="Times New Roman" w:hAnsi="Times New Roman" w:cs="Times New Roman"/>
          <w:sz w:val="24"/>
          <w:szCs w:val="24"/>
        </w:rPr>
        <w:t>.</w:t>
      </w:r>
    </w:p>
    <w:p w14:paraId="44EEB809" w14:textId="289124EC" w:rsidR="00560004" w:rsidRDefault="00560004" w:rsidP="00E26FCB">
      <w:pPr>
        <w:spacing w:after="0" w:line="240" w:lineRule="auto"/>
        <w:ind w:left="170" w:hanging="170"/>
        <w:jc w:val="both"/>
        <w:rPr>
          <w:rFonts w:ascii="Times New Roman" w:hAnsi="Times New Roman" w:cs="Times New Roman"/>
          <w:color w:val="222222"/>
          <w:sz w:val="24"/>
          <w:szCs w:val="24"/>
          <w:shd w:val="clear" w:color="auto" w:fill="FFFFFF"/>
        </w:rPr>
      </w:pPr>
      <w:bookmarkStart w:id="19" w:name="_Hlk67836150"/>
      <w:r w:rsidRPr="00327EA6">
        <w:rPr>
          <w:rFonts w:ascii="Times New Roman" w:hAnsi="Times New Roman" w:cs="Times New Roman"/>
          <w:color w:val="222222"/>
          <w:sz w:val="24"/>
          <w:szCs w:val="24"/>
          <w:shd w:val="clear" w:color="auto" w:fill="FFFFFF"/>
        </w:rPr>
        <w:t>Magnusson</w:t>
      </w:r>
      <w:r w:rsidR="000A455A" w:rsidRPr="00327EA6">
        <w:rPr>
          <w:rFonts w:ascii="Times New Roman" w:hAnsi="Times New Roman" w:cs="Times New Roman"/>
          <w:color w:val="222222"/>
          <w:sz w:val="24"/>
          <w:szCs w:val="24"/>
          <w:shd w:val="clear" w:color="auto" w:fill="FFFFFF"/>
        </w:rPr>
        <w:t>,</w:t>
      </w:r>
      <w:r w:rsidRPr="00327EA6">
        <w:rPr>
          <w:rFonts w:ascii="Times New Roman" w:hAnsi="Times New Roman" w:cs="Times New Roman"/>
          <w:color w:val="222222"/>
          <w:sz w:val="24"/>
          <w:szCs w:val="24"/>
          <w:shd w:val="clear" w:color="auto" w:fill="FFFFFF"/>
        </w:rPr>
        <w:t xml:space="preserve"> C</w:t>
      </w:r>
      <w:r w:rsidR="000A455A" w:rsidRPr="00327EA6">
        <w:rPr>
          <w:rFonts w:ascii="Times New Roman" w:hAnsi="Times New Roman" w:cs="Times New Roman"/>
          <w:color w:val="222222"/>
          <w:sz w:val="24"/>
          <w:szCs w:val="24"/>
          <w:shd w:val="clear" w:color="auto" w:fill="FFFFFF"/>
        </w:rPr>
        <w:t>.</w:t>
      </w:r>
      <w:r w:rsidRPr="00327EA6">
        <w:rPr>
          <w:rFonts w:ascii="Times New Roman" w:hAnsi="Times New Roman" w:cs="Times New Roman"/>
          <w:color w:val="222222"/>
          <w:sz w:val="24"/>
          <w:szCs w:val="24"/>
          <w:shd w:val="clear" w:color="auto" w:fill="FFFFFF"/>
        </w:rPr>
        <w:t xml:space="preserve"> (2016) The gender wage gap in highly prestigious occupations: </w:t>
      </w:r>
      <w:r w:rsidR="008C408D">
        <w:rPr>
          <w:rFonts w:ascii="Times New Roman" w:hAnsi="Times New Roman" w:cs="Times New Roman"/>
          <w:color w:val="222222"/>
          <w:sz w:val="24"/>
          <w:szCs w:val="24"/>
          <w:shd w:val="clear" w:color="auto" w:fill="FFFFFF"/>
        </w:rPr>
        <w:t>A</w:t>
      </w:r>
      <w:r w:rsidRPr="00327EA6">
        <w:rPr>
          <w:rFonts w:ascii="Times New Roman" w:hAnsi="Times New Roman" w:cs="Times New Roman"/>
          <w:color w:val="222222"/>
          <w:sz w:val="24"/>
          <w:szCs w:val="24"/>
          <w:shd w:val="clear" w:color="auto" w:fill="FFFFFF"/>
        </w:rPr>
        <w:t xml:space="preserve"> case study of Swedish medical doctors. </w:t>
      </w:r>
      <w:r w:rsidRPr="00327EA6">
        <w:rPr>
          <w:rFonts w:ascii="Times New Roman" w:hAnsi="Times New Roman" w:cs="Times New Roman"/>
          <w:i/>
          <w:iCs/>
          <w:color w:val="222222"/>
          <w:sz w:val="24"/>
          <w:szCs w:val="24"/>
          <w:shd w:val="clear" w:color="auto" w:fill="FFFFFF"/>
        </w:rPr>
        <w:t xml:space="preserve">Work, Employment </w:t>
      </w:r>
      <w:r w:rsidR="0090362A">
        <w:rPr>
          <w:rFonts w:ascii="Times New Roman" w:hAnsi="Times New Roman" w:cs="Times New Roman"/>
          <w:i/>
          <w:iCs/>
          <w:color w:val="222222"/>
          <w:sz w:val="24"/>
          <w:szCs w:val="24"/>
          <w:shd w:val="clear" w:color="auto" w:fill="FFFFFF"/>
        </w:rPr>
        <w:t>&amp;</w:t>
      </w:r>
      <w:r w:rsidR="0090362A" w:rsidRPr="00327EA6">
        <w:rPr>
          <w:rFonts w:ascii="Times New Roman" w:hAnsi="Times New Roman" w:cs="Times New Roman"/>
          <w:i/>
          <w:iCs/>
          <w:color w:val="222222"/>
          <w:sz w:val="24"/>
          <w:szCs w:val="24"/>
          <w:shd w:val="clear" w:color="auto" w:fill="FFFFFF"/>
        </w:rPr>
        <w:t xml:space="preserve"> </w:t>
      </w:r>
      <w:r w:rsidRPr="00327EA6">
        <w:rPr>
          <w:rFonts w:ascii="Times New Roman" w:hAnsi="Times New Roman" w:cs="Times New Roman"/>
          <w:i/>
          <w:iCs/>
          <w:color w:val="222222"/>
          <w:sz w:val="24"/>
          <w:szCs w:val="24"/>
          <w:shd w:val="clear" w:color="auto" w:fill="FFFFFF"/>
        </w:rPr>
        <w:t>Society</w:t>
      </w:r>
      <w:r w:rsidRPr="00327EA6">
        <w:rPr>
          <w:rFonts w:ascii="Times New Roman" w:hAnsi="Times New Roman" w:cs="Times New Roman"/>
          <w:color w:val="222222"/>
          <w:sz w:val="24"/>
          <w:szCs w:val="24"/>
          <w:shd w:val="clear" w:color="auto" w:fill="FFFFFF"/>
        </w:rPr>
        <w:t> 30(1)</w:t>
      </w:r>
      <w:r w:rsidR="004149CD" w:rsidRPr="00327EA6">
        <w:rPr>
          <w:rFonts w:ascii="Times New Roman" w:hAnsi="Times New Roman" w:cs="Times New Roman"/>
          <w:color w:val="222222"/>
          <w:sz w:val="24"/>
          <w:szCs w:val="24"/>
          <w:shd w:val="clear" w:color="auto" w:fill="FFFFFF"/>
        </w:rPr>
        <w:t>:</w:t>
      </w:r>
      <w:r w:rsidRPr="00327EA6">
        <w:rPr>
          <w:rFonts w:ascii="Times New Roman" w:hAnsi="Times New Roman" w:cs="Times New Roman"/>
          <w:color w:val="222222"/>
          <w:sz w:val="24"/>
          <w:szCs w:val="24"/>
          <w:shd w:val="clear" w:color="auto" w:fill="FFFFFF"/>
        </w:rPr>
        <w:t xml:space="preserve"> 40-58.</w:t>
      </w:r>
    </w:p>
    <w:bookmarkEnd w:id="19"/>
    <w:p w14:paraId="28C6B353" w14:textId="362F61B3" w:rsidR="0034543D" w:rsidRDefault="0034543D" w:rsidP="008760DE">
      <w:pPr>
        <w:spacing w:after="0" w:line="240" w:lineRule="auto"/>
        <w:jc w:val="both"/>
        <w:rPr>
          <w:rFonts w:ascii="Times New Roman" w:hAnsi="Times New Roman" w:cs="Times New Roman"/>
          <w:sz w:val="24"/>
          <w:szCs w:val="24"/>
        </w:rPr>
      </w:pPr>
      <w:r w:rsidRPr="00327EA6">
        <w:rPr>
          <w:rFonts w:ascii="Times New Roman" w:hAnsi="Times New Roman" w:cs="Times New Roman"/>
          <w:sz w:val="24"/>
          <w:szCs w:val="24"/>
        </w:rPr>
        <w:t>McCaig C</w:t>
      </w:r>
      <w:r w:rsidR="002F1D28" w:rsidRPr="00237B98">
        <w:rPr>
          <w:rFonts w:ascii="Times New Roman" w:hAnsi="Times New Roman" w:cs="Times New Roman"/>
          <w:sz w:val="24"/>
          <w:szCs w:val="24"/>
        </w:rPr>
        <w:t xml:space="preserve"> and</w:t>
      </w:r>
      <w:r w:rsidRPr="00327EA6">
        <w:rPr>
          <w:rFonts w:ascii="Times New Roman" w:hAnsi="Times New Roman" w:cs="Times New Roman"/>
          <w:sz w:val="24"/>
          <w:szCs w:val="24"/>
        </w:rPr>
        <w:t xml:space="preserve"> Lightfoot N (2019) Higher education, widening access and market failure: Towards a dual pricing mechanism in England. </w:t>
      </w:r>
      <w:r w:rsidRPr="00327EA6">
        <w:rPr>
          <w:rFonts w:ascii="Times New Roman" w:hAnsi="Times New Roman" w:cs="Times New Roman"/>
          <w:i/>
          <w:iCs/>
          <w:sz w:val="24"/>
          <w:szCs w:val="24"/>
        </w:rPr>
        <w:t>Social Sciences</w:t>
      </w:r>
      <w:r w:rsidRPr="00327EA6">
        <w:rPr>
          <w:rFonts w:ascii="Times New Roman" w:hAnsi="Times New Roman" w:cs="Times New Roman"/>
          <w:sz w:val="24"/>
          <w:szCs w:val="24"/>
        </w:rPr>
        <w:t xml:space="preserve"> 8: 1-13.</w:t>
      </w:r>
    </w:p>
    <w:p w14:paraId="5D5DF9E8" w14:textId="37261AFC" w:rsidR="00E15F38" w:rsidRPr="00327EA6" w:rsidRDefault="00E15F38" w:rsidP="00D87196">
      <w:pPr>
        <w:spacing w:after="0" w:line="240" w:lineRule="auto"/>
        <w:ind w:left="170" w:hanging="170"/>
        <w:jc w:val="both"/>
        <w:rPr>
          <w:rFonts w:ascii="Times New Roman" w:hAnsi="Times New Roman" w:cs="Times New Roman"/>
          <w:sz w:val="24"/>
          <w:szCs w:val="24"/>
          <w:shd w:val="clear" w:color="auto" w:fill="FFFFFF"/>
        </w:rPr>
      </w:pPr>
      <w:r w:rsidRPr="00327EA6">
        <w:rPr>
          <w:rFonts w:ascii="Times New Roman" w:hAnsi="Times New Roman" w:cs="Times New Roman"/>
          <w:sz w:val="24"/>
          <w:szCs w:val="24"/>
          <w:shd w:val="clear" w:color="auto" w:fill="FFFFFF"/>
        </w:rPr>
        <w:t xml:space="preserve">McGuire J, Dow S and </w:t>
      </w:r>
      <w:proofErr w:type="spellStart"/>
      <w:r w:rsidRPr="00327EA6">
        <w:rPr>
          <w:rFonts w:ascii="Times New Roman" w:hAnsi="Times New Roman" w:cs="Times New Roman"/>
          <w:sz w:val="24"/>
          <w:szCs w:val="24"/>
          <w:shd w:val="clear" w:color="auto" w:fill="FFFFFF"/>
        </w:rPr>
        <w:t>Argheyd</w:t>
      </w:r>
      <w:proofErr w:type="spellEnd"/>
      <w:r w:rsidRPr="00327EA6">
        <w:rPr>
          <w:rFonts w:ascii="Times New Roman" w:hAnsi="Times New Roman" w:cs="Times New Roman"/>
          <w:sz w:val="24"/>
          <w:szCs w:val="24"/>
          <w:shd w:val="clear" w:color="auto" w:fill="FFFFFF"/>
        </w:rPr>
        <w:t xml:space="preserve"> K (2003) CEO incentives and corporate social performance. </w:t>
      </w:r>
      <w:r w:rsidRPr="00327EA6">
        <w:rPr>
          <w:rFonts w:ascii="Times New Roman" w:hAnsi="Times New Roman" w:cs="Times New Roman"/>
          <w:i/>
          <w:iCs/>
          <w:sz w:val="24"/>
          <w:szCs w:val="24"/>
          <w:shd w:val="clear" w:color="auto" w:fill="FFFFFF"/>
        </w:rPr>
        <w:t>Journal of Business Ethics</w:t>
      </w:r>
      <w:r w:rsidRPr="00327EA6">
        <w:rPr>
          <w:rFonts w:ascii="Times New Roman" w:hAnsi="Times New Roman" w:cs="Times New Roman"/>
          <w:sz w:val="24"/>
          <w:szCs w:val="24"/>
          <w:shd w:val="clear" w:color="auto" w:fill="FFFFFF"/>
        </w:rPr>
        <w:t xml:space="preserve"> 45(4)</w:t>
      </w:r>
      <w:r w:rsidR="004149CD" w:rsidRPr="00327EA6">
        <w:rPr>
          <w:rFonts w:ascii="Times New Roman" w:hAnsi="Times New Roman" w:cs="Times New Roman"/>
          <w:sz w:val="24"/>
          <w:szCs w:val="24"/>
          <w:shd w:val="clear" w:color="auto" w:fill="FFFFFF"/>
        </w:rPr>
        <w:t>:</w:t>
      </w:r>
      <w:r w:rsidRPr="00327EA6">
        <w:rPr>
          <w:rFonts w:ascii="Times New Roman" w:hAnsi="Times New Roman" w:cs="Times New Roman"/>
          <w:sz w:val="24"/>
          <w:szCs w:val="24"/>
          <w:shd w:val="clear" w:color="auto" w:fill="FFFFFF"/>
        </w:rPr>
        <w:t xml:space="preserve"> 341-359.</w:t>
      </w:r>
    </w:p>
    <w:p w14:paraId="001973BF" w14:textId="52C3EA3D" w:rsidR="00B845FD" w:rsidRPr="0090362A" w:rsidRDefault="00FA11A0" w:rsidP="00B845FD">
      <w:pPr>
        <w:spacing w:after="0" w:line="240" w:lineRule="auto"/>
        <w:ind w:left="170" w:hanging="170"/>
        <w:jc w:val="both"/>
        <w:rPr>
          <w:rFonts w:asciiTheme="majorBidi" w:hAnsiTheme="majorBidi" w:cstheme="majorBidi"/>
          <w:sz w:val="24"/>
          <w:szCs w:val="24"/>
          <w:shd w:val="clear" w:color="auto" w:fill="FFFFFF"/>
        </w:rPr>
      </w:pPr>
      <w:r w:rsidRPr="0090362A">
        <w:rPr>
          <w:rFonts w:asciiTheme="majorBidi" w:hAnsiTheme="majorBidi" w:cstheme="majorBidi"/>
          <w:sz w:val="24"/>
          <w:szCs w:val="24"/>
          <w:shd w:val="clear" w:color="auto" w:fill="FFFFFF"/>
        </w:rPr>
        <w:t>Milbourn TT (2003) CEO reputation and stock-based compensation. </w:t>
      </w:r>
      <w:r w:rsidRPr="0090362A">
        <w:rPr>
          <w:rFonts w:asciiTheme="majorBidi" w:hAnsiTheme="majorBidi" w:cstheme="majorBidi"/>
          <w:i/>
          <w:sz w:val="24"/>
          <w:szCs w:val="24"/>
          <w:shd w:val="clear" w:color="auto" w:fill="FFFFFF"/>
        </w:rPr>
        <w:t>Journal of Financial Economics</w:t>
      </w:r>
      <w:r w:rsidRPr="0090362A">
        <w:rPr>
          <w:rFonts w:asciiTheme="majorBidi" w:hAnsiTheme="majorBidi" w:cstheme="majorBidi"/>
          <w:sz w:val="24"/>
          <w:szCs w:val="24"/>
          <w:shd w:val="clear" w:color="auto" w:fill="FFFFFF"/>
        </w:rPr>
        <w:t> 68(2)</w:t>
      </w:r>
      <w:r w:rsidR="001252A6">
        <w:rPr>
          <w:rFonts w:asciiTheme="majorBidi" w:hAnsiTheme="majorBidi" w:cstheme="majorBidi"/>
          <w:sz w:val="24"/>
          <w:szCs w:val="24"/>
          <w:shd w:val="clear" w:color="auto" w:fill="FFFFFF"/>
        </w:rPr>
        <w:t>:</w:t>
      </w:r>
      <w:r w:rsidRPr="0090362A">
        <w:rPr>
          <w:rFonts w:asciiTheme="majorBidi" w:hAnsiTheme="majorBidi" w:cstheme="majorBidi"/>
          <w:sz w:val="24"/>
          <w:szCs w:val="24"/>
          <w:shd w:val="clear" w:color="auto" w:fill="FFFFFF"/>
        </w:rPr>
        <w:t xml:space="preserve"> 233-262.</w:t>
      </w:r>
    </w:p>
    <w:p w14:paraId="119573A0" w14:textId="6AFDEB43" w:rsidR="00090234" w:rsidRDefault="00090234" w:rsidP="00090234">
      <w:pPr>
        <w:spacing w:after="0"/>
        <w:ind w:left="170" w:hanging="17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Office for Students (2019) </w:t>
      </w:r>
      <w:r w:rsidRPr="00090234">
        <w:rPr>
          <w:rFonts w:asciiTheme="majorBidi" w:hAnsiTheme="majorBidi" w:cstheme="majorBidi"/>
          <w:i/>
          <w:iCs/>
          <w:sz w:val="24"/>
          <w:szCs w:val="24"/>
          <w:shd w:val="clear" w:color="auto" w:fill="FFFFFF"/>
        </w:rPr>
        <w:t>Senior staff remuneration: Analysis of the 2019-20 disclosures</w:t>
      </w:r>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OfS</w:t>
      </w:r>
      <w:proofErr w:type="spellEnd"/>
      <w:r>
        <w:rPr>
          <w:rFonts w:asciiTheme="majorBidi" w:hAnsiTheme="majorBidi" w:cstheme="majorBidi"/>
          <w:sz w:val="24"/>
          <w:szCs w:val="24"/>
          <w:shd w:val="clear" w:color="auto" w:fill="FFFFFF"/>
        </w:rPr>
        <w:t>. London.</w:t>
      </w:r>
    </w:p>
    <w:p w14:paraId="75C5F104" w14:textId="7EAF2C65" w:rsidR="00762B06" w:rsidRPr="00762B06" w:rsidRDefault="00762B06" w:rsidP="00762B06">
      <w:pPr>
        <w:spacing w:after="0" w:line="240" w:lineRule="auto"/>
        <w:ind w:left="170" w:hanging="170"/>
        <w:jc w:val="both"/>
        <w:rPr>
          <w:rFonts w:ascii="Times New Roman" w:hAnsi="Times New Roman" w:cs="Times New Roman"/>
          <w:sz w:val="24"/>
          <w:szCs w:val="24"/>
          <w:shd w:val="clear" w:color="auto" w:fill="FFFFFF"/>
          <w:lang w:val="en-US"/>
        </w:rPr>
      </w:pPr>
      <w:r w:rsidRPr="00762B06">
        <w:rPr>
          <w:rFonts w:ascii="Times New Roman" w:hAnsi="Times New Roman" w:cs="Times New Roman"/>
          <w:sz w:val="24"/>
          <w:szCs w:val="24"/>
          <w:shd w:val="clear" w:color="auto" w:fill="FFFFFF"/>
          <w:lang w:val="en-US"/>
        </w:rPr>
        <w:t>Schaefer S (1998) The Dependence of pay—Performance Sensitivity on the Size of the Firm. </w:t>
      </w:r>
      <w:r w:rsidRPr="00762B06">
        <w:rPr>
          <w:rFonts w:ascii="Times New Roman" w:hAnsi="Times New Roman" w:cs="Times New Roman"/>
          <w:i/>
          <w:iCs/>
          <w:sz w:val="24"/>
          <w:szCs w:val="24"/>
          <w:shd w:val="clear" w:color="auto" w:fill="FFFFFF"/>
          <w:lang w:val="en-US"/>
        </w:rPr>
        <w:t>Review of Economics and Statistics</w:t>
      </w:r>
      <w:r w:rsidRPr="00762B06">
        <w:rPr>
          <w:rFonts w:ascii="Times New Roman" w:hAnsi="Times New Roman" w:cs="Times New Roman"/>
          <w:sz w:val="24"/>
          <w:szCs w:val="24"/>
          <w:shd w:val="clear" w:color="auto" w:fill="FFFFFF"/>
          <w:lang w:val="en-US"/>
        </w:rPr>
        <w:t xml:space="preserve"> 80(3): 436-443.</w:t>
      </w:r>
    </w:p>
    <w:p w14:paraId="6437C045" w14:textId="0BD515D3" w:rsidR="00A10E48" w:rsidRPr="00327EA6" w:rsidRDefault="00A10E48" w:rsidP="009F0743">
      <w:pPr>
        <w:spacing w:after="0" w:line="240" w:lineRule="auto"/>
        <w:ind w:left="170" w:hanging="170"/>
        <w:jc w:val="both"/>
        <w:rPr>
          <w:rFonts w:ascii="Times New Roman" w:hAnsi="Times New Roman" w:cs="Times New Roman"/>
          <w:sz w:val="24"/>
          <w:szCs w:val="24"/>
          <w:shd w:val="clear" w:color="auto" w:fill="FFFFFF"/>
        </w:rPr>
      </w:pPr>
      <w:proofErr w:type="spellStart"/>
      <w:r w:rsidRPr="00A10E48">
        <w:rPr>
          <w:rFonts w:ascii="Times New Roman" w:hAnsi="Times New Roman" w:cs="Times New Roman"/>
          <w:sz w:val="24"/>
          <w:szCs w:val="24"/>
          <w:shd w:val="clear" w:color="auto" w:fill="FFFFFF"/>
        </w:rPr>
        <w:t>Taberner</w:t>
      </w:r>
      <w:proofErr w:type="spellEnd"/>
      <w:r w:rsidRPr="00A10E48">
        <w:rPr>
          <w:rFonts w:ascii="Times New Roman" w:hAnsi="Times New Roman" w:cs="Times New Roman"/>
          <w:sz w:val="24"/>
          <w:szCs w:val="24"/>
          <w:shd w:val="clear" w:color="auto" w:fill="FFFFFF"/>
        </w:rPr>
        <w:t xml:space="preserve"> AM (2018) The marketisation of the English higher education sector and its impact on academic staff and the nature of their work. </w:t>
      </w:r>
      <w:r w:rsidRPr="00A10E48">
        <w:rPr>
          <w:rFonts w:ascii="Times New Roman" w:hAnsi="Times New Roman" w:cs="Times New Roman"/>
          <w:i/>
          <w:iCs/>
          <w:sz w:val="24"/>
          <w:szCs w:val="24"/>
          <w:shd w:val="clear" w:color="auto" w:fill="FFFFFF"/>
        </w:rPr>
        <w:t>International Journal of Organizational Analysis</w:t>
      </w:r>
      <w:r>
        <w:rPr>
          <w:rFonts w:ascii="Times New Roman" w:hAnsi="Times New Roman" w:cs="Times New Roman"/>
          <w:sz w:val="24"/>
          <w:szCs w:val="24"/>
          <w:shd w:val="clear" w:color="auto" w:fill="FFFFFF"/>
        </w:rPr>
        <w:t xml:space="preserve"> 26(1): </w:t>
      </w:r>
      <w:r w:rsidRPr="00A10E48">
        <w:rPr>
          <w:rFonts w:ascii="Times New Roman" w:hAnsi="Times New Roman" w:cs="Times New Roman"/>
          <w:sz w:val="24"/>
          <w:szCs w:val="24"/>
          <w:shd w:val="clear" w:color="auto" w:fill="FFFFFF"/>
        </w:rPr>
        <w:t>129-152</w:t>
      </w:r>
      <w:r>
        <w:rPr>
          <w:rFonts w:ascii="Times New Roman" w:hAnsi="Times New Roman" w:cs="Times New Roman"/>
          <w:sz w:val="24"/>
          <w:szCs w:val="24"/>
          <w:shd w:val="clear" w:color="auto" w:fill="FFFFFF"/>
        </w:rPr>
        <w:t>.</w:t>
      </w:r>
    </w:p>
    <w:p w14:paraId="0D5A0585" w14:textId="31A19091" w:rsidR="00A55757" w:rsidRPr="00A55757" w:rsidRDefault="00A55757" w:rsidP="00AC5F3B">
      <w:pPr>
        <w:spacing w:after="0" w:line="240" w:lineRule="auto"/>
        <w:ind w:left="170" w:hanging="170"/>
        <w:jc w:val="both"/>
        <w:rPr>
          <w:rFonts w:asciiTheme="majorBidi" w:hAnsiTheme="majorBidi" w:cstheme="majorBidi"/>
          <w:sz w:val="24"/>
          <w:szCs w:val="24"/>
        </w:rPr>
      </w:pPr>
    </w:p>
    <w:p w14:paraId="6C19897F" w14:textId="40FE1AAD" w:rsidR="00C436A9" w:rsidRDefault="00C436A9" w:rsidP="00C436A9">
      <w:pPr>
        <w:spacing w:after="0" w:line="240" w:lineRule="auto"/>
        <w:ind w:left="170" w:hanging="170"/>
        <w:jc w:val="both"/>
        <w:rPr>
          <w:rFonts w:asciiTheme="majorBidi" w:hAnsiTheme="majorBidi" w:cstheme="majorBidi"/>
          <w:sz w:val="24"/>
          <w:szCs w:val="24"/>
          <w:shd w:val="clear" w:color="auto" w:fill="FFFFFF"/>
        </w:rPr>
      </w:pPr>
      <w:r w:rsidRPr="00C436A9">
        <w:rPr>
          <w:rFonts w:asciiTheme="majorBidi" w:hAnsiTheme="majorBidi" w:cstheme="majorBidi"/>
          <w:sz w:val="24"/>
          <w:szCs w:val="24"/>
          <w:shd w:val="clear" w:color="auto" w:fill="FFFFFF"/>
        </w:rPr>
        <w:t xml:space="preserve">Walker J, </w:t>
      </w:r>
      <w:proofErr w:type="spellStart"/>
      <w:r w:rsidRPr="00C436A9">
        <w:rPr>
          <w:rFonts w:asciiTheme="majorBidi" w:hAnsiTheme="majorBidi" w:cstheme="majorBidi"/>
          <w:sz w:val="24"/>
          <w:szCs w:val="24"/>
          <w:shd w:val="clear" w:color="auto" w:fill="FFFFFF"/>
        </w:rPr>
        <w:t>Greve</w:t>
      </w:r>
      <w:proofErr w:type="spellEnd"/>
      <w:r w:rsidRPr="00C436A9">
        <w:rPr>
          <w:rFonts w:asciiTheme="majorBidi" w:hAnsiTheme="majorBidi" w:cstheme="majorBidi"/>
          <w:sz w:val="24"/>
          <w:szCs w:val="24"/>
          <w:shd w:val="clear" w:color="auto" w:fill="FFFFFF"/>
        </w:rPr>
        <w:t xml:space="preserve"> P, Wood G and </w:t>
      </w:r>
      <w:proofErr w:type="spellStart"/>
      <w:r w:rsidRPr="00C436A9">
        <w:rPr>
          <w:rFonts w:asciiTheme="majorBidi" w:hAnsiTheme="majorBidi" w:cstheme="majorBidi"/>
          <w:sz w:val="24"/>
          <w:szCs w:val="24"/>
          <w:shd w:val="clear" w:color="auto" w:fill="FFFFFF"/>
        </w:rPr>
        <w:t>Miskell</w:t>
      </w:r>
      <w:proofErr w:type="spellEnd"/>
      <w:r w:rsidRPr="00C436A9">
        <w:rPr>
          <w:rFonts w:asciiTheme="majorBidi" w:hAnsiTheme="majorBidi" w:cstheme="majorBidi"/>
          <w:sz w:val="24"/>
          <w:szCs w:val="24"/>
          <w:shd w:val="clear" w:color="auto" w:fill="FFFFFF"/>
        </w:rPr>
        <w:t xml:space="preserve"> P (2019) Because you're worth it? Determinants of </w:t>
      </w:r>
      <w:r w:rsidR="00221A14">
        <w:rPr>
          <w:rFonts w:asciiTheme="majorBidi" w:hAnsiTheme="majorBidi" w:cstheme="majorBidi"/>
          <w:sz w:val="24"/>
          <w:szCs w:val="24"/>
          <w:shd w:val="clear" w:color="auto" w:fill="FFFFFF"/>
        </w:rPr>
        <w:t>v</w:t>
      </w:r>
      <w:r w:rsidRPr="00C436A9">
        <w:rPr>
          <w:rFonts w:asciiTheme="majorBidi" w:hAnsiTheme="majorBidi" w:cstheme="majorBidi"/>
          <w:sz w:val="24"/>
          <w:szCs w:val="24"/>
          <w:shd w:val="clear" w:color="auto" w:fill="FFFFFF"/>
        </w:rPr>
        <w:t xml:space="preserve">ice </w:t>
      </w:r>
      <w:r w:rsidR="00221A14">
        <w:rPr>
          <w:rFonts w:asciiTheme="majorBidi" w:hAnsiTheme="majorBidi" w:cstheme="majorBidi"/>
          <w:sz w:val="24"/>
          <w:szCs w:val="24"/>
          <w:shd w:val="clear" w:color="auto" w:fill="FFFFFF"/>
        </w:rPr>
        <w:t>c</w:t>
      </w:r>
      <w:r w:rsidRPr="00C436A9">
        <w:rPr>
          <w:rFonts w:asciiTheme="majorBidi" w:hAnsiTheme="majorBidi" w:cstheme="majorBidi"/>
          <w:sz w:val="24"/>
          <w:szCs w:val="24"/>
          <w:shd w:val="clear" w:color="auto" w:fill="FFFFFF"/>
        </w:rPr>
        <w:t>hancellor pay in the UK. </w:t>
      </w:r>
      <w:r w:rsidRPr="00C436A9">
        <w:rPr>
          <w:rFonts w:asciiTheme="majorBidi" w:hAnsiTheme="majorBidi" w:cstheme="majorBidi"/>
          <w:i/>
          <w:iCs/>
          <w:sz w:val="24"/>
          <w:szCs w:val="24"/>
          <w:shd w:val="clear" w:color="auto" w:fill="FFFFFF"/>
        </w:rPr>
        <w:t>Industrial Relations Journal</w:t>
      </w:r>
      <w:r w:rsidRPr="00C436A9">
        <w:rPr>
          <w:rFonts w:asciiTheme="majorBidi" w:hAnsiTheme="majorBidi" w:cstheme="majorBidi"/>
          <w:sz w:val="24"/>
          <w:szCs w:val="24"/>
          <w:shd w:val="clear" w:color="auto" w:fill="FFFFFF"/>
        </w:rPr>
        <w:t> 50(5-6): 450-467.</w:t>
      </w:r>
    </w:p>
    <w:p w14:paraId="513AD357" w14:textId="510A5526" w:rsidR="007B758E" w:rsidRPr="0090362A" w:rsidRDefault="007B758E" w:rsidP="00AC5F3B">
      <w:pPr>
        <w:spacing w:after="0" w:line="240" w:lineRule="auto"/>
        <w:ind w:left="170" w:hanging="170"/>
        <w:jc w:val="both"/>
        <w:rPr>
          <w:rFonts w:asciiTheme="majorBidi" w:hAnsiTheme="majorBidi" w:cstheme="majorBidi"/>
          <w:sz w:val="24"/>
          <w:szCs w:val="24"/>
          <w:shd w:val="clear" w:color="auto" w:fill="FFFFFF"/>
        </w:rPr>
      </w:pPr>
      <w:r w:rsidRPr="0090362A">
        <w:rPr>
          <w:rFonts w:asciiTheme="majorBidi" w:hAnsiTheme="majorBidi" w:cstheme="majorBidi"/>
          <w:sz w:val="24"/>
          <w:szCs w:val="24"/>
          <w:shd w:val="clear" w:color="auto" w:fill="FFFFFF"/>
        </w:rPr>
        <w:t>Williams M, Zhou Y and Zou M (20</w:t>
      </w:r>
      <w:r w:rsidR="00661497" w:rsidRPr="00327EA6">
        <w:rPr>
          <w:rFonts w:asciiTheme="majorBidi" w:hAnsiTheme="majorBidi" w:cstheme="majorBidi"/>
          <w:sz w:val="24"/>
          <w:szCs w:val="24"/>
          <w:shd w:val="clear" w:color="auto" w:fill="FFFFFF"/>
        </w:rPr>
        <w:t>20</w:t>
      </w:r>
      <w:r w:rsidRPr="0090362A">
        <w:rPr>
          <w:rFonts w:asciiTheme="majorBidi" w:hAnsiTheme="majorBidi" w:cstheme="majorBidi"/>
          <w:sz w:val="24"/>
          <w:szCs w:val="24"/>
          <w:shd w:val="clear" w:color="auto" w:fill="FFFFFF"/>
        </w:rPr>
        <w:t xml:space="preserve">) The </w:t>
      </w:r>
      <w:r w:rsidR="00974DCF">
        <w:rPr>
          <w:rFonts w:asciiTheme="majorBidi" w:hAnsiTheme="majorBidi" w:cstheme="majorBidi"/>
          <w:sz w:val="24"/>
          <w:szCs w:val="24"/>
          <w:shd w:val="clear" w:color="auto" w:fill="FFFFFF"/>
        </w:rPr>
        <w:t>r</w:t>
      </w:r>
      <w:r w:rsidRPr="0090362A">
        <w:rPr>
          <w:rFonts w:asciiTheme="majorBidi" w:hAnsiTheme="majorBidi" w:cstheme="majorBidi"/>
          <w:sz w:val="24"/>
          <w:szCs w:val="24"/>
          <w:shd w:val="clear" w:color="auto" w:fill="FFFFFF"/>
        </w:rPr>
        <w:t xml:space="preserve">ise in </w:t>
      </w:r>
      <w:r w:rsidR="00974DCF">
        <w:rPr>
          <w:rFonts w:asciiTheme="majorBidi" w:hAnsiTheme="majorBidi" w:cstheme="majorBidi"/>
          <w:sz w:val="24"/>
          <w:szCs w:val="24"/>
          <w:shd w:val="clear" w:color="auto" w:fill="FFFFFF"/>
        </w:rPr>
        <w:t>p</w:t>
      </w:r>
      <w:r w:rsidRPr="0090362A">
        <w:rPr>
          <w:rFonts w:asciiTheme="majorBidi" w:hAnsiTheme="majorBidi" w:cstheme="majorBidi"/>
          <w:sz w:val="24"/>
          <w:szCs w:val="24"/>
          <w:shd w:val="clear" w:color="auto" w:fill="FFFFFF"/>
        </w:rPr>
        <w:t xml:space="preserve">ay for </w:t>
      </w:r>
      <w:r w:rsidR="00974DCF">
        <w:rPr>
          <w:rFonts w:asciiTheme="majorBidi" w:hAnsiTheme="majorBidi" w:cstheme="majorBidi"/>
          <w:sz w:val="24"/>
          <w:szCs w:val="24"/>
          <w:shd w:val="clear" w:color="auto" w:fill="FFFFFF"/>
        </w:rPr>
        <w:t>p</w:t>
      </w:r>
      <w:r w:rsidRPr="0090362A">
        <w:rPr>
          <w:rFonts w:asciiTheme="majorBidi" w:hAnsiTheme="majorBidi" w:cstheme="majorBidi"/>
          <w:sz w:val="24"/>
          <w:szCs w:val="24"/>
          <w:shd w:val="clear" w:color="auto" w:fill="FFFFFF"/>
        </w:rPr>
        <w:t xml:space="preserve">erformance </w:t>
      </w:r>
      <w:r w:rsidR="00974DCF">
        <w:rPr>
          <w:rFonts w:asciiTheme="majorBidi" w:hAnsiTheme="majorBidi" w:cstheme="majorBidi"/>
          <w:sz w:val="24"/>
          <w:szCs w:val="24"/>
          <w:shd w:val="clear" w:color="auto" w:fill="FFFFFF"/>
        </w:rPr>
        <w:t>a</w:t>
      </w:r>
      <w:r w:rsidRPr="0090362A">
        <w:rPr>
          <w:rFonts w:asciiTheme="majorBidi" w:hAnsiTheme="majorBidi" w:cstheme="majorBidi"/>
          <w:sz w:val="24"/>
          <w:szCs w:val="24"/>
          <w:shd w:val="clear" w:color="auto" w:fill="FFFFFF"/>
        </w:rPr>
        <w:t xml:space="preserve">mong </w:t>
      </w:r>
      <w:r w:rsidR="00974DCF">
        <w:rPr>
          <w:rFonts w:asciiTheme="majorBidi" w:hAnsiTheme="majorBidi" w:cstheme="majorBidi"/>
          <w:sz w:val="24"/>
          <w:szCs w:val="24"/>
          <w:shd w:val="clear" w:color="auto" w:fill="FFFFFF"/>
        </w:rPr>
        <w:t>h</w:t>
      </w:r>
      <w:r w:rsidRPr="0090362A">
        <w:rPr>
          <w:rFonts w:asciiTheme="majorBidi" w:hAnsiTheme="majorBidi" w:cstheme="majorBidi"/>
          <w:sz w:val="24"/>
          <w:szCs w:val="24"/>
          <w:shd w:val="clear" w:color="auto" w:fill="FFFFFF"/>
        </w:rPr>
        <w:t xml:space="preserve">igher </w:t>
      </w:r>
      <w:r w:rsidR="00974DCF">
        <w:rPr>
          <w:rFonts w:asciiTheme="majorBidi" w:hAnsiTheme="majorBidi" w:cstheme="majorBidi"/>
          <w:sz w:val="24"/>
          <w:szCs w:val="24"/>
          <w:shd w:val="clear" w:color="auto" w:fill="FFFFFF"/>
        </w:rPr>
        <w:t>m</w:t>
      </w:r>
      <w:r w:rsidRPr="0090362A">
        <w:rPr>
          <w:rFonts w:asciiTheme="majorBidi" w:hAnsiTheme="majorBidi" w:cstheme="majorBidi"/>
          <w:sz w:val="24"/>
          <w:szCs w:val="24"/>
          <w:shd w:val="clear" w:color="auto" w:fill="FFFFFF"/>
        </w:rPr>
        <w:t xml:space="preserve">anagerial and </w:t>
      </w:r>
      <w:r w:rsidR="00974DCF">
        <w:rPr>
          <w:rFonts w:asciiTheme="majorBidi" w:hAnsiTheme="majorBidi" w:cstheme="majorBidi"/>
          <w:sz w:val="24"/>
          <w:szCs w:val="24"/>
          <w:shd w:val="clear" w:color="auto" w:fill="FFFFFF"/>
        </w:rPr>
        <w:t>p</w:t>
      </w:r>
      <w:r w:rsidRPr="0090362A">
        <w:rPr>
          <w:rFonts w:asciiTheme="majorBidi" w:hAnsiTheme="majorBidi" w:cstheme="majorBidi"/>
          <w:sz w:val="24"/>
          <w:szCs w:val="24"/>
          <w:shd w:val="clear" w:color="auto" w:fill="FFFFFF"/>
        </w:rPr>
        <w:t xml:space="preserve">rofessional </w:t>
      </w:r>
      <w:r w:rsidR="00974DCF">
        <w:rPr>
          <w:rFonts w:asciiTheme="majorBidi" w:hAnsiTheme="majorBidi" w:cstheme="majorBidi"/>
          <w:sz w:val="24"/>
          <w:szCs w:val="24"/>
          <w:shd w:val="clear" w:color="auto" w:fill="FFFFFF"/>
        </w:rPr>
        <w:t>o</w:t>
      </w:r>
      <w:r w:rsidRPr="0090362A">
        <w:rPr>
          <w:rFonts w:asciiTheme="majorBidi" w:hAnsiTheme="majorBidi" w:cstheme="majorBidi"/>
          <w:sz w:val="24"/>
          <w:szCs w:val="24"/>
          <w:shd w:val="clear" w:color="auto" w:fill="FFFFFF"/>
        </w:rPr>
        <w:t xml:space="preserve">ccupations in Britain: Eroding or </w:t>
      </w:r>
      <w:r w:rsidR="00974DCF">
        <w:rPr>
          <w:rFonts w:asciiTheme="majorBidi" w:hAnsiTheme="majorBidi" w:cstheme="majorBidi"/>
          <w:sz w:val="24"/>
          <w:szCs w:val="24"/>
          <w:shd w:val="clear" w:color="auto" w:fill="FFFFFF"/>
        </w:rPr>
        <w:t>e</w:t>
      </w:r>
      <w:r w:rsidRPr="0090362A">
        <w:rPr>
          <w:rFonts w:asciiTheme="majorBidi" w:hAnsiTheme="majorBidi" w:cstheme="majorBidi"/>
          <w:sz w:val="24"/>
          <w:szCs w:val="24"/>
          <w:shd w:val="clear" w:color="auto" w:fill="FFFFFF"/>
        </w:rPr>
        <w:t xml:space="preserve">nhancing the </w:t>
      </w:r>
      <w:r w:rsidR="00974DCF">
        <w:rPr>
          <w:rFonts w:asciiTheme="majorBidi" w:hAnsiTheme="majorBidi" w:cstheme="majorBidi"/>
          <w:sz w:val="24"/>
          <w:szCs w:val="24"/>
          <w:shd w:val="clear" w:color="auto" w:fill="FFFFFF"/>
        </w:rPr>
        <w:t>s</w:t>
      </w:r>
      <w:r w:rsidRPr="0090362A">
        <w:rPr>
          <w:rFonts w:asciiTheme="majorBidi" w:hAnsiTheme="majorBidi" w:cstheme="majorBidi"/>
          <w:sz w:val="24"/>
          <w:szCs w:val="24"/>
          <w:shd w:val="clear" w:color="auto" w:fill="FFFFFF"/>
        </w:rPr>
        <w:t xml:space="preserve">ervice </w:t>
      </w:r>
      <w:r w:rsidR="00974DCF">
        <w:rPr>
          <w:rFonts w:asciiTheme="majorBidi" w:hAnsiTheme="majorBidi" w:cstheme="majorBidi"/>
          <w:sz w:val="24"/>
          <w:szCs w:val="24"/>
          <w:shd w:val="clear" w:color="auto" w:fill="FFFFFF"/>
        </w:rPr>
        <w:t>r</w:t>
      </w:r>
      <w:r w:rsidRPr="0090362A">
        <w:rPr>
          <w:rFonts w:asciiTheme="majorBidi" w:hAnsiTheme="majorBidi" w:cstheme="majorBidi"/>
          <w:sz w:val="24"/>
          <w:szCs w:val="24"/>
          <w:shd w:val="clear" w:color="auto" w:fill="FFFFFF"/>
        </w:rPr>
        <w:t>elationship? </w:t>
      </w:r>
      <w:r w:rsidRPr="0090362A">
        <w:rPr>
          <w:rFonts w:asciiTheme="majorBidi" w:hAnsiTheme="majorBidi" w:cstheme="majorBidi"/>
          <w:i/>
          <w:sz w:val="24"/>
          <w:szCs w:val="24"/>
          <w:shd w:val="clear" w:color="auto" w:fill="FFFFFF"/>
        </w:rPr>
        <w:t xml:space="preserve">Work, Employment </w:t>
      </w:r>
      <w:r w:rsidR="0090362A">
        <w:rPr>
          <w:rFonts w:asciiTheme="majorBidi" w:hAnsiTheme="majorBidi" w:cstheme="majorBidi"/>
          <w:i/>
          <w:sz w:val="24"/>
          <w:szCs w:val="24"/>
          <w:shd w:val="clear" w:color="auto" w:fill="FFFFFF"/>
        </w:rPr>
        <w:t>&amp;</w:t>
      </w:r>
      <w:r w:rsidR="0090362A" w:rsidRPr="0090362A">
        <w:rPr>
          <w:rFonts w:asciiTheme="majorBidi" w:hAnsiTheme="majorBidi" w:cstheme="majorBidi"/>
          <w:i/>
          <w:sz w:val="24"/>
          <w:szCs w:val="24"/>
          <w:shd w:val="clear" w:color="auto" w:fill="FFFFFF"/>
        </w:rPr>
        <w:t xml:space="preserve"> </w:t>
      </w:r>
      <w:r w:rsidRPr="0090362A">
        <w:rPr>
          <w:rFonts w:asciiTheme="majorBidi" w:hAnsiTheme="majorBidi" w:cstheme="majorBidi"/>
          <w:i/>
          <w:sz w:val="24"/>
          <w:szCs w:val="24"/>
          <w:shd w:val="clear" w:color="auto" w:fill="FFFFFF"/>
        </w:rPr>
        <w:t>Society</w:t>
      </w:r>
      <w:r w:rsidR="00661497" w:rsidRPr="0090362A">
        <w:rPr>
          <w:rFonts w:asciiTheme="majorBidi" w:hAnsiTheme="majorBidi" w:cstheme="majorBidi"/>
          <w:sz w:val="24"/>
          <w:szCs w:val="24"/>
          <w:shd w:val="clear" w:color="auto" w:fill="FFFFFF"/>
        </w:rPr>
        <w:t xml:space="preserve"> </w:t>
      </w:r>
      <w:r w:rsidR="00661497" w:rsidRPr="00327EA6">
        <w:rPr>
          <w:rFonts w:asciiTheme="majorBidi" w:hAnsiTheme="majorBidi" w:cstheme="majorBidi"/>
          <w:sz w:val="24"/>
          <w:szCs w:val="24"/>
          <w:shd w:val="clear" w:color="auto" w:fill="FFFFFF"/>
        </w:rPr>
        <w:t>34</w:t>
      </w:r>
      <w:r w:rsidR="00661497" w:rsidRPr="0090362A">
        <w:rPr>
          <w:rFonts w:asciiTheme="majorBidi" w:hAnsiTheme="majorBidi" w:cstheme="majorBidi"/>
          <w:sz w:val="24"/>
          <w:szCs w:val="24"/>
          <w:shd w:val="clear" w:color="auto" w:fill="FFFFFF"/>
        </w:rPr>
        <w:t>(4): 605-625.</w:t>
      </w:r>
    </w:p>
    <w:p w14:paraId="6BDAAB6B" w14:textId="235D03D6" w:rsidR="004E0731" w:rsidRDefault="004E0731" w:rsidP="00FB5005">
      <w:pPr>
        <w:spacing w:after="0" w:line="240" w:lineRule="auto"/>
        <w:ind w:left="170" w:hanging="170"/>
        <w:jc w:val="both"/>
        <w:rPr>
          <w:rFonts w:asciiTheme="majorBidi" w:hAnsiTheme="majorBidi" w:cstheme="majorBidi"/>
          <w:sz w:val="24"/>
          <w:szCs w:val="24"/>
        </w:rPr>
      </w:pPr>
    </w:p>
    <w:bookmarkEnd w:id="7"/>
    <w:p w14:paraId="461499F6" w14:textId="77777777" w:rsidR="00FB5005" w:rsidRDefault="00FB5005" w:rsidP="00FD2269">
      <w:pPr>
        <w:spacing w:after="0" w:line="240" w:lineRule="auto"/>
        <w:ind w:left="170" w:hanging="170"/>
        <w:jc w:val="both"/>
        <w:rPr>
          <w:rFonts w:asciiTheme="majorBidi" w:hAnsiTheme="majorBidi" w:cstheme="majorBidi"/>
          <w:sz w:val="24"/>
          <w:szCs w:val="24"/>
          <w:shd w:val="clear" w:color="auto" w:fill="FFFFFF"/>
        </w:rPr>
      </w:pPr>
    </w:p>
    <w:p w14:paraId="35439A94" w14:textId="427CC352" w:rsidR="00FD2269" w:rsidRDefault="00FD2269" w:rsidP="002C4C59">
      <w:pPr>
        <w:spacing w:after="0" w:line="240" w:lineRule="auto"/>
        <w:jc w:val="both"/>
        <w:rPr>
          <w:rFonts w:asciiTheme="majorBidi" w:hAnsiTheme="majorBidi" w:cstheme="majorBidi"/>
          <w:sz w:val="24"/>
          <w:szCs w:val="24"/>
          <w:shd w:val="clear" w:color="auto" w:fill="FFFFFF"/>
        </w:rPr>
      </w:pPr>
    </w:p>
    <w:p w14:paraId="475DEDE4" w14:textId="797C1A24" w:rsidR="00855220" w:rsidRDefault="00855220" w:rsidP="002C4C59">
      <w:pPr>
        <w:spacing w:after="0" w:line="240" w:lineRule="auto"/>
        <w:jc w:val="both"/>
        <w:rPr>
          <w:rFonts w:asciiTheme="majorBidi" w:hAnsiTheme="majorBidi" w:cstheme="majorBidi"/>
          <w:sz w:val="24"/>
          <w:szCs w:val="24"/>
          <w:shd w:val="clear" w:color="auto" w:fill="FFFFFF"/>
        </w:rPr>
      </w:pPr>
    </w:p>
    <w:p w14:paraId="583C9E02" w14:textId="77777777" w:rsidR="00855220" w:rsidRDefault="00855220" w:rsidP="002C4C59">
      <w:pPr>
        <w:spacing w:after="0" w:line="240" w:lineRule="auto"/>
        <w:jc w:val="both"/>
        <w:rPr>
          <w:rFonts w:asciiTheme="majorBidi" w:hAnsiTheme="majorBidi" w:cstheme="majorBidi"/>
          <w:sz w:val="24"/>
          <w:szCs w:val="24"/>
          <w:shd w:val="clear" w:color="auto" w:fill="FFFFFF"/>
        </w:rPr>
        <w:sectPr w:rsidR="00855220">
          <w:footerReference w:type="default" r:id="rId11"/>
          <w:pgSz w:w="11906" w:h="16838"/>
          <w:pgMar w:top="1440" w:right="1440" w:bottom="1440" w:left="1440" w:header="708" w:footer="708" w:gutter="0"/>
          <w:cols w:space="708"/>
          <w:docGrid w:linePitch="360"/>
        </w:sectPr>
      </w:pPr>
    </w:p>
    <w:tbl>
      <w:tblPr>
        <w:tblStyle w:val="TableGrid1"/>
        <w:tblpPr w:leftFromText="180" w:rightFromText="180" w:vertAnchor="page" w:horzAnchor="margin" w:tblpY="1825"/>
        <w:tblW w:w="9919" w:type="dxa"/>
        <w:tblLayout w:type="fixed"/>
        <w:tblLook w:val="04A0" w:firstRow="1" w:lastRow="0" w:firstColumn="1" w:lastColumn="0" w:noHBand="0" w:noVBand="1"/>
      </w:tblPr>
      <w:tblGrid>
        <w:gridCol w:w="4111"/>
        <w:gridCol w:w="1276"/>
        <w:gridCol w:w="1015"/>
        <w:gridCol w:w="1111"/>
        <w:gridCol w:w="1191"/>
        <w:gridCol w:w="1215"/>
      </w:tblGrid>
      <w:tr w:rsidR="008D4716" w:rsidRPr="00550D71" w14:paraId="26F11243" w14:textId="77777777" w:rsidTr="008D4716">
        <w:tc>
          <w:tcPr>
            <w:tcW w:w="9919" w:type="dxa"/>
            <w:gridSpan w:val="6"/>
            <w:tcBorders>
              <w:top w:val="nil"/>
              <w:left w:val="nil"/>
              <w:bottom w:val="single" w:sz="4" w:space="0" w:color="auto"/>
              <w:right w:val="nil"/>
            </w:tcBorders>
          </w:tcPr>
          <w:p w14:paraId="21968821" w14:textId="085E4BC9" w:rsidR="008D4716" w:rsidRPr="00550D71" w:rsidRDefault="008D4716" w:rsidP="008D4716">
            <w:pPr>
              <w:rPr>
                <w:rFonts w:ascii="Times New Roman" w:hAnsi="Times New Roman"/>
                <w:lang w:val="en-US" w:eastAsia="zh-CN"/>
              </w:rPr>
            </w:pPr>
            <w:r w:rsidRPr="00550D71">
              <w:rPr>
                <w:rFonts w:ascii="Times New Roman" w:hAnsi="Times New Roman"/>
                <w:b/>
                <w:bCs/>
                <w:lang w:val="en-US" w:eastAsia="zh-CN"/>
              </w:rPr>
              <w:lastRenderedPageBreak/>
              <w:t xml:space="preserve">Table 1. </w:t>
            </w:r>
            <w:r w:rsidRPr="00550D71">
              <w:rPr>
                <w:rFonts w:asciiTheme="majorBidi" w:hAnsiTheme="majorBidi" w:cstheme="majorBidi"/>
                <w:bCs/>
              </w:rPr>
              <w:t xml:space="preserve">Descriptive analysis of </w:t>
            </w:r>
            <w:r w:rsidR="00E56A18">
              <w:rPr>
                <w:rFonts w:asciiTheme="majorBidi" w:hAnsiTheme="majorBidi" w:cstheme="majorBidi"/>
                <w:bCs/>
              </w:rPr>
              <w:t xml:space="preserve">the </w:t>
            </w:r>
            <w:r w:rsidRPr="00550D71">
              <w:rPr>
                <w:rFonts w:asciiTheme="majorBidi" w:hAnsiTheme="majorBidi" w:cstheme="majorBidi"/>
                <w:bCs/>
              </w:rPr>
              <w:t>study’s variables</w:t>
            </w:r>
          </w:p>
        </w:tc>
      </w:tr>
      <w:tr w:rsidR="008D4716" w:rsidRPr="00550D71" w14:paraId="6B8FA622" w14:textId="77777777" w:rsidTr="008D4716">
        <w:trPr>
          <w:trHeight w:val="250"/>
        </w:trPr>
        <w:tc>
          <w:tcPr>
            <w:tcW w:w="4111" w:type="dxa"/>
            <w:tcBorders>
              <w:top w:val="single" w:sz="12" w:space="0" w:color="auto"/>
              <w:left w:val="nil"/>
              <w:bottom w:val="nil"/>
              <w:right w:val="nil"/>
            </w:tcBorders>
          </w:tcPr>
          <w:p w14:paraId="095657A1" w14:textId="77777777" w:rsidR="008D4716" w:rsidRPr="00550D71" w:rsidRDefault="008D4716" w:rsidP="008D4716">
            <w:pPr>
              <w:ind w:hanging="108"/>
              <w:rPr>
                <w:rFonts w:ascii="Times New Roman" w:hAnsi="Times New Roman"/>
                <w:lang w:val="en-US" w:eastAsia="zh-CN"/>
              </w:rPr>
            </w:pPr>
            <w:r w:rsidRPr="00550D71">
              <w:rPr>
                <w:rFonts w:ascii="Times New Roman" w:hAnsi="Times New Roman"/>
                <w:lang w:val="en-US" w:eastAsia="zh-CN"/>
              </w:rPr>
              <w:t xml:space="preserve">Variable </w:t>
            </w:r>
          </w:p>
        </w:tc>
        <w:tc>
          <w:tcPr>
            <w:tcW w:w="1276" w:type="dxa"/>
            <w:tcBorders>
              <w:top w:val="single" w:sz="12" w:space="0" w:color="auto"/>
              <w:left w:val="nil"/>
              <w:bottom w:val="nil"/>
              <w:right w:val="nil"/>
            </w:tcBorders>
          </w:tcPr>
          <w:p w14:paraId="506C734F"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 xml:space="preserve">Mean </w:t>
            </w:r>
          </w:p>
        </w:tc>
        <w:tc>
          <w:tcPr>
            <w:tcW w:w="1015" w:type="dxa"/>
            <w:tcBorders>
              <w:top w:val="single" w:sz="12" w:space="0" w:color="auto"/>
              <w:left w:val="nil"/>
              <w:bottom w:val="nil"/>
              <w:right w:val="nil"/>
            </w:tcBorders>
          </w:tcPr>
          <w:p w14:paraId="6B9083E6"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Median</w:t>
            </w:r>
          </w:p>
        </w:tc>
        <w:tc>
          <w:tcPr>
            <w:tcW w:w="1111" w:type="dxa"/>
            <w:tcBorders>
              <w:top w:val="single" w:sz="12" w:space="0" w:color="auto"/>
              <w:left w:val="nil"/>
              <w:bottom w:val="nil"/>
              <w:right w:val="nil"/>
            </w:tcBorders>
          </w:tcPr>
          <w:p w14:paraId="22210578"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SD</w:t>
            </w:r>
          </w:p>
        </w:tc>
        <w:tc>
          <w:tcPr>
            <w:tcW w:w="1191" w:type="dxa"/>
            <w:tcBorders>
              <w:top w:val="single" w:sz="12" w:space="0" w:color="auto"/>
              <w:left w:val="nil"/>
              <w:bottom w:val="nil"/>
              <w:right w:val="nil"/>
            </w:tcBorders>
          </w:tcPr>
          <w:p w14:paraId="67DB8A42"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Minimum</w:t>
            </w:r>
          </w:p>
        </w:tc>
        <w:tc>
          <w:tcPr>
            <w:tcW w:w="1215" w:type="dxa"/>
            <w:tcBorders>
              <w:top w:val="single" w:sz="12" w:space="0" w:color="auto"/>
              <w:left w:val="nil"/>
              <w:bottom w:val="nil"/>
              <w:right w:val="nil"/>
            </w:tcBorders>
          </w:tcPr>
          <w:p w14:paraId="6C53F29F"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Maximum</w:t>
            </w:r>
          </w:p>
        </w:tc>
      </w:tr>
      <w:tr w:rsidR="008D4716" w:rsidRPr="00550D71" w14:paraId="387792B5" w14:textId="77777777" w:rsidTr="008D4716">
        <w:trPr>
          <w:trHeight w:val="83"/>
        </w:trPr>
        <w:tc>
          <w:tcPr>
            <w:tcW w:w="9919" w:type="dxa"/>
            <w:gridSpan w:val="6"/>
            <w:tcBorders>
              <w:top w:val="single" w:sz="2" w:space="0" w:color="auto"/>
              <w:left w:val="nil"/>
              <w:bottom w:val="nil"/>
              <w:right w:val="nil"/>
            </w:tcBorders>
          </w:tcPr>
          <w:p w14:paraId="00E5679B" w14:textId="77777777" w:rsidR="008D4716" w:rsidRDefault="008D4716" w:rsidP="008D4716">
            <w:pPr>
              <w:rPr>
                <w:rFonts w:asciiTheme="majorBidi" w:hAnsiTheme="majorBidi" w:cstheme="majorBidi"/>
                <w:b/>
                <w:i/>
                <w:iCs/>
                <w:lang w:eastAsia="en-US"/>
              </w:rPr>
            </w:pPr>
          </w:p>
          <w:p w14:paraId="7BC46585" w14:textId="1FBE43E9" w:rsidR="008D4716" w:rsidRPr="008113B5" w:rsidRDefault="008D4716" w:rsidP="008D4716">
            <w:pPr>
              <w:rPr>
                <w:rFonts w:ascii="Times New Roman" w:hAnsi="Times New Roman"/>
                <w:bCs/>
                <w:i/>
                <w:iCs/>
                <w:lang w:val="en-US" w:eastAsia="zh-CN"/>
              </w:rPr>
            </w:pPr>
            <w:r w:rsidRPr="008113B5">
              <w:rPr>
                <w:rFonts w:asciiTheme="majorBidi" w:hAnsiTheme="majorBidi" w:cstheme="majorBidi"/>
                <w:bCs/>
                <w:i/>
                <w:iCs/>
                <w:lang w:eastAsia="en-US"/>
              </w:rPr>
              <w:t xml:space="preserve">Panel A – VC </w:t>
            </w:r>
            <w:r w:rsidR="00532542" w:rsidRPr="008113B5">
              <w:rPr>
                <w:rFonts w:asciiTheme="majorBidi" w:hAnsiTheme="majorBidi" w:cstheme="majorBidi"/>
                <w:bCs/>
                <w:i/>
                <w:iCs/>
                <w:lang w:eastAsia="en-US"/>
              </w:rPr>
              <w:t>p</w:t>
            </w:r>
            <w:r w:rsidRPr="008113B5">
              <w:rPr>
                <w:rFonts w:asciiTheme="majorBidi" w:hAnsiTheme="majorBidi" w:cstheme="majorBidi"/>
                <w:bCs/>
                <w:i/>
                <w:iCs/>
                <w:lang w:eastAsia="en-US"/>
              </w:rPr>
              <w:t>ay (£000)</w:t>
            </w:r>
          </w:p>
        </w:tc>
      </w:tr>
      <w:tr w:rsidR="008D4716" w:rsidRPr="00550D71" w14:paraId="5FC9B474" w14:textId="77777777" w:rsidTr="008D4716">
        <w:tc>
          <w:tcPr>
            <w:tcW w:w="4111" w:type="dxa"/>
            <w:tcBorders>
              <w:top w:val="nil"/>
              <w:left w:val="nil"/>
              <w:bottom w:val="nil"/>
              <w:right w:val="nil"/>
            </w:tcBorders>
          </w:tcPr>
          <w:p w14:paraId="5E4404A4" w14:textId="77777777"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VC Basic Pay</w:t>
            </w:r>
          </w:p>
        </w:tc>
        <w:tc>
          <w:tcPr>
            <w:tcW w:w="1276" w:type="dxa"/>
            <w:tcBorders>
              <w:top w:val="nil"/>
              <w:left w:val="nil"/>
              <w:bottom w:val="nil"/>
              <w:right w:val="nil"/>
            </w:tcBorders>
          </w:tcPr>
          <w:p w14:paraId="7272EE14"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225.03</w:t>
            </w:r>
          </w:p>
        </w:tc>
        <w:tc>
          <w:tcPr>
            <w:tcW w:w="1015" w:type="dxa"/>
            <w:tcBorders>
              <w:top w:val="nil"/>
              <w:left w:val="nil"/>
              <w:bottom w:val="nil"/>
              <w:right w:val="nil"/>
            </w:tcBorders>
          </w:tcPr>
          <w:p w14:paraId="3E2461B0"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220.00</w:t>
            </w:r>
          </w:p>
        </w:tc>
        <w:tc>
          <w:tcPr>
            <w:tcW w:w="1111" w:type="dxa"/>
            <w:tcBorders>
              <w:top w:val="nil"/>
              <w:left w:val="nil"/>
              <w:bottom w:val="nil"/>
              <w:right w:val="nil"/>
            </w:tcBorders>
          </w:tcPr>
          <w:p w14:paraId="14C4707C"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53.18</w:t>
            </w:r>
          </w:p>
        </w:tc>
        <w:tc>
          <w:tcPr>
            <w:tcW w:w="1191" w:type="dxa"/>
            <w:tcBorders>
              <w:top w:val="nil"/>
              <w:left w:val="nil"/>
              <w:bottom w:val="nil"/>
              <w:right w:val="nil"/>
            </w:tcBorders>
          </w:tcPr>
          <w:p w14:paraId="4F1C0CD4"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108.00</w:t>
            </w:r>
          </w:p>
        </w:tc>
        <w:tc>
          <w:tcPr>
            <w:tcW w:w="1215" w:type="dxa"/>
            <w:tcBorders>
              <w:top w:val="nil"/>
              <w:left w:val="nil"/>
              <w:bottom w:val="nil"/>
              <w:right w:val="nil"/>
            </w:tcBorders>
          </w:tcPr>
          <w:p w14:paraId="0224FB4F"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577.00</w:t>
            </w:r>
          </w:p>
        </w:tc>
      </w:tr>
      <w:tr w:rsidR="008D4716" w:rsidRPr="00550D71" w14:paraId="1AE7EF39" w14:textId="77777777" w:rsidTr="008D4716">
        <w:tc>
          <w:tcPr>
            <w:tcW w:w="4111" w:type="dxa"/>
            <w:tcBorders>
              <w:top w:val="nil"/>
              <w:left w:val="nil"/>
              <w:bottom w:val="nil"/>
              <w:right w:val="nil"/>
            </w:tcBorders>
          </w:tcPr>
          <w:p w14:paraId="581CAD2B" w14:textId="77777777"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VC Non-Basic Pay</w:t>
            </w:r>
          </w:p>
        </w:tc>
        <w:tc>
          <w:tcPr>
            <w:tcW w:w="1276" w:type="dxa"/>
            <w:tcBorders>
              <w:top w:val="nil"/>
              <w:left w:val="nil"/>
              <w:bottom w:val="nil"/>
              <w:right w:val="nil"/>
            </w:tcBorders>
          </w:tcPr>
          <w:p w14:paraId="5F2C3218"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36.68</w:t>
            </w:r>
          </w:p>
        </w:tc>
        <w:tc>
          <w:tcPr>
            <w:tcW w:w="1015" w:type="dxa"/>
            <w:tcBorders>
              <w:top w:val="nil"/>
              <w:left w:val="nil"/>
              <w:bottom w:val="nil"/>
              <w:right w:val="nil"/>
            </w:tcBorders>
          </w:tcPr>
          <w:p w14:paraId="3D8ABD01"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34.00</w:t>
            </w:r>
          </w:p>
        </w:tc>
        <w:tc>
          <w:tcPr>
            <w:tcW w:w="1111" w:type="dxa"/>
            <w:tcBorders>
              <w:top w:val="nil"/>
              <w:left w:val="nil"/>
              <w:bottom w:val="nil"/>
              <w:right w:val="nil"/>
            </w:tcBorders>
          </w:tcPr>
          <w:p w14:paraId="0E8193A0"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15.25</w:t>
            </w:r>
          </w:p>
        </w:tc>
        <w:tc>
          <w:tcPr>
            <w:tcW w:w="1191" w:type="dxa"/>
            <w:tcBorders>
              <w:top w:val="nil"/>
              <w:left w:val="nil"/>
              <w:bottom w:val="nil"/>
              <w:right w:val="nil"/>
            </w:tcBorders>
          </w:tcPr>
          <w:p w14:paraId="1C0926D0"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3.22</w:t>
            </w:r>
          </w:p>
        </w:tc>
        <w:tc>
          <w:tcPr>
            <w:tcW w:w="1215" w:type="dxa"/>
            <w:tcBorders>
              <w:top w:val="nil"/>
              <w:left w:val="nil"/>
              <w:bottom w:val="nil"/>
              <w:right w:val="nil"/>
            </w:tcBorders>
          </w:tcPr>
          <w:p w14:paraId="2622AA31"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121.00</w:t>
            </w:r>
          </w:p>
        </w:tc>
      </w:tr>
      <w:tr w:rsidR="008D4716" w:rsidRPr="00550D71" w14:paraId="6C89EB65" w14:textId="77777777" w:rsidTr="008D4716">
        <w:tc>
          <w:tcPr>
            <w:tcW w:w="4111" w:type="dxa"/>
            <w:tcBorders>
              <w:top w:val="nil"/>
              <w:left w:val="nil"/>
              <w:bottom w:val="nil"/>
              <w:right w:val="nil"/>
            </w:tcBorders>
          </w:tcPr>
          <w:p w14:paraId="4ED113E1" w14:textId="77777777"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VC Total Pay</w:t>
            </w:r>
          </w:p>
        </w:tc>
        <w:tc>
          <w:tcPr>
            <w:tcW w:w="1276" w:type="dxa"/>
            <w:tcBorders>
              <w:top w:val="nil"/>
              <w:left w:val="nil"/>
              <w:bottom w:val="nil"/>
              <w:right w:val="nil"/>
            </w:tcBorders>
          </w:tcPr>
          <w:p w14:paraId="45F48517"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261.71</w:t>
            </w:r>
          </w:p>
        </w:tc>
        <w:tc>
          <w:tcPr>
            <w:tcW w:w="1015" w:type="dxa"/>
            <w:tcBorders>
              <w:top w:val="nil"/>
              <w:left w:val="nil"/>
              <w:bottom w:val="nil"/>
              <w:right w:val="nil"/>
            </w:tcBorders>
          </w:tcPr>
          <w:p w14:paraId="50A2A1D7"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254.00</w:t>
            </w:r>
          </w:p>
        </w:tc>
        <w:tc>
          <w:tcPr>
            <w:tcW w:w="1111" w:type="dxa"/>
            <w:tcBorders>
              <w:top w:val="nil"/>
              <w:left w:val="nil"/>
              <w:bottom w:val="nil"/>
              <w:right w:val="nil"/>
            </w:tcBorders>
          </w:tcPr>
          <w:p w14:paraId="0A2790D2"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59.08</w:t>
            </w:r>
          </w:p>
        </w:tc>
        <w:tc>
          <w:tcPr>
            <w:tcW w:w="1191" w:type="dxa"/>
            <w:tcBorders>
              <w:top w:val="nil"/>
              <w:left w:val="nil"/>
              <w:bottom w:val="nil"/>
              <w:right w:val="nil"/>
            </w:tcBorders>
          </w:tcPr>
          <w:p w14:paraId="2AEB885B"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122.00</w:t>
            </w:r>
          </w:p>
        </w:tc>
        <w:tc>
          <w:tcPr>
            <w:tcW w:w="1215" w:type="dxa"/>
            <w:tcBorders>
              <w:top w:val="nil"/>
              <w:left w:val="nil"/>
              <w:bottom w:val="nil"/>
              <w:right w:val="nil"/>
            </w:tcBorders>
          </w:tcPr>
          <w:p w14:paraId="28DACA26"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623.00</w:t>
            </w:r>
          </w:p>
        </w:tc>
      </w:tr>
      <w:tr w:rsidR="008D4716" w:rsidRPr="00550D71" w14:paraId="6E9561BD" w14:textId="77777777" w:rsidTr="008D4716">
        <w:tc>
          <w:tcPr>
            <w:tcW w:w="9919" w:type="dxa"/>
            <w:gridSpan w:val="6"/>
            <w:tcBorders>
              <w:top w:val="nil"/>
              <w:left w:val="nil"/>
              <w:bottom w:val="nil"/>
              <w:right w:val="nil"/>
            </w:tcBorders>
          </w:tcPr>
          <w:p w14:paraId="0218687F" w14:textId="77777777" w:rsidR="008D4716" w:rsidRPr="008113B5" w:rsidRDefault="008D4716" w:rsidP="008D4716">
            <w:pPr>
              <w:rPr>
                <w:rFonts w:asciiTheme="majorBidi" w:hAnsiTheme="majorBidi" w:cstheme="majorBidi"/>
                <w:bCs/>
                <w:i/>
                <w:iCs/>
                <w:lang w:eastAsia="en-US"/>
              </w:rPr>
            </w:pPr>
          </w:p>
          <w:p w14:paraId="7D6D8BB4" w14:textId="61401530" w:rsidR="008D4716" w:rsidRPr="00550D71" w:rsidRDefault="008D4716" w:rsidP="008D4716">
            <w:pPr>
              <w:rPr>
                <w:rFonts w:ascii="Times New Roman" w:hAnsi="Times New Roman"/>
                <w:i/>
                <w:iCs/>
                <w:lang w:val="en-US" w:eastAsia="zh-CN"/>
              </w:rPr>
            </w:pPr>
            <w:r w:rsidRPr="008113B5">
              <w:rPr>
                <w:rFonts w:asciiTheme="majorBidi" w:hAnsiTheme="majorBidi" w:cstheme="majorBidi"/>
                <w:bCs/>
                <w:i/>
                <w:iCs/>
                <w:lang w:eastAsia="en-US"/>
              </w:rPr>
              <w:t xml:space="preserve">Panel B – VC </w:t>
            </w:r>
            <w:r w:rsidR="00532542" w:rsidRPr="008113B5">
              <w:rPr>
                <w:rFonts w:asciiTheme="majorBidi" w:hAnsiTheme="majorBidi" w:cstheme="majorBidi"/>
                <w:bCs/>
                <w:i/>
                <w:iCs/>
                <w:lang w:eastAsia="en-US"/>
              </w:rPr>
              <w:t>c</w:t>
            </w:r>
            <w:r w:rsidRPr="008113B5">
              <w:rPr>
                <w:rFonts w:asciiTheme="majorBidi" w:hAnsiTheme="majorBidi" w:cstheme="majorBidi"/>
                <w:bCs/>
                <w:i/>
                <w:iCs/>
                <w:lang w:eastAsia="en-US"/>
              </w:rPr>
              <w:t>haracteristics</w:t>
            </w:r>
            <w:r w:rsidRPr="00550D71">
              <w:rPr>
                <w:rFonts w:ascii="Times New Roman" w:hAnsi="Times New Roman"/>
                <w:i/>
                <w:iCs/>
                <w:lang w:val="en-US" w:eastAsia="zh-CN"/>
              </w:rPr>
              <w:t xml:space="preserve"> </w:t>
            </w:r>
          </w:p>
        </w:tc>
      </w:tr>
      <w:tr w:rsidR="008D4716" w:rsidRPr="00550D71" w14:paraId="26BB3E2E" w14:textId="77777777" w:rsidTr="008D4716">
        <w:tc>
          <w:tcPr>
            <w:tcW w:w="4111" w:type="dxa"/>
            <w:tcBorders>
              <w:top w:val="nil"/>
              <w:left w:val="nil"/>
              <w:bottom w:val="nil"/>
              <w:right w:val="nil"/>
            </w:tcBorders>
          </w:tcPr>
          <w:p w14:paraId="73D38F69" w14:textId="6462F3A8"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VC Damehood/</w:t>
            </w:r>
            <w:proofErr w:type="spellStart"/>
            <w:r w:rsidRPr="00550D71">
              <w:rPr>
                <w:rFonts w:ascii="Times New Roman" w:hAnsi="Times New Roman"/>
                <w:lang w:val="en-US" w:eastAsia="zh-CN"/>
              </w:rPr>
              <w:t>Nighthood</w:t>
            </w:r>
            <w:proofErr w:type="spellEnd"/>
            <w:r w:rsidRPr="00550D71">
              <w:rPr>
                <w:rFonts w:ascii="Times New Roman" w:hAnsi="Times New Roman"/>
                <w:lang w:val="en-US" w:eastAsia="zh-CN"/>
              </w:rPr>
              <w:t>(</w:t>
            </w:r>
            <w:r>
              <w:rPr>
                <w:rFonts w:ascii="Times New Roman" w:hAnsi="Times New Roman"/>
                <w:lang w:val="en-US" w:eastAsia="zh-CN"/>
              </w:rPr>
              <w:t>d</w:t>
            </w:r>
            <w:r w:rsidRPr="00550D71">
              <w:rPr>
                <w:rFonts w:ascii="Times New Roman" w:hAnsi="Times New Roman"/>
                <w:lang w:val="en-US" w:eastAsia="zh-CN"/>
              </w:rPr>
              <w:t>ummy)</w:t>
            </w:r>
          </w:p>
        </w:tc>
        <w:tc>
          <w:tcPr>
            <w:tcW w:w="1276" w:type="dxa"/>
            <w:tcBorders>
              <w:top w:val="nil"/>
              <w:left w:val="nil"/>
              <w:bottom w:val="nil"/>
              <w:right w:val="nil"/>
            </w:tcBorders>
          </w:tcPr>
          <w:p w14:paraId="1631A3D0"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0.18</w:t>
            </w:r>
          </w:p>
        </w:tc>
        <w:tc>
          <w:tcPr>
            <w:tcW w:w="1015" w:type="dxa"/>
            <w:tcBorders>
              <w:top w:val="nil"/>
              <w:left w:val="nil"/>
              <w:bottom w:val="nil"/>
              <w:right w:val="nil"/>
            </w:tcBorders>
          </w:tcPr>
          <w:p w14:paraId="09660F00"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0.00</w:t>
            </w:r>
          </w:p>
        </w:tc>
        <w:tc>
          <w:tcPr>
            <w:tcW w:w="1111" w:type="dxa"/>
            <w:tcBorders>
              <w:top w:val="nil"/>
              <w:left w:val="nil"/>
              <w:bottom w:val="nil"/>
              <w:right w:val="nil"/>
            </w:tcBorders>
          </w:tcPr>
          <w:p w14:paraId="2B5A1B76"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0.39</w:t>
            </w:r>
          </w:p>
        </w:tc>
        <w:tc>
          <w:tcPr>
            <w:tcW w:w="1191" w:type="dxa"/>
            <w:tcBorders>
              <w:top w:val="nil"/>
              <w:left w:val="nil"/>
              <w:bottom w:val="nil"/>
              <w:right w:val="nil"/>
            </w:tcBorders>
          </w:tcPr>
          <w:p w14:paraId="3ADC5B01"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 xml:space="preserve">   0.00</w:t>
            </w:r>
          </w:p>
        </w:tc>
        <w:tc>
          <w:tcPr>
            <w:tcW w:w="1215" w:type="dxa"/>
            <w:tcBorders>
              <w:top w:val="nil"/>
              <w:left w:val="nil"/>
              <w:bottom w:val="nil"/>
              <w:right w:val="nil"/>
            </w:tcBorders>
          </w:tcPr>
          <w:p w14:paraId="329C06BD"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 xml:space="preserve">   1.00</w:t>
            </w:r>
          </w:p>
        </w:tc>
      </w:tr>
      <w:tr w:rsidR="008D4716" w:rsidRPr="00550D71" w14:paraId="49B79C57" w14:textId="77777777" w:rsidTr="008D4716">
        <w:tc>
          <w:tcPr>
            <w:tcW w:w="4111" w:type="dxa"/>
            <w:tcBorders>
              <w:top w:val="nil"/>
              <w:left w:val="nil"/>
              <w:bottom w:val="nil"/>
              <w:right w:val="nil"/>
            </w:tcBorders>
          </w:tcPr>
          <w:p w14:paraId="784D230E" w14:textId="432A4F5E"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VC Gender(</w:t>
            </w:r>
            <w:r>
              <w:rPr>
                <w:rFonts w:ascii="Times New Roman" w:hAnsi="Times New Roman"/>
                <w:lang w:val="en-US" w:eastAsia="zh-CN"/>
              </w:rPr>
              <w:t>d</w:t>
            </w:r>
            <w:r w:rsidRPr="00550D71">
              <w:rPr>
                <w:rFonts w:ascii="Times New Roman" w:hAnsi="Times New Roman"/>
                <w:lang w:val="en-US" w:eastAsia="zh-CN"/>
              </w:rPr>
              <w:t>ummy)</w:t>
            </w:r>
          </w:p>
        </w:tc>
        <w:tc>
          <w:tcPr>
            <w:tcW w:w="1276" w:type="dxa"/>
            <w:tcBorders>
              <w:top w:val="nil"/>
              <w:left w:val="nil"/>
              <w:bottom w:val="nil"/>
              <w:right w:val="nil"/>
            </w:tcBorders>
          </w:tcPr>
          <w:p w14:paraId="4246C0B4"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 xml:space="preserve">    </w:t>
            </w:r>
            <w:r w:rsidRPr="00550D71">
              <w:rPr>
                <w:rFonts w:ascii="Times New Roman" w:hAnsi="Times New Roman"/>
                <w:bCs/>
              </w:rPr>
              <w:t>0.83</w:t>
            </w:r>
          </w:p>
        </w:tc>
        <w:tc>
          <w:tcPr>
            <w:tcW w:w="1015" w:type="dxa"/>
            <w:tcBorders>
              <w:top w:val="nil"/>
              <w:left w:val="nil"/>
              <w:bottom w:val="nil"/>
              <w:right w:val="nil"/>
            </w:tcBorders>
          </w:tcPr>
          <w:p w14:paraId="2F5B9388"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lang w:val="en-US" w:eastAsia="zh-CN"/>
              </w:rPr>
              <w:t xml:space="preserve">    </w:t>
            </w:r>
            <w:r w:rsidRPr="00550D71">
              <w:rPr>
                <w:rFonts w:ascii="Times New Roman" w:hAnsi="Times New Roman"/>
                <w:bCs/>
              </w:rPr>
              <w:t>1.00</w:t>
            </w:r>
          </w:p>
        </w:tc>
        <w:tc>
          <w:tcPr>
            <w:tcW w:w="1111" w:type="dxa"/>
            <w:tcBorders>
              <w:top w:val="nil"/>
              <w:left w:val="nil"/>
              <w:bottom w:val="nil"/>
              <w:right w:val="nil"/>
            </w:tcBorders>
          </w:tcPr>
          <w:p w14:paraId="67378F96"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0.38</w:t>
            </w:r>
          </w:p>
        </w:tc>
        <w:tc>
          <w:tcPr>
            <w:tcW w:w="1191" w:type="dxa"/>
            <w:tcBorders>
              <w:top w:val="nil"/>
              <w:left w:val="nil"/>
              <w:bottom w:val="nil"/>
              <w:right w:val="nil"/>
            </w:tcBorders>
          </w:tcPr>
          <w:p w14:paraId="598C5CC2"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0.00</w:t>
            </w:r>
          </w:p>
        </w:tc>
        <w:tc>
          <w:tcPr>
            <w:tcW w:w="1215" w:type="dxa"/>
            <w:tcBorders>
              <w:top w:val="nil"/>
              <w:left w:val="nil"/>
              <w:bottom w:val="nil"/>
              <w:right w:val="nil"/>
            </w:tcBorders>
          </w:tcPr>
          <w:p w14:paraId="78CF748F" w14:textId="77777777" w:rsidR="008D4716" w:rsidRPr="00550D71" w:rsidRDefault="008D4716" w:rsidP="008D4716">
            <w:pPr>
              <w:jc w:val="right"/>
              <w:rPr>
                <w:rFonts w:ascii="Times New Roman" w:hAnsi="Times New Roman"/>
                <w:lang w:val="en-US" w:eastAsia="zh-CN"/>
              </w:rPr>
            </w:pPr>
            <w:r>
              <w:rPr>
                <w:rFonts w:ascii="Times New Roman" w:hAnsi="Times New Roman"/>
                <w:lang w:val="en-US" w:eastAsia="zh-CN"/>
              </w:rPr>
              <w:t xml:space="preserve">   1.00</w:t>
            </w:r>
          </w:p>
        </w:tc>
      </w:tr>
      <w:tr w:rsidR="008D4716" w:rsidRPr="00550D71" w14:paraId="3A01D14D" w14:textId="77777777" w:rsidTr="008D4716">
        <w:tc>
          <w:tcPr>
            <w:tcW w:w="4111" w:type="dxa"/>
            <w:tcBorders>
              <w:top w:val="nil"/>
              <w:left w:val="nil"/>
              <w:bottom w:val="nil"/>
              <w:right w:val="nil"/>
            </w:tcBorders>
          </w:tcPr>
          <w:p w14:paraId="23F5A254" w14:textId="4933B319"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VC </w:t>
            </w:r>
            <w:proofErr w:type="gramStart"/>
            <w:r w:rsidRPr="00550D71">
              <w:rPr>
                <w:rFonts w:ascii="Times New Roman" w:hAnsi="Times New Roman"/>
                <w:lang w:val="en-US" w:eastAsia="zh-CN"/>
              </w:rPr>
              <w:t>Age(</w:t>
            </w:r>
            <w:proofErr w:type="gramEnd"/>
            <w:r w:rsidRPr="00550D71">
              <w:rPr>
                <w:rFonts w:ascii="Times New Roman" w:hAnsi="Times New Roman"/>
                <w:lang w:val="en-US" w:eastAsia="zh-CN"/>
              </w:rPr>
              <w:t>Years)</w:t>
            </w:r>
          </w:p>
        </w:tc>
        <w:tc>
          <w:tcPr>
            <w:tcW w:w="1276" w:type="dxa"/>
            <w:tcBorders>
              <w:top w:val="nil"/>
              <w:left w:val="nil"/>
              <w:bottom w:val="nil"/>
              <w:right w:val="nil"/>
            </w:tcBorders>
          </w:tcPr>
          <w:p w14:paraId="2161397F" w14:textId="77777777" w:rsidR="008D4716" w:rsidRPr="00550D71" w:rsidRDefault="008D4716" w:rsidP="008D4716">
            <w:pPr>
              <w:jc w:val="right"/>
              <w:rPr>
                <w:rFonts w:ascii="Times New Roman" w:hAnsi="Times New Roman"/>
                <w:lang w:val="en-US" w:eastAsia="zh-CN"/>
              </w:rPr>
            </w:pPr>
            <w:r w:rsidRPr="00550D71">
              <w:rPr>
                <w:rFonts w:ascii="Times New Roman" w:hAnsi="Times New Roman"/>
                <w:bCs/>
              </w:rPr>
              <w:t xml:space="preserve">  57.41</w:t>
            </w:r>
          </w:p>
        </w:tc>
        <w:tc>
          <w:tcPr>
            <w:tcW w:w="1015" w:type="dxa"/>
            <w:tcBorders>
              <w:top w:val="nil"/>
              <w:left w:val="nil"/>
              <w:bottom w:val="nil"/>
              <w:right w:val="nil"/>
            </w:tcBorders>
          </w:tcPr>
          <w:p w14:paraId="29E793D5"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58.00</w:t>
            </w:r>
          </w:p>
        </w:tc>
        <w:tc>
          <w:tcPr>
            <w:tcW w:w="1111" w:type="dxa"/>
            <w:tcBorders>
              <w:top w:val="nil"/>
              <w:left w:val="nil"/>
              <w:bottom w:val="nil"/>
              <w:right w:val="nil"/>
            </w:tcBorders>
          </w:tcPr>
          <w:p w14:paraId="341F0BED"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5.22</w:t>
            </w:r>
          </w:p>
        </w:tc>
        <w:tc>
          <w:tcPr>
            <w:tcW w:w="1191" w:type="dxa"/>
            <w:tcBorders>
              <w:top w:val="nil"/>
              <w:left w:val="nil"/>
              <w:bottom w:val="nil"/>
              <w:right w:val="nil"/>
            </w:tcBorders>
          </w:tcPr>
          <w:p w14:paraId="261949C2"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41.00</w:t>
            </w:r>
          </w:p>
        </w:tc>
        <w:tc>
          <w:tcPr>
            <w:tcW w:w="1215" w:type="dxa"/>
            <w:tcBorders>
              <w:top w:val="nil"/>
              <w:left w:val="nil"/>
              <w:bottom w:val="nil"/>
              <w:right w:val="nil"/>
            </w:tcBorders>
          </w:tcPr>
          <w:p w14:paraId="332F55F8" w14:textId="77777777" w:rsidR="008D4716" w:rsidRPr="00550D71" w:rsidRDefault="008D4716" w:rsidP="008D4716">
            <w:pPr>
              <w:jc w:val="right"/>
              <w:rPr>
                <w:rFonts w:ascii="Times New Roman" w:hAnsi="Times New Roman"/>
                <w:lang w:val="en-US" w:eastAsia="zh-CN"/>
              </w:rPr>
            </w:pPr>
            <w:r>
              <w:rPr>
                <w:rFonts w:ascii="Times New Roman" w:hAnsi="Times New Roman"/>
                <w:lang w:val="en-US" w:eastAsia="zh-CN"/>
              </w:rPr>
              <w:t xml:space="preserve">      </w:t>
            </w:r>
            <w:r w:rsidRPr="00550D71">
              <w:rPr>
                <w:rFonts w:ascii="Times New Roman" w:hAnsi="Times New Roman"/>
                <w:bCs/>
              </w:rPr>
              <w:t>73.00</w:t>
            </w:r>
          </w:p>
        </w:tc>
      </w:tr>
      <w:tr w:rsidR="008D4716" w:rsidRPr="00550D71" w14:paraId="0163472F" w14:textId="77777777" w:rsidTr="008D4716">
        <w:tc>
          <w:tcPr>
            <w:tcW w:w="4111" w:type="dxa"/>
            <w:tcBorders>
              <w:top w:val="nil"/>
              <w:left w:val="nil"/>
              <w:bottom w:val="nil"/>
              <w:right w:val="nil"/>
            </w:tcBorders>
          </w:tcPr>
          <w:p w14:paraId="72C75860" w14:textId="5F6A99C6" w:rsidR="008D4716" w:rsidRPr="00550D71" w:rsidRDefault="008D4716" w:rsidP="008D4716">
            <w:pPr>
              <w:ind w:left="34" w:hanging="108"/>
              <w:rPr>
                <w:rFonts w:ascii="Times New Roman" w:hAnsi="Times New Roman"/>
                <w:lang w:val="en-US" w:eastAsia="zh-CN"/>
              </w:rPr>
            </w:pPr>
            <w:r>
              <w:rPr>
                <w:rFonts w:ascii="Times New Roman" w:hAnsi="Times New Roman"/>
                <w:lang w:val="en-US" w:eastAsia="zh-CN"/>
              </w:rPr>
              <w:t xml:space="preserve">    </w:t>
            </w:r>
            <w:r w:rsidRPr="00550D71">
              <w:rPr>
                <w:rFonts w:ascii="Times New Roman" w:hAnsi="Times New Roman"/>
                <w:lang w:val="en-US" w:eastAsia="zh-CN"/>
              </w:rPr>
              <w:t>VC Educational Background(</w:t>
            </w:r>
            <w:r>
              <w:rPr>
                <w:rFonts w:ascii="Times New Roman" w:hAnsi="Times New Roman"/>
                <w:lang w:val="en-US" w:eastAsia="zh-CN"/>
              </w:rPr>
              <w:t>d</w:t>
            </w:r>
            <w:r w:rsidRPr="00550D71">
              <w:rPr>
                <w:rFonts w:ascii="Times New Roman" w:hAnsi="Times New Roman"/>
                <w:lang w:val="en-US" w:eastAsia="zh-CN"/>
              </w:rPr>
              <w:t>ummy)</w:t>
            </w:r>
          </w:p>
        </w:tc>
        <w:tc>
          <w:tcPr>
            <w:tcW w:w="1276" w:type="dxa"/>
            <w:tcBorders>
              <w:top w:val="nil"/>
              <w:left w:val="nil"/>
              <w:bottom w:val="nil"/>
              <w:right w:val="nil"/>
            </w:tcBorders>
          </w:tcPr>
          <w:p w14:paraId="6496602C"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0.37</w:t>
            </w:r>
          </w:p>
        </w:tc>
        <w:tc>
          <w:tcPr>
            <w:tcW w:w="1015" w:type="dxa"/>
            <w:tcBorders>
              <w:top w:val="nil"/>
              <w:left w:val="nil"/>
              <w:bottom w:val="nil"/>
              <w:right w:val="nil"/>
            </w:tcBorders>
          </w:tcPr>
          <w:p w14:paraId="77F45737"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0.00</w:t>
            </w:r>
          </w:p>
        </w:tc>
        <w:tc>
          <w:tcPr>
            <w:tcW w:w="1111" w:type="dxa"/>
            <w:tcBorders>
              <w:top w:val="nil"/>
              <w:left w:val="nil"/>
              <w:bottom w:val="nil"/>
              <w:right w:val="nil"/>
            </w:tcBorders>
          </w:tcPr>
          <w:p w14:paraId="73C2D403"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0.48</w:t>
            </w:r>
          </w:p>
        </w:tc>
        <w:tc>
          <w:tcPr>
            <w:tcW w:w="1191" w:type="dxa"/>
            <w:tcBorders>
              <w:top w:val="nil"/>
              <w:left w:val="nil"/>
              <w:bottom w:val="nil"/>
              <w:right w:val="nil"/>
            </w:tcBorders>
          </w:tcPr>
          <w:p w14:paraId="144C5AD3"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0.00</w:t>
            </w:r>
          </w:p>
        </w:tc>
        <w:tc>
          <w:tcPr>
            <w:tcW w:w="1215" w:type="dxa"/>
            <w:tcBorders>
              <w:top w:val="nil"/>
              <w:left w:val="nil"/>
              <w:bottom w:val="nil"/>
              <w:right w:val="nil"/>
            </w:tcBorders>
          </w:tcPr>
          <w:p w14:paraId="5044FB23"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1.00</w:t>
            </w:r>
          </w:p>
        </w:tc>
      </w:tr>
      <w:tr w:rsidR="008D4716" w:rsidRPr="00550D71" w14:paraId="0C429ECA" w14:textId="77777777" w:rsidTr="008D4716">
        <w:tc>
          <w:tcPr>
            <w:tcW w:w="4111" w:type="dxa"/>
            <w:tcBorders>
              <w:top w:val="nil"/>
              <w:left w:val="nil"/>
              <w:bottom w:val="nil"/>
              <w:right w:val="nil"/>
            </w:tcBorders>
          </w:tcPr>
          <w:p w14:paraId="58AE84E7" w14:textId="179A3D04" w:rsidR="008D4716" w:rsidRPr="00550D71" w:rsidRDefault="008D4716" w:rsidP="008D4716">
            <w:pPr>
              <w:ind w:left="34" w:hanging="108"/>
              <w:rPr>
                <w:rFonts w:ascii="Times New Roman" w:hAnsi="Times New Roman"/>
                <w:lang w:val="en-US" w:eastAsia="zh-CN"/>
              </w:rPr>
            </w:pPr>
            <w:r>
              <w:rPr>
                <w:rFonts w:ascii="Times New Roman" w:hAnsi="Times New Roman"/>
                <w:lang w:val="en-US" w:eastAsia="zh-CN"/>
              </w:rPr>
              <w:t xml:space="preserve">    VC </w:t>
            </w:r>
            <w:proofErr w:type="gramStart"/>
            <w:r>
              <w:rPr>
                <w:rFonts w:ascii="Times New Roman" w:hAnsi="Times New Roman"/>
                <w:lang w:val="en-US" w:eastAsia="zh-CN"/>
              </w:rPr>
              <w:t>Tenure(</w:t>
            </w:r>
            <w:proofErr w:type="gramEnd"/>
            <w:r>
              <w:rPr>
                <w:rFonts w:ascii="Times New Roman" w:hAnsi="Times New Roman"/>
                <w:lang w:val="en-US" w:eastAsia="zh-CN"/>
              </w:rPr>
              <w:t>Years)</w:t>
            </w:r>
          </w:p>
        </w:tc>
        <w:tc>
          <w:tcPr>
            <w:tcW w:w="1276" w:type="dxa"/>
            <w:tcBorders>
              <w:top w:val="nil"/>
              <w:left w:val="nil"/>
              <w:bottom w:val="nil"/>
              <w:right w:val="nil"/>
            </w:tcBorders>
          </w:tcPr>
          <w:p w14:paraId="3A2D7FEA"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6.15</w:t>
            </w:r>
          </w:p>
        </w:tc>
        <w:tc>
          <w:tcPr>
            <w:tcW w:w="1015" w:type="dxa"/>
            <w:tcBorders>
              <w:top w:val="nil"/>
              <w:left w:val="nil"/>
              <w:bottom w:val="nil"/>
              <w:right w:val="nil"/>
            </w:tcBorders>
          </w:tcPr>
          <w:p w14:paraId="7E910BD2"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5.00</w:t>
            </w:r>
          </w:p>
        </w:tc>
        <w:tc>
          <w:tcPr>
            <w:tcW w:w="1111" w:type="dxa"/>
            <w:tcBorders>
              <w:top w:val="nil"/>
              <w:left w:val="nil"/>
              <w:bottom w:val="nil"/>
              <w:right w:val="nil"/>
            </w:tcBorders>
          </w:tcPr>
          <w:p w14:paraId="1D7F7300"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3.37</w:t>
            </w:r>
          </w:p>
        </w:tc>
        <w:tc>
          <w:tcPr>
            <w:tcW w:w="1191" w:type="dxa"/>
            <w:tcBorders>
              <w:top w:val="nil"/>
              <w:left w:val="nil"/>
              <w:bottom w:val="nil"/>
              <w:right w:val="nil"/>
            </w:tcBorders>
          </w:tcPr>
          <w:p w14:paraId="3D6B7648" w14:textId="77777777" w:rsidR="008D4716" w:rsidRPr="00550D71" w:rsidRDefault="008D4716" w:rsidP="008D4716">
            <w:pPr>
              <w:jc w:val="right"/>
              <w:rPr>
                <w:rFonts w:ascii="Times New Roman" w:hAnsi="Times New Roman"/>
                <w:lang w:val="en-US" w:eastAsia="zh-CN"/>
              </w:rPr>
            </w:pPr>
            <w:r>
              <w:rPr>
                <w:rFonts w:ascii="Times New Roman" w:hAnsi="Times New Roman"/>
                <w:bCs/>
              </w:rPr>
              <w:t xml:space="preserve">   </w:t>
            </w:r>
            <w:r w:rsidRPr="00550D71">
              <w:rPr>
                <w:rFonts w:ascii="Times New Roman" w:hAnsi="Times New Roman"/>
                <w:bCs/>
              </w:rPr>
              <w:t>2.00</w:t>
            </w:r>
          </w:p>
        </w:tc>
        <w:tc>
          <w:tcPr>
            <w:tcW w:w="1215" w:type="dxa"/>
            <w:tcBorders>
              <w:top w:val="nil"/>
              <w:left w:val="nil"/>
              <w:bottom w:val="nil"/>
              <w:right w:val="nil"/>
            </w:tcBorders>
          </w:tcPr>
          <w:p w14:paraId="5EA5733C" w14:textId="77777777" w:rsidR="008D4716" w:rsidRPr="00550D71" w:rsidRDefault="008D4716" w:rsidP="008D4716">
            <w:pPr>
              <w:jc w:val="right"/>
              <w:rPr>
                <w:rFonts w:ascii="Times New Roman" w:hAnsi="Times New Roman"/>
                <w:lang w:val="en-US" w:eastAsia="zh-CN"/>
              </w:rPr>
            </w:pPr>
            <w:r>
              <w:rPr>
                <w:rFonts w:ascii="Times New Roman" w:hAnsi="Times New Roman"/>
                <w:lang w:val="en-US" w:eastAsia="zh-CN"/>
              </w:rPr>
              <w:t xml:space="preserve">     21.00</w:t>
            </w:r>
          </w:p>
        </w:tc>
      </w:tr>
      <w:tr w:rsidR="008D4716" w:rsidRPr="00550D71" w14:paraId="0A5B4D45" w14:textId="77777777" w:rsidTr="008D4716">
        <w:tc>
          <w:tcPr>
            <w:tcW w:w="9919" w:type="dxa"/>
            <w:gridSpan w:val="6"/>
            <w:tcBorders>
              <w:top w:val="nil"/>
              <w:left w:val="nil"/>
              <w:bottom w:val="nil"/>
              <w:right w:val="nil"/>
            </w:tcBorders>
          </w:tcPr>
          <w:p w14:paraId="72D264A0" w14:textId="77777777" w:rsidR="008D4716" w:rsidRDefault="008D4716" w:rsidP="008D4716">
            <w:pPr>
              <w:rPr>
                <w:rFonts w:ascii="Times New Roman" w:eastAsia="Calibri" w:hAnsi="Times New Roman" w:cs="Arial"/>
                <w:b/>
                <w:bCs/>
                <w:i/>
                <w:iCs/>
                <w:sz w:val="20"/>
                <w:szCs w:val="20"/>
              </w:rPr>
            </w:pPr>
          </w:p>
          <w:p w14:paraId="0C6B45A4" w14:textId="7175D7CE" w:rsidR="008D4716" w:rsidRPr="00532542" w:rsidRDefault="008D4716" w:rsidP="008D4716">
            <w:pPr>
              <w:rPr>
                <w:rFonts w:ascii="Times New Roman" w:hAnsi="Times New Roman"/>
                <w:lang w:val="en-US" w:eastAsia="zh-CN"/>
              </w:rPr>
            </w:pPr>
            <w:r w:rsidRPr="008113B5">
              <w:rPr>
                <w:rFonts w:ascii="Times New Roman" w:eastAsia="Calibri" w:hAnsi="Times New Roman" w:cs="Arial"/>
                <w:i/>
                <w:iCs/>
              </w:rPr>
              <w:t xml:space="preserve">Panel C – HEI’s </w:t>
            </w:r>
            <w:r w:rsidR="00532542" w:rsidRPr="008113B5">
              <w:rPr>
                <w:rFonts w:ascii="Times New Roman" w:eastAsia="Calibri" w:hAnsi="Times New Roman" w:cs="Arial"/>
                <w:i/>
                <w:iCs/>
              </w:rPr>
              <w:t>l</w:t>
            </w:r>
            <w:r w:rsidRPr="008113B5">
              <w:rPr>
                <w:rFonts w:ascii="Times New Roman" w:eastAsia="Calibri" w:hAnsi="Times New Roman" w:cs="Arial"/>
                <w:i/>
                <w:iCs/>
              </w:rPr>
              <w:t>ong-</w:t>
            </w:r>
            <w:r w:rsidR="00532542" w:rsidRPr="008113B5">
              <w:rPr>
                <w:rFonts w:ascii="Times New Roman" w:eastAsia="Calibri" w:hAnsi="Times New Roman" w:cs="Arial"/>
                <w:i/>
                <w:iCs/>
              </w:rPr>
              <w:t>t</w:t>
            </w:r>
            <w:r w:rsidRPr="008113B5">
              <w:rPr>
                <w:rFonts w:ascii="Times New Roman" w:eastAsia="Calibri" w:hAnsi="Times New Roman" w:cs="Arial"/>
                <w:i/>
                <w:iCs/>
              </w:rPr>
              <w:t xml:space="preserve">erm </w:t>
            </w:r>
            <w:r w:rsidR="00532542" w:rsidRPr="008113B5">
              <w:rPr>
                <w:rFonts w:ascii="Times New Roman" w:eastAsia="Calibri" w:hAnsi="Times New Roman" w:cs="Arial"/>
                <w:i/>
                <w:iCs/>
              </w:rPr>
              <w:t>p</w:t>
            </w:r>
            <w:r w:rsidRPr="008113B5">
              <w:rPr>
                <w:rFonts w:ascii="Times New Roman" w:eastAsia="Calibri" w:hAnsi="Times New Roman" w:cs="Arial"/>
                <w:i/>
                <w:iCs/>
              </w:rPr>
              <w:t xml:space="preserve">erformance </w:t>
            </w:r>
            <w:r w:rsidR="00532542" w:rsidRPr="008113B5">
              <w:rPr>
                <w:rFonts w:ascii="Times New Roman" w:eastAsia="Calibri" w:hAnsi="Times New Roman" w:cs="Arial"/>
                <w:i/>
                <w:iCs/>
              </w:rPr>
              <w:t>i</w:t>
            </w:r>
            <w:r w:rsidRPr="008113B5">
              <w:rPr>
                <w:rFonts w:ascii="Times New Roman" w:eastAsia="Calibri" w:hAnsi="Times New Roman" w:cs="Arial"/>
                <w:i/>
                <w:iCs/>
              </w:rPr>
              <w:t>ndicators</w:t>
            </w:r>
          </w:p>
        </w:tc>
      </w:tr>
      <w:tr w:rsidR="008D4716" w:rsidRPr="00550D71" w14:paraId="766D2ADD" w14:textId="77777777" w:rsidTr="008D4716">
        <w:tc>
          <w:tcPr>
            <w:tcW w:w="4111" w:type="dxa"/>
            <w:tcBorders>
              <w:top w:val="nil"/>
              <w:left w:val="nil"/>
              <w:bottom w:val="nil"/>
              <w:right w:val="nil"/>
            </w:tcBorders>
          </w:tcPr>
          <w:p w14:paraId="6BAFF561" w14:textId="13236E24" w:rsidR="008D4716" w:rsidRPr="00550D71" w:rsidRDefault="008D4716" w:rsidP="008D4716">
            <w:pPr>
              <w:rPr>
                <w:rFonts w:ascii="Times New Roman" w:hAnsi="Times New Roman"/>
                <w:lang w:val="en-US" w:eastAsia="zh-CN"/>
              </w:rPr>
            </w:pPr>
            <w:r w:rsidRPr="00550D71">
              <w:rPr>
                <w:rFonts w:ascii="Times New Roman" w:hAnsi="Times New Roman"/>
                <w:bCs/>
              </w:rPr>
              <w:t xml:space="preserve">  </w:t>
            </w:r>
            <w:r>
              <w:t xml:space="preserve"> </w:t>
            </w:r>
            <w:r w:rsidRPr="00250D6E">
              <w:rPr>
                <w:rFonts w:ascii="Times New Roman" w:hAnsi="Times New Roman"/>
                <w:bCs/>
              </w:rPr>
              <w:t xml:space="preserve">Non-continuation in </w:t>
            </w:r>
            <w:proofErr w:type="gramStart"/>
            <w:r w:rsidRPr="00250D6E">
              <w:rPr>
                <w:rFonts w:ascii="Times New Roman" w:hAnsi="Times New Roman"/>
                <w:bCs/>
              </w:rPr>
              <w:t>HE(</w:t>
            </w:r>
            <w:proofErr w:type="gramEnd"/>
            <w:r>
              <w:rPr>
                <w:rFonts w:ascii="Times New Roman" w:hAnsi="Times New Roman"/>
                <w:bCs/>
              </w:rPr>
              <w:t>no.</w:t>
            </w:r>
            <w:r w:rsidRPr="00250D6E">
              <w:rPr>
                <w:rFonts w:ascii="Times New Roman" w:hAnsi="Times New Roman"/>
                <w:bCs/>
              </w:rPr>
              <w:t xml:space="preserve"> of students)</w:t>
            </w:r>
          </w:p>
        </w:tc>
        <w:tc>
          <w:tcPr>
            <w:tcW w:w="1276" w:type="dxa"/>
            <w:tcBorders>
              <w:top w:val="nil"/>
              <w:left w:val="nil"/>
              <w:bottom w:val="nil"/>
              <w:right w:val="nil"/>
            </w:tcBorders>
          </w:tcPr>
          <w:p w14:paraId="5865759C"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199.36</w:t>
            </w:r>
          </w:p>
        </w:tc>
        <w:tc>
          <w:tcPr>
            <w:tcW w:w="1015" w:type="dxa"/>
            <w:tcBorders>
              <w:top w:val="nil"/>
              <w:left w:val="nil"/>
              <w:bottom w:val="nil"/>
              <w:right w:val="nil"/>
            </w:tcBorders>
          </w:tcPr>
          <w:p w14:paraId="475DC6C0"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150.00</w:t>
            </w:r>
          </w:p>
        </w:tc>
        <w:tc>
          <w:tcPr>
            <w:tcW w:w="1111" w:type="dxa"/>
            <w:tcBorders>
              <w:top w:val="nil"/>
              <w:left w:val="nil"/>
              <w:bottom w:val="nil"/>
              <w:right w:val="nil"/>
            </w:tcBorders>
          </w:tcPr>
          <w:p w14:paraId="739E8EDC"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161.26</w:t>
            </w:r>
          </w:p>
        </w:tc>
        <w:tc>
          <w:tcPr>
            <w:tcW w:w="1191" w:type="dxa"/>
            <w:tcBorders>
              <w:top w:val="nil"/>
              <w:left w:val="nil"/>
              <w:bottom w:val="nil"/>
              <w:right w:val="nil"/>
            </w:tcBorders>
          </w:tcPr>
          <w:p w14:paraId="24DB8955"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0.00</w:t>
            </w:r>
          </w:p>
        </w:tc>
        <w:tc>
          <w:tcPr>
            <w:tcW w:w="1215" w:type="dxa"/>
            <w:tcBorders>
              <w:top w:val="nil"/>
              <w:left w:val="nil"/>
              <w:bottom w:val="nil"/>
              <w:right w:val="nil"/>
            </w:tcBorders>
          </w:tcPr>
          <w:p w14:paraId="15303BA7" w14:textId="77777777" w:rsidR="008D4716" w:rsidRPr="00550D71" w:rsidRDefault="008D4716" w:rsidP="008D4716">
            <w:pPr>
              <w:jc w:val="right"/>
              <w:rPr>
                <w:rFonts w:ascii="Times New Roman" w:hAnsi="Times New Roman"/>
                <w:lang w:val="en-US" w:eastAsia="zh-CN"/>
              </w:rPr>
            </w:pPr>
            <w:r w:rsidRPr="00250D6E">
              <w:rPr>
                <w:rFonts w:ascii="Times New Roman" w:hAnsi="Times New Roman"/>
                <w:lang w:val="en-US" w:eastAsia="zh-CN"/>
              </w:rPr>
              <w:t>1,085.00</w:t>
            </w:r>
          </w:p>
        </w:tc>
      </w:tr>
      <w:tr w:rsidR="008D4716" w:rsidRPr="00550D71" w14:paraId="46EB8452" w14:textId="77777777" w:rsidTr="008D4716">
        <w:tc>
          <w:tcPr>
            <w:tcW w:w="4111" w:type="dxa"/>
            <w:tcBorders>
              <w:top w:val="nil"/>
              <w:left w:val="nil"/>
              <w:bottom w:val="nil"/>
              <w:right w:val="nil"/>
            </w:tcBorders>
          </w:tcPr>
          <w:p w14:paraId="55125F23" w14:textId="51450A95" w:rsidR="008D4716" w:rsidRPr="00250D6E" w:rsidRDefault="008D4716" w:rsidP="008D4716">
            <w:pPr>
              <w:ind w:left="34" w:hanging="108"/>
              <w:rPr>
                <w:rFonts w:ascii="Times New Roman" w:hAnsi="Times New Roman"/>
                <w:lang w:val="en-US" w:eastAsia="zh-CN"/>
              </w:rPr>
            </w:pPr>
            <w:r>
              <w:rPr>
                <w:rFonts w:ascii="Times New Roman" w:hAnsi="Times New Roman"/>
                <w:lang w:val="en-US" w:eastAsia="zh-CN"/>
              </w:rPr>
              <w:t xml:space="preserve">    Community Contribution </w:t>
            </w:r>
            <w:proofErr w:type="gramStart"/>
            <w:r>
              <w:rPr>
                <w:rFonts w:ascii="Times New Roman" w:hAnsi="Times New Roman"/>
                <w:lang w:val="en-US" w:eastAsia="zh-CN"/>
              </w:rPr>
              <w:t>Index(</w:t>
            </w:r>
            <w:proofErr w:type="gramEnd"/>
            <w:r>
              <w:rPr>
                <w:rFonts w:ascii="Times New Roman" w:hAnsi="Times New Roman"/>
                <w:lang w:val="en-US" w:eastAsia="zh-CN"/>
              </w:rPr>
              <w:t>%)</w:t>
            </w:r>
          </w:p>
        </w:tc>
        <w:tc>
          <w:tcPr>
            <w:tcW w:w="1276" w:type="dxa"/>
            <w:tcBorders>
              <w:top w:val="nil"/>
              <w:left w:val="nil"/>
              <w:bottom w:val="nil"/>
              <w:right w:val="nil"/>
            </w:tcBorders>
          </w:tcPr>
          <w:p w14:paraId="3CD8AF7C"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43.27</w:t>
            </w:r>
          </w:p>
        </w:tc>
        <w:tc>
          <w:tcPr>
            <w:tcW w:w="1015" w:type="dxa"/>
            <w:tcBorders>
              <w:top w:val="nil"/>
              <w:left w:val="nil"/>
              <w:bottom w:val="nil"/>
              <w:right w:val="nil"/>
            </w:tcBorders>
          </w:tcPr>
          <w:p w14:paraId="5FD105DB"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42.86</w:t>
            </w:r>
          </w:p>
        </w:tc>
        <w:tc>
          <w:tcPr>
            <w:tcW w:w="1111" w:type="dxa"/>
            <w:tcBorders>
              <w:top w:val="nil"/>
              <w:left w:val="nil"/>
              <w:bottom w:val="nil"/>
              <w:right w:val="nil"/>
            </w:tcBorders>
          </w:tcPr>
          <w:p w14:paraId="70DA8C48"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18.74</w:t>
            </w:r>
          </w:p>
        </w:tc>
        <w:tc>
          <w:tcPr>
            <w:tcW w:w="1191" w:type="dxa"/>
            <w:tcBorders>
              <w:top w:val="nil"/>
              <w:left w:val="nil"/>
              <w:bottom w:val="nil"/>
              <w:right w:val="nil"/>
            </w:tcBorders>
          </w:tcPr>
          <w:p w14:paraId="0B448B50"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14.00</w:t>
            </w:r>
          </w:p>
        </w:tc>
        <w:tc>
          <w:tcPr>
            <w:tcW w:w="1215" w:type="dxa"/>
            <w:tcBorders>
              <w:top w:val="nil"/>
              <w:left w:val="nil"/>
              <w:bottom w:val="nil"/>
              <w:right w:val="nil"/>
            </w:tcBorders>
          </w:tcPr>
          <w:p w14:paraId="5FA137EE"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100.00</w:t>
            </w:r>
          </w:p>
        </w:tc>
      </w:tr>
      <w:tr w:rsidR="008D4716" w:rsidRPr="00550D71" w14:paraId="7824A391" w14:textId="77777777" w:rsidTr="008D4716">
        <w:tc>
          <w:tcPr>
            <w:tcW w:w="4111" w:type="dxa"/>
            <w:tcBorders>
              <w:top w:val="nil"/>
              <w:left w:val="nil"/>
              <w:bottom w:val="nil"/>
              <w:right w:val="nil"/>
            </w:tcBorders>
          </w:tcPr>
          <w:p w14:paraId="544015FB" w14:textId="60B3D61C" w:rsidR="008D4716" w:rsidRPr="00250D6E" w:rsidRDefault="008D4716" w:rsidP="008D4716">
            <w:pPr>
              <w:rPr>
                <w:rFonts w:ascii="Times New Roman" w:hAnsi="Times New Roman"/>
                <w:lang w:val="en-US" w:eastAsia="zh-CN"/>
              </w:rPr>
            </w:pPr>
            <w:r>
              <w:rPr>
                <w:rFonts w:ascii="Times New Roman" w:eastAsia="Calibri" w:hAnsi="Times New Roman" w:cs="Arial"/>
                <w:bCs/>
              </w:rPr>
              <w:t xml:space="preserve">   Gender Pay </w:t>
            </w:r>
            <w:proofErr w:type="gramStart"/>
            <w:r>
              <w:rPr>
                <w:rFonts w:ascii="Times New Roman" w:eastAsia="Calibri" w:hAnsi="Times New Roman" w:cs="Arial"/>
                <w:bCs/>
              </w:rPr>
              <w:t>Gap(</w:t>
            </w:r>
            <w:proofErr w:type="gramEnd"/>
            <w:r>
              <w:rPr>
                <w:rFonts w:ascii="Times New Roman" w:eastAsia="Calibri" w:hAnsi="Times New Roman" w:cs="Arial"/>
                <w:bCs/>
              </w:rPr>
              <w:t>%)</w:t>
            </w:r>
          </w:p>
        </w:tc>
        <w:tc>
          <w:tcPr>
            <w:tcW w:w="1276" w:type="dxa"/>
            <w:tcBorders>
              <w:top w:val="nil"/>
              <w:left w:val="nil"/>
              <w:bottom w:val="nil"/>
              <w:right w:val="nil"/>
            </w:tcBorders>
          </w:tcPr>
          <w:p w14:paraId="39981002"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15.95</w:t>
            </w:r>
          </w:p>
        </w:tc>
        <w:tc>
          <w:tcPr>
            <w:tcW w:w="1015" w:type="dxa"/>
            <w:tcBorders>
              <w:top w:val="nil"/>
              <w:left w:val="nil"/>
              <w:bottom w:val="nil"/>
              <w:right w:val="nil"/>
            </w:tcBorders>
          </w:tcPr>
          <w:p w14:paraId="19AADDB1"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16.10</w:t>
            </w:r>
          </w:p>
        </w:tc>
        <w:tc>
          <w:tcPr>
            <w:tcW w:w="1111" w:type="dxa"/>
            <w:tcBorders>
              <w:top w:val="nil"/>
              <w:left w:val="nil"/>
              <w:bottom w:val="nil"/>
              <w:right w:val="nil"/>
            </w:tcBorders>
          </w:tcPr>
          <w:p w14:paraId="4B079549"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5.67</w:t>
            </w:r>
          </w:p>
        </w:tc>
        <w:tc>
          <w:tcPr>
            <w:tcW w:w="1191" w:type="dxa"/>
            <w:tcBorders>
              <w:top w:val="nil"/>
              <w:left w:val="nil"/>
              <w:bottom w:val="nil"/>
              <w:right w:val="nil"/>
            </w:tcBorders>
          </w:tcPr>
          <w:p w14:paraId="7CF6DE05" w14:textId="77777777" w:rsidR="008D4716" w:rsidRPr="00550D71" w:rsidRDefault="008D4716" w:rsidP="008D4716">
            <w:pPr>
              <w:jc w:val="right"/>
              <w:rPr>
                <w:rFonts w:ascii="Times New Roman" w:hAnsi="Times New Roman"/>
                <w:lang w:val="en-US" w:eastAsia="zh-CN"/>
              </w:rPr>
            </w:pPr>
            <w:r>
              <w:rPr>
                <w:rFonts w:ascii="Times New Roman" w:hAnsi="Times New Roman"/>
                <w:lang w:val="en-US" w:eastAsia="zh-CN"/>
              </w:rPr>
              <w:t>1.00</w:t>
            </w:r>
          </w:p>
        </w:tc>
        <w:tc>
          <w:tcPr>
            <w:tcW w:w="1215" w:type="dxa"/>
            <w:tcBorders>
              <w:top w:val="nil"/>
              <w:left w:val="nil"/>
              <w:bottom w:val="nil"/>
              <w:right w:val="nil"/>
            </w:tcBorders>
          </w:tcPr>
          <w:p w14:paraId="25B0511E"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36.00</w:t>
            </w:r>
          </w:p>
        </w:tc>
      </w:tr>
      <w:tr w:rsidR="008D4716" w:rsidRPr="00550D71" w14:paraId="0E5A39CA" w14:textId="77777777" w:rsidTr="008D4716">
        <w:tc>
          <w:tcPr>
            <w:tcW w:w="4111" w:type="dxa"/>
            <w:tcBorders>
              <w:top w:val="nil"/>
              <w:left w:val="nil"/>
              <w:bottom w:val="nil"/>
              <w:right w:val="nil"/>
            </w:tcBorders>
          </w:tcPr>
          <w:p w14:paraId="30A3F04E" w14:textId="6E29E429" w:rsidR="008D4716" w:rsidRPr="00250D6E" w:rsidRDefault="008D4716" w:rsidP="008D4716">
            <w:pPr>
              <w:ind w:left="34" w:hanging="108"/>
              <w:rPr>
                <w:rFonts w:ascii="Times New Roman" w:hAnsi="Times New Roman"/>
                <w:lang w:val="en-US" w:eastAsia="zh-CN"/>
              </w:rPr>
            </w:pPr>
            <w:r>
              <w:rPr>
                <w:rFonts w:ascii="Times New Roman" w:hAnsi="Times New Roman"/>
                <w:lang w:val="en-US" w:eastAsia="zh-CN"/>
              </w:rPr>
              <w:t xml:space="preserve">    Young </w:t>
            </w:r>
            <w:proofErr w:type="gramStart"/>
            <w:r>
              <w:rPr>
                <w:rFonts w:ascii="Times New Roman" w:hAnsi="Times New Roman"/>
                <w:lang w:val="en-US" w:eastAsia="zh-CN"/>
              </w:rPr>
              <w:t>Staff(</w:t>
            </w:r>
            <w:proofErr w:type="gramEnd"/>
            <w:r>
              <w:rPr>
                <w:rFonts w:ascii="Times New Roman" w:hAnsi="Times New Roman"/>
                <w:lang w:val="en-US" w:eastAsia="zh-CN"/>
              </w:rPr>
              <w:t>%)</w:t>
            </w:r>
          </w:p>
        </w:tc>
        <w:tc>
          <w:tcPr>
            <w:tcW w:w="1276" w:type="dxa"/>
            <w:tcBorders>
              <w:top w:val="nil"/>
              <w:left w:val="nil"/>
              <w:bottom w:val="nil"/>
              <w:right w:val="nil"/>
            </w:tcBorders>
          </w:tcPr>
          <w:p w14:paraId="1C46B947"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29.56</w:t>
            </w:r>
          </w:p>
        </w:tc>
        <w:tc>
          <w:tcPr>
            <w:tcW w:w="1015" w:type="dxa"/>
            <w:tcBorders>
              <w:top w:val="nil"/>
              <w:left w:val="nil"/>
              <w:bottom w:val="nil"/>
              <w:right w:val="nil"/>
            </w:tcBorders>
          </w:tcPr>
          <w:p w14:paraId="603EA392"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28.82</w:t>
            </w:r>
          </w:p>
        </w:tc>
        <w:tc>
          <w:tcPr>
            <w:tcW w:w="1111" w:type="dxa"/>
            <w:tcBorders>
              <w:top w:val="nil"/>
              <w:left w:val="nil"/>
              <w:bottom w:val="nil"/>
              <w:right w:val="nil"/>
            </w:tcBorders>
          </w:tcPr>
          <w:p w14:paraId="5E15FC84"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6.72</w:t>
            </w:r>
          </w:p>
        </w:tc>
        <w:tc>
          <w:tcPr>
            <w:tcW w:w="1191" w:type="dxa"/>
            <w:tcBorders>
              <w:top w:val="nil"/>
              <w:left w:val="nil"/>
              <w:bottom w:val="nil"/>
              <w:right w:val="nil"/>
            </w:tcBorders>
          </w:tcPr>
          <w:p w14:paraId="0C85440D"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14.00</w:t>
            </w:r>
          </w:p>
        </w:tc>
        <w:tc>
          <w:tcPr>
            <w:tcW w:w="1215" w:type="dxa"/>
            <w:tcBorders>
              <w:top w:val="nil"/>
              <w:left w:val="nil"/>
              <w:bottom w:val="nil"/>
              <w:right w:val="nil"/>
            </w:tcBorders>
          </w:tcPr>
          <w:p w14:paraId="6F905001"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54.00</w:t>
            </w:r>
          </w:p>
        </w:tc>
      </w:tr>
      <w:tr w:rsidR="008D4716" w:rsidRPr="00550D71" w14:paraId="4872E0EF" w14:textId="77777777" w:rsidTr="008D4716">
        <w:tc>
          <w:tcPr>
            <w:tcW w:w="9919" w:type="dxa"/>
            <w:gridSpan w:val="6"/>
            <w:tcBorders>
              <w:top w:val="nil"/>
              <w:left w:val="nil"/>
              <w:bottom w:val="nil"/>
              <w:right w:val="nil"/>
            </w:tcBorders>
          </w:tcPr>
          <w:p w14:paraId="3667C4F0" w14:textId="77777777" w:rsidR="008D4716" w:rsidRDefault="008D4716" w:rsidP="008D4716">
            <w:pPr>
              <w:rPr>
                <w:rFonts w:ascii="Times New Roman" w:eastAsia="Calibri" w:hAnsi="Times New Roman" w:cs="Arial"/>
                <w:b/>
                <w:bCs/>
                <w:i/>
                <w:iCs/>
                <w:sz w:val="20"/>
                <w:szCs w:val="20"/>
              </w:rPr>
            </w:pPr>
          </w:p>
          <w:p w14:paraId="45FAFAC3" w14:textId="78D9F356" w:rsidR="008D4716" w:rsidRPr="00532542" w:rsidRDefault="008D4716" w:rsidP="008D4716">
            <w:pPr>
              <w:rPr>
                <w:rFonts w:ascii="Times New Roman" w:hAnsi="Times New Roman"/>
                <w:lang w:val="en-US" w:eastAsia="zh-CN"/>
              </w:rPr>
            </w:pPr>
            <w:r w:rsidRPr="008113B5">
              <w:rPr>
                <w:rFonts w:ascii="Times New Roman" w:eastAsia="Calibri" w:hAnsi="Times New Roman" w:cs="Arial"/>
                <w:i/>
                <w:iCs/>
              </w:rPr>
              <w:t xml:space="preserve">Panel D – HEI’s </w:t>
            </w:r>
            <w:r w:rsidR="00532542" w:rsidRPr="008113B5">
              <w:rPr>
                <w:rFonts w:ascii="Times New Roman" w:eastAsia="Calibri" w:hAnsi="Times New Roman" w:cs="Arial"/>
                <w:i/>
                <w:iCs/>
              </w:rPr>
              <w:t>s</w:t>
            </w:r>
            <w:r w:rsidRPr="008113B5">
              <w:rPr>
                <w:rFonts w:ascii="Times New Roman" w:eastAsia="Calibri" w:hAnsi="Times New Roman" w:cs="Arial"/>
                <w:i/>
                <w:iCs/>
              </w:rPr>
              <w:t>hort-</w:t>
            </w:r>
            <w:r w:rsidR="00532542" w:rsidRPr="008113B5">
              <w:rPr>
                <w:rFonts w:ascii="Times New Roman" w:eastAsia="Calibri" w:hAnsi="Times New Roman" w:cs="Arial"/>
                <w:i/>
                <w:iCs/>
              </w:rPr>
              <w:t>t</w:t>
            </w:r>
            <w:r w:rsidRPr="008113B5">
              <w:rPr>
                <w:rFonts w:ascii="Times New Roman" w:eastAsia="Calibri" w:hAnsi="Times New Roman" w:cs="Arial"/>
                <w:i/>
                <w:iCs/>
              </w:rPr>
              <w:t xml:space="preserve">erm </w:t>
            </w:r>
            <w:r w:rsidR="00532542" w:rsidRPr="008113B5">
              <w:rPr>
                <w:rFonts w:ascii="Times New Roman" w:eastAsia="Calibri" w:hAnsi="Times New Roman" w:cs="Arial"/>
                <w:i/>
                <w:iCs/>
              </w:rPr>
              <w:t>p</w:t>
            </w:r>
            <w:r w:rsidRPr="008113B5">
              <w:rPr>
                <w:rFonts w:ascii="Times New Roman" w:eastAsia="Calibri" w:hAnsi="Times New Roman" w:cs="Arial"/>
                <w:i/>
                <w:iCs/>
              </w:rPr>
              <w:t xml:space="preserve">erformance </w:t>
            </w:r>
            <w:r w:rsidR="00532542" w:rsidRPr="008113B5">
              <w:rPr>
                <w:rFonts w:ascii="Times New Roman" w:eastAsia="Calibri" w:hAnsi="Times New Roman" w:cs="Arial"/>
                <w:i/>
                <w:iCs/>
              </w:rPr>
              <w:t>i</w:t>
            </w:r>
            <w:r w:rsidRPr="008113B5">
              <w:rPr>
                <w:rFonts w:ascii="Times New Roman" w:eastAsia="Calibri" w:hAnsi="Times New Roman" w:cs="Arial"/>
                <w:i/>
                <w:iCs/>
              </w:rPr>
              <w:t>ndicators</w:t>
            </w:r>
          </w:p>
        </w:tc>
      </w:tr>
      <w:tr w:rsidR="008D4716" w:rsidRPr="00550D71" w14:paraId="543D3ED9" w14:textId="77777777" w:rsidTr="008D4716">
        <w:tc>
          <w:tcPr>
            <w:tcW w:w="4111" w:type="dxa"/>
            <w:tcBorders>
              <w:top w:val="nil"/>
              <w:left w:val="nil"/>
              <w:bottom w:val="nil"/>
              <w:right w:val="nil"/>
            </w:tcBorders>
          </w:tcPr>
          <w:p w14:paraId="7A2BFF59" w14:textId="4655BC4B" w:rsidR="008D4716" w:rsidRPr="008D4716" w:rsidRDefault="008D4716" w:rsidP="008D4716">
            <w:pPr>
              <w:ind w:left="34" w:hanging="108"/>
              <w:rPr>
                <w:rFonts w:ascii="Times New Roman" w:hAnsi="Times New Roman"/>
                <w:lang w:val="en-US" w:eastAsia="zh-CN"/>
              </w:rPr>
            </w:pPr>
            <w:r w:rsidRPr="005760DC">
              <w:rPr>
                <w:rFonts w:ascii="Times New Roman" w:eastAsia="Calibri" w:hAnsi="Times New Roman" w:cs="Arial"/>
                <w:bCs/>
              </w:rPr>
              <w:t xml:space="preserve"> </w:t>
            </w:r>
            <w:r w:rsidRPr="008D4716">
              <w:rPr>
                <w:rFonts w:ascii="Times New Roman" w:eastAsia="Calibri" w:hAnsi="Times New Roman" w:cs="Arial"/>
                <w:bCs/>
                <w:lang w:eastAsia="en-US"/>
              </w:rPr>
              <w:t xml:space="preserve"> </w:t>
            </w:r>
            <w:r>
              <w:rPr>
                <w:rFonts w:ascii="Times New Roman" w:eastAsia="Calibri" w:hAnsi="Times New Roman" w:cs="Arial"/>
                <w:bCs/>
                <w:lang w:eastAsia="en-US"/>
              </w:rPr>
              <w:t xml:space="preserve">  </w:t>
            </w:r>
            <w:r w:rsidRPr="005760DC">
              <w:rPr>
                <w:rFonts w:ascii="Times New Roman" w:eastAsia="Calibri" w:hAnsi="Times New Roman" w:cs="Arial"/>
                <w:bCs/>
                <w:lang w:eastAsia="en-US"/>
              </w:rPr>
              <w:t>THE Ranking(</w:t>
            </w:r>
            <w:r>
              <w:rPr>
                <w:rFonts w:ascii="Times New Roman" w:eastAsia="Calibri" w:hAnsi="Times New Roman" w:cs="Arial"/>
                <w:bCs/>
                <w:lang w:eastAsia="en-US"/>
              </w:rPr>
              <w:t>n</w:t>
            </w:r>
            <w:r w:rsidR="00E60D13">
              <w:rPr>
                <w:rFonts w:ascii="Times New Roman" w:eastAsia="Calibri" w:hAnsi="Times New Roman" w:cs="Arial"/>
                <w:bCs/>
                <w:lang w:eastAsia="en-US"/>
              </w:rPr>
              <w:t>umber</w:t>
            </w:r>
            <w:r w:rsidRPr="005760DC">
              <w:rPr>
                <w:rFonts w:ascii="Times New Roman" w:eastAsia="Calibri" w:hAnsi="Times New Roman" w:cs="Arial"/>
                <w:bCs/>
                <w:lang w:eastAsia="en-US"/>
              </w:rPr>
              <w:t>)</w:t>
            </w:r>
          </w:p>
        </w:tc>
        <w:tc>
          <w:tcPr>
            <w:tcW w:w="1276" w:type="dxa"/>
            <w:tcBorders>
              <w:top w:val="nil"/>
              <w:left w:val="nil"/>
              <w:bottom w:val="nil"/>
              <w:right w:val="nil"/>
            </w:tcBorders>
          </w:tcPr>
          <w:p w14:paraId="04EFE0F6"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371.47</w:t>
            </w:r>
          </w:p>
        </w:tc>
        <w:tc>
          <w:tcPr>
            <w:tcW w:w="1015" w:type="dxa"/>
            <w:tcBorders>
              <w:top w:val="nil"/>
              <w:left w:val="nil"/>
              <w:bottom w:val="nil"/>
              <w:right w:val="nil"/>
            </w:tcBorders>
          </w:tcPr>
          <w:p w14:paraId="0195F8F0"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326.00</w:t>
            </w:r>
          </w:p>
        </w:tc>
        <w:tc>
          <w:tcPr>
            <w:tcW w:w="1111" w:type="dxa"/>
            <w:tcBorders>
              <w:top w:val="nil"/>
              <w:left w:val="nil"/>
              <w:bottom w:val="nil"/>
              <w:right w:val="nil"/>
            </w:tcBorders>
          </w:tcPr>
          <w:p w14:paraId="717BD22C"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263.87</w:t>
            </w:r>
          </w:p>
        </w:tc>
        <w:tc>
          <w:tcPr>
            <w:tcW w:w="1191" w:type="dxa"/>
            <w:tcBorders>
              <w:top w:val="nil"/>
              <w:left w:val="nil"/>
              <w:bottom w:val="nil"/>
              <w:right w:val="nil"/>
            </w:tcBorders>
          </w:tcPr>
          <w:p w14:paraId="363ACAA9"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2.00</w:t>
            </w:r>
          </w:p>
        </w:tc>
        <w:tc>
          <w:tcPr>
            <w:tcW w:w="1215" w:type="dxa"/>
            <w:tcBorders>
              <w:top w:val="nil"/>
              <w:left w:val="nil"/>
              <w:bottom w:val="nil"/>
              <w:right w:val="nil"/>
            </w:tcBorders>
          </w:tcPr>
          <w:p w14:paraId="087D9156"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901.00</w:t>
            </w:r>
          </w:p>
        </w:tc>
      </w:tr>
      <w:tr w:rsidR="008D4716" w:rsidRPr="00550D71" w14:paraId="4C714F26" w14:textId="77777777" w:rsidTr="008D4716">
        <w:tc>
          <w:tcPr>
            <w:tcW w:w="4111" w:type="dxa"/>
            <w:tcBorders>
              <w:top w:val="nil"/>
              <w:left w:val="nil"/>
              <w:bottom w:val="nil"/>
              <w:right w:val="nil"/>
            </w:tcBorders>
          </w:tcPr>
          <w:p w14:paraId="4CA0E3EC" w14:textId="5225B455" w:rsidR="008D4716" w:rsidRPr="00250D6E" w:rsidRDefault="008D4716" w:rsidP="008D4716">
            <w:pPr>
              <w:ind w:left="34" w:hanging="108"/>
              <w:rPr>
                <w:rFonts w:ascii="Times New Roman" w:hAnsi="Times New Roman"/>
                <w:lang w:val="en-US" w:eastAsia="zh-CN"/>
              </w:rPr>
            </w:pPr>
            <w:r>
              <w:rPr>
                <w:rFonts w:ascii="Times New Roman" w:hAnsi="Times New Roman"/>
                <w:lang w:val="en-US" w:eastAsia="zh-CN"/>
              </w:rPr>
              <w:t xml:space="preserve">    QS Ranking(n</w:t>
            </w:r>
            <w:r w:rsidR="00D92227">
              <w:rPr>
                <w:rFonts w:ascii="Times New Roman" w:hAnsi="Times New Roman"/>
                <w:lang w:val="en-US" w:eastAsia="zh-CN"/>
              </w:rPr>
              <w:t>umber</w:t>
            </w:r>
            <w:r>
              <w:rPr>
                <w:rFonts w:ascii="Times New Roman" w:hAnsi="Times New Roman"/>
                <w:lang w:val="en-US" w:eastAsia="zh-CN"/>
              </w:rPr>
              <w:t>)</w:t>
            </w:r>
          </w:p>
        </w:tc>
        <w:tc>
          <w:tcPr>
            <w:tcW w:w="1276" w:type="dxa"/>
            <w:tcBorders>
              <w:top w:val="nil"/>
              <w:left w:val="nil"/>
              <w:bottom w:val="nil"/>
              <w:right w:val="nil"/>
            </w:tcBorders>
          </w:tcPr>
          <w:p w14:paraId="5354AD73"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355.85</w:t>
            </w:r>
          </w:p>
        </w:tc>
        <w:tc>
          <w:tcPr>
            <w:tcW w:w="1015" w:type="dxa"/>
            <w:tcBorders>
              <w:top w:val="nil"/>
              <w:left w:val="nil"/>
              <w:bottom w:val="nil"/>
              <w:right w:val="nil"/>
            </w:tcBorders>
          </w:tcPr>
          <w:p w14:paraId="728EF103"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321.00</w:t>
            </w:r>
          </w:p>
        </w:tc>
        <w:tc>
          <w:tcPr>
            <w:tcW w:w="1111" w:type="dxa"/>
            <w:tcBorders>
              <w:top w:val="nil"/>
              <w:left w:val="nil"/>
              <w:bottom w:val="nil"/>
              <w:right w:val="nil"/>
            </w:tcBorders>
          </w:tcPr>
          <w:p w14:paraId="70C0F0EE"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275.15</w:t>
            </w:r>
          </w:p>
        </w:tc>
        <w:tc>
          <w:tcPr>
            <w:tcW w:w="1191" w:type="dxa"/>
            <w:tcBorders>
              <w:top w:val="nil"/>
              <w:left w:val="nil"/>
              <w:bottom w:val="nil"/>
              <w:right w:val="nil"/>
            </w:tcBorders>
          </w:tcPr>
          <w:p w14:paraId="34E7C995"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1.00</w:t>
            </w:r>
          </w:p>
        </w:tc>
        <w:tc>
          <w:tcPr>
            <w:tcW w:w="1215" w:type="dxa"/>
            <w:tcBorders>
              <w:top w:val="nil"/>
              <w:left w:val="nil"/>
              <w:bottom w:val="nil"/>
              <w:right w:val="nil"/>
            </w:tcBorders>
          </w:tcPr>
          <w:p w14:paraId="3B2D1AFE"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901.00</w:t>
            </w:r>
          </w:p>
        </w:tc>
      </w:tr>
      <w:tr w:rsidR="008D4716" w:rsidRPr="00550D71" w14:paraId="712186D0" w14:textId="77777777" w:rsidTr="008D4716">
        <w:tc>
          <w:tcPr>
            <w:tcW w:w="4111" w:type="dxa"/>
            <w:tcBorders>
              <w:top w:val="nil"/>
              <w:left w:val="nil"/>
              <w:bottom w:val="nil"/>
              <w:right w:val="nil"/>
            </w:tcBorders>
          </w:tcPr>
          <w:p w14:paraId="31F64C95" w14:textId="61F9ADB8" w:rsidR="008D4716" w:rsidRPr="008D4716" w:rsidRDefault="008D4716" w:rsidP="008D4716">
            <w:pPr>
              <w:ind w:left="34" w:hanging="108"/>
              <w:rPr>
                <w:rFonts w:ascii="Times New Roman" w:hAnsi="Times New Roman"/>
                <w:lang w:val="en-US" w:eastAsia="zh-CN"/>
              </w:rPr>
            </w:pPr>
            <w:r>
              <w:rPr>
                <w:rFonts w:ascii="Times New Roman" w:hAnsi="Times New Roman"/>
                <w:lang w:val="en-US" w:eastAsia="zh-CN"/>
              </w:rPr>
              <w:t xml:space="preserve">    CUG Ranking(n</w:t>
            </w:r>
            <w:r w:rsidR="00D92227">
              <w:rPr>
                <w:rFonts w:ascii="Times New Roman" w:hAnsi="Times New Roman"/>
                <w:lang w:val="en-US" w:eastAsia="zh-CN"/>
              </w:rPr>
              <w:t>umber</w:t>
            </w:r>
            <w:r>
              <w:rPr>
                <w:rFonts w:ascii="Times New Roman" w:hAnsi="Times New Roman"/>
                <w:lang w:val="en-US" w:eastAsia="zh-CN"/>
              </w:rPr>
              <w:t>)</w:t>
            </w:r>
          </w:p>
        </w:tc>
        <w:tc>
          <w:tcPr>
            <w:tcW w:w="1276" w:type="dxa"/>
            <w:tcBorders>
              <w:top w:val="nil"/>
              <w:left w:val="nil"/>
              <w:bottom w:val="nil"/>
              <w:right w:val="nil"/>
            </w:tcBorders>
          </w:tcPr>
          <w:p w14:paraId="50E4B98F"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53.64</w:t>
            </w:r>
          </w:p>
        </w:tc>
        <w:tc>
          <w:tcPr>
            <w:tcW w:w="1015" w:type="dxa"/>
            <w:tcBorders>
              <w:top w:val="nil"/>
              <w:left w:val="nil"/>
              <w:bottom w:val="nil"/>
              <w:right w:val="nil"/>
            </w:tcBorders>
          </w:tcPr>
          <w:p w14:paraId="71AF7D16"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52.00</w:t>
            </w:r>
          </w:p>
        </w:tc>
        <w:tc>
          <w:tcPr>
            <w:tcW w:w="1111" w:type="dxa"/>
            <w:tcBorders>
              <w:top w:val="nil"/>
              <w:left w:val="nil"/>
              <w:bottom w:val="nil"/>
              <w:right w:val="nil"/>
            </w:tcBorders>
          </w:tcPr>
          <w:p w14:paraId="745EA289"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34.80</w:t>
            </w:r>
          </w:p>
        </w:tc>
        <w:tc>
          <w:tcPr>
            <w:tcW w:w="1191" w:type="dxa"/>
            <w:tcBorders>
              <w:top w:val="nil"/>
              <w:left w:val="nil"/>
              <w:bottom w:val="nil"/>
              <w:right w:val="nil"/>
            </w:tcBorders>
          </w:tcPr>
          <w:p w14:paraId="6D8E512F"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1.00</w:t>
            </w:r>
          </w:p>
        </w:tc>
        <w:tc>
          <w:tcPr>
            <w:tcW w:w="1215" w:type="dxa"/>
            <w:tcBorders>
              <w:top w:val="nil"/>
              <w:left w:val="nil"/>
              <w:bottom w:val="nil"/>
              <w:right w:val="nil"/>
            </w:tcBorders>
          </w:tcPr>
          <w:p w14:paraId="07CD7C2D"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124.00</w:t>
            </w:r>
          </w:p>
        </w:tc>
      </w:tr>
      <w:tr w:rsidR="008D4716" w:rsidRPr="00550D71" w14:paraId="6C29314C" w14:textId="77777777" w:rsidTr="008D4716">
        <w:tc>
          <w:tcPr>
            <w:tcW w:w="4111" w:type="dxa"/>
            <w:tcBorders>
              <w:top w:val="nil"/>
              <w:left w:val="nil"/>
              <w:bottom w:val="nil"/>
              <w:right w:val="nil"/>
            </w:tcBorders>
          </w:tcPr>
          <w:p w14:paraId="2E3DC9CE" w14:textId="518E2EFB" w:rsidR="008D4716" w:rsidRPr="008D4716" w:rsidRDefault="008D4716" w:rsidP="008D4716">
            <w:pPr>
              <w:ind w:left="34" w:hanging="108"/>
              <w:rPr>
                <w:rFonts w:ascii="Times New Roman" w:hAnsi="Times New Roman"/>
                <w:lang w:val="en-US" w:eastAsia="zh-CN"/>
              </w:rPr>
            </w:pPr>
            <w:r w:rsidRPr="005760DC">
              <w:rPr>
                <w:rFonts w:ascii="Times New Roman" w:eastAsia="Calibri" w:hAnsi="Times New Roman" w:cs="Arial"/>
                <w:bCs/>
              </w:rPr>
              <w:t xml:space="preserve">  </w:t>
            </w:r>
            <w:r>
              <w:rPr>
                <w:rFonts w:ascii="Times New Roman" w:eastAsia="Calibri" w:hAnsi="Times New Roman" w:cs="Arial"/>
                <w:bCs/>
              </w:rPr>
              <w:t xml:space="preserve">  GUG Ranking(n</w:t>
            </w:r>
            <w:r w:rsidR="00D92227">
              <w:rPr>
                <w:rFonts w:ascii="Times New Roman" w:eastAsia="Calibri" w:hAnsi="Times New Roman" w:cs="Arial"/>
                <w:bCs/>
              </w:rPr>
              <w:t>umber</w:t>
            </w:r>
            <w:r>
              <w:rPr>
                <w:rFonts w:ascii="Times New Roman" w:eastAsia="Calibri" w:hAnsi="Times New Roman" w:cs="Arial"/>
                <w:bCs/>
              </w:rPr>
              <w:t>)</w:t>
            </w:r>
          </w:p>
        </w:tc>
        <w:tc>
          <w:tcPr>
            <w:tcW w:w="1276" w:type="dxa"/>
            <w:tcBorders>
              <w:top w:val="nil"/>
              <w:left w:val="nil"/>
              <w:bottom w:val="nil"/>
              <w:right w:val="nil"/>
            </w:tcBorders>
          </w:tcPr>
          <w:p w14:paraId="1373C193"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56.41</w:t>
            </w:r>
          </w:p>
        </w:tc>
        <w:tc>
          <w:tcPr>
            <w:tcW w:w="1015" w:type="dxa"/>
            <w:tcBorders>
              <w:top w:val="nil"/>
              <w:left w:val="nil"/>
              <w:bottom w:val="nil"/>
              <w:right w:val="nil"/>
            </w:tcBorders>
          </w:tcPr>
          <w:p w14:paraId="5AD5E0CB"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55.50</w:t>
            </w:r>
          </w:p>
        </w:tc>
        <w:tc>
          <w:tcPr>
            <w:tcW w:w="1111" w:type="dxa"/>
            <w:tcBorders>
              <w:top w:val="nil"/>
              <w:left w:val="nil"/>
              <w:bottom w:val="nil"/>
              <w:right w:val="nil"/>
            </w:tcBorders>
          </w:tcPr>
          <w:p w14:paraId="5A1DB505"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32.99</w:t>
            </w:r>
          </w:p>
        </w:tc>
        <w:tc>
          <w:tcPr>
            <w:tcW w:w="1191" w:type="dxa"/>
            <w:tcBorders>
              <w:top w:val="nil"/>
              <w:left w:val="nil"/>
              <w:bottom w:val="nil"/>
              <w:right w:val="nil"/>
            </w:tcBorders>
          </w:tcPr>
          <w:p w14:paraId="40B66286"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1.00</w:t>
            </w:r>
          </w:p>
        </w:tc>
        <w:tc>
          <w:tcPr>
            <w:tcW w:w="1215" w:type="dxa"/>
            <w:tcBorders>
              <w:top w:val="nil"/>
              <w:left w:val="nil"/>
              <w:bottom w:val="nil"/>
              <w:right w:val="nil"/>
            </w:tcBorders>
          </w:tcPr>
          <w:p w14:paraId="2FEE8320" w14:textId="77777777" w:rsidR="008D4716" w:rsidRPr="00550D71" w:rsidRDefault="008D4716" w:rsidP="008D4716">
            <w:pPr>
              <w:jc w:val="right"/>
              <w:rPr>
                <w:rFonts w:ascii="Times New Roman" w:hAnsi="Times New Roman"/>
                <w:lang w:val="en-US" w:eastAsia="zh-CN"/>
              </w:rPr>
            </w:pPr>
            <w:r w:rsidRPr="005760DC">
              <w:rPr>
                <w:rFonts w:ascii="Times New Roman" w:eastAsia="Calibri" w:hAnsi="Times New Roman" w:cs="Arial"/>
                <w:bCs/>
              </w:rPr>
              <w:t>119.00</w:t>
            </w:r>
          </w:p>
        </w:tc>
      </w:tr>
      <w:tr w:rsidR="008D4716" w:rsidRPr="00550D71" w14:paraId="28E59396" w14:textId="77777777" w:rsidTr="008D4716">
        <w:tc>
          <w:tcPr>
            <w:tcW w:w="9919" w:type="dxa"/>
            <w:gridSpan w:val="6"/>
            <w:tcBorders>
              <w:top w:val="nil"/>
              <w:left w:val="nil"/>
              <w:bottom w:val="nil"/>
              <w:right w:val="nil"/>
            </w:tcBorders>
          </w:tcPr>
          <w:p w14:paraId="0355262D" w14:textId="77777777" w:rsidR="008D4716" w:rsidRPr="008113B5" w:rsidRDefault="008D4716" w:rsidP="008D4716">
            <w:pPr>
              <w:rPr>
                <w:rFonts w:asciiTheme="majorBidi" w:hAnsiTheme="majorBidi" w:cstheme="majorBidi"/>
                <w:bCs/>
                <w:i/>
                <w:iCs/>
                <w:lang w:eastAsia="en-US"/>
              </w:rPr>
            </w:pPr>
          </w:p>
          <w:p w14:paraId="74A63FAC" w14:textId="40F71A79" w:rsidR="008D4716" w:rsidRPr="00550D71" w:rsidRDefault="008D4716" w:rsidP="008D4716">
            <w:pPr>
              <w:rPr>
                <w:rFonts w:ascii="Times New Roman" w:hAnsi="Times New Roman"/>
                <w:lang w:val="en-US" w:eastAsia="zh-CN"/>
              </w:rPr>
            </w:pPr>
            <w:r w:rsidRPr="008113B5">
              <w:rPr>
                <w:rFonts w:asciiTheme="majorBidi" w:hAnsiTheme="majorBidi" w:cstheme="majorBidi"/>
                <w:bCs/>
                <w:i/>
                <w:iCs/>
                <w:lang w:eastAsia="en-US"/>
              </w:rPr>
              <w:t xml:space="preserve">Panel E – Governing and </w:t>
            </w:r>
            <w:r w:rsidR="00532542" w:rsidRPr="008113B5">
              <w:rPr>
                <w:rFonts w:asciiTheme="majorBidi" w:hAnsiTheme="majorBidi" w:cstheme="majorBidi"/>
                <w:bCs/>
                <w:i/>
                <w:iCs/>
                <w:lang w:eastAsia="en-US"/>
              </w:rPr>
              <w:t>e</w:t>
            </w:r>
            <w:r w:rsidRPr="008113B5">
              <w:rPr>
                <w:rFonts w:asciiTheme="majorBidi" w:hAnsiTheme="majorBidi" w:cstheme="majorBidi"/>
                <w:bCs/>
                <w:i/>
                <w:iCs/>
                <w:lang w:eastAsia="en-US"/>
              </w:rPr>
              <w:t xml:space="preserve">xecutive </w:t>
            </w:r>
            <w:r w:rsidR="00532542" w:rsidRPr="008113B5">
              <w:rPr>
                <w:rFonts w:asciiTheme="majorBidi" w:hAnsiTheme="majorBidi" w:cstheme="majorBidi"/>
                <w:bCs/>
                <w:i/>
                <w:iCs/>
                <w:lang w:eastAsia="en-US"/>
              </w:rPr>
              <w:t>b</w:t>
            </w:r>
            <w:r w:rsidRPr="008113B5">
              <w:rPr>
                <w:rFonts w:asciiTheme="majorBidi" w:hAnsiTheme="majorBidi" w:cstheme="majorBidi"/>
                <w:bCs/>
                <w:i/>
                <w:iCs/>
                <w:lang w:eastAsia="en-US"/>
              </w:rPr>
              <w:t xml:space="preserve">oard </w:t>
            </w:r>
            <w:r w:rsidR="00532542" w:rsidRPr="008113B5">
              <w:rPr>
                <w:rFonts w:asciiTheme="majorBidi" w:hAnsiTheme="majorBidi" w:cstheme="majorBidi"/>
                <w:bCs/>
                <w:i/>
                <w:iCs/>
                <w:lang w:eastAsia="en-US"/>
              </w:rPr>
              <w:t>c</w:t>
            </w:r>
            <w:r w:rsidRPr="008113B5">
              <w:rPr>
                <w:rFonts w:asciiTheme="majorBidi" w:hAnsiTheme="majorBidi" w:cstheme="majorBidi"/>
                <w:bCs/>
                <w:i/>
                <w:iCs/>
                <w:lang w:eastAsia="en-US"/>
              </w:rPr>
              <w:t>haracteristics</w:t>
            </w:r>
          </w:p>
        </w:tc>
      </w:tr>
      <w:tr w:rsidR="008D4716" w:rsidRPr="00550D71" w14:paraId="3557A461" w14:textId="77777777" w:rsidTr="008D4716">
        <w:tc>
          <w:tcPr>
            <w:tcW w:w="4111" w:type="dxa"/>
            <w:tcBorders>
              <w:top w:val="nil"/>
              <w:left w:val="nil"/>
              <w:bottom w:val="nil"/>
              <w:right w:val="nil"/>
            </w:tcBorders>
          </w:tcPr>
          <w:p w14:paraId="0A5BB3D8" w14:textId="56AD3C02"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w:t>
            </w:r>
            <w:proofErr w:type="gramStart"/>
            <w:r w:rsidRPr="00550D71">
              <w:rPr>
                <w:rFonts w:ascii="Times New Roman" w:hAnsi="Times New Roman"/>
                <w:lang w:val="en-US" w:eastAsia="zh-CN"/>
              </w:rPr>
              <w:t>PRC(</w:t>
            </w:r>
            <w:proofErr w:type="gramEnd"/>
            <w:r w:rsidRPr="00550D71">
              <w:rPr>
                <w:rFonts w:ascii="Times New Roman" w:hAnsi="Times New Roman"/>
                <w:lang w:val="en-US" w:eastAsia="zh-CN"/>
              </w:rPr>
              <w:t>dummy)</w:t>
            </w:r>
          </w:p>
        </w:tc>
        <w:tc>
          <w:tcPr>
            <w:tcW w:w="1276" w:type="dxa"/>
            <w:tcBorders>
              <w:top w:val="nil"/>
              <w:left w:val="nil"/>
              <w:bottom w:val="nil"/>
              <w:right w:val="nil"/>
            </w:tcBorders>
          </w:tcPr>
          <w:p w14:paraId="7B0F0A7B"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0.96</w:t>
            </w:r>
          </w:p>
        </w:tc>
        <w:tc>
          <w:tcPr>
            <w:tcW w:w="1015" w:type="dxa"/>
            <w:tcBorders>
              <w:top w:val="nil"/>
              <w:left w:val="nil"/>
              <w:bottom w:val="nil"/>
              <w:right w:val="nil"/>
            </w:tcBorders>
          </w:tcPr>
          <w:p w14:paraId="0B12068D"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1.00</w:t>
            </w:r>
          </w:p>
        </w:tc>
        <w:tc>
          <w:tcPr>
            <w:tcW w:w="1111" w:type="dxa"/>
            <w:tcBorders>
              <w:top w:val="nil"/>
              <w:left w:val="nil"/>
              <w:bottom w:val="nil"/>
              <w:right w:val="nil"/>
            </w:tcBorders>
          </w:tcPr>
          <w:p w14:paraId="4D91F80F"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0.20</w:t>
            </w:r>
          </w:p>
        </w:tc>
        <w:tc>
          <w:tcPr>
            <w:tcW w:w="1191" w:type="dxa"/>
            <w:tcBorders>
              <w:top w:val="nil"/>
              <w:left w:val="nil"/>
              <w:bottom w:val="nil"/>
              <w:right w:val="nil"/>
            </w:tcBorders>
          </w:tcPr>
          <w:p w14:paraId="73E63110"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215" w:type="dxa"/>
            <w:tcBorders>
              <w:top w:val="nil"/>
              <w:left w:val="nil"/>
              <w:bottom w:val="nil"/>
              <w:right w:val="nil"/>
            </w:tcBorders>
          </w:tcPr>
          <w:p w14:paraId="60F515F1"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1.00</w:t>
            </w:r>
          </w:p>
        </w:tc>
      </w:tr>
      <w:tr w:rsidR="008D4716" w:rsidRPr="00550D71" w14:paraId="6BDFC4E0" w14:textId="77777777" w:rsidTr="008D4716">
        <w:tc>
          <w:tcPr>
            <w:tcW w:w="4111" w:type="dxa"/>
            <w:tcBorders>
              <w:top w:val="nil"/>
              <w:left w:val="nil"/>
              <w:bottom w:val="nil"/>
              <w:right w:val="nil"/>
            </w:tcBorders>
          </w:tcPr>
          <w:p w14:paraId="7E49F14E" w14:textId="4EE3F6FC"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w:t>
            </w:r>
            <w:proofErr w:type="gramStart"/>
            <w:r w:rsidRPr="00550D71">
              <w:rPr>
                <w:rFonts w:ascii="Times New Roman" w:hAnsi="Times New Roman"/>
                <w:lang w:val="en-US" w:eastAsia="zh-CN"/>
              </w:rPr>
              <w:t>PGC(</w:t>
            </w:r>
            <w:proofErr w:type="gramEnd"/>
            <w:r w:rsidRPr="00550D71">
              <w:rPr>
                <w:rFonts w:ascii="Times New Roman" w:hAnsi="Times New Roman"/>
                <w:lang w:val="en-US" w:eastAsia="zh-CN"/>
              </w:rPr>
              <w:t>dummy)</w:t>
            </w:r>
          </w:p>
        </w:tc>
        <w:tc>
          <w:tcPr>
            <w:tcW w:w="1276" w:type="dxa"/>
            <w:tcBorders>
              <w:top w:val="nil"/>
              <w:left w:val="nil"/>
              <w:bottom w:val="nil"/>
              <w:right w:val="nil"/>
            </w:tcBorders>
          </w:tcPr>
          <w:p w14:paraId="75BB35E5"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0.18</w:t>
            </w:r>
          </w:p>
        </w:tc>
        <w:tc>
          <w:tcPr>
            <w:tcW w:w="1015" w:type="dxa"/>
            <w:tcBorders>
              <w:top w:val="nil"/>
              <w:left w:val="nil"/>
              <w:bottom w:val="nil"/>
              <w:right w:val="nil"/>
            </w:tcBorders>
          </w:tcPr>
          <w:p w14:paraId="2A0F7613"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111" w:type="dxa"/>
            <w:tcBorders>
              <w:top w:val="nil"/>
              <w:left w:val="nil"/>
              <w:bottom w:val="nil"/>
              <w:right w:val="nil"/>
            </w:tcBorders>
          </w:tcPr>
          <w:p w14:paraId="2E316F53"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0.38</w:t>
            </w:r>
          </w:p>
        </w:tc>
        <w:tc>
          <w:tcPr>
            <w:tcW w:w="1191" w:type="dxa"/>
            <w:tcBorders>
              <w:top w:val="nil"/>
              <w:left w:val="nil"/>
              <w:bottom w:val="nil"/>
              <w:right w:val="nil"/>
            </w:tcBorders>
          </w:tcPr>
          <w:p w14:paraId="39889460"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215" w:type="dxa"/>
            <w:tcBorders>
              <w:top w:val="nil"/>
              <w:left w:val="nil"/>
              <w:bottom w:val="nil"/>
              <w:right w:val="nil"/>
            </w:tcBorders>
          </w:tcPr>
          <w:p w14:paraId="47B0FCD1"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1.00</w:t>
            </w:r>
          </w:p>
        </w:tc>
      </w:tr>
      <w:tr w:rsidR="008D4716" w:rsidRPr="00550D71" w14:paraId="4CFF3675" w14:textId="77777777" w:rsidTr="008D4716">
        <w:tc>
          <w:tcPr>
            <w:tcW w:w="4111" w:type="dxa"/>
            <w:tcBorders>
              <w:top w:val="nil"/>
              <w:left w:val="nil"/>
              <w:bottom w:val="nil"/>
              <w:right w:val="nil"/>
            </w:tcBorders>
          </w:tcPr>
          <w:p w14:paraId="0290B53F" w14:textId="4A4C7545" w:rsidR="008D4716" w:rsidRPr="00550D71" w:rsidRDefault="008D4716" w:rsidP="008D4716">
            <w:pPr>
              <w:ind w:left="34" w:hanging="108"/>
              <w:rPr>
                <w:rFonts w:ascii="Times New Roman" w:hAnsi="Times New Roman"/>
                <w:lang w:val="en-US" w:eastAsia="zh-CN"/>
              </w:rPr>
            </w:pPr>
            <w:r w:rsidRPr="00550D71">
              <w:rPr>
                <w:rFonts w:ascii="Times New Roman" w:eastAsia="Times New Roman" w:hAnsi="Times New Roman"/>
                <w:iCs/>
                <w:color w:val="000000"/>
                <w:lang w:val="en-US"/>
              </w:rPr>
              <w:t xml:space="preserve">    </w:t>
            </w:r>
            <w:proofErr w:type="gramStart"/>
            <w:r w:rsidRPr="00550D71">
              <w:rPr>
                <w:rFonts w:ascii="Times New Roman" w:eastAsia="Times New Roman" w:hAnsi="Times New Roman"/>
                <w:iCs/>
                <w:color w:val="000000"/>
                <w:lang w:val="en-US"/>
              </w:rPr>
              <w:t>EBSZ(</w:t>
            </w:r>
            <w:proofErr w:type="gramEnd"/>
            <w:r w:rsidRPr="00550D71">
              <w:rPr>
                <w:rFonts w:ascii="Times New Roman" w:eastAsia="Times New Roman" w:hAnsi="Times New Roman"/>
                <w:iCs/>
                <w:color w:val="000000"/>
                <w:lang w:val="en-US"/>
              </w:rPr>
              <w:t>n</w:t>
            </w:r>
            <w:r w:rsidR="00D92227">
              <w:rPr>
                <w:rFonts w:ascii="Times New Roman" w:eastAsia="Times New Roman" w:hAnsi="Times New Roman"/>
                <w:iCs/>
                <w:color w:val="000000"/>
                <w:lang w:val="en-US"/>
              </w:rPr>
              <w:t>umber</w:t>
            </w:r>
            <w:r w:rsidRPr="00550D71">
              <w:rPr>
                <w:rFonts w:ascii="Times New Roman" w:eastAsia="Times New Roman" w:hAnsi="Times New Roman"/>
                <w:iCs/>
                <w:color w:val="000000"/>
                <w:lang w:val="en-US"/>
              </w:rPr>
              <w:t>)</w:t>
            </w:r>
          </w:p>
        </w:tc>
        <w:tc>
          <w:tcPr>
            <w:tcW w:w="1276" w:type="dxa"/>
            <w:tcBorders>
              <w:top w:val="nil"/>
              <w:left w:val="nil"/>
              <w:bottom w:val="nil"/>
              <w:right w:val="nil"/>
            </w:tcBorders>
          </w:tcPr>
          <w:p w14:paraId="0485ECB6"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11.60</w:t>
            </w:r>
          </w:p>
        </w:tc>
        <w:tc>
          <w:tcPr>
            <w:tcW w:w="1015" w:type="dxa"/>
            <w:tcBorders>
              <w:top w:val="nil"/>
              <w:left w:val="nil"/>
              <w:bottom w:val="nil"/>
              <w:right w:val="nil"/>
            </w:tcBorders>
          </w:tcPr>
          <w:p w14:paraId="20D6A5CA"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10.00</w:t>
            </w:r>
          </w:p>
        </w:tc>
        <w:tc>
          <w:tcPr>
            <w:tcW w:w="1111" w:type="dxa"/>
            <w:tcBorders>
              <w:top w:val="nil"/>
              <w:left w:val="nil"/>
              <w:bottom w:val="nil"/>
              <w:right w:val="nil"/>
            </w:tcBorders>
          </w:tcPr>
          <w:p w14:paraId="65A2EC2C"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5.88</w:t>
            </w:r>
          </w:p>
        </w:tc>
        <w:tc>
          <w:tcPr>
            <w:tcW w:w="1191" w:type="dxa"/>
            <w:tcBorders>
              <w:top w:val="nil"/>
              <w:left w:val="nil"/>
              <w:bottom w:val="nil"/>
              <w:right w:val="nil"/>
            </w:tcBorders>
          </w:tcPr>
          <w:p w14:paraId="364B2E9C"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3.00</w:t>
            </w:r>
          </w:p>
        </w:tc>
        <w:tc>
          <w:tcPr>
            <w:tcW w:w="1215" w:type="dxa"/>
            <w:tcBorders>
              <w:top w:val="nil"/>
              <w:left w:val="nil"/>
              <w:bottom w:val="nil"/>
              <w:right w:val="nil"/>
            </w:tcBorders>
          </w:tcPr>
          <w:p w14:paraId="7D47F7ED"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35.00</w:t>
            </w:r>
          </w:p>
        </w:tc>
      </w:tr>
      <w:tr w:rsidR="008D4716" w:rsidRPr="00550D71" w14:paraId="2953E09B" w14:textId="77777777" w:rsidTr="008D4716">
        <w:tc>
          <w:tcPr>
            <w:tcW w:w="4111" w:type="dxa"/>
            <w:tcBorders>
              <w:top w:val="nil"/>
              <w:left w:val="nil"/>
              <w:bottom w:val="nil"/>
              <w:right w:val="nil"/>
            </w:tcBorders>
          </w:tcPr>
          <w:p w14:paraId="75D90DFA" w14:textId="723BBC65" w:rsidR="008D4716" w:rsidRPr="00550D71" w:rsidRDefault="008D4716" w:rsidP="008D4716">
            <w:pPr>
              <w:ind w:left="34" w:hanging="108"/>
              <w:rPr>
                <w:rFonts w:ascii="Times New Roman" w:hAnsi="Times New Roman"/>
                <w:lang w:val="en-US" w:eastAsia="zh-CN"/>
              </w:rPr>
            </w:pPr>
            <w:r w:rsidRPr="00550D71">
              <w:rPr>
                <w:rFonts w:ascii="Times New Roman" w:eastAsia="Times New Roman" w:hAnsi="Times New Roman"/>
                <w:iCs/>
                <w:color w:val="000000"/>
                <w:lang w:val="en-US"/>
              </w:rPr>
              <w:t xml:space="preserve">    </w:t>
            </w:r>
            <w:proofErr w:type="gramStart"/>
            <w:r w:rsidRPr="00550D71">
              <w:rPr>
                <w:rFonts w:ascii="Times New Roman" w:eastAsia="Times New Roman" w:hAnsi="Times New Roman"/>
                <w:iCs/>
                <w:color w:val="000000"/>
                <w:lang w:val="en-US"/>
              </w:rPr>
              <w:t>EBDV(</w:t>
            </w:r>
            <w:proofErr w:type="gramEnd"/>
            <w:r w:rsidRPr="00550D71">
              <w:rPr>
                <w:rFonts w:ascii="Times New Roman" w:eastAsia="Times New Roman" w:hAnsi="Times New Roman"/>
                <w:iCs/>
                <w:color w:val="000000"/>
                <w:lang w:val="en-US"/>
              </w:rPr>
              <w:t>%)</w:t>
            </w:r>
          </w:p>
        </w:tc>
        <w:tc>
          <w:tcPr>
            <w:tcW w:w="1276" w:type="dxa"/>
            <w:tcBorders>
              <w:top w:val="nil"/>
              <w:left w:val="nil"/>
              <w:bottom w:val="nil"/>
              <w:right w:val="nil"/>
            </w:tcBorders>
          </w:tcPr>
          <w:p w14:paraId="22FA2A1B"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34.56</w:t>
            </w:r>
          </w:p>
        </w:tc>
        <w:tc>
          <w:tcPr>
            <w:tcW w:w="1015" w:type="dxa"/>
            <w:tcBorders>
              <w:top w:val="nil"/>
              <w:left w:val="nil"/>
              <w:bottom w:val="nil"/>
              <w:right w:val="nil"/>
            </w:tcBorders>
          </w:tcPr>
          <w:p w14:paraId="722E1211"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33.33</w:t>
            </w:r>
          </w:p>
        </w:tc>
        <w:tc>
          <w:tcPr>
            <w:tcW w:w="1111" w:type="dxa"/>
            <w:tcBorders>
              <w:top w:val="nil"/>
              <w:left w:val="nil"/>
              <w:bottom w:val="nil"/>
              <w:right w:val="nil"/>
            </w:tcBorders>
          </w:tcPr>
          <w:p w14:paraId="6C780238"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16.11</w:t>
            </w:r>
          </w:p>
        </w:tc>
        <w:tc>
          <w:tcPr>
            <w:tcW w:w="1191" w:type="dxa"/>
            <w:tcBorders>
              <w:top w:val="nil"/>
              <w:left w:val="nil"/>
              <w:bottom w:val="nil"/>
              <w:right w:val="nil"/>
            </w:tcBorders>
          </w:tcPr>
          <w:p w14:paraId="52FA1BD9"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5.00</w:t>
            </w:r>
          </w:p>
        </w:tc>
        <w:tc>
          <w:tcPr>
            <w:tcW w:w="1215" w:type="dxa"/>
            <w:tcBorders>
              <w:top w:val="nil"/>
              <w:left w:val="nil"/>
              <w:bottom w:val="nil"/>
              <w:right w:val="nil"/>
            </w:tcBorders>
          </w:tcPr>
          <w:p w14:paraId="600B3743"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83.33</w:t>
            </w:r>
          </w:p>
        </w:tc>
      </w:tr>
      <w:tr w:rsidR="008D4716" w:rsidRPr="00550D71" w14:paraId="26DA83B8" w14:textId="77777777" w:rsidTr="008D4716">
        <w:tc>
          <w:tcPr>
            <w:tcW w:w="4111" w:type="dxa"/>
            <w:tcBorders>
              <w:top w:val="nil"/>
              <w:left w:val="nil"/>
              <w:bottom w:val="nil"/>
              <w:right w:val="nil"/>
            </w:tcBorders>
          </w:tcPr>
          <w:p w14:paraId="11DC56EE" w14:textId="2BA56CE0"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w:t>
            </w:r>
            <w:proofErr w:type="gramStart"/>
            <w:r w:rsidRPr="00550D71">
              <w:rPr>
                <w:rFonts w:ascii="Times New Roman" w:hAnsi="Times New Roman"/>
                <w:lang w:val="en-US" w:eastAsia="zh-CN"/>
              </w:rPr>
              <w:t>EBME(</w:t>
            </w:r>
            <w:proofErr w:type="gramEnd"/>
            <w:r w:rsidR="00D92227">
              <w:rPr>
                <w:rFonts w:ascii="Times New Roman" w:hAnsi="Times New Roman"/>
                <w:lang w:val="en-US" w:eastAsia="zh-CN"/>
              </w:rPr>
              <w:t>number</w:t>
            </w:r>
            <w:r w:rsidRPr="00550D71">
              <w:rPr>
                <w:rFonts w:ascii="Times New Roman" w:hAnsi="Times New Roman"/>
                <w:lang w:val="en-US" w:eastAsia="zh-CN"/>
              </w:rPr>
              <w:t>)</w:t>
            </w:r>
          </w:p>
        </w:tc>
        <w:tc>
          <w:tcPr>
            <w:tcW w:w="1276" w:type="dxa"/>
            <w:tcBorders>
              <w:top w:val="nil"/>
              <w:left w:val="nil"/>
              <w:bottom w:val="nil"/>
              <w:right w:val="nil"/>
            </w:tcBorders>
          </w:tcPr>
          <w:p w14:paraId="4CFF99EA"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14.13</w:t>
            </w:r>
          </w:p>
        </w:tc>
        <w:tc>
          <w:tcPr>
            <w:tcW w:w="1015" w:type="dxa"/>
            <w:tcBorders>
              <w:top w:val="nil"/>
              <w:left w:val="nil"/>
              <w:bottom w:val="nil"/>
              <w:right w:val="nil"/>
            </w:tcBorders>
          </w:tcPr>
          <w:p w14:paraId="04C07B5B"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12.00</w:t>
            </w:r>
          </w:p>
        </w:tc>
        <w:tc>
          <w:tcPr>
            <w:tcW w:w="1111" w:type="dxa"/>
            <w:tcBorders>
              <w:top w:val="nil"/>
              <w:left w:val="nil"/>
              <w:bottom w:val="nil"/>
              <w:right w:val="nil"/>
            </w:tcBorders>
          </w:tcPr>
          <w:p w14:paraId="67490143"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6.49</w:t>
            </w:r>
          </w:p>
        </w:tc>
        <w:tc>
          <w:tcPr>
            <w:tcW w:w="1191" w:type="dxa"/>
            <w:tcBorders>
              <w:top w:val="nil"/>
              <w:left w:val="nil"/>
              <w:bottom w:val="nil"/>
              <w:right w:val="nil"/>
            </w:tcBorders>
          </w:tcPr>
          <w:p w14:paraId="76C251CF"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3.00</w:t>
            </w:r>
          </w:p>
        </w:tc>
        <w:tc>
          <w:tcPr>
            <w:tcW w:w="1215" w:type="dxa"/>
            <w:tcBorders>
              <w:top w:val="nil"/>
              <w:left w:val="nil"/>
              <w:bottom w:val="nil"/>
              <w:right w:val="nil"/>
            </w:tcBorders>
          </w:tcPr>
          <w:p w14:paraId="17C976AD"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48.00</w:t>
            </w:r>
          </w:p>
        </w:tc>
      </w:tr>
      <w:tr w:rsidR="008D4716" w:rsidRPr="00550D71" w14:paraId="07C0C9AE" w14:textId="77777777" w:rsidTr="008D4716">
        <w:tc>
          <w:tcPr>
            <w:tcW w:w="4111" w:type="dxa"/>
            <w:tcBorders>
              <w:top w:val="nil"/>
              <w:left w:val="nil"/>
              <w:bottom w:val="nil"/>
              <w:right w:val="nil"/>
            </w:tcBorders>
          </w:tcPr>
          <w:p w14:paraId="27FBFE84" w14:textId="044E9157"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VC Change(dummy)</w:t>
            </w:r>
          </w:p>
        </w:tc>
        <w:tc>
          <w:tcPr>
            <w:tcW w:w="1276" w:type="dxa"/>
            <w:tcBorders>
              <w:top w:val="nil"/>
              <w:left w:val="nil"/>
              <w:bottom w:val="nil"/>
              <w:right w:val="nil"/>
            </w:tcBorders>
          </w:tcPr>
          <w:p w14:paraId="095FCB2C"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0.48</w:t>
            </w:r>
          </w:p>
        </w:tc>
        <w:tc>
          <w:tcPr>
            <w:tcW w:w="1015" w:type="dxa"/>
            <w:tcBorders>
              <w:top w:val="nil"/>
              <w:left w:val="nil"/>
              <w:bottom w:val="nil"/>
              <w:right w:val="nil"/>
            </w:tcBorders>
          </w:tcPr>
          <w:p w14:paraId="3B0219D2"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111" w:type="dxa"/>
            <w:tcBorders>
              <w:top w:val="nil"/>
              <w:left w:val="nil"/>
              <w:bottom w:val="nil"/>
              <w:right w:val="nil"/>
            </w:tcBorders>
          </w:tcPr>
          <w:p w14:paraId="5AA56807"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0.50</w:t>
            </w:r>
          </w:p>
        </w:tc>
        <w:tc>
          <w:tcPr>
            <w:tcW w:w="1191" w:type="dxa"/>
            <w:tcBorders>
              <w:top w:val="nil"/>
              <w:left w:val="nil"/>
              <w:bottom w:val="nil"/>
              <w:right w:val="nil"/>
            </w:tcBorders>
          </w:tcPr>
          <w:p w14:paraId="1694AD1C"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215" w:type="dxa"/>
            <w:tcBorders>
              <w:top w:val="nil"/>
              <w:left w:val="nil"/>
              <w:bottom w:val="nil"/>
              <w:right w:val="nil"/>
            </w:tcBorders>
          </w:tcPr>
          <w:p w14:paraId="60C1D978"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100.00</w:t>
            </w:r>
          </w:p>
        </w:tc>
      </w:tr>
      <w:tr w:rsidR="008D4716" w:rsidRPr="00550D71" w14:paraId="0EE2EC53" w14:textId="77777777" w:rsidTr="008D4716">
        <w:tc>
          <w:tcPr>
            <w:tcW w:w="9919" w:type="dxa"/>
            <w:gridSpan w:val="6"/>
            <w:tcBorders>
              <w:top w:val="nil"/>
              <w:left w:val="nil"/>
              <w:bottom w:val="nil"/>
              <w:right w:val="nil"/>
            </w:tcBorders>
          </w:tcPr>
          <w:p w14:paraId="0A05E012" w14:textId="77777777" w:rsidR="008D4716" w:rsidRDefault="008D4716" w:rsidP="008D4716">
            <w:pPr>
              <w:rPr>
                <w:rFonts w:asciiTheme="majorBidi" w:hAnsiTheme="majorBidi" w:cstheme="majorBidi"/>
                <w:b/>
                <w:i/>
                <w:iCs/>
                <w:lang w:eastAsia="en-US"/>
              </w:rPr>
            </w:pPr>
          </w:p>
          <w:p w14:paraId="1E71CD6F" w14:textId="62BF72BD" w:rsidR="008D4716" w:rsidRPr="008113B5" w:rsidRDefault="008D4716" w:rsidP="008D4716">
            <w:pPr>
              <w:rPr>
                <w:rFonts w:asciiTheme="majorBidi" w:hAnsiTheme="majorBidi" w:cstheme="majorBidi"/>
                <w:bCs/>
                <w:i/>
                <w:iCs/>
                <w:lang w:eastAsia="en-US"/>
              </w:rPr>
            </w:pPr>
            <w:r w:rsidRPr="008113B5">
              <w:rPr>
                <w:rFonts w:asciiTheme="majorBidi" w:hAnsiTheme="majorBidi" w:cstheme="majorBidi"/>
                <w:bCs/>
                <w:i/>
                <w:iCs/>
                <w:lang w:eastAsia="en-US"/>
              </w:rPr>
              <w:t xml:space="preserve">Panel F – General HEI </w:t>
            </w:r>
            <w:r w:rsidR="00532542" w:rsidRPr="008113B5">
              <w:rPr>
                <w:rFonts w:asciiTheme="majorBidi" w:hAnsiTheme="majorBidi" w:cstheme="majorBidi"/>
                <w:bCs/>
                <w:i/>
                <w:iCs/>
                <w:lang w:eastAsia="en-US"/>
              </w:rPr>
              <w:t>c</w:t>
            </w:r>
            <w:r w:rsidRPr="008113B5">
              <w:rPr>
                <w:rFonts w:asciiTheme="majorBidi" w:hAnsiTheme="majorBidi" w:cstheme="majorBidi"/>
                <w:bCs/>
                <w:i/>
                <w:iCs/>
                <w:lang w:eastAsia="en-US"/>
              </w:rPr>
              <w:t>haracteristics</w:t>
            </w:r>
          </w:p>
        </w:tc>
      </w:tr>
      <w:tr w:rsidR="008D4716" w:rsidRPr="00550D71" w14:paraId="46DB9539" w14:textId="77777777" w:rsidTr="008D4716">
        <w:tc>
          <w:tcPr>
            <w:tcW w:w="4111" w:type="dxa"/>
            <w:tcBorders>
              <w:top w:val="nil"/>
              <w:left w:val="nil"/>
              <w:bottom w:val="nil"/>
              <w:right w:val="nil"/>
            </w:tcBorders>
          </w:tcPr>
          <w:p w14:paraId="3290ED31" w14:textId="552A606A" w:rsidR="008D4716" w:rsidRPr="00550D71" w:rsidRDefault="008D4716" w:rsidP="008D4716">
            <w:pPr>
              <w:ind w:left="34" w:hanging="108"/>
              <w:rPr>
                <w:rFonts w:ascii="Times New Roman" w:hAnsi="Times New Roman"/>
                <w:lang w:val="en-US" w:eastAsia="zh-CN"/>
              </w:rPr>
            </w:pPr>
            <w:r w:rsidRPr="00550D71">
              <w:rPr>
                <w:rFonts w:ascii="Times New Roman" w:eastAsia="Times New Roman" w:hAnsi="Times New Roman"/>
                <w:iCs/>
                <w:color w:val="000000"/>
                <w:lang w:val="en-US"/>
              </w:rPr>
              <w:t xml:space="preserve">    PST_92(dummy)</w:t>
            </w:r>
          </w:p>
        </w:tc>
        <w:tc>
          <w:tcPr>
            <w:tcW w:w="1276" w:type="dxa"/>
            <w:tcBorders>
              <w:top w:val="nil"/>
              <w:left w:val="nil"/>
              <w:bottom w:val="nil"/>
              <w:right w:val="nil"/>
            </w:tcBorders>
          </w:tcPr>
          <w:p w14:paraId="7CE83DC0"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0.48</w:t>
            </w:r>
          </w:p>
        </w:tc>
        <w:tc>
          <w:tcPr>
            <w:tcW w:w="1015" w:type="dxa"/>
            <w:tcBorders>
              <w:top w:val="nil"/>
              <w:left w:val="nil"/>
              <w:bottom w:val="nil"/>
              <w:right w:val="nil"/>
            </w:tcBorders>
          </w:tcPr>
          <w:p w14:paraId="7495DD7E"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111" w:type="dxa"/>
            <w:tcBorders>
              <w:top w:val="nil"/>
              <w:left w:val="nil"/>
              <w:bottom w:val="nil"/>
              <w:right w:val="nil"/>
            </w:tcBorders>
          </w:tcPr>
          <w:p w14:paraId="345F1699"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0.50</w:t>
            </w:r>
          </w:p>
        </w:tc>
        <w:tc>
          <w:tcPr>
            <w:tcW w:w="1191" w:type="dxa"/>
            <w:tcBorders>
              <w:top w:val="nil"/>
              <w:left w:val="nil"/>
              <w:bottom w:val="nil"/>
              <w:right w:val="nil"/>
            </w:tcBorders>
          </w:tcPr>
          <w:p w14:paraId="3EF2ADBE"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215" w:type="dxa"/>
            <w:tcBorders>
              <w:top w:val="nil"/>
              <w:left w:val="nil"/>
              <w:bottom w:val="nil"/>
              <w:right w:val="nil"/>
            </w:tcBorders>
          </w:tcPr>
          <w:p w14:paraId="7F003AC5"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1.00</w:t>
            </w:r>
          </w:p>
        </w:tc>
      </w:tr>
      <w:tr w:rsidR="008D4716" w:rsidRPr="00550D71" w14:paraId="60493455" w14:textId="77777777" w:rsidTr="008D4716">
        <w:tc>
          <w:tcPr>
            <w:tcW w:w="4111" w:type="dxa"/>
            <w:tcBorders>
              <w:top w:val="nil"/>
              <w:left w:val="nil"/>
              <w:bottom w:val="nil"/>
              <w:right w:val="nil"/>
            </w:tcBorders>
          </w:tcPr>
          <w:p w14:paraId="70F876B5" w14:textId="55C1A9FC" w:rsidR="008D4716" w:rsidRPr="00550D71" w:rsidRDefault="008D4716" w:rsidP="008D4716">
            <w:pPr>
              <w:ind w:left="34" w:hanging="108"/>
              <w:rPr>
                <w:rFonts w:ascii="Times New Roman" w:eastAsia="Times New Roman" w:hAnsi="Times New Roman"/>
                <w:color w:val="000000"/>
                <w:lang w:val="en-US"/>
              </w:rPr>
            </w:pPr>
            <w:r w:rsidRPr="00550D71">
              <w:rPr>
                <w:rFonts w:ascii="Times New Roman" w:eastAsia="Times New Roman" w:hAnsi="Times New Roman"/>
                <w:color w:val="000000"/>
                <w:lang w:val="en-US"/>
              </w:rPr>
              <w:t xml:space="preserve">    BIG4(dummy)</w:t>
            </w:r>
          </w:p>
        </w:tc>
        <w:tc>
          <w:tcPr>
            <w:tcW w:w="1276" w:type="dxa"/>
            <w:tcBorders>
              <w:top w:val="nil"/>
              <w:left w:val="nil"/>
              <w:bottom w:val="nil"/>
              <w:right w:val="nil"/>
            </w:tcBorders>
          </w:tcPr>
          <w:p w14:paraId="06EEF724"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0.74</w:t>
            </w:r>
          </w:p>
        </w:tc>
        <w:tc>
          <w:tcPr>
            <w:tcW w:w="1015" w:type="dxa"/>
            <w:tcBorders>
              <w:top w:val="nil"/>
              <w:left w:val="nil"/>
              <w:bottom w:val="nil"/>
              <w:right w:val="nil"/>
            </w:tcBorders>
          </w:tcPr>
          <w:p w14:paraId="188BDD72"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1.00</w:t>
            </w:r>
          </w:p>
        </w:tc>
        <w:tc>
          <w:tcPr>
            <w:tcW w:w="1111" w:type="dxa"/>
            <w:tcBorders>
              <w:top w:val="nil"/>
              <w:left w:val="nil"/>
              <w:bottom w:val="nil"/>
              <w:right w:val="nil"/>
            </w:tcBorders>
          </w:tcPr>
          <w:p w14:paraId="48BB2F30"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0.44</w:t>
            </w:r>
          </w:p>
        </w:tc>
        <w:tc>
          <w:tcPr>
            <w:tcW w:w="1191" w:type="dxa"/>
            <w:tcBorders>
              <w:top w:val="nil"/>
              <w:left w:val="nil"/>
              <w:bottom w:val="nil"/>
              <w:right w:val="nil"/>
            </w:tcBorders>
          </w:tcPr>
          <w:p w14:paraId="500E16EF"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0.00</w:t>
            </w:r>
          </w:p>
        </w:tc>
        <w:tc>
          <w:tcPr>
            <w:tcW w:w="1215" w:type="dxa"/>
            <w:tcBorders>
              <w:top w:val="nil"/>
              <w:left w:val="nil"/>
              <w:bottom w:val="nil"/>
              <w:right w:val="nil"/>
            </w:tcBorders>
          </w:tcPr>
          <w:p w14:paraId="4792A823"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1.00</w:t>
            </w:r>
          </w:p>
        </w:tc>
      </w:tr>
      <w:tr w:rsidR="008D4716" w:rsidRPr="00550D71" w14:paraId="44C6D646" w14:textId="77777777" w:rsidTr="008D4716">
        <w:tc>
          <w:tcPr>
            <w:tcW w:w="4111" w:type="dxa"/>
            <w:tcBorders>
              <w:top w:val="nil"/>
              <w:left w:val="nil"/>
              <w:bottom w:val="nil"/>
              <w:right w:val="nil"/>
            </w:tcBorders>
          </w:tcPr>
          <w:p w14:paraId="7369971D" w14:textId="01A2FC78" w:rsidR="008D4716" w:rsidRPr="00550D71" w:rsidRDefault="008D4716" w:rsidP="008D4716">
            <w:pPr>
              <w:ind w:left="34" w:hanging="108"/>
              <w:rPr>
                <w:rFonts w:ascii="Times New Roman" w:hAnsi="Times New Roman"/>
                <w:lang w:val="en-US" w:eastAsia="zh-CN"/>
              </w:rPr>
            </w:pPr>
            <w:r w:rsidRPr="00550D71">
              <w:rPr>
                <w:rFonts w:ascii="Times New Roman" w:eastAsia="Times New Roman" w:hAnsi="Times New Roman"/>
                <w:color w:val="000000"/>
                <w:lang w:val="en-US"/>
              </w:rPr>
              <w:t xml:space="preserve">    </w:t>
            </w:r>
            <w:proofErr w:type="gramStart"/>
            <w:r w:rsidRPr="00550D71">
              <w:rPr>
                <w:rFonts w:ascii="Times New Roman" w:eastAsia="Times New Roman" w:hAnsi="Times New Roman"/>
                <w:color w:val="000000"/>
                <w:lang w:val="en-US"/>
              </w:rPr>
              <w:t>LVR(</w:t>
            </w:r>
            <w:proofErr w:type="gramEnd"/>
            <w:r w:rsidRPr="00550D71">
              <w:rPr>
                <w:rFonts w:ascii="Times New Roman" w:eastAsia="Times New Roman" w:hAnsi="Times New Roman"/>
                <w:color w:val="000000"/>
                <w:lang w:val="en-US"/>
              </w:rPr>
              <w:t>%)</w:t>
            </w:r>
          </w:p>
        </w:tc>
        <w:tc>
          <w:tcPr>
            <w:tcW w:w="1276" w:type="dxa"/>
            <w:tcBorders>
              <w:top w:val="nil"/>
              <w:left w:val="nil"/>
              <w:bottom w:val="nil"/>
              <w:right w:val="nil"/>
            </w:tcBorders>
          </w:tcPr>
          <w:p w14:paraId="34D72581"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29.45</w:t>
            </w:r>
          </w:p>
        </w:tc>
        <w:tc>
          <w:tcPr>
            <w:tcW w:w="1015" w:type="dxa"/>
            <w:tcBorders>
              <w:top w:val="nil"/>
              <w:left w:val="nil"/>
              <w:bottom w:val="nil"/>
              <w:right w:val="nil"/>
            </w:tcBorders>
          </w:tcPr>
          <w:p w14:paraId="3CC683FB"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29.45</w:t>
            </w:r>
          </w:p>
        </w:tc>
        <w:tc>
          <w:tcPr>
            <w:tcW w:w="1111" w:type="dxa"/>
            <w:tcBorders>
              <w:top w:val="nil"/>
              <w:left w:val="nil"/>
              <w:bottom w:val="nil"/>
              <w:right w:val="nil"/>
            </w:tcBorders>
          </w:tcPr>
          <w:p w14:paraId="26C1FDEA"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12.76</w:t>
            </w:r>
          </w:p>
        </w:tc>
        <w:tc>
          <w:tcPr>
            <w:tcW w:w="1191" w:type="dxa"/>
            <w:tcBorders>
              <w:top w:val="nil"/>
              <w:left w:val="nil"/>
              <w:bottom w:val="nil"/>
              <w:right w:val="nil"/>
            </w:tcBorders>
          </w:tcPr>
          <w:p w14:paraId="7B36C9A7"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0.60</w:t>
            </w:r>
          </w:p>
        </w:tc>
        <w:tc>
          <w:tcPr>
            <w:tcW w:w="1215" w:type="dxa"/>
            <w:tcBorders>
              <w:top w:val="nil"/>
              <w:left w:val="nil"/>
              <w:bottom w:val="nil"/>
              <w:right w:val="nil"/>
            </w:tcBorders>
          </w:tcPr>
          <w:p w14:paraId="7FE30F17"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74.59</w:t>
            </w:r>
          </w:p>
        </w:tc>
      </w:tr>
      <w:tr w:rsidR="008D4716" w:rsidRPr="00550D71" w14:paraId="382F16FA" w14:textId="77777777" w:rsidTr="008D4716">
        <w:tc>
          <w:tcPr>
            <w:tcW w:w="4111" w:type="dxa"/>
            <w:tcBorders>
              <w:top w:val="nil"/>
              <w:left w:val="nil"/>
              <w:bottom w:val="nil"/>
              <w:right w:val="nil"/>
            </w:tcBorders>
          </w:tcPr>
          <w:p w14:paraId="1B170B15" w14:textId="64BC4BDA" w:rsidR="008D4716" w:rsidRPr="00550D71" w:rsidRDefault="008D4716" w:rsidP="008D4716">
            <w:pPr>
              <w:ind w:left="34" w:hanging="108"/>
              <w:rPr>
                <w:rFonts w:ascii="Times New Roman" w:hAnsi="Times New Roman"/>
                <w:lang w:val="en-US" w:eastAsia="zh-CN"/>
              </w:rPr>
            </w:pPr>
            <w:r w:rsidRPr="00550D71">
              <w:rPr>
                <w:rFonts w:ascii="Times New Roman" w:eastAsia="Times New Roman" w:hAnsi="Times New Roman"/>
                <w:color w:val="000000"/>
                <w:lang w:val="en-US"/>
              </w:rPr>
              <w:t xml:space="preserve">    </w:t>
            </w:r>
            <w:proofErr w:type="gramStart"/>
            <w:r w:rsidRPr="00550D71">
              <w:rPr>
                <w:rFonts w:ascii="Times New Roman" w:eastAsia="Times New Roman" w:hAnsi="Times New Roman"/>
                <w:color w:val="000000"/>
                <w:lang w:val="en-US"/>
              </w:rPr>
              <w:t>LQD(</w:t>
            </w:r>
            <w:proofErr w:type="gramEnd"/>
            <w:r w:rsidRPr="00550D71">
              <w:rPr>
                <w:rFonts w:ascii="Times New Roman" w:eastAsia="Times New Roman" w:hAnsi="Times New Roman"/>
                <w:color w:val="000000"/>
                <w:lang w:val="en-US"/>
              </w:rPr>
              <w:t>%)</w:t>
            </w:r>
          </w:p>
        </w:tc>
        <w:tc>
          <w:tcPr>
            <w:tcW w:w="1276" w:type="dxa"/>
            <w:tcBorders>
              <w:top w:val="nil"/>
              <w:left w:val="nil"/>
              <w:bottom w:val="nil"/>
              <w:right w:val="nil"/>
            </w:tcBorders>
          </w:tcPr>
          <w:p w14:paraId="5E10DB53"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1.99</w:t>
            </w:r>
          </w:p>
        </w:tc>
        <w:tc>
          <w:tcPr>
            <w:tcW w:w="1015" w:type="dxa"/>
            <w:tcBorders>
              <w:top w:val="nil"/>
              <w:left w:val="nil"/>
              <w:bottom w:val="nil"/>
              <w:right w:val="nil"/>
            </w:tcBorders>
          </w:tcPr>
          <w:p w14:paraId="47BAEFEB"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1.23</w:t>
            </w:r>
          </w:p>
        </w:tc>
        <w:tc>
          <w:tcPr>
            <w:tcW w:w="1111" w:type="dxa"/>
            <w:tcBorders>
              <w:top w:val="nil"/>
              <w:left w:val="nil"/>
              <w:bottom w:val="nil"/>
              <w:right w:val="nil"/>
            </w:tcBorders>
          </w:tcPr>
          <w:p w14:paraId="6992F25F"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6.92</w:t>
            </w:r>
          </w:p>
        </w:tc>
        <w:tc>
          <w:tcPr>
            <w:tcW w:w="1191" w:type="dxa"/>
            <w:tcBorders>
              <w:top w:val="nil"/>
              <w:left w:val="nil"/>
              <w:bottom w:val="nil"/>
              <w:right w:val="nil"/>
            </w:tcBorders>
          </w:tcPr>
          <w:p w14:paraId="456904D9"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-48.11</w:t>
            </w:r>
          </w:p>
        </w:tc>
        <w:tc>
          <w:tcPr>
            <w:tcW w:w="1215" w:type="dxa"/>
            <w:tcBorders>
              <w:top w:val="nil"/>
              <w:left w:val="nil"/>
              <w:bottom w:val="nil"/>
              <w:right w:val="nil"/>
            </w:tcBorders>
          </w:tcPr>
          <w:p w14:paraId="68EBC69B"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51.87</w:t>
            </w:r>
          </w:p>
        </w:tc>
      </w:tr>
      <w:tr w:rsidR="008D4716" w:rsidRPr="00550D71" w14:paraId="1C16E32D" w14:textId="77777777" w:rsidTr="008D4716">
        <w:tc>
          <w:tcPr>
            <w:tcW w:w="4111" w:type="dxa"/>
            <w:tcBorders>
              <w:top w:val="nil"/>
              <w:left w:val="nil"/>
              <w:bottom w:val="nil"/>
              <w:right w:val="nil"/>
            </w:tcBorders>
          </w:tcPr>
          <w:p w14:paraId="01915987" w14:textId="26B6D63F"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w:t>
            </w:r>
            <w:proofErr w:type="gramStart"/>
            <w:r w:rsidRPr="00550D71">
              <w:rPr>
                <w:rFonts w:ascii="Times New Roman" w:hAnsi="Times New Roman"/>
                <w:lang w:val="en-US" w:eastAsia="zh-CN"/>
              </w:rPr>
              <w:t>USZ(</w:t>
            </w:r>
            <w:proofErr w:type="gramEnd"/>
            <w:r w:rsidRPr="00550D71">
              <w:rPr>
                <w:rFonts w:ascii="Times New Roman" w:hAnsi="Times New Roman"/>
                <w:lang w:val="en-US" w:eastAsia="zh-CN"/>
              </w:rPr>
              <w:t>£000,000)</w:t>
            </w:r>
          </w:p>
        </w:tc>
        <w:tc>
          <w:tcPr>
            <w:tcW w:w="1276" w:type="dxa"/>
            <w:tcBorders>
              <w:top w:val="nil"/>
              <w:left w:val="nil"/>
              <w:bottom w:val="nil"/>
              <w:right w:val="nil"/>
            </w:tcBorders>
          </w:tcPr>
          <w:p w14:paraId="40244850"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330.33</w:t>
            </w:r>
          </w:p>
        </w:tc>
        <w:tc>
          <w:tcPr>
            <w:tcW w:w="1015" w:type="dxa"/>
            <w:tcBorders>
              <w:top w:val="nil"/>
              <w:left w:val="nil"/>
              <w:bottom w:val="nil"/>
              <w:right w:val="nil"/>
            </w:tcBorders>
          </w:tcPr>
          <w:p w14:paraId="4AF70EB6"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228.26</w:t>
            </w:r>
          </w:p>
        </w:tc>
        <w:tc>
          <w:tcPr>
            <w:tcW w:w="1111" w:type="dxa"/>
            <w:tcBorders>
              <w:top w:val="nil"/>
              <w:left w:val="nil"/>
              <w:bottom w:val="nil"/>
              <w:right w:val="nil"/>
            </w:tcBorders>
          </w:tcPr>
          <w:p w14:paraId="02FC45C5"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375.92</w:t>
            </w:r>
          </w:p>
        </w:tc>
        <w:tc>
          <w:tcPr>
            <w:tcW w:w="1191" w:type="dxa"/>
            <w:tcBorders>
              <w:top w:val="nil"/>
              <w:left w:val="nil"/>
              <w:bottom w:val="nil"/>
              <w:right w:val="nil"/>
            </w:tcBorders>
          </w:tcPr>
          <w:p w14:paraId="230D4E64"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2.78</w:t>
            </w:r>
          </w:p>
        </w:tc>
        <w:tc>
          <w:tcPr>
            <w:tcW w:w="1215" w:type="dxa"/>
            <w:tcBorders>
              <w:top w:val="nil"/>
              <w:left w:val="nil"/>
              <w:bottom w:val="nil"/>
              <w:right w:val="nil"/>
            </w:tcBorders>
          </w:tcPr>
          <w:p w14:paraId="5085122B"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3,033.40</w:t>
            </w:r>
          </w:p>
        </w:tc>
      </w:tr>
      <w:tr w:rsidR="008D4716" w:rsidRPr="00550D71" w14:paraId="7CE696F5" w14:textId="77777777" w:rsidTr="008D4716">
        <w:tc>
          <w:tcPr>
            <w:tcW w:w="4111" w:type="dxa"/>
            <w:tcBorders>
              <w:top w:val="nil"/>
              <w:left w:val="nil"/>
              <w:bottom w:val="nil"/>
              <w:right w:val="nil"/>
            </w:tcBorders>
          </w:tcPr>
          <w:p w14:paraId="3515E9E0" w14:textId="4F45EAFB" w:rsidR="008D4716" w:rsidRPr="00550D71" w:rsidRDefault="008D4716" w:rsidP="008D4716">
            <w:pPr>
              <w:ind w:left="34" w:hanging="108"/>
              <w:rPr>
                <w:rFonts w:ascii="Times New Roman" w:hAnsi="Times New Roman"/>
                <w:lang w:val="en-US" w:eastAsia="zh-CN"/>
              </w:rPr>
            </w:pPr>
            <w:r w:rsidRPr="00550D71">
              <w:rPr>
                <w:rFonts w:ascii="Times New Roman" w:eastAsia="Times New Roman" w:hAnsi="Times New Roman"/>
                <w:color w:val="000000"/>
                <w:lang w:val="en-US"/>
              </w:rPr>
              <w:t xml:space="preserve">    </w:t>
            </w:r>
            <w:proofErr w:type="gramStart"/>
            <w:r w:rsidRPr="00550D71">
              <w:rPr>
                <w:rFonts w:ascii="Times New Roman" w:eastAsia="Times New Roman" w:hAnsi="Times New Roman"/>
                <w:color w:val="000000"/>
                <w:lang w:val="en-US"/>
              </w:rPr>
              <w:t>GRT(</w:t>
            </w:r>
            <w:proofErr w:type="gramEnd"/>
            <w:r w:rsidRPr="00550D71">
              <w:rPr>
                <w:rFonts w:ascii="Times New Roman" w:eastAsia="Times New Roman" w:hAnsi="Times New Roman"/>
                <w:color w:val="000000"/>
                <w:lang w:val="en-US"/>
              </w:rPr>
              <w:t>%)</w:t>
            </w:r>
          </w:p>
        </w:tc>
        <w:tc>
          <w:tcPr>
            <w:tcW w:w="1276" w:type="dxa"/>
            <w:tcBorders>
              <w:top w:val="nil"/>
              <w:left w:val="nil"/>
              <w:bottom w:val="nil"/>
              <w:right w:val="nil"/>
            </w:tcBorders>
          </w:tcPr>
          <w:p w14:paraId="24B9F684"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4.69</w:t>
            </w:r>
          </w:p>
        </w:tc>
        <w:tc>
          <w:tcPr>
            <w:tcW w:w="1015" w:type="dxa"/>
            <w:tcBorders>
              <w:top w:val="nil"/>
              <w:left w:val="nil"/>
              <w:bottom w:val="nil"/>
              <w:right w:val="nil"/>
            </w:tcBorders>
          </w:tcPr>
          <w:p w14:paraId="0D32EC04"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4.56</w:t>
            </w:r>
          </w:p>
        </w:tc>
        <w:tc>
          <w:tcPr>
            <w:tcW w:w="1111" w:type="dxa"/>
            <w:tcBorders>
              <w:top w:val="nil"/>
              <w:left w:val="nil"/>
              <w:bottom w:val="nil"/>
              <w:right w:val="nil"/>
            </w:tcBorders>
          </w:tcPr>
          <w:p w14:paraId="7595028F"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6.16</w:t>
            </w:r>
          </w:p>
        </w:tc>
        <w:tc>
          <w:tcPr>
            <w:tcW w:w="1191" w:type="dxa"/>
            <w:tcBorders>
              <w:top w:val="nil"/>
              <w:left w:val="nil"/>
              <w:bottom w:val="nil"/>
              <w:right w:val="nil"/>
            </w:tcBorders>
          </w:tcPr>
          <w:p w14:paraId="70900F1F"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-33.18</w:t>
            </w:r>
          </w:p>
        </w:tc>
        <w:tc>
          <w:tcPr>
            <w:tcW w:w="1215" w:type="dxa"/>
            <w:tcBorders>
              <w:top w:val="nil"/>
              <w:left w:val="nil"/>
              <w:bottom w:val="nil"/>
              <w:right w:val="nil"/>
            </w:tcBorders>
          </w:tcPr>
          <w:p w14:paraId="61A11D1C"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44.36</w:t>
            </w:r>
          </w:p>
        </w:tc>
      </w:tr>
      <w:tr w:rsidR="008D4716" w:rsidRPr="00550D71" w14:paraId="5CEDE3A7" w14:textId="77777777" w:rsidTr="008D4716">
        <w:trPr>
          <w:trHeight w:val="130"/>
        </w:trPr>
        <w:tc>
          <w:tcPr>
            <w:tcW w:w="4111" w:type="dxa"/>
            <w:tcBorders>
              <w:top w:val="nil"/>
              <w:left w:val="nil"/>
              <w:bottom w:val="nil"/>
              <w:right w:val="nil"/>
            </w:tcBorders>
          </w:tcPr>
          <w:p w14:paraId="353A2266" w14:textId="48546C96" w:rsidR="008D4716" w:rsidRPr="00550D71" w:rsidRDefault="008D4716" w:rsidP="008D4716">
            <w:pPr>
              <w:ind w:left="34" w:hanging="108"/>
              <w:rPr>
                <w:rFonts w:ascii="Times New Roman" w:hAnsi="Times New Roman"/>
                <w:lang w:val="en-US" w:eastAsia="zh-CN"/>
              </w:rPr>
            </w:pPr>
            <w:r w:rsidRPr="00550D71">
              <w:rPr>
                <w:rFonts w:ascii="Times New Roman" w:hAnsi="Times New Roman"/>
                <w:lang w:val="en-US" w:eastAsia="zh-CN"/>
              </w:rPr>
              <w:t xml:space="preserve">    </w:t>
            </w:r>
            <w:proofErr w:type="gramStart"/>
            <w:r w:rsidRPr="00550D71">
              <w:rPr>
                <w:rFonts w:ascii="Times New Roman" w:hAnsi="Times New Roman"/>
                <w:lang w:val="en-US" w:eastAsia="zh-CN"/>
              </w:rPr>
              <w:t>CXP(</w:t>
            </w:r>
            <w:proofErr w:type="gramEnd"/>
            <w:r w:rsidRPr="00550D71">
              <w:rPr>
                <w:rFonts w:ascii="Times New Roman" w:hAnsi="Times New Roman"/>
                <w:lang w:val="en-US" w:eastAsia="zh-CN"/>
              </w:rPr>
              <w:t>%)</w:t>
            </w:r>
          </w:p>
        </w:tc>
        <w:tc>
          <w:tcPr>
            <w:tcW w:w="1276" w:type="dxa"/>
            <w:tcBorders>
              <w:top w:val="nil"/>
              <w:left w:val="nil"/>
              <w:bottom w:val="nil"/>
              <w:right w:val="nil"/>
            </w:tcBorders>
          </w:tcPr>
          <w:p w14:paraId="12468464"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0.63</w:t>
            </w:r>
          </w:p>
        </w:tc>
        <w:tc>
          <w:tcPr>
            <w:tcW w:w="1015" w:type="dxa"/>
            <w:tcBorders>
              <w:top w:val="nil"/>
              <w:left w:val="nil"/>
              <w:bottom w:val="nil"/>
              <w:right w:val="nil"/>
            </w:tcBorders>
          </w:tcPr>
          <w:p w14:paraId="3651A1EE"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0.60</w:t>
            </w:r>
          </w:p>
        </w:tc>
        <w:tc>
          <w:tcPr>
            <w:tcW w:w="1111" w:type="dxa"/>
            <w:tcBorders>
              <w:top w:val="nil"/>
              <w:left w:val="nil"/>
              <w:bottom w:val="nil"/>
              <w:right w:val="nil"/>
            </w:tcBorders>
          </w:tcPr>
          <w:p w14:paraId="74BE0ABD"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0.32</w:t>
            </w:r>
          </w:p>
        </w:tc>
        <w:tc>
          <w:tcPr>
            <w:tcW w:w="1191" w:type="dxa"/>
            <w:tcBorders>
              <w:top w:val="nil"/>
              <w:left w:val="nil"/>
              <w:bottom w:val="nil"/>
              <w:right w:val="nil"/>
            </w:tcBorders>
          </w:tcPr>
          <w:p w14:paraId="39AEE85A"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-0.73</w:t>
            </w:r>
          </w:p>
        </w:tc>
        <w:tc>
          <w:tcPr>
            <w:tcW w:w="1215" w:type="dxa"/>
            <w:tcBorders>
              <w:top w:val="nil"/>
              <w:left w:val="nil"/>
              <w:bottom w:val="nil"/>
              <w:right w:val="nil"/>
            </w:tcBorders>
          </w:tcPr>
          <w:p w14:paraId="0614898F" w14:textId="77777777" w:rsidR="008D4716" w:rsidRPr="00550D71" w:rsidRDefault="008D4716" w:rsidP="008D4716">
            <w:pPr>
              <w:rPr>
                <w:rFonts w:ascii="Times New Roman" w:hAnsi="Times New Roman"/>
                <w:lang w:val="en-US" w:eastAsia="zh-CN"/>
              </w:rPr>
            </w:pPr>
            <w:r w:rsidRPr="00550D71">
              <w:rPr>
                <w:rFonts w:ascii="Times New Roman" w:hAnsi="Times New Roman"/>
                <w:lang w:val="en-US" w:eastAsia="zh-CN"/>
              </w:rPr>
              <w:t xml:space="preserve">       3.55</w:t>
            </w:r>
          </w:p>
        </w:tc>
      </w:tr>
      <w:tr w:rsidR="008D4716" w:rsidRPr="00550D71" w14:paraId="0BE2A381" w14:textId="77777777" w:rsidTr="008D4716">
        <w:tc>
          <w:tcPr>
            <w:tcW w:w="9919" w:type="dxa"/>
            <w:gridSpan w:val="6"/>
            <w:tcBorders>
              <w:top w:val="single" w:sz="4" w:space="0" w:color="auto"/>
              <w:left w:val="nil"/>
              <w:bottom w:val="nil"/>
              <w:right w:val="nil"/>
            </w:tcBorders>
          </w:tcPr>
          <w:p w14:paraId="2D435A0E" w14:textId="46753DCE" w:rsidR="008D4716" w:rsidRPr="00550D71" w:rsidRDefault="008D4716" w:rsidP="008D4716">
            <w:pPr>
              <w:jc w:val="both"/>
              <w:rPr>
                <w:rFonts w:ascii="Times New Roman" w:eastAsia="Times New Roman" w:hAnsi="Times New Roman"/>
              </w:rPr>
            </w:pPr>
            <w:r w:rsidRPr="00550D71">
              <w:rPr>
                <w:rFonts w:ascii="Times New Roman" w:eastAsia="Times New Roman" w:hAnsi="Times New Roman"/>
                <w:color w:val="000000"/>
                <w:lang w:val="en-US"/>
              </w:rPr>
              <w:t xml:space="preserve">Please </w:t>
            </w:r>
            <w:r w:rsidR="00E56A18">
              <w:rPr>
                <w:rFonts w:ascii="Times New Roman" w:eastAsia="Times New Roman" w:hAnsi="Times New Roman"/>
                <w:color w:val="000000"/>
                <w:lang w:val="en-US"/>
              </w:rPr>
              <w:t>refer to</w:t>
            </w:r>
            <w:r w:rsidRPr="00550D71">
              <w:rPr>
                <w:rFonts w:ascii="Times New Roman" w:eastAsia="Times New Roman" w:hAnsi="Times New Roman"/>
                <w:color w:val="000000"/>
                <w:lang w:val="en-US"/>
              </w:rPr>
              <w:t xml:space="preserve"> </w:t>
            </w:r>
            <w:r w:rsidR="00E56A18">
              <w:rPr>
                <w:rFonts w:ascii="Times New Roman" w:eastAsia="Times New Roman" w:hAnsi="Times New Roman"/>
                <w:color w:val="000000"/>
                <w:lang w:val="en-US"/>
              </w:rPr>
              <w:t xml:space="preserve">the </w:t>
            </w:r>
            <w:r w:rsidRPr="008113B5">
              <w:rPr>
                <w:rFonts w:ascii="Times New Roman" w:eastAsia="Times New Roman" w:hAnsi="Times New Roman"/>
                <w:b/>
                <w:bCs/>
                <w:i/>
                <w:iCs/>
                <w:color w:val="000000"/>
                <w:lang w:val="en-US"/>
              </w:rPr>
              <w:t>online Appendix 1</w:t>
            </w:r>
            <w:r w:rsidRPr="00550D71">
              <w:rPr>
                <w:rFonts w:ascii="Times New Roman" w:eastAsia="Times New Roman" w:hAnsi="Times New Roman"/>
                <w:color w:val="000000"/>
                <w:lang w:val="en-US"/>
              </w:rPr>
              <w:t xml:space="preserve"> for variable definitions.</w:t>
            </w:r>
          </w:p>
        </w:tc>
      </w:tr>
    </w:tbl>
    <w:p w14:paraId="7A42B79E" w14:textId="77777777" w:rsidR="0032328B" w:rsidRDefault="0032328B" w:rsidP="00855220">
      <w:pPr>
        <w:sectPr w:rsidR="0032328B" w:rsidSect="008D4716">
          <w:pgSz w:w="11906" w:h="16838"/>
          <w:pgMar w:top="1103" w:right="1440" w:bottom="1440" w:left="1440" w:header="720" w:footer="720" w:gutter="0"/>
          <w:cols w:space="720"/>
          <w:docGrid w:linePitch="299"/>
        </w:sectPr>
      </w:pPr>
    </w:p>
    <w:tbl>
      <w:tblPr>
        <w:tblpPr w:leftFromText="180" w:rightFromText="180" w:vertAnchor="page" w:horzAnchor="margin" w:tblpXSpec="center" w:tblpY="2233"/>
        <w:tblW w:w="10217" w:type="dxa"/>
        <w:tblLayout w:type="fixed"/>
        <w:tblLook w:val="04A0" w:firstRow="1" w:lastRow="0" w:firstColumn="1" w:lastColumn="0" w:noHBand="0" w:noVBand="1"/>
      </w:tblPr>
      <w:tblGrid>
        <w:gridCol w:w="3828"/>
        <w:gridCol w:w="991"/>
        <w:gridCol w:w="996"/>
        <w:gridCol w:w="997"/>
        <w:gridCol w:w="236"/>
        <w:gridCol w:w="1046"/>
        <w:gridCol w:w="1129"/>
        <w:gridCol w:w="994"/>
      </w:tblGrid>
      <w:tr w:rsidR="00C72630" w:rsidRPr="00F5674C" w14:paraId="2B1D15B0" w14:textId="77777777" w:rsidTr="00D94751">
        <w:tc>
          <w:tcPr>
            <w:tcW w:w="10213" w:type="dxa"/>
            <w:gridSpan w:val="8"/>
            <w:tcBorders>
              <w:left w:val="nil"/>
              <w:bottom w:val="single" w:sz="12" w:space="0" w:color="auto"/>
              <w:right w:val="nil"/>
            </w:tcBorders>
          </w:tcPr>
          <w:p w14:paraId="0EB4047E" w14:textId="6EEE7B1F" w:rsidR="00C72630" w:rsidRPr="00F5674C" w:rsidRDefault="00C72630" w:rsidP="00C72630">
            <w:pPr>
              <w:spacing w:after="0"/>
              <w:rPr>
                <w:rFonts w:ascii="Times New Roman" w:eastAsia="Calibri" w:hAnsi="Times New Roman" w:cs="Times New Roman"/>
                <w:iCs/>
                <w:sz w:val="20"/>
                <w:szCs w:val="20"/>
              </w:rPr>
            </w:pPr>
            <w:bookmarkStart w:id="20" w:name="_Hlk98407679"/>
            <w:r w:rsidRPr="00F5674C">
              <w:rPr>
                <w:rFonts w:ascii="Times New Roman" w:eastAsia="Times New Roman" w:hAnsi="Times New Roman" w:cs="Times New Roman"/>
                <w:b/>
                <w:bCs/>
                <w:sz w:val="20"/>
                <w:szCs w:val="20"/>
                <w:lang w:val="en-US" w:eastAsia="zh-CN"/>
              </w:rPr>
              <w:lastRenderedPageBreak/>
              <w:t xml:space="preserve">Table </w:t>
            </w:r>
            <w:r>
              <w:rPr>
                <w:rFonts w:ascii="Times New Roman" w:eastAsia="Times New Roman" w:hAnsi="Times New Roman" w:cs="Times New Roman"/>
                <w:b/>
                <w:bCs/>
                <w:sz w:val="20"/>
                <w:szCs w:val="20"/>
                <w:lang w:val="en-US" w:eastAsia="zh-CN"/>
              </w:rPr>
              <w:t>2</w:t>
            </w:r>
            <w:r w:rsidRPr="00F5674C">
              <w:rPr>
                <w:rFonts w:ascii="Times New Roman" w:eastAsia="Times New Roman" w:hAnsi="Times New Roman" w:cs="Times New Roman"/>
                <w:b/>
                <w:bCs/>
                <w:sz w:val="20"/>
                <w:szCs w:val="20"/>
                <w:lang w:val="en-US" w:eastAsia="zh-CN"/>
              </w:rPr>
              <w:t xml:space="preserve">. </w:t>
            </w:r>
            <w:r w:rsidRPr="00F5674C">
              <w:rPr>
                <w:rFonts w:ascii="Times New Roman" w:eastAsia="Times New Roman" w:hAnsi="Times New Roman" w:cs="Times New Roman"/>
                <w:bCs/>
                <w:sz w:val="20"/>
                <w:szCs w:val="20"/>
                <w:lang w:val="en-US" w:eastAsia="zh-CN"/>
              </w:rPr>
              <w:t xml:space="preserve"> VC pay </w:t>
            </w:r>
            <w:r>
              <w:rPr>
                <w:rFonts w:ascii="Times New Roman" w:eastAsia="Times New Roman" w:hAnsi="Times New Roman" w:cs="Times New Roman"/>
                <w:bCs/>
                <w:sz w:val="20"/>
                <w:szCs w:val="20"/>
                <w:lang w:val="en-US" w:eastAsia="zh-CN"/>
              </w:rPr>
              <w:t>and</w:t>
            </w:r>
            <w:r w:rsidRPr="00F5674C">
              <w:rPr>
                <w:rFonts w:ascii="Times New Roman" w:eastAsia="Times New Roman" w:hAnsi="Times New Roman" w:cs="Times New Roman"/>
                <w:bCs/>
                <w:sz w:val="20"/>
                <w:szCs w:val="20"/>
                <w:lang w:val="en-US" w:eastAsia="zh-CN"/>
              </w:rPr>
              <w:t xml:space="preserve"> performance relationship (HEIs’ long-term performance)</w:t>
            </w:r>
          </w:p>
        </w:tc>
      </w:tr>
      <w:tr w:rsidR="006C3C66" w:rsidRPr="00F5674C" w14:paraId="16E18923" w14:textId="77777777" w:rsidTr="00D94751">
        <w:tc>
          <w:tcPr>
            <w:tcW w:w="3828" w:type="dxa"/>
            <w:vMerge w:val="restart"/>
            <w:tcBorders>
              <w:top w:val="single" w:sz="12" w:space="0" w:color="auto"/>
              <w:left w:val="nil"/>
              <w:right w:val="nil"/>
            </w:tcBorders>
          </w:tcPr>
          <w:p w14:paraId="15D5D875" w14:textId="77777777" w:rsidR="00C72630" w:rsidRPr="00F5674C" w:rsidRDefault="00C72630" w:rsidP="00C72630">
            <w:pPr>
              <w:spacing w:after="0"/>
              <w:rPr>
                <w:rFonts w:ascii="Times New Roman" w:eastAsia="Times New Roman" w:hAnsi="Times New Roman" w:cs="Times New Roman"/>
                <w:sz w:val="20"/>
                <w:szCs w:val="20"/>
              </w:rPr>
            </w:pPr>
          </w:p>
          <w:p w14:paraId="47DDB9F9"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Dep. Variable</w:t>
            </w:r>
          </w:p>
          <w:p w14:paraId="0D8527CB" w14:textId="77777777" w:rsidR="001B3ADF" w:rsidRDefault="001B3ADF" w:rsidP="00C72630">
            <w:pPr>
              <w:spacing w:after="0"/>
              <w:rPr>
                <w:rFonts w:ascii="Times New Roman" w:eastAsia="Times New Roman" w:hAnsi="Times New Roman" w:cs="Times New Roman"/>
                <w:sz w:val="20"/>
                <w:szCs w:val="20"/>
              </w:rPr>
            </w:pPr>
          </w:p>
          <w:p w14:paraId="20346B83" w14:textId="09834F48"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Pr="00F5674C">
              <w:rPr>
                <w:rFonts w:ascii="Times New Roman" w:eastAsia="Times New Roman" w:hAnsi="Times New Roman" w:cs="Times New Roman"/>
                <w:i/>
                <w:iCs/>
                <w:sz w:val="20"/>
                <w:szCs w:val="20"/>
              </w:rPr>
              <w:t>Model</w:t>
            </w:r>
            <w:r w:rsidRPr="00F5674C">
              <w:rPr>
                <w:rFonts w:ascii="Times New Roman" w:eastAsia="Times New Roman" w:hAnsi="Times New Roman" w:cs="Times New Roman"/>
                <w:sz w:val="20"/>
                <w:szCs w:val="20"/>
              </w:rPr>
              <w:t>)</w:t>
            </w:r>
          </w:p>
        </w:tc>
        <w:tc>
          <w:tcPr>
            <w:tcW w:w="2984" w:type="dxa"/>
            <w:gridSpan w:val="3"/>
            <w:tcBorders>
              <w:top w:val="single" w:sz="12" w:space="0" w:color="auto"/>
              <w:left w:val="nil"/>
              <w:bottom w:val="single" w:sz="4" w:space="0" w:color="auto"/>
              <w:right w:val="nil"/>
            </w:tcBorders>
          </w:tcPr>
          <w:p w14:paraId="160D4334" w14:textId="77777777" w:rsidR="00C72630" w:rsidRPr="00F5674C" w:rsidRDefault="00C72630" w:rsidP="00C72630">
            <w:pPr>
              <w:spacing w:after="0"/>
              <w:jc w:val="center"/>
              <w:rPr>
                <w:rFonts w:ascii="Times New Roman" w:eastAsia="Calibri" w:hAnsi="Times New Roman" w:cs="Times New Roman"/>
                <w:iCs/>
                <w:sz w:val="20"/>
                <w:szCs w:val="20"/>
              </w:rPr>
            </w:pPr>
            <w:r w:rsidRPr="00F5674C">
              <w:rPr>
                <w:rFonts w:ascii="Times New Roman" w:eastAsia="Calibri" w:hAnsi="Times New Roman" w:cs="Times New Roman"/>
                <w:bCs/>
                <w:iCs/>
                <w:sz w:val="20"/>
                <w:szCs w:val="20"/>
              </w:rPr>
              <w:t>Non-continuation in HE</w:t>
            </w:r>
          </w:p>
        </w:tc>
        <w:tc>
          <w:tcPr>
            <w:tcW w:w="3405" w:type="dxa"/>
            <w:gridSpan w:val="4"/>
            <w:tcBorders>
              <w:top w:val="single" w:sz="12" w:space="0" w:color="auto"/>
              <w:left w:val="nil"/>
              <w:right w:val="nil"/>
            </w:tcBorders>
          </w:tcPr>
          <w:p w14:paraId="15D7E7BA" w14:textId="77777777" w:rsidR="00C72630" w:rsidRPr="00F5674C" w:rsidRDefault="00C72630" w:rsidP="00C72630">
            <w:pPr>
              <w:spacing w:after="0"/>
              <w:jc w:val="center"/>
              <w:rPr>
                <w:rFonts w:ascii="Times New Roman" w:eastAsia="Calibri" w:hAnsi="Times New Roman" w:cs="Times New Roman"/>
                <w:iCs/>
                <w:sz w:val="20"/>
                <w:szCs w:val="20"/>
              </w:rPr>
            </w:pPr>
            <w:r w:rsidRPr="00F5674C">
              <w:rPr>
                <w:rFonts w:ascii="Times New Roman" w:eastAsia="Calibri" w:hAnsi="Times New Roman" w:cs="Times New Roman"/>
                <w:iCs/>
                <w:sz w:val="20"/>
                <w:szCs w:val="20"/>
              </w:rPr>
              <w:t>Community Contribution Index</w:t>
            </w:r>
          </w:p>
        </w:tc>
      </w:tr>
      <w:tr w:rsidR="00E30146" w:rsidRPr="00F5674C" w14:paraId="65AC0832" w14:textId="77777777" w:rsidTr="00D94751">
        <w:tc>
          <w:tcPr>
            <w:tcW w:w="3828" w:type="dxa"/>
            <w:vMerge/>
            <w:tcBorders>
              <w:top w:val="single" w:sz="4" w:space="0" w:color="auto"/>
              <w:left w:val="nil"/>
              <w:bottom w:val="single" w:sz="4" w:space="0" w:color="auto"/>
              <w:right w:val="nil"/>
            </w:tcBorders>
          </w:tcPr>
          <w:p w14:paraId="6556D0E4" w14:textId="77777777" w:rsidR="00C72630" w:rsidRPr="00F5674C" w:rsidRDefault="00C72630" w:rsidP="00C72630">
            <w:pPr>
              <w:spacing w:after="0"/>
              <w:rPr>
                <w:rFonts w:ascii="Times New Roman" w:eastAsia="Times New Roman" w:hAnsi="Times New Roman" w:cs="Times New Roman"/>
                <w:sz w:val="20"/>
                <w:szCs w:val="20"/>
              </w:rPr>
            </w:pPr>
          </w:p>
        </w:tc>
        <w:tc>
          <w:tcPr>
            <w:tcW w:w="991" w:type="dxa"/>
            <w:tcBorders>
              <w:top w:val="single" w:sz="2" w:space="0" w:color="auto"/>
              <w:left w:val="nil"/>
              <w:bottom w:val="single" w:sz="4" w:space="0" w:color="auto"/>
              <w:right w:val="nil"/>
            </w:tcBorders>
          </w:tcPr>
          <w:p w14:paraId="4E98981D" w14:textId="77777777" w:rsidR="00C72630" w:rsidRPr="00F5674C" w:rsidRDefault="00C72630" w:rsidP="00C72630">
            <w:pPr>
              <w:spacing w:after="0"/>
              <w:rPr>
                <w:rFonts w:ascii="Times New Roman" w:eastAsia="Times New Roman" w:hAnsi="Times New Roman" w:cs="Times New Roman"/>
                <w:sz w:val="20"/>
                <w:szCs w:val="20"/>
                <w:lang w:val="en-US" w:eastAsia="zh-CN"/>
              </w:rPr>
            </w:pPr>
            <w:r w:rsidRPr="00F5674C">
              <w:rPr>
                <w:rFonts w:ascii="Times New Roman" w:eastAsia="Times New Roman" w:hAnsi="Times New Roman" w:cs="Times New Roman"/>
                <w:sz w:val="20"/>
                <w:szCs w:val="20"/>
                <w:lang w:val="en-US" w:eastAsia="zh-CN"/>
              </w:rPr>
              <w:t>VC Basic Pay</w:t>
            </w:r>
          </w:p>
          <w:p w14:paraId="4F106FD8"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1</w:t>
            </w:r>
            <w:r w:rsidRPr="00F5674C">
              <w:rPr>
                <w:rFonts w:ascii="Times New Roman" w:eastAsia="Times New Roman" w:hAnsi="Times New Roman" w:cs="Times New Roman"/>
                <w:sz w:val="20"/>
                <w:szCs w:val="20"/>
                <w:lang w:val="en-US" w:eastAsia="zh-CN"/>
              </w:rPr>
              <w:t>)</w:t>
            </w:r>
          </w:p>
        </w:tc>
        <w:tc>
          <w:tcPr>
            <w:tcW w:w="996" w:type="dxa"/>
            <w:tcBorders>
              <w:top w:val="single" w:sz="2" w:space="0" w:color="auto"/>
              <w:left w:val="nil"/>
              <w:bottom w:val="single" w:sz="4" w:space="0" w:color="auto"/>
              <w:right w:val="nil"/>
            </w:tcBorders>
          </w:tcPr>
          <w:p w14:paraId="449F8D1B" w14:textId="77777777" w:rsidR="00C72630" w:rsidRPr="00F5674C" w:rsidRDefault="00C72630" w:rsidP="00AF0CFD">
            <w:pPr>
              <w:spacing w:after="0"/>
              <w:ind w:right="-115"/>
              <w:rPr>
                <w:rFonts w:ascii="Times New Roman" w:eastAsia="Times New Roman" w:hAnsi="Times New Roman" w:cs="Times New Roman"/>
                <w:sz w:val="20"/>
                <w:szCs w:val="20"/>
                <w:lang w:val="en-US" w:eastAsia="zh-CN"/>
              </w:rPr>
            </w:pPr>
            <w:r w:rsidRPr="00F5674C">
              <w:rPr>
                <w:rFonts w:ascii="Times New Roman" w:eastAsia="Calibri" w:hAnsi="Times New Roman" w:cs="Times New Roman"/>
                <w:bCs/>
                <w:sz w:val="20"/>
                <w:szCs w:val="20"/>
              </w:rPr>
              <w:t>VC Non-Basic Pay</w:t>
            </w:r>
          </w:p>
          <w:p w14:paraId="37F52445"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2</w:t>
            </w:r>
            <w:r w:rsidRPr="00F5674C">
              <w:rPr>
                <w:rFonts w:ascii="Times New Roman" w:eastAsia="Times New Roman" w:hAnsi="Times New Roman" w:cs="Times New Roman"/>
                <w:sz w:val="20"/>
                <w:szCs w:val="20"/>
                <w:lang w:val="en-US" w:eastAsia="zh-CN"/>
              </w:rPr>
              <w:t>)</w:t>
            </w:r>
          </w:p>
        </w:tc>
        <w:tc>
          <w:tcPr>
            <w:tcW w:w="997" w:type="dxa"/>
            <w:tcBorders>
              <w:top w:val="single" w:sz="2" w:space="0" w:color="auto"/>
              <w:left w:val="nil"/>
              <w:bottom w:val="single" w:sz="4" w:space="0" w:color="auto"/>
              <w:right w:val="nil"/>
            </w:tcBorders>
          </w:tcPr>
          <w:p w14:paraId="527D2E47" w14:textId="77777777" w:rsidR="00C72630" w:rsidRPr="00F5674C" w:rsidRDefault="00C72630" w:rsidP="00AF0CFD">
            <w:pPr>
              <w:spacing w:after="0"/>
              <w:ind w:right="-102"/>
              <w:rPr>
                <w:rFonts w:ascii="Times New Roman" w:eastAsia="Calibri" w:hAnsi="Times New Roman" w:cs="Times New Roman"/>
                <w:iCs/>
                <w:sz w:val="20"/>
                <w:szCs w:val="20"/>
              </w:rPr>
            </w:pPr>
            <w:r w:rsidRPr="00F5674C">
              <w:rPr>
                <w:rFonts w:ascii="Times New Roman" w:eastAsia="Calibri" w:hAnsi="Times New Roman" w:cs="Times New Roman"/>
                <w:iCs/>
                <w:sz w:val="20"/>
                <w:szCs w:val="20"/>
              </w:rPr>
              <w:t>VC Total Pay</w:t>
            </w:r>
          </w:p>
          <w:p w14:paraId="27653103" w14:textId="77777777" w:rsidR="00C72630" w:rsidRPr="00F5674C" w:rsidRDefault="00C72630" w:rsidP="00C72630">
            <w:pPr>
              <w:spacing w:after="0"/>
              <w:rPr>
                <w:rFonts w:ascii="Times New Roman" w:eastAsia="Calibri" w:hAnsi="Times New Roman" w:cs="Times New Roman"/>
                <w:iCs/>
                <w:sz w:val="20"/>
                <w:szCs w:val="20"/>
              </w:rPr>
            </w:pPr>
            <w:r w:rsidRPr="00F5674C">
              <w:rPr>
                <w:rFonts w:ascii="Times New Roman" w:eastAsia="Calibri" w:hAnsi="Times New Roman" w:cs="Times New Roman"/>
                <w:iCs/>
                <w:sz w:val="20"/>
                <w:szCs w:val="20"/>
              </w:rPr>
              <w:t>(</w:t>
            </w:r>
            <w:r>
              <w:rPr>
                <w:rFonts w:ascii="Times New Roman" w:eastAsia="Calibri" w:hAnsi="Times New Roman" w:cs="Times New Roman"/>
                <w:iCs/>
                <w:sz w:val="20"/>
                <w:szCs w:val="20"/>
              </w:rPr>
              <w:t>3</w:t>
            </w:r>
            <w:r w:rsidRPr="00F5674C">
              <w:rPr>
                <w:rFonts w:ascii="Times New Roman" w:eastAsia="Calibri" w:hAnsi="Times New Roman" w:cs="Times New Roman"/>
                <w:iCs/>
                <w:sz w:val="20"/>
                <w:szCs w:val="20"/>
              </w:rPr>
              <w:t>)</w:t>
            </w:r>
          </w:p>
        </w:tc>
        <w:tc>
          <w:tcPr>
            <w:tcW w:w="236" w:type="dxa"/>
            <w:tcBorders>
              <w:left w:val="nil"/>
              <w:bottom w:val="single" w:sz="4" w:space="0" w:color="auto"/>
              <w:right w:val="nil"/>
            </w:tcBorders>
          </w:tcPr>
          <w:p w14:paraId="7016040C" w14:textId="77777777" w:rsidR="00C72630" w:rsidRPr="00F5674C" w:rsidRDefault="00C72630" w:rsidP="00C72630">
            <w:pPr>
              <w:spacing w:after="0"/>
              <w:rPr>
                <w:rFonts w:ascii="Times New Roman" w:eastAsia="Calibri" w:hAnsi="Times New Roman" w:cs="Times New Roman"/>
                <w:iCs/>
                <w:sz w:val="20"/>
                <w:szCs w:val="20"/>
              </w:rPr>
            </w:pPr>
          </w:p>
        </w:tc>
        <w:tc>
          <w:tcPr>
            <w:tcW w:w="1046" w:type="dxa"/>
            <w:tcBorders>
              <w:top w:val="single" w:sz="2" w:space="0" w:color="auto"/>
              <w:left w:val="nil"/>
              <w:bottom w:val="single" w:sz="4" w:space="0" w:color="auto"/>
              <w:right w:val="nil"/>
            </w:tcBorders>
          </w:tcPr>
          <w:p w14:paraId="17A636E6" w14:textId="77777777" w:rsidR="00C72630" w:rsidRPr="00F5674C" w:rsidRDefault="00C72630" w:rsidP="00C72630">
            <w:pPr>
              <w:spacing w:after="0"/>
              <w:rPr>
                <w:rFonts w:ascii="Times New Roman" w:eastAsia="Times New Roman" w:hAnsi="Times New Roman" w:cs="Times New Roman"/>
                <w:sz w:val="20"/>
                <w:szCs w:val="20"/>
                <w:lang w:val="en-US" w:eastAsia="zh-CN"/>
              </w:rPr>
            </w:pPr>
            <w:r w:rsidRPr="00F5674C">
              <w:rPr>
                <w:rFonts w:ascii="Times New Roman" w:eastAsia="Times New Roman" w:hAnsi="Times New Roman" w:cs="Times New Roman"/>
                <w:sz w:val="20"/>
                <w:szCs w:val="20"/>
                <w:lang w:val="en-US" w:eastAsia="zh-CN"/>
              </w:rPr>
              <w:t>VC Basic Pay</w:t>
            </w:r>
          </w:p>
          <w:p w14:paraId="5E94D6D1"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4</w:t>
            </w:r>
            <w:r w:rsidRPr="00F5674C">
              <w:rPr>
                <w:rFonts w:ascii="Times New Roman" w:eastAsia="Times New Roman" w:hAnsi="Times New Roman" w:cs="Times New Roman"/>
                <w:sz w:val="20"/>
                <w:szCs w:val="20"/>
                <w:lang w:val="en-US" w:eastAsia="zh-CN"/>
              </w:rPr>
              <w:t>)</w:t>
            </w:r>
          </w:p>
        </w:tc>
        <w:tc>
          <w:tcPr>
            <w:tcW w:w="1129" w:type="dxa"/>
            <w:tcBorders>
              <w:top w:val="single" w:sz="2" w:space="0" w:color="auto"/>
              <w:left w:val="nil"/>
              <w:bottom w:val="single" w:sz="4" w:space="0" w:color="auto"/>
              <w:right w:val="nil"/>
            </w:tcBorders>
          </w:tcPr>
          <w:p w14:paraId="0F01F1C9" w14:textId="77777777" w:rsidR="00C72630" w:rsidRPr="00F5674C" w:rsidRDefault="00C72630" w:rsidP="00E30146">
            <w:pPr>
              <w:spacing w:after="0"/>
              <w:ind w:right="-109"/>
              <w:rPr>
                <w:rFonts w:ascii="Times New Roman" w:eastAsia="Times New Roman" w:hAnsi="Times New Roman" w:cs="Times New Roman"/>
                <w:sz w:val="20"/>
                <w:szCs w:val="20"/>
                <w:lang w:val="en-US" w:eastAsia="zh-CN"/>
              </w:rPr>
            </w:pPr>
            <w:r w:rsidRPr="00F5674C">
              <w:rPr>
                <w:rFonts w:ascii="Times New Roman" w:eastAsia="Calibri" w:hAnsi="Times New Roman" w:cs="Times New Roman"/>
                <w:bCs/>
                <w:sz w:val="20"/>
                <w:szCs w:val="20"/>
              </w:rPr>
              <w:t>VC Non-Basic Pay</w:t>
            </w:r>
          </w:p>
          <w:p w14:paraId="58A56809" w14:textId="77777777" w:rsidR="00C72630" w:rsidRPr="00F5674C" w:rsidRDefault="00C72630" w:rsidP="00C72630">
            <w:pPr>
              <w:spacing w:after="0"/>
              <w:rPr>
                <w:rFonts w:ascii="Times New Roman" w:eastAsia="Calibri"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5</w:t>
            </w:r>
            <w:r w:rsidRPr="00F5674C">
              <w:rPr>
                <w:rFonts w:ascii="Times New Roman" w:eastAsia="Times New Roman" w:hAnsi="Times New Roman" w:cs="Times New Roman"/>
                <w:sz w:val="20"/>
                <w:szCs w:val="20"/>
                <w:lang w:val="en-US" w:eastAsia="zh-CN"/>
              </w:rPr>
              <w:t>)</w:t>
            </w:r>
          </w:p>
        </w:tc>
        <w:tc>
          <w:tcPr>
            <w:tcW w:w="994" w:type="dxa"/>
            <w:tcBorders>
              <w:top w:val="single" w:sz="2" w:space="0" w:color="auto"/>
              <w:left w:val="nil"/>
              <w:bottom w:val="single" w:sz="4" w:space="0" w:color="auto"/>
              <w:right w:val="nil"/>
            </w:tcBorders>
          </w:tcPr>
          <w:p w14:paraId="5C950E10" w14:textId="77777777" w:rsidR="00C72630" w:rsidRPr="00F5674C" w:rsidRDefault="00C72630" w:rsidP="00C72630">
            <w:pPr>
              <w:spacing w:after="0"/>
              <w:rPr>
                <w:rFonts w:ascii="Times New Roman" w:eastAsia="Calibri" w:hAnsi="Times New Roman" w:cs="Times New Roman"/>
                <w:iCs/>
                <w:sz w:val="20"/>
                <w:szCs w:val="20"/>
              </w:rPr>
            </w:pPr>
            <w:r w:rsidRPr="00F5674C">
              <w:rPr>
                <w:rFonts w:ascii="Times New Roman" w:eastAsia="Calibri" w:hAnsi="Times New Roman" w:cs="Times New Roman"/>
                <w:iCs/>
                <w:sz w:val="20"/>
                <w:szCs w:val="20"/>
              </w:rPr>
              <w:t>VC Total Pay</w:t>
            </w:r>
          </w:p>
          <w:p w14:paraId="5D49721F" w14:textId="77777777" w:rsidR="00C72630" w:rsidRPr="00F5674C" w:rsidRDefault="00C72630" w:rsidP="00C72630">
            <w:pPr>
              <w:spacing w:after="0"/>
              <w:rPr>
                <w:rFonts w:ascii="Times New Roman" w:eastAsia="Times New Roman" w:hAnsi="Times New Roman" w:cs="Times New Roman"/>
                <w:sz w:val="20"/>
                <w:szCs w:val="20"/>
                <w:lang w:val="en-US" w:eastAsia="zh-CN"/>
              </w:rPr>
            </w:pPr>
            <w:r w:rsidRPr="00F5674C">
              <w:rPr>
                <w:rFonts w:ascii="Times New Roman" w:eastAsia="Calibri" w:hAnsi="Times New Roman" w:cs="Times New Roman"/>
                <w:iCs/>
                <w:sz w:val="20"/>
                <w:szCs w:val="20"/>
              </w:rPr>
              <w:t>(</w:t>
            </w:r>
            <w:r>
              <w:rPr>
                <w:rFonts w:ascii="Times New Roman" w:eastAsia="Calibri" w:hAnsi="Times New Roman" w:cs="Times New Roman"/>
                <w:iCs/>
                <w:sz w:val="20"/>
                <w:szCs w:val="20"/>
              </w:rPr>
              <w:t>6</w:t>
            </w:r>
            <w:r w:rsidRPr="00F5674C">
              <w:rPr>
                <w:rFonts w:ascii="Times New Roman" w:eastAsia="Calibri" w:hAnsi="Times New Roman" w:cs="Times New Roman"/>
                <w:iCs/>
                <w:sz w:val="20"/>
                <w:szCs w:val="20"/>
              </w:rPr>
              <w:t>)</w:t>
            </w:r>
          </w:p>
        </w:tc>
      </w:tr>
      <w:tr w:rsidR="00C72630" w:rsidRPr="00F5674C" w14:paraId="51C91D41" w14:textId="77777777" w:rsidTr="00D94751">
        <w:trPr>
          <w:trHeight w:val="127"/>
        </w:trPr>
        <w:tc>
          <w:tcPr>
            <w:tcW w:w="10213" w:type="dxa"/>
            <w:gridSpan w:val="8"/>
            <w:tcBorders>
              <w:top w:val="single" w:sz="4" w:space="0" w:color="auto"/>
              <w:left w:val="nil"/>
              <w:bottom w:val="nil"/>
              <w:right w:val="nil"/>
            </w:tcBorders>
          </w:tcPr>
          <w:p w14:paraId="13C34673" w14:textId="77777777" w:rsidR="00C72630" w:rsidRPr="00F5674C" w:rsidRDefault="00C72630" w:rsidP="00C72630">
            <w:pPr>
              <w:spacing w:after="0"/>
              <w:ind w:right="-62" w:hanging="250"/>
              <w:rPr>
                <w:rFonts w:ascii="Times New Roman" w:eastAsia="Times New Roman" w:hAnsi="Times New Roman" w:cs="Times New Roman"/>
                <w:i/>
                <w:iCs/>
                <w:sz w:val="10"/>
                <w:szCs w:val="10"/>
              </w:rPr>
            </w:pPr>
          </w:p>
          <w:p w14:paraId="45726CEA" w14:textId="77777777" w:rsidR="00C72630" w:rsidRPr="00F5674C" w:rsidRDefault="00C72630" w:rsidP="00C72630">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i/>
                <w:iCs/>
                <w:sz w:val="20"/>
                <w:szCs w:val="20"/>
              </w:rPr>
              <w:t>Explanatory variables (HEI performance)</w:t>
            </w:r>
          </w:p>
        </w:tc>
      </w:tr>
      <w:tr w:rsidR="00E30146" w:rsidRPr="00F5674C" w14:paraId="3D93E7C8" w14:textId="77777777" w:rsidTr="00D94751">
        <w:trPr>
          <w:trHeight w:val="127"/>
        </w:trPr>
        <w:tc>
          <w:tcPr>
            <w:tcW w:w="3828" w:type="dxa"/>
            <w:tcBorders>
              <w:top w:val="nil"/>
              <w:left w:val="nil"/>
              <w:bottom w:val="nil"/>
              <w:right w:val="nil"/>
            </w:tcBorders>
          </w:tcPr>
          <w:p w14:paraId="2B74350F" w14:textId="666D8BAA" w:rsidR="00C72630" w:rsidRPr="00F5674C" w:rsidRDefault="00D94751" w:rsidP="00C72630">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72630" w:rsidRPr="00F5674C">
              <w:rPr>
                <w:rFonts w:ascii="Times New Roman" w:eastAsia="Times New Roman" w:hAnsi="Times New Roman" w:cs="Times New Roman"/>
                <w:iCs/>
                <w:color w:val="000000"/>
                <w:sz w:val="20"/>
                <w:szCs w:val="20"/>
                <w:lang w:val="en-US"/>
              </w:rPr>
              <w:t>HEI</w:t>
            </w:r>
            <w:r w:rsidR="001E2C83">
              <w:rPr>
                <w:rFonts w:ascii="Times New Roman" w:eastAsia="Times New Roman" w:hAnsi="Times New Roman" w:cs="Times New Roman"/>
                <w:iCs/>
                <w:color w:val="000000"/>
                <w:sz w:val="20"/>
                <w:szCs w:val="20"/>
                <w:lang w:val="en-US"/>
              </w:rPr>
              <w:t xml:space="preserve"> Performance</w:t>
            </w:r>
          </w:p>
        </w:tc>
        <w:tc>
          <w:tcPr>
            <w:tcW w:w="991" w:type="dxa"/>
            <w:tcBorders>
              <w:top w:val="nil"/>
              <w:left w:val="nil"/>
              <w:bottom w:val="nil"/>
              <w:right w:val="nil"/>
            </w:tcBorders>
          </w:tcPr>
          <w:p w14:paraId="63E08069" w14:textId="54611583"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1E2C83">
              <w:rPr>
                <w:rFonts w:ascii="Times New Roman" w:eastAsia="Times New Roman" w:hAnsi="Times New Roman" w:cs="Times New Roman"/>
                <w:sz w:val="20"/>
                <w:szCs w:val="20"/>
              </w:rPr>
              <w:t>27</w:t>
            </w:r>
            <w:r w:rsidR="00394410" w:rsidRPr="00394410">
              <w:rPr>
                <w:rFonts w:ascii="Times New Roman" w:eastAsia="Times New Roman" w:hAnsi="Times New Roman" w:cs="Times New Roman"/>
                <w:sz w:val="20"/>
                <w:szCs w:val="20"/>
                <w:vertAlign w:val="superscript"/>
              </w:rPr>
              <w:t>***</w:t>
            </w:r>
          </w:p>
          <w:p w14:paraId="24245040" w14:textId="3B7A0D68"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p>
        </w:tc>
        <w:tc>
          <w:tcPr>
            <w:tcW w:w="996" w:type="dxa"/>
            <w:tcBorders>
              <w:top w:val="nil"/>
              <w:left w:val="nil"/>
              <w:bottom w:val="nil"/>
              <w:right w:val="nil"/>
            </w:tcBorders>
          </w:tcPr>
          <w:p w14:paraId="56AE8A7D" w14:textId="09D85B01"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740FD">
              <w:rPr>
                <w:rFonts w:ascii="Times New Roman" w:eastAsia="Times New Roman" w:hAnsi="Times New Roman" w:cs="Times New Roman"/>
                <w:sz w:val="20"/>
                <w:szCs w:val="20"/>
              </w:rPr>
              <w:t>05</w:t>
            </w:r>
            <w:r w:rsidR="00394410" w:rsidRPr="00F5674C">
              <w:rPr>
                <w:rFonts w:ascii="Times New Roman" w:eastAsia="Times New Roman" w:hAnsi="Times New Roman" w:cs="Times New Roman"/>
                <w:sz w:val="20"/>
                <w:szCs w:val="20"/>
                <w:vertAlign w:val="superscript"/>
              </w:rPr>
              <w:t>***</w:t>
            </w:r>
          </w:p>
          <w:p w14:paraId="20276BE3" w14:textId="0F40C864"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w:t>
            </w:r>
            <w:r w:rsidR="004740FD">
              <w:rPr>
                <w:rFonts w:ascii="Times New Roman" w:eastAsia="Times New Roman" w:hAnsi="Times New Roman" w:cs="Times New Roman"/>
                <w:sz w:val="20"/>
                <w:szCs w:val="20"/>
              </w:rPr>
              <w:t>1</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091AE716" w14:textId="4354540F" w:rsidR="001E2C83" w:rsidRDefault="00C72630" w:rsidP="00C72630">
            <w:pPr>
              <w:spacing w:after="0"/>
              <w:ind w:right="-111"/>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30</w:t>
            </w:r>
            <w:r w:rsidR="00394410" w:rsidRPr="00394410">
              <w:rPr>
                <w:rFonts w:ascii="Times New Roman" w:eastAsia="Times New Roman" w:hAnsi="Times New Roman" w:cs="Times New Roman"/>
                <w:sz w:val="20"/>
                <w:szCs w:val="20"/>
                <w:vertAlign w:val="superscript"/>
              </w:rPr>
              <w:t>***</w:t>
            </w:r>
          </w:p>
          <w:p w14:paraId="2362A5A1" w14:textId="7AFD3535" w:rsidR="00C72630" w:rsidRPr="00F5674C" w:rsidRDefault="00C72630" w:rsidP="00C72630">
            <w:pPr>
              <w:spacing w:after="0"/>
              <w:ind w:right="-111"/>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p>
        </w:tc>
        <w:tc>
          <w:tcPr>
            <w:tcW w:w="236" w:type="dxa"/>
            <w:tcBorders>
              <w:top w:val="nil"/>
              <w:left w:val="nil"/>
              <w:bottom w:val="nil"/>
              <w:right w:val="nil"/>
            </w:tcBorders>
          </w:tcPr>
          <w:p w14:paraId="1A78D3E1"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2BA3B892" w14:textId="04258638"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F0CFD">
              <w:rPr>
                <w:rFonts w:ascii="Times New Roman" w:eastAsia="Times New Roman" w:hAnsi="Times New Roman" w:cs="Times New Roman"/>
                <w:sz w:val="20"/>
                <w:szCs w:val="20"/>
              </w:rPr>
              <w:t>007</w:t>
            </w:r>
          </w:p>
          <w:p w14:paraId="28650FAB" w14:textId="7093BC2D"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209</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062DD18C" w14:textId="5EEF275E"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E30146">
              <w:rPr>
                <w:rFonts w:ascii="Times New Roman" w:eastAsia="Times New Roman" w:hAnsi="Times New Roman" w:cs="Times New Roman"/>
                <w:sz w:val="20"/>
                <w:szCs w:val="20"/>
              </w:rPr>
              <w:t>03</w:t>
            </w:r>
            <w:r w:rsidR="00394410" w:rsidRPr="00394410">
              <w:rPr>
                <w:rFonts w:ascii="Times New Roman" w:eastAsia="Times New Roman" w:hAnsi="Times New Roman" w:cs="Times New Roman"/>
                <w:sz w:val="20"/>
                <w:szCs w:val="20"/>
                <w:vertAlign w:val="superscript"/>
              </w:rPr>
              <w:t>***</w:t>
            </w:r>
          </w:p>
          <w:p w14:paraId="4816DE0D" w14:textId="15E3C08A"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w:t>
            </w:r>
            <w:r w:rsidR="00E30146">
              <w:rPr>
                <w:rFonts w:ascii="Times New Roman" w:eastAsia="Times New Roman" w:hAnsi="Times New Roman" w:cs="Times New Roman"/>
                <w:sz w:val="20"/>
                <w:szCs w:val="20"/>
              </w:rPr>
              <w:t>4</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1289E2C1" w14:textId="6C486EDA" w:rsidR="001E2C83" w:rsidRDefault="00C72630" w:rsidP="00C72630">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6C3C66">
              <w:rPr>
                <w:rFonts w:ascii="Times New Roman" w:eastAsia="Times New Roman" w:hAnsi="Times New Roman" w:cs="Times New Roman"/>
                <w:sz w:val="20"/>
                <w:szCs w:val="20"/>
              </w:rPr>
              <w:t>010</w:t>
            </w:r>
            <w:r w:rsidR="00394410" w:rsidRPr="00394410">
              <w:rPr>
                <w:rFonts w:ascii="Times New Roman" w:eastAsia="Times New Roman" w:hAnsi="Times New Roman" w:cs="Times New Roman"/>
                <w:sz w:val="20"/>
                <w:szCs w:val="20"/>
                <w:vertAlign w:val="superscript"/>
              </w:rPr>
              <w:t>*</w:t>
            </w:r>
          </w:p>
          <w:p w14:paraId="305164C7" w14:textId="31D19F9A" w:rsidR="00C72630" w:rsidRPr="00F5674C" w:rsidRDefault="00C72630" w:rsidP="00C72630">
            <w:pPr>
              <w:spacing w:after="0"/>
              <w:ind w:right="-62"/>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6C3C66">
              <w:rPr>
                <w:rFonts w:ascii="Times New Roman" w:eastAsia="Times New Roman" w:hAnsi="Times New Roman" w:cs="Times New Roman"/>
                <w:sz w:val="20"/>
                <w:szCs w:val="20"/>
              </w:rPr>
              <w:t>90</w:t>
            </w:r>
            <w:r w:rsidRPr="00F5674C">
              <w:rPr>
                <w:rFonts w:ascii="Times New Roman" w:eastAsia="Times New Roman" w:hAnsi="Times New Roman" w:cs="Times New Roman"/>
                <w:sz w:val="20"/>
                <w:szCs w:val="20"/>
              </w:rPr>
              <w:t>)</w:t>
            </w:r>
          </w:p>
        </w:tc>
      </w:tr>
      <w:tr w:rsidR="00C72630" w:rsidRPr="00F5674C" w14:paraId="2E4FFA5E" w14:textId="77777777" w:rsidTr="00D94751">
        <w:trPr>
          <w:trHeight w:val="173"/>
        </w:trPr>
        <w:tc>
          <w:tcPr>
            <w:tcW w:w="10213" w:type="dxa"/>
            <w:gridSpan w:val="8"/>
            <w:tcBorders>
              <w:top w:val="nil"/>
              <w:left w:val="nil"/>
              <w:bottom w:val="nil"/>
              <w:right w:val="nil"/>
            </w:tcBorders>
          </w:tcPr>
          <w:p w14:paraId="6E2FB40D" w14:textId="77777777" w:rsidR="00C72630" w:rsidRPr="00F5674C" w:rsidRDefault="00C72630" w:rsidP="00C72630">
            <w:pPr>
              <w:spacing w:after="0"/>
              <w:rPr>
                <w:rFonts w:ascii="Times New Roman" w:eastAsia="Times New Roman" w:hAnsi="Times New Roman" w:cs="Times New Roman"/>
                <w:i/>
                <w:iCs/>
                <w:sz w:val="10"/>
                <w:szCs w:val="10"/>
              </w:rPr>
            </w:pPr>
            <w:r w:rsidRPr="00F5674C">
              <w:rPr>
                <w:rFonts w:ascii="Times New Roman" w:eastAsia="Times New Roman" w:hAnsi="Times New Roman" w:cs="Times New Roman"/>
                <w:i/>
                <w:iCs/>
                <w:sz w:val="10"/>
                <w:szCs w:val="10"/>
              </w:rPr>
              <w:t>\</w:t>
            </w:r>
          </w:p>
          <w:p w14:paraId="371B531B"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i/>
                <w:iCs/>
                <w:sz w:val="20"/>
                <w:szCs w:val="20"/>
              </w:rPr>
              <w:t>Controls (governance mechanisms)</w:t>
            </w:r>
          </w:p>
        </w:tc>
      </w:tr>
      <w:tr w:rsidR="00E30146" w:rsidRPr="00F5674C" w14:paraId="22DA2DBC" w14:textId="77777777" w:rsidTr="00D94751">
        <w:trPr>
          <w:trHeight w:val="173"/>
        </w:trPr>
        <w:tc>
          <w:tcPr>
            <w:tcW w:w="3828" w:type="dxa"/>
            <w:tcBorders>
              <w:top w:val="nil"/>
              <w:left w:val="nil"/>
              <w:bottom w:val="nil"/>
              <w:right w:val="nil"/>
            </w:tcBorders>
          </w:tcPr>
          <w:p w14:paraId="4D44AD88" w14:textId="120B4117" w:rsidR="00C72630" w:rsidRPr="00F5674C" w:rsidRDefault="00D94751" w:rsidP="00C72630">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72630" w:rsidRPr="00F5674C">
              <w:rPr>
                <w:rFonts w:ascii="Times New Roman" w:eastAsia="Times New Roman" w:hAnsi="Times New Roman" w:cs="Times New Roman"/>
                <w:iCs/>
                <w:color w:val="000000"/>
                <w:sz w:val="20"/>
                <w:szCs w:val="20"/>
                <w:lang w:val="en-US"/>
              </w:rPr>
              <w:t>P</w:t>
            </w:r>
            <w:r w:rsidR="00A0576D">
              <w:rPr>
                <w:rFonts w:ascii="Times New Roman" w:eastAsia="Times New Roman" w:hAnsi="Times New Roman" w:cs="Times New Roman"/>
                <w:iCs/>
                <w:color w:val="000000"/>
                <w:sz w:val="20"/>
                <w:szCs w:val="20"/>
                <w:lang w:val="en-US"/>
              </w:rPr>
              <w:t>resence of Remuneration Committee</w:t>
            </w:r>
          </w:p>
        </w:tc>
        <w:tc>
          <w:tcPr>
            <w:tcW w:w="991" w:type="dxa"/>
            <w:tcBorders>
              <w:top w:val="nil"/>
              <w:left w:val="nil"/>
              <w:bottom w:val="nil"/>
              <w:right w:val="nil"/>
            </w:tcBorders>
          </w:tcPr>
          <w:p w14:paraId="33BE1096" w14:textId="2F159855" w:rsidR="001E2C83" w:rsidRDefault="00E52468"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w:t>
            </w:r>
            <w:r w:rsidR="001E2C83">
              <w:rPr>
                <w:rFonts w:ascii="Times New Roman" w:eastAsia="Times New Roman" w:hAnsi="Times New Roman" w:cs="Times New Roman"/>
                <w:sz w:val="20"/>
                <w:szCs w:val="20"/>
              </w:rPr>
              <w:t>06</w:t>
            </w:r>
          </w:p>
          <w:p w14:paraId="5EC21BE3" w14:textId="3B43D137"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1E2C83">
              <w:rPr>
                <w:rFonts w:ascii="Times New Roman" w:eastAsia="Times New Roman" w:hAnsi="Times New Roman" w:cs="Times New Roman"/>
                <w:sz w:val="20"/>
                <w:szCs w:val="20"/>
              </w:rPr>
              <w:t>842</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2A341BBE" w14:textId="78613C51" w:rsidR="004740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4740FD">
              <w:rPr>
                <w:rFonts w:ascii="Times New Roman" w:eastAsia="Times New Roman" w:hAnsi="Times New Roman" w:cs="Times New Roman"/>
                <w:sz w:val="20"/>
                <w:szCs w:val="20"/>
              </w:rPr>
              <w:t>016</w:t>
            </w:r>
            <w:r w:rsidR="00394410" w:rsidRPr="00394410">
              <w:rPr>
                <w:rFonts w:ascii="Times New Roman" w:eastAsia="Times New Roman" w:hAnsi="Times New Roman" w:cs="Times New Roman"/>
                <w:sz w:val="20"/>
                <w:szCs w:val="20"/>
                <w:vertAlign w:val="superscript"/>
              </w:rPr>
              <w:t>**</w:t>
            </w:r>
          </w:p>
          <w:p w14:paraId="57B4B95E" w14:textId="3CE0EA7B"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4740FD">
              <w:rPr>
                <w:rFonts w:ascii="Times New Roman" w:eastAsia="Times New Roman" w:hAnsi="Times New Roman" w:cs="Times New Roman"/>
                <w:sz w:val="20"/>
                <w:szCs w:val="20"/>
              </w:rPr>
              <w:t>22</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45089EBC" w14:textId="2045655A"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08</w:t>
            </w:r>
          </w:p>
          <w:p w14:paraId="4B382630" w14:textId="6A6D2DB5"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446E30">
              <w:rPr>
                <w:rFonts w:ascii="Times New Roman" w:eastAsia="Times New Roman" w:hAnsi="Times New Roman" w:cs="Times New Roman"/>
                <w:sz w:val="20"/>
                <w:szCs w:val="20"/>
              </w:rPr>
              <w:t>816</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441DCD83"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06E90889" w14:textId="6A81C054" w:rsidR="00AF0CFD" w:rsidRDefault="00E52468"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w:t>
            </w:r>
            <w:r w:rsidR="00AF0CFD">
              <w:rPr>
                <w:rFonts w:ascii="Times New Roman" w:eastAsia="Times New Roman" w:hAnsi="Times New Roman" w:cs="Times New Roman"/>
                <w:sz w:val="20"/>
                <w:szCs w:val="20"/>
              </w:rPr>
              <w:t>014</w:t>
            </w:r>
          </w:p>
          <w:p w14:paraId="4661FEC5" w14:textId="3CFBBC05"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D81F39">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661</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7CC30FBF" w14:textId="1B904EA5" w:rsidR="00E3014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E30146">
              <w:rPr>
                <w:rFonts w:ascii="Times New Roman" w:eastAsia="Times New Roman" w:hAnsi="Times New Roman" w:cs="Times New Roman"/>
                <w:sz w:val="20"/>
                <w:szCs w:val="20"/>
              </w:rPr>
              <w:t>18</w:t>
            </w:r>
            <w:r w:rsidR="00394410" w:rsidRPr="00394410">
              <w:rPr>
                <w:rFonts w:ascii="Times New Roman" w:eastAsia="Times New Roman" w:hAnsi="Times New Roman" w:cs="Times New Roman"/>
                <w:sz w:val="20"/>
                <w:szCs w:val="20"/>
                <w:vertAlign w:val="superscript"/>
              </w:rPr>
              <w:t>***</w:t>
            </w:r>
          </w:p>
          <w:p w14:paraId="38779FC9" w14:textId="13B7BAEB"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E30146">
              <w:rPr>
                <w:rFonts w:ascii="Times New Roman" w:eastAsia="Times New Roman" w:hAnsi="Times New Roman" w:cs="Times New Roman"/>
                <w:sz w:val="20"/>
                <w:szCs w:val="20"/>
              </w:rPr>
              <w:t>10</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117D8C17" w14:textId="714E0200" w:rsidR="006C3C6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6C3C66">
              <w:rPr>
                <w:rFonts w:ascii="Times New Roman" w:eastAsia="Times New Roman" w:hAnsi="Times New Roman" w:cs="Times New Roman"/>
                <w:sz w:val="20"/>
                <w:szCs w:val="20"/>
              </w:rPr>
              <w:t>000</w:t>
            </w:r>
          </w:p>
          <w:p w14:paraId="6039C227" w14:textId="7A8C851B"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6C3C66">
              <w:rPr>
                <w:rFonts w:ascii="Times New Roman" w:eastAsia="Times New Roman" w:hAnsi="Times New Roman" w:cs="Times New Roman"/>
                <w:sz w:val="20"/>
                <w:szCs w:val="20"/>
              </w:rPr>
              <w:t>996</w:t>
            </w:r>
            <w:r w:rsidRPr="00F5674C">
              <w:rPr>
                <w:rFonts w:ascii="Times New Roman" w:eastAsia="Times New Roman" w:hAnsi="Times New Roman" w:cs="Times New Roman"/>
                <w:sz w:val="20"/>
                <w:szCs w:val="20"/>
              </w:rPr>
              <w:t>)</w:t>
            </w:r>
          </w:p>
        </w:tc>
      </w:tr>
      <w:tr w:rsidR="00E30146" w:rsidRPr="00F5674C" w14:paraId="4D1C6096" w14:textId="77777777" w:rsidTr="00D94751">
        <w:trPr>
          <w:trHeight w:val="91"/>
        </w:trPr>
        <w:tc>
          <w:tcPr>
            <w:tcW w:w="3828" w:type="dxa"/>
            <w:tcBorders>
              <w:top w:val="nil"/>
              <w:left w:val="nil"/>
              <w:bottom w:val="nil"/>
              <w:right w:val="nil"/>
            </w:tcBorders>
          </w:tcPr>
          <w:p w14:paraId="2719376D" w14:textId="4B2925A2" w:rsidR="00C72630" w:rsidRPr="00F5674C" w:rsidRDefault="00D94751" w:rsidP="00C72630">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A0576D">
              <w:rPr>
                <w:rFonts w:ascii="Times New Roman" w:eastAsia="Times New Roman" w:hAnsi="Times New Roman" w:cs="Times New Roman"/>
                <w:iCs/>
                <w:color w:val="000000"/>
                <w:sz w:val="20"/>
                <w:szCs w:val="20"/>
                <w:lang w:val="en-US"/>
              </w:rPr>
              <w:t>Presence of Governance Committee</w:t>
            </w:r>
          </w:p>
        </w:tc>
        <w:tc>
          <w:tcPr>
            <w:tcW w:w="991" w:type="dxa"/>
            <w:tcBorders>
              <w:top w:val="nil"/>
              <w:left w:val="nil"/>
              <w:bottom w:val="nil"/>
              <w:right w:val="nil"/>
            </w:tcBorders>
          </w:tcPr>
          <w:p w14:paraId="093B4563" w14:textId="77777777" w:rsidR="001E2C83" w:rsidRDefault="001E2C83"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p>
          <w:p w14:paraId="0D7017EF" w14:textId="27D09D9D"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1E2C83">
              <w:rPr>
                <w:rFonts w:ascii="Times New Roman" w:eastAsia="Times New Roman" w:hAnsi="Times New Roman" w:cs="Times New Roman"/>
                <w:sz w:val="20"/>
                <w:szCs w:val="20"/>
              </w:rPr>
              <w:t>909</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5980009D" w14:textId="00998E93" w:rsidR="004740FD" w:rsidRDefault="004740FD"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4</w:t>
            </w:r>
          </w:p>
          <w:p w14:paraId="2052DC4E" w14:textId="45362271"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4740FD">
              <w:rPr>
                <w:rFonts w:ascii="Times New Roman" w:eastAsia="Times New Roman" w:hAnsi="Times New Roman" w:cs="Times New Roman"/>
                <w:sz w:val="20"/>
                <w:szCs w:val="20"/>
              </w:rPr>
              <w:t>925</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0180F550" w14:textId="7C16185B" w:rsidR="00446E30" w:rsidRDefault="00446E30" w:rsidP="00C72630">
            <w:pPr>
              <w:spacing w:after="0"/>
              <w:ind w:right="-111"/>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p>
          <w:p w14:paraId="25DA63D2" w14:textId="5B01AFFD" w:rsidR="00C72630" w:rsidRPr="00F5674C" w:rsidRDefault="00C72630" w:rsidP="00C72630">
            <w:pPr>
              <w:spacing w:after="0"/>
              <w:ind w:right="-111"/>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446E30">
              <w:rPr>
                <w:rFonts w:ascii="Times New Roman" w:eastAsia="Times New Roman" w:hAnsi="Times New Roman" w:cs="Times New Roman"/>
                <w:sz w:val="20"/>
                <w:szCs w:val="20"/>
              </w:rPr>
              <w:t>912</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46342DB4"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54627E37" w14:textId="33D0C914" w:rsidR="00AF0CFD" w:rsidRDefault="00AF0CFD"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-0.004</w:t>
            </w:r>
          </w:p>
          <w:p w14:paraId="5ACA37FE" w14:textId="7A4C6225"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856</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512CA48C" w14:textId="4E181725" w:rsidR="00E30146" w:rsidRDefault="00E30146"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0</w:t>
            </w:r>
          </w:p>
          <w:p w14:paraId="1AD2F0CE" w14:textId="312ECF1E"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987</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342C88ED" w14:textId="74F041F7" w:rsidR="006C3C66" w:rsidRDefault="006C3C66"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-0.004</w:t>
            </w:r>
          </w:p>
          <w:p w14:paraId="296CC709" w14:textId="057D666E"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6C3C66">
              <w:rPr>
                <w:rFonts w:ascii="Times New Roman" w:eastAsia="Times New Roman" w:hAnsi="Times New Roman" w:cs="Times New Roman"/>
                <w:sz w:val="20"/>
                <w:szCs w:val="20"/>
              </w:rPr>
              <w:t>890</w:t>
            </w:r>
            <w:r w:rsidRPr="00F5674C">
              <w:rPr>
                <w:rFonts w:ascii="Times New Roman" w:eastAsia="Times New Roman" w:hAnsi="Times New Roman" w:cs="Times New Roman"/>
                <w:sz w:val="20"/>
                <w:szCs w:val="20"/>
              </w:rPr>
              <w:t>)</w:t>
            </w:r>
          </w:p>
        </w:tc>
      </w:tr>
      <w:tr w:rsidR="00E30146" w:rsidRPr="00F5674C" w14:paraId="4BD3D51C" w14:textId="77777777" w:rsidTr="00D94751">
        <w:trPr>
          <w:trHeight w:val="87"/>
        </w:trPr>
        <w:tc>
          <w:tcPr>
            <w:tcW w:w="3828" w:type="dxa"/>
            <w:tcBorders>
              <w:top w:val="nil"/>
              <w:left w:val="nil"/>
              <w:bottom w:val="nil"/>
              <w:right w:val="nil"/>
            </w:tcBorders>
          </w:tcPr>
          <w:p w14:paraId="54B23CCC" w14:textId="425C166B" w:rsidR="00C72630" w:rsidRPr="00F5674C" w:rsidRDefault="00D94751" w:rsidP="00C72630">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A0576D">
              <w:rPr>
                <w:rFonts w:ascii="Times New Roman" w:eastAsia="Times New Roman" w:hAnsi="Times New Roman" w:cs="Times New Roman"/>
                <w:iCs/>
                <w:color w:val="000000"/>
                <w:sz w:val="20"/>
                <w:szCs w:val="20"/>
                <w:lang w:val="en-US"/>
              </w:rPr>
              <w:t>Executive Management Team Size</w:t>
            </w:r>
          </w:p>
        </w:tc>
        <w:tc>
          <w:tcPr>
            <w:tcW w:w="991" w:type="dxa"/>
            <w:tcBorders>
              <w:top w:val="nil"/>
              <w:left w:val="nil"/>
              <w:bottom w:val="nil"/>
              <w:right w:val="nil"/>
            </w:tcBorders>
          </w:tcPr>
          <w:p w14:paraId="358CD3E7" w14:textId="724D3666"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-0.02</w:t>
            </w:r>
            <w:r w:rsidR="001E2C83">
              <w:rPr>
                <w:rFonts w:ascii="Times New Roman" w:eastAsia="Times New Roman" w:hAnsi="Times New Roman" w:cs="Times New Roman"/>
                <w:sz w:val="20"/>
                <w:szCs w:val="20"/>
              </w:rPr>
              <w:t>5</w:t>
            </w:r>
            <w:r w:rsidR="00394410" w:rsidRPr="00394410">
              <w:rPr>
                <w:rFonts w:ascii="Times New Roman" w:eastAsia="Times New Roman" w:hAnsi="Times New Roman" w:cs="Times New Roman"/>
                <w:sz w:val="20"/>
                <w:szCs w:val="20"/>
                <w:vertAlign w:val="superscript"/>
              </w:rPr>
              <w:t>**</w:t>
            </w:r>
          </w:p>
          <w:p w14:paraId="54D343F0" w14:textId="3188371A"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(.01</w:t>
            </w:r>
            <w:r w:rsidR="001E2C83">
              <w:rPr>
                <w:rFonts w:ascii="Times New Roman" w:eastAsia="Times New Roman" w:hAnsi="Times New Roman" w:cs="Times New Roman"/>
                <w:sz w:val="20"/>
                <w:szCs w:val="20"/>
              </w:rPr>
              <w:t>9</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24F6EE19" w14:textId="6627E0E9" w:rsidR="004740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4740FD">
              <w:rPr>
                <w:rFonts w:ascii="Times New Roman" w:eastAsia="Times New Roman" w:hAnsi="Times New Roman" w:cs="Times New Roman"/>
                <w:sz w:val="20"/>
                <w:szCs w:val="20"/>
              </w:rPr>
              <w:t>6</w:t>
            </w:r>
          </w:p>
          <w:p w14:paraId="47E22242" w14:textId="2315A0F4"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735F7E">
              <w:rPr>
                <w:rFonts w:ascii="Times New Roman" w:eastAsia="Times New Roman" w:hAnsi="Times New Roman" w:cs="Times New Roman"/>
                <w:sz w:val="20"/>
                <w:szCs w:val="20"/>
              </w:rPr>
              <w:t>777</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4DAAF22A" w14:textId="08241071"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25</w:t>
            </w:r>
            <w:r w:rsidR="00394410" w:rsidRPr="00394410">
              <w:rPr>
                <w:rFonts w:ascii="Times New Roman" w:eastAsia="Times New Roman" w:hAnsi="Times New Roman" w:cs="Times New Roman"/>
                <w:sz w:val="20"/>
                <w:szCs w:val="20"/>
                <w:vertAlign w:val="superscript"/>
              </w:rPr>
              <w:t>**</w:t>
            </w:r>
          </w:p>
          <w:p w14:paraId="4949102C" w14:textId="4FFD2C1C"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446E30">
              <w:rPr>
                <w:rFonts w:ascii="Times New Roman" w:eastAsia="Times New Roman" w:hAnsi="Times New Roman" w:cs="Times New Roman"/>
                <w:sz w:val="20"/>
                <w:szCs w:val="20"/>
              </w:rPr>
              <w:t>34</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12FE4BCB"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0CC5DC89" w14:textId="1564748B" w:rsidR="00AF0C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F0CFD">
              <w:rPr>
                <w:rFonts w:ascii="Times New Roman" w:eastAsia="Times New Roman" w:hAnsi="Times New Roman" w:cs="Times New Roman"/>
                <w:sz w:val="20"/>
                <w:szCs w:val="20"/>
              </w:rPr>
              <w:t>022</w:t>
            </w:r>
            <w:r w:rsidR="00403102" w:rsidRPr="00403102">
              <w:rPr>
                <w:rFonts w:ascii="Times New Roman" w:eastAsia="Times New Roman" w:hAnsi="Times New Roman" w:cs="Times New Roman"/>
                <w:sz w:val="20"/>
                <w:szCs w:val="20"/>
                <w:vertAlign w:val="superscript"/>
              </w:rPr>
              <w:t>**</w:t>
            </w:r>
          </w:p>
          <w:p w14:paraId="40AE5C20" w14:textId="63A393A8"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F0CFD">
              <w:rPr>
                <w:rFonts w:ascii="Times New Roman" w:eastAsia="Times New Roman" w:hAnsi="Times New Roman" w:cs="Times New Roman"/>
                <w:sz w:val="20"/>
                <w:szCs w:val="20"/>
              </w:rPr>
              <w:t>39</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0A214028" w14:textId="61EC0E32" w:rsidR="00E3014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E30146">
              <w:rPr>
                <w:rFonts w:ascii="Times New Roman" w:eastAsia="Times New Roman" w:hAnsi="Times New Roman" w:cs="Times New Roman"/>
                <w:sz w:val="20"/>
                <w:szCs w:val="20"/>
              </w:rPr>
              <w:t>01</w:t>
            </w:r>
          </w:p>
          <w:p w14:paraId="7C1105FF" w14:textId="1875B12E"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595</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7526A570" w14:textId="4FAAD485" w:rsidR="006C3C6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6C3C66">
              <w:rPr>
                <w:rFonts w:ascii="Times New Roman" w:eastAsia="Times New Roman" w:hAnsi="Times New Roman" w:cs="Times New Roman"/>
                <w:sz w:val="20"/>
                <w:szCs w:val="20"/>
              </w:rPr>
              <w:t>22</w:t>
            </w:r>
            <w:r w:rsidR="00403102" w:rsidRPr="00403102">
              <w:rPr>
                <w:rFonts w:ascii="Times New Roman" w:eastAsia="Times New Roman" w:hAnsi="Times New Roman" w:cs="Times New Roman"/>
                <w:sz w:val="20"/>
                <w:szCs w:val="20"/>
                <w:vertAlign w:val="superscript"/>
              </w:rPr>
              <w:t>*</w:t>
            </w:r>
          </w:p>
          <w:p w14:paraId="342007B1" w14:textId="6A705CB7"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6C3C66">
              <w:rPr>
                <w:rFonts w:ascii="Times New Roman" w:eastAsia="Times New Roman" w:hAnsi="Times New Roman" w:cs="Times New Roman"/>
                <w:sz w:val="20"/>
                <w:szCs w:val="20"/>
              </w:rPr>
              <w:t>64</w:t>
            </w:r>
            <w:r w:rsidRPr="00F5674C">
              <w:rPr>
                <w:rFonts w:ascii="Times New Roman" w:eastAsia="Times New Roman" w:hAnsi="Times New Roman" w:cs="Times New Roman"/>
                <w:sz w:val="20"/>
                <w:szCs w:val="20"/>
              </w:rPr>
              <w:t>)</w:t>
            </w:r>
          </w:p>
        </w:tc>
      </w:tr>
      <w:tr w:rsidR="00E30146" w:rsidRPr="00F5674C" w14:paraId="56C729C7" w14:textId="77777777" w:rsidTr="00D94751">
        <w:trPr>
          <w:trHeight w:val="87"/>
        </w:trPr>
        <w:tc>
          <w:tcPr>
            <w:tcW w:w="3828" w:type="dxa"/>
            <w:tcBorders>
              <w:top w:val="nil"/>
              <w:left w:val="nil"/>
              <w:bottom w:val="nil"/>
              <w:right w:val="nil"/>
            </w:tcBorders>
          </w:tcPr>
          <w:p w14:paraId="18A37BC6" w14:textId="10E7F39A" w:rsidR="00C72630" w:rsidRPr="00F5674C" w:rsidRDefault="00D94751" w:rsidP="00A0576D">
            <w:pPr>
              <w:spacing w:after="0" w:line="240" w:lineRule="auto"/>
              <w:ind w:right="-114"/>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A0576D">
              <w:rPr>
                <w:rFonts w:ascii="Times New Roman" w:eastAsia="Times New Roman" w:hAnsi="Times New Roman" w:cs="Times New Roman"/>
                <w:iCs/>
                <w:color w:val="000000"/>
                <w:sz w:val="20"/>
                <w:szCs w:val="20"/>
                <w:lang w:val="en-US"/>
              </w:rPr>
              <w:t>Executive Management Team Diversity</w:t>
            </w:r>
          </w:p>
        </w:tc>
        <w:tc>
          <w:tcPr>
            <w:tcW w:w="991" w:type="dxa"/>
            <w:tcBorders>
              <w:top w:val="nil"/>
              <w:left w:val="nil"/>
              <w:bottom w:val="nil"/>
              <w:right w:val="nil"/>
            </w:tcBorders>
          </w:tcPr>
          <w:p w14:paraId="4573E748" w14:textId="7FD5CDD3"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1E2C83">
              <w:rPr>
                <w:rFonts w:ascii="Times New Roman" w:eastAsia="Times New Roman" w:hAnsi="Times New Roman" w:cs="Times New Roman"/>
                <w:sz w:val="20"/>
                <w:szCs w:val="20"/>
              </w:rPr>
              <w:t>38</w:t>
            </w:r>
            <w:r w:rsidR="00394410" w:rsidRPr="00394410">
              <w:rPr>
                <w:rFonts w:ascii="Times New Roman" w:eastAsia="Times New Roman" w:hAnsi="Times New Roman" w:cs="Times New Roman"/>
                <w:sz w:val="20"/>
                <w:szCs w:val="20"/>
                <w:vertAlign w:val="superscript"/>
              </w:rPr>
              <w:t>**</w:t>
            </w:r>
          </w:p>
          <w:p w14:paraId="52D02449" w14:textId="42BDAD83" w:rsidR="00C72630" w:rsidRPr="001E2C83"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1E2C83">
              <w:rPr>
                <w:rFonts w:ascii="Times New Roman" w:eastAsia="Times New Roman" w:hAnsi="Times New Roman" w:cs="Times New Roman"/>
                <w:sz w:val="20"/>
                <w:szCs w:val="20"/>
              </w:rPr>
              <w:t>015</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49FCE0D3" w14:textId="0FCC7C52" w:rsidR="004740FD" w:rsidRDefault="00735F7E"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0.004</w:t>
            </w:r>
          </w:p>
          <w:p w14:paraId="160CD7B1" w14:textId="0229D961"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(.2</w:t>
            </w:r>
            <w:r w:rsidR="00735F7E">
              <w:rPr>
                <w:rFonts w:ascii="Times New Roman" w:eastAsia="Times New Roman" w:hAnsi="Times New Roman" w:cs="Times New Roman"/>
                <w:sz w:val="20"/>
                <w:szCs w:val="20"/>
              </w:rPr>
              <w:t>78</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074DD948" w14:textId="132F8E51"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42</w:t>
            </w:r>
            <w:r w:rsidR="00394410" w:rsidRPr="00394410">
              <w:rPr>
                <w:rFonts w:ascii="Times New Roman" w:eastAsia="Times New Roman" w:hAnsi="Times New Roman" w:cs="Times New Roman"/>
                <w:sz w:val="20"/>
                <w:szCs w:val="20"/>
                <w:vertAlign w:val="superscript"/>
              </w:rPr>
              <w:t>**</w:t>
            </w:r>
          </w:p>
          <w:p w14:paraId="05BB6C9C" w14:textId="42399F2D" w:rsidR="00C72630" w:rsidRPr="00446E30"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446E30">
              <w:rPr>
                <w:rFonts w:ascii="Times New Roman" w:eastAsia="Times New Roman" w:hAnsi="Times New Roman" w:cs="Times New Roman"/>
                <w:sz w:val="20"/>
                <w:szCs w:val="20"/>
              </w:rPr>
              <w:t>015</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02423ED8"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235471B3" w14:textId="588C81E1" w:rsidR="00AF0C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0CFD">
              <w:rPr>
                <w:rFonts w:ascii="Times New Roman" w:eastAsia="Times New Roman" w:hAnsi="Times New Roman" w:cs="Times New Roman"/>
                <w:sz w:val="20"/>
                <w:szCs w:val="20"/>
              </w:rPr>
              <w:t>41</w:t>
            </w:r>
            <w:r w:rsidR="00394410" w:rsidRPr="00394410">
              <w:rPr>
                <w:rFonts w:ascii="Times New Roman" w:eastAsia="Times New Roman" w:hAnsi="Times New Roman" w:cs="Times New Roman"/>
                <w:sz w:val="20"/>
                <w:szCs w:val="20"/>
                <w:vertAlign w:val="superscript"/>
              </w:rPr>
              <w:t>**</w:t>
            </w:r>
          </w:p>
          <w:p w14:paraId="4271915A" w14:textId="67D6B645" w:rsidR="00C72630" w:rsidRPr="00AF0CFD"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021</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7AE382C3" w14:textId="454AB036" w:rsidR="00E30146" w:rsidRDefault="00E30146"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-0.004</w:t>
            </w:r>
          </w:p>
          <w:p w14:paraId="19E1FBF9" w14:textId="40683CD9"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269</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7FF004F4" w14:textId="3CC70079" w:rsidR="006C3C66" w:rsidRDefault="00C72630" w:rsidP="00C72630">
            <w:pPr>
              <w:spacing w:after="0"/>
              <w:ind w:right="-69"/>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6C3C66">
              <w:rPr>
                <w:rFonts w:ascii="Times New Roman" w:eastAsia="Times New Roman" w:hAnsi="Times New Roman" w:cs="Times New Roman"/>
                <w:sz w:val="20"/>
                <w:szCs w:val="20"/>
              </w:rPr>
              <w:t>47</w:t>
            </w:r>
            <w:r w:rsidR="00394410" w:rsidRPr="00394410">
              <w:rPr>
                <w:rFonts w:ascii="Times New Roman" w:eastAsia="Times New Roman" w:hAnsi="Times New Roman" w:cs="Times New Roman"/>
                <w:sz w:val="20"/>
                <w:szCs w:val="20"/>
                <w:vertAlign w:val="superscript"/>
              </w:rPr>
              <w:t>**</w:t>
            </w:r>
          </w:p>
          <w:p w14:paraId="0D8C3482" w14:textId="31A895E3" w:rsidR="00C72630" w:rsidRPr="006C3C66" w:rsidRDefault="00C72630" w:rsidP="00C72630">
            <w:pPr>
              <w:spacing w:after="0"/>
              <w:ind w:right="-69"/>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6C3C66">
              <w:rPr>
                <w:rFonts w:ascii="Times New Roman" w:eastAsia="Times New Roman" w:hAnsi="Times New Roman" w:cs="Times New Roman"/>
                <w:sz w:val="20"/>
                <w:szCs w:val="20"/>
              </w:rPr>
              <w:t>019</w:t>
            </w:r>
            <w:r w:rsidRPr="00F5674C">
              <w:rPr>
                <w:rFonts w:ascii="Times New Roman" w:eastAsia="Times New Roman" w:hAnsi="Times New Roman" w:cs="Times New Roman"/>
                <w:sz w:val="20"/>
                <w:szCs w:val="20"/>
              </w:rPr>
              <w:t>)</w:t>
            </w:r>
          </w:p>
        </w:tc>
      </w:tr>
      <w:tr w:rsidR="00E30146" w:rsidRPr="00F5674C" w14:paraId="3BE1C2E2" w14:textId="77777777" w:rsidTr="00D94751">
        <w:trPr>
          <w:trHeight w:val="87"/>
        </w:trPr>
        <w:tc>
          <w:tcPr>
            <w:tcW w:w="3828" w:type="dxa"/>
            <w:tcBorders>
              <w:top w:val="nil"/>
              <w:left w:val="nil"/>
              <w:bottom w:val="nil"/>
              <w:right w:val="nil"/>
            </w:tcBorders>
          </w:tcPr>
          <w:p w14:paraId="319AAD3B" w14:textId="5F8D95EB" w:rsidR="00C72630" w:rsidRPr="00F5674C" w:rsidRDefault="00D94751" w:rsidP="00C72630">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A0576D">
              <w:rPr>
                <w:rFonts w:ascii="Times New Roman" w:eastAsia="Times New Roman" w:hAnsi="Times New Roman" w:cs="Times New Roman"/>
                <w:iCs/>
                <w:color w:val="000000"/>
                <w:sz w:val="20"/>
                <w:szCs w:val="20"/>
                <w:lang w:val="en-US"/>
              </w:rPr>
              <w:t>Executive Management Team Meeting</w:t>
            </w:r>
          </w:p>
        </w:tc>
        <w:tc>
          <w:tcPr>
            <w:tcW w:w="991" w:type="dxa"/>
            <w:tcBorders>
              <w:top w:val="nil"/>
              <w:left w:val="nil"/>
              <w:bottom w:val="nil"/>
              <w:right w:val="nil"/>
            </w:tcBorders>
          </w:tcPr>
          <w:p w14:paraId="014BA493" w14:textId="77777777"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1E2C83">
              <w:rPr>
                <w:rFonts w:ascii="Times New Roman" w:eastAsia="Times New Roman" w:hAnsi="Times New Roman" w:cs="Times New Roman"/>
                <w:sz w:val="20"/>
                <w:szCs w:val="20"/>
              </w:rPr>
              <w:t>08</w:t>
            </w:r>
          </w:p>
          <w:p w14:paraId="15F48687" w14:textId="12708283"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1E2C83">
              <w:rPr>
                <w:rFonts w:ascii="Times New Roman" w:eastAsia="Times New Roman" w:hAnsi="Times New Roman" w:cs="Times New Roman"/>
                <w:sz w:val="20"/>
                <w:szCs w:val="20"/>
              </w:rPr>
              <w:t>652</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7BA47B38" w14:textId="2970CB1E" w:rsidR="004740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735F7E">
              <w:rPr>
                <w:rFonts w:ascii="Times New Roman" w:eastAsia="Times New Roman" w:hAnsi="Times New Roman" w:cs="Times New Roman"/>
                <w:sz w:val="20"/>
                <w:szCs w:val="20"/>
              </w:rPr>
              <w:t>9</w:t>
            </w:r>
            <w:r w:rsidR="00394410" w:rsidRPr="00394410">
              <w:rPr>
                <w:rFonts w:ascii="Times New Roman" w:eastAsia="Times New Roman" w:hAnsi="Times New Roman" w:cs="Times New Roman"/>
                <w:sz w:val="20"/>
                <w:szCs w:val="20"/>
                <w:vertAlign w:val="superscript"/>
              </w:rPr>
              <w:t>**</w:t>
            </w:r>
          </w:p>
          <w:p w14:paraId="60D9B791" w14:textId="4411EC14"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735F7E">
              <w:rPr>
                <w:rFonts w:ascii="Times New Roman" w:eastAsia="Times New Roman" w:hAnsi="Times New Roman" w:cs="Times New Roman"/>
                <w:sz w:val="20"/>
                <w:szCs w:val="20"/>
              </w:rPr>
              <w:t>19</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0D366F84" w14:textId="7851557F"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17</w:t>
            </w:r>
          </w:p>
          <w:p w14:paraId="1B641D4E" w14:textId="2309133B"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446E30">
              <w:rPr>
                <w:rFonts w:ascii="Times New Roman" w:eastAsia="Times New Roman" w:hAnsi="Times New Roman" w:cs="Times New Roman"/>
                <w:sz w:val="20"/>
                <w:szCs w:val="20"/>
              </w:rPr>
              <w:t>381</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6AC4F4D4"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3C8C3158" w14:textId="530852CA" w:rsidR="00AF0C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0CFD">
              <w:rPr>
                <w:rFonts w:ascii="Times New Roman" w:eastAsia="Times New Roman" w:hAnsi="Times New Roman" w:cs="Times New Roman"/>
                <w:sz w:val="20"/>
                <w:szCs w:val="20"/>
              </w:rPr>
              <w:t>02</w:t>
            </w:r>
          </w:p>
          <w:p w14:paraId="20F14B66" w14:textId="675DFACD"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932</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2DE6B0A5" w14:textId="44CF0D17" w:rsidR="00E3014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E30146">
              <w:rPr>
                <w:rFonts w:ascii="Times New Roman" w:eastAsia="Times New Roman" w:hAnsi="Times New Roman" w:cs="Times New Roman"/>
                <w:sz w:val="20"/>
                <w:szCs w:val="20"/>
              </w:rPr>
              <w:t>8</w:t>
            </w:r>
            <w:r w:rsidR="00394410" w:rsidRPr="00394410">
              <w:rPr>
                <w:rFonts w:ascii="Times New Roman" w:eastAsia="Times New Roman" w:hAnsi="Times New Roman" w:cs="Times New Roman"/>
                <w:sz w:val="20"/>
                <w:szCs w:val="20"/>
                <w:vertAlign w:val="superscript"/>
              </w:rPr>
              <w:t>**</w:t>
            </w:r>
          </w:p>
          <w:p w14:paraId="63E64E8F" w14:textId="71DF5BEB" w:rsidR="00C72630" w:rsidRPr="00E30146"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033</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777A60DE" w14:textId="372E459C" w:rsidR="006C3C6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6C3C66">
              <w:rPr>
                <w:rFonts w:ascii="Times New Roman" w:eastAsia="Times New Roman" w:hAnsi="Times New Roman" w:cs="Times New Roman"/>
                <w:sz w:val="20"/>
                <w:szCs w:val="20"/>
              </w:rPr>
              <w:t>12</w:t>
            </w:r>
          </w:p>
          <w:p w14:paraId="1560C13B" w14:textId="3E9F36C6"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6C3C66">
              <w:rPr>
                <w:rFonts w:ascii="Times New Roman" w:eastAsia="Times New Roman" w:hAnsi="Times New Roman" w:cs="Times New Roman"/>
                <w:sz w:val="20"/>
                <w:szCs w:val="20"/>
              </w:rPr>
              <w:t>565</w:t>
            </w:r>
            <w:r w:rsidRPr="00F5674C">
              <w:rPr>
                <w:rFonts w:ascii="Times New Roman" w:eastAsia="Times New Roman" w:hAnsi="Times New Roman" w:cs="Times New Roman"/>
                <w:sz w:val="20"/>
                <w:szCs w:val="20"/>
              </w:rPr>
              <w:t>)</w:t>
            </w:r>
          </w:p>
        </w:tc>
      </w:tr>
      <w:tr w:rsidR="00E30146" w:rsidRPr="00F5674C" w14:paraId="5ADA3497" w14:textId="77777777" w:rsidTr="00D94751">
        <w:trPr>
          <w:trHeight w:val="87"/>
        </w:trPr>
        <w:tc>
          <w:tcPr>
            <w:tcW w:w="3828" w:type="dxa"/>
            <w:tcBorders>
              <w:top w:val="nil"/>
              <w:left w:val="nil"/>
              <w:bottom w:val="nil"/>
              <w:right w:val="nil"/>
            </w:tcBorders>
          </w:tcPr>
          <w:p w14:paraId="5EFE38C2" w14:textId="0227C180" w:rsidR="00C72630" w:rsidRPr="00F5674C" w:rsidRDefault="00D94751" w:rsidP="00C72630">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72630" w:rsidRPr="00F5674C">
              <w:rPr>
                <w:rFonts w:ascii="Times New Roman" w:eastAsia="Times New Roman" w:hAnsi="Times New Roman" w:cs="Times New Roman"/>
                <w:iCs/>
                <w:color w:val="000000"/>
                <w:sz w:val="20"/>
                <w:szCs w:val="20"/>
                <w:lang w:val="en-US"/>
              </w:rPr>
              <w:t>VC Change</w:t>
            </w:r>
          </w:p>
        </w:tc>
        <w:tc>
          <w:tcPr>
            <w:tcW w:w="991" w:type="dxa"/>
            <w:tcBorders>
              <w:top w:val="nil"/>
              <w:left w:val="nil"/>
              <w:bottom w:val="nil"/>
              <w:right w:val="nil"/>
            </w:tcBorders>
          </w:tcPr>
          <w:p w14:paraId="05753DD0" w14:textId="77777777"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1E2C83">
              <w:rPr>
                <w:rFonts w:ascii="Times New Roman" w:eastAsia="Times New Roman" w:hAnsi="Times New Roman" w:cs="Times New Roman"/>
                <w:sz w:val="20"/>
                <w:szCs w:val="20"/>
              </w:rPr>
              <w:t>2</w:t>
            </w:r>
          </w:p>
          <w:p w14:paraId="59D45074" w14:textId="2B415C0E"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1E2C83">
              <w:rPr>
                <w:rFonts w:ascii="Times New Roman" w:eastAsia="Times New Roman" w:hAnsi="Times New Roman" w:cs="Times New Roman"/>
                <w:sz w:val="20"/>
                <w:szCs w:val="20"/>
              </w:rPr>
              <w:t>353</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673CAD65" w14:textId="4A2BFE10" w:rsidR="004740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0.002</w:t>
            </w:r>
          </w:p>
          <w:p w14:paraId="411F5426" w14:textId="0227498C"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735F7E">
              <w:rPr>
                <w:rFonts w:ascii="Times New Roman" w:eastAsia="Times New Roman" w:hAnsi="Times New Roman" w:cs="Times New Roman"/>
                <w:sz w:val="20"/>
                <w:szCs w:val="20"/>
              </w:rPr>
              <w:t>682</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29FE7693" w14:textId="77777777"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-0.002</w:t>
            </w:r>
          </w:p>
          <w:p w14:paraId="69EBFFC2" w14:textId="6C60D9F0"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446E30">
              <w:rPr>
                <w:rFonts w:ascii="Times New Roman" w:eastAsia="Times New Roman" w:hAnsi="Times New Roman" w:cs="Times New Roman"/>
                <w:sz w:val="20"/>
                <w:szCs w:val="20"/>
              </w:rPr>
              <w:t>463</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1DBF9A08"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67BE3152" w14:textId="0319558C" w:rsidR="00AF0C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AF0CFD">
              <w:rPr>
                <w:rFonts w:ascii="Times New Roman" w:eastAsia="Times New Roman" w:hAnsi="Times New Roman" w:cs="Times New Roman"/>
                <w:sz w:val="20"/>
                <w:szCs w:val="20"/>
              </w:rPr>
              <w:t>3</w:t>
            </w:r>
          </w:p>
          <w:p w14:paraId="5A84F59A" w14:textId="15C37CA8"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232</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353D86A2" w14:textId="58049200" w:rsidR="00E3014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E30146">
              <w:rPr>
                <w:rFonts w:ascii="Times New Roman" w:eastAsia="Times New Roman" w:hAnsi="Times New Roman" w:cs="Times New Roman"/>
                <w:sz w:val="20"/>
                <w:szCs w:val="20"/>
              </w:rPr>
              <w:t>0</w:t>
            </w:r>
          </w:p>
          <w:p w14:paraId="39CF06D6" w14:textId="2C4791EB"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442</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2190AAF1" w14:textId="28546883" w:rsidR="006C3C6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6C3C66">
              <w:rPr>
                <w:rFonts w:ascii="Times New Roman" w:eastAsia="Times New Roman" w:hAnsi="Times New Roman" w:cs="Times New Roman"/>
                <w:sz w:val="20"/>
                <w:szCs w:val="20"/>
              </w:rPr>
              <w:t>02</w:t>
            </w:r>
          </w:p>
          <w:p w14:paraId="56461D2D" w14:textId="516E2A13"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6C3C66">
              <w:rPr>
                <w:rFonts w:ascii="Times New Roman" w:eastAsia="Times New Roman" w:hAnsi="Times New Roman" w:cs="Times New Roman"/>
                <w:sz w:val="20"/>
                <w:szCs w:val="20"/>
              </w:rPr>
              <w:t>380</w:t>
            </w:r>
            <w:r w:rsidRPr="00F5674C">
              <w:rPr>
                <w:rFonts w:ascii="Times New Roman" w:eastAsia="Times New Roman" w:hAnsi="Times New Roman" w:cs="Times New Roman"/>
                <w:sz w:val="20"/>
                <w:szCs w:val="20"/>
              </w:rPr>
              <w:t>)</w:t>
            </w:r>
          </w:p>
        </w:tc>
      </w:tr>
      <w:tr w:rsidR="00C72630" w:rsidRPr="00F5674C" w14:paraId="7722860D" w14:textId="77777777" w:rsidTr="00D94751">
        <w:trPr>
          <w:trHeight w:val="164"/>
        </w:trPr>
        <w:tc>
          <w:tcPr>
            <w:tcW w:w="10213" w:type="dxa"/>
            <w:gridSpan w:val="8"/>
            <w:tcBorders>
              <w:top w:val="nil"/>
              <w:left w:val="nil"/>
              <w:bottom w:val="nil"/>
              <w:right w:val="nil"/>
            </w:tcBorders>
          </w:tcPr>
          <w:p w14:paraId="00207E9E" w14:textId="77777777" w:rsidR="00C72630" w:rsidRPr="00F5674C" w:rsidRDefault="00C72630" w:rsidP="00C72630">
            <w:pPr>
              <w:spacing w:after="0"/>
              <w:rPr>
                <w:rFonts w:ascii="Times New Roman" w:eastAsia="Times New Roman" w:hAnsi="Times New Roman" w:cs="Times New Roman"/>
                <w:i/>
                <w:iCs/>
                <w:sz w:val="10"/>
                <w:szCs w:val="10"/>
              </w:rPr>
            </w:pPr>
          </w:p>
          <w:p w14:paraId="79A62D3D"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i/>
                <w:iCs/>
                <w:sz w:val="20"/>
                <w:szCs w:val="20"/>
              </w:rPr>
              <w:t>Controls (general HEI characteristics)</w:t>
            </w:r>
          </w:p>
        </w:tc>
      </w:tr>
      <w:tr w:rsidR="00E30146" w:rsidRPr="00F5674C" w14:paraId="2D77926B" w14:textId="77777777" w:rsidTr="00D94751">
        <w:trPr>
          <w:trHeight w:val="164"/>
        </w:trPr>
        <w:tc>
          <w:tcPr>
            <w:tcW w:w="3828" w:type="dxa"/>
            <w:tcBorders>
              <w:top w:val="nil"/>
              <w:left w:val="nil"/>
              <w:bottom w:val="nil"/>
              <w:right w:val="nil"/>
            </w:tcBorders>
          </w:tcPr>
          <w:p w14:paraId="027DA9EC" w14:textId="64D50BAE" w:rsidR="00C72630" w:rsidRPr="00F5674C" w:rsidRDefault="00D94751" w:rsidP="00C726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iCs/>
                <w:color w:val="000000"/>
                <w:sz w:val="20"/>
                <w:szCs w:val="20"/>
                <w:lang w:val="en-US"/>
              </w:rPr>
              <w:t xml:space="preserve">    </w:t>
            </w:r>
            <w:r w:rsidR="00C72630" w:rsidRPr="00F5674C">
              <w:rPr>
                <w:rFonts w:ascii="Times New Roman" w:eastAsia="Times New Roman" w:hAnsi="Times New Roman" w:cs="Times New Roman"/>
                <w:iCs/>
                <w:color w:val="000000"/>
                <w:sz w:val="20"/>
                <w:szCs w:val="20"/>
                <w:lang w:val="en-US"/>
              </w:rPr>
              <w:t>P</w:t>
            </w:r>
            <w:r w:rsidR="00A0576D">
              <w:rPr>
                <w:rFonts w:ascii="Times New Roman" w:eastAsia="Times New Roman" w:hAnsi="Times New Roman" w:cs="Times New Roman"/>
                <w:iCs/>
                <w:color w:val="000000"/>
                <w:sz w:val="20"/>
                <w:szCs w:val="20"/>
                <w:lang w:val="en-US"/>
              </w:rPr>
              <w:t>O</w:t>
            </w:r>
            <w:r w:rsidR="00C72630" w:rsidRPr="00F5674C">
              <w:rPr>
                <w:rFonts w:ascii="Times New Roman" w:eastAsia="Times New Roman" w:hAnsi="Times New Roman" w:cs="Times New Roman"/>
                <w:iCs/>
                <w:color w:val="000000"/>
                <w:sz w:val="20"/>
                <w:szCs w:val="20"/>
                <w:lang w:val="en-US"/>
              </w:rPr>
              <w:t>ST_</w:t>
            </w:r>
            <w:r w:rsidR="00A0576D">
              <w:rPr>
                <w:rFonts w:ascii="Times New Roman" w:eastAsia="Times New Roman" w:hAnsi="Times New Roman" w:cs="Times New Roman"/>
                <w:iCs/>
                <w:color w:val="000000"/>
                <w:sz w:val="20"/>
                <w:szCs w:val="20"/>
                <w:lang w:val="en-US"/>
              </w:rPr>
              <w:t>19</w:t>
            </w:r>
            <w:r w:rsidR="00C72630" w:rsidRPr="00F5674C">
              <w:rPr>
                <w:rFonts w:ascii="Times New Roman" w:eastAsia="Times New Roman" w:hAnsi="Times New Roman" w:cs="Times New Roman"/>
                <w:iCs/>
                <w:color w:val="000000"/>
                <w:sz w:val="20"/>
                <w:szCs w:val="20"/>
                <w:lang w:val="en-US"/>
              </w:rPr>
              <w:t>92</w:t>
            </w:r>
          </w:p>
        </w:tc>
        <w:tc>
          <w:tcPr>
            <w:tcW w:w="991" w:type="dxa"/>
            <w:tcBorders>
              <w:top w:val="nil"/>
              <w:left w:val="nil"/>
              <w:bottom w:val="nil"/>
              <w:right w:val="nil"/>
            </w:tcBorders>
          </w:tcPr>
          <w:p w14:paraId="67023140" w14:textId="20D642FB" w:rsidR="001E2C83"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1E2C83">
              <w:rPr>
                <w:rFonts w:ascii="Times New Roman" w:eastAsia="Times New Roman" w:hAnsi="Times New Roman" w:cs="Times New Roman"/>
                <w:sz w:val="20"/>
                <w:szCs w:val="20"/>
              </w:rPr>
              <w:t>061</w:t>
            </w:r>
            <w:r w:rsidR="00394410" w:rsidRPr="00394410">
              <w:rPr>
                <w:rFonts w:ascii="Times New Roman" w:eastAsia="Times New Roman" w:hAnsi="Times New Roman" w:cs="Times New Roman"/>
                <w:sz w:val="20"/>
                <w:szCs w:val="20"/>
                <w:vertAlign w:val="superscript"/>
              </w:rPr>
              <w:t>***</w:t>
            </w:r>
          </w:p>
          <w:p w14:paraId="29EC6654" w14:textId="5DED8AF4"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w:t>
            </w:r>
            <w:r w:rsidR="001E2C83">
              <w:rPr>
                <w:rFonts w:ascii="Times New Roman" w:eastAsia="Times New Roman" w:hAnsi="Times New Roman" w:cs="Times New Roman"/>
                <w:sz w:val="20"/>
                <w:szCs w:val="20"/>
              </w:rPr>
              <w:t>1</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0EE750D5" w14:textId="359E8743" w:rsidR="004740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735F7E">
              <w:rPr>
                <w:rFonts w:ascii="Times New Roman" w:eastAsia="Times New Roman" w:hAnsi="Times New Roman" w:cs="Times New Roman"/>
                <w:sz w:val="20"/>
                <w:szCs w:val="20"/>
              </w:rPr>
              <w:t>09</w:t>
            </w:r>
            <w:r w:rsidR="00E822AF" w:rsidRPr="00E822AF">
              <w:rPr>
                <w:rFonts w:ascii="Times New Roman" w:eastAsia="Times New Roman" w:hAnsi="Times New Roman" w:cs="Times New Roman"/>
                <w:sz w:val="20"/>
                <w:szCs w:val="20"/>
                <w:vertAlign w:val="superscript"/>
              </w:rPr>
              <w:t>**</w:t>
            </w:r>
          </w:p>
          <w:p w14:paraId="6D1E62B5" w14:textId="3026BA03"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735F7E">
              <w:rPr>
                <w:rFonts w:ascii="Times New Roman" w:eastAsia="Times New Roman" w:hAnsi="Times New Roman" w:cs="Times New Roman"/>
                <w:sz w:val="20"/>
                <w:szCs w:val="20"/>
              </w:rPr>
              <w:t>19</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7F1FB818" w14:textId="2A2FBBCA"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446E30">
              <w:rPr>
                <w:rFonts w:ascii="Times New Roman" w:eastAsia="Times New Roman" w:hAnsi="Times New Roman" w:cs="Times New Roman"/>
                <w:sz w:val="20"/>
                <w:szCs w:val="20"/>
              </w:rPr>
              <w:t>069</w:t>
            </w:r>
            <w:r w:rsidR="00E822AF" w:rsidRPr="00E822AF">
              <w:rPr>
                <w:rFonts w:ascii="Times New Roman" w:eastAsia="Times New Roman" w:hAnsi="Times New Roman" w:cs="Times New Roman"/>
                <w:sz w:val="20"/>
                <w:szCs w:val="20"/>
                <w:vertAlign w:val="superscript"/>
              </w:rPr>
              <w:t>***</w:t>
            </w:r>
          </w:p>
          <w:p w14:paraId="41BDA174" w14:textId="669594CF"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1</w:t>
            </w:r>
            <w:r w:rsidR="00E822AF">
              <w:rPr>
                <w:rFonts w:ascii="Times New Roman" w:eastAsia="Times New Roman" w:hAnsi="Times New Roman" w:cs="Times New Roman"/>
                <w:sz w:val="20"/>
                <w:szCs w:val="20"/>
              </w:rPr>
              <w:t>)</w:t>
            </w:r>
          </w:p>
        </w:tc>
        <w:tc>
          <w:tcPr>
            <w:tcW w:w="236" w:type="dxa"/>
            <w:tcBorders>
              <w:top w:val="nil"/>
              <w:left w:val="nil"/>
              <w:bottom w:val="nil"/>
              <w:right w:val="nil"/>
            </w:tcBorders>
          </w:tcPr>
          <w:p w14:paraId="22E7C7F8"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1F8C3909" w14:textId="0C58F677" w:rsidR="00AF0CFD" w:rsidRDefault="006F00D1"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w:t>
            </w:r>
            <w:r w:rsidR="00AF0CFD">
              <w:rPr>
                <w:rFonts w:ascii="Times New Roman" w:eastAsia="Times New Roman" w:hAnsi="Times New Roman" w:cs="Times New Roman"/>
                <w:sz w:val="20"/>
                <w:szCs w:val="20"/>
              </w:rPr>
              <w:t>39</w:t>
            </w:r>
            <w:r w:rsidR="00E822AF" w:rsidRPr="00E822AF">
              <w:rPr>
                <w:rFonts w:ascii="Times New Roman" w:eastAsia="Times New Roman" w:hAnsi="Times New Roman" w:cs="Times New Roman"/>
                <w:sz w:val="20"/>
                <w:szCs w:val="20"/>
                <w:vertAlign w:val="superscript"/>
              </w:rPr>
              <w:t>*</w:t>
            </w:r>
          </w:p>
          <w:p w14:paraId="30EF2CFE" w14:textId="4BF3F431"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F0CFD">
              <w:rPr>
                <w:rFonts w:ascii="Times New Roman" w:eastAsia="Times New Roman" w:hAnsi="Times New Roman" w:cs="Times New Roman"/>
                <w:sz w:val="20"/>
                <w:szCs w:val="20"/>
              </w:rPr>
              <w:t>55</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2A223632" w14:textId="3FFD7605" w:rsidR="00E30146" w:rsidRDefault="006F00D1"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0.00</w:t>
            </w:r>
            <w:r w:rsidR="00E30146">
              <w:rPr>
                <w:rFonts w:ascii="Times New Roman" w:eastAsia="Times New Roman" w:hAnsi="Times New Roman" w:cs="Times New Roman"/>
                <w:sz w:val="20"/>
                <w:szCs w:val="20"/>
              </w:rPr>
              <w:t>5</w:t>
            </w:r>
          </w:p>
          <w:p w14:paraId="629DD314" w14:textId="4AF87BAC"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185</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3AA4D12C" w14:textId="778281BA" w:rsidR="006C3C66" w:rsidRDefault="00EA78B4"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w:t>
            </w:r>
            <w:r w:rsidR="006C3C66">
              <w:rPr>
                <w:rFonts w:ascii="Times New Roman" w:eastAsia="Times New Roman" w:hAnsi="Times New Roman" w:cs="Times New Roman"/>
                <w:sz w:val="20"/>
                <w:szCs w:val="20"/>
              </w:rPr>
              <w:t>45</w:t>
            </w:r>
            <w:r w:rsidR="00E822AF" w:rsidRPr="00E822AF">
              <w:rPr>
                <w:rFonts w:ascii="Times New Roman" w:eastAsia="Times New Roman" w:hAnsi="Times New Roman" w:cs="Times New Roman"/>
                <w:sz w:val="20"/>
                <w:szCs w:val="20"/>
                <w:vertAlign w:val="superscript"/>
              </w:rPr>
              <w:t>*</w:t>
            </w:r>
          </w:p>
          <w:p w14:paraId="5BB7990E" w14:textId="64B7BBB9"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6C3C66">
              <w:rPr>
                <w:rFonts w:ascii="Times New Roman" w:eastAsia="Times New Roman" w:hAnsi="Times New Roman" w:cs="Times New Roman"/>
                <w:sz w:val="20"/>
                <w:szCs w:val="20"/>
              </w:rPr>
              <w:t>51</w:t>
            </w:r>
            <w:r w:rsidRPr="00F5674C">
              <w:rPr>
                <w:rFonts w:ascii="Times New Roman" w:eastAsia="Times New Roman" w:hAnsi="Times New Roman" w:cs="Times New Roman"/>
                <w:sz w:val="20"/>
                <w:szCs w:val="20"/>
              </w:rPr>
              <w:t>)</w:t>
            </w:r>
          </w:p>
        </w:tc>
      </w:tr>
      <w:tr w:rsidR="00E30146" w:rsidRPr="00F5674C" w14:paraId="04533E09" w14:textId="77777777" w:rsidTr="00D94751">
        <w:trPr>
          <w:trHeight w:val="87"/>
        </w:trPr>
        <w:tc>
          <w:tcPr>
            <w:tcW w:w="3828" w:type="dxa"/>
            <w:tcBorders>
              <w:top w:val="nil"/>
              <w:left w:val="nil"/>
              <w:bottom w:val="nil"/>
              <w:right w:val="nil"/>
            </w:tcBorders>
          </w:tcPr>
          <w:p w14:paraId="5F38CEAA" w14:textId="5F564191" w:rsidR="00735F7E" w:rsidRPr="00F5674C" w:rsidRDefault="00D94751" w:rsidP="00735F7E">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A0576D">
              <w:rPr>
                <w:rFonts w:ascii="Times New Roman" w:eastAsia="Times New Roman" w:hAnsi="Times New Roman" w:cs="Times New Roman"/>
                <w:color w:val="000000"/>
                <w:sz w:val="20"/>
                <w:szCs w:val="20"/>
                <w:lang w:val="en-US"/>
              </w:rPr>
              <w:t>Auditing Firm Size</w:t>
            </w:r>
          </w:p>
        </w:tc>
        <w:tc>
          <w:tcPr>
            <w:tcW w:w="991" w:type="dxa"/>
            <w:tcBorders>
              <w:top w:val="nil"/>
              <w:left w:val="nil"/>
              <w:bottom w:val="nil"/>
              <w:right w:val="nil"/>
            </w:tcBorders>
          </w:tcPr>
          <w:p w14:paraId="15D8AEB7" w14:textId="77777777" w:rsidR="00735F7E" w:rsidRDefault="00735F7E"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-0.007</w:t>
            </w:r>
          </w:p>
          <w:p w14:paraId="215D27A7" w14:textId="6F3234A4" w:rsidR="00735F7E" w:rsidRPr="00F5674C"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8149F">
              <w:rPr>
                <w:rFonts w:ascii="Times New Roman" w:eastAsia="Times New Roman" w:hAnsi="Times New Roman" w:cs="Times New Roman"/>
                <w:sz w:val="20"/>
                <w:szCs w:val="20"/>
              </w:rPr>
              <w:t>.</w:t>
            </w:r>
            <w:r>
              <w:rPr>
                <w:rFonts w:ascii="Times New Roman" w:eastAsia="Times New Roman" w:hAnsi="Times New Roman" w:cs="Times New Roman"/>
                <w:sz w:val="20"/>
                <w:szCs w:val="20"/>
              </w:rPr>
              <w:t>541</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26529D06" w14:textId="68F5429C" w:rsidR="00735F7E" w:rsidRDefault="00EA78B4"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sidRPr="00F5674C">
              <w:rPr>
                <w:rFonts w:ascii="Times New Roman" w:eastAsia="Times New Roman" w:hAnsi="Times New Roman" w:cs="Times New Roman"/>
                <w:sz w:val="20"/>
                <w:szCs w:val="20"/>
              </w:rPr>
              <w:t>0.0</w:t>
            </w:r>
            <w:r w:rsidR="00735F7E">
              <w:rPr>
                <w:rFonts w:ascii="Times New Roman" w:eastAsia="Times New Roman" w:hAnsi="Times New Roman" w:cs="Times New Roman"/>
                <w:sz w:val="20"/>
                <w:szCs w:val="20"/>
              </w:rPr>
              <w:t>02</w:t>
            </w:r>
          </w:p>
          <w:p w14:paraId="0DC6E79F" w14:textId="4A5EAD38" w:rsidR="00735F7E" w:rsidRPr="00F5674C" w:rsidRDefault="00735F7E" w:rsidP="00735F7E">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435</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6AFC8EAB" w14:textId="10DEC715" w:rsidR="00446E30" w:rsidRDefault="00446E30"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sidRPr="00F5674C">
              <w:rPr>
                <w:rFonts w:ascii="Times New Roman" w:eastAsia="Times New Roman" w:hAnsi="Times New Roman" w:cs="Times New Roman"/>
                <w:sz w:val="20"/>
                <w:szCs w:val="20"/>
              </w:rPr>
              <w:t>0.004</w:t>
            </w:r>
          </w:p>
          <w:p w14:paraId="22B069D9" w14:textId="3472F7FB" w:rsidR="00735F7E" w:rsidRPr="00F5674C" w:rsidRDefault="00735F7E" w:rsidP="00735F7E">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(.7</w:t>
            </w:r>
            <w:r w:rsidR="00446E30">
              <w:rPr>
                <w:rFonts w:ascii="Times New Roman" w:eastAsia="Times New Roman" w:hAnsi="Times New Roman" w:cs="Times New Roman"/>
                <w:sz w:val="20"/>
                <w:szCs w:val="20"/>
              </w:rPr>
              <w:t>41</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64D96E51" w14:textId="77777777" w:rsidR="00735F7E" w:rsidRPr="00F5674C" w:rsidRDefault="00735F7E" w:rsidP="00735F7E">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5BFC5739" w14:textId="34C55509" w:rsidR="00AF0CFD" w:rsidRDefault="00AF0CFD"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sidRPr="00F5674C">
              <w:rPr>
                <w:rFonts w:ascii="Times New Roman" w:eastAsia="Times New Roman" w:hAnsi="Times New Roman" w:cs="Times New Roman"/>
                <w:sz w:val="20"/>
                <w:szCs w:val="20"/>
              </w:rPr>
              <w:t>0.004</w:t>
            </w:r>
          </w:p>
          <w:p w14:paraId="0469F405" w14:textId="5925CF15" w:rsidR="00735F7E" w:rsidRPr="00F5674C"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739</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13C31E00" w14:textId="79A573E8" w:rsidR="00E30146" w:rsidRDefault="006F00D1"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sidRPr="00F5674C">
              <w:rPr>
                <w:rFonts w:ascii="Times New Roman" w:eastAsia="Times New Roman" w:hAnsi="Times New Roman" w:cs="Times New Roman"/>
                <w:sz w:val="20"/>
                <w:szCs w:val="20"/>
              </w:rPr>
              <w:t>0.00</w:t>
            </w:r>
            <w:r w:rsidR="00A925AA">
              <w:rPr>
                <w:rFonts w:ascii="Times New Roman" w:eastAsia="Times New Roman" w:hAnsi="Times New Roman" w:cs="Times New Roman"/>
                <w:sz w:val="20"/>
                <w:szCs w:val="20"/>
              </w:rPr>
              <w:t>3</w:t>
            </w:r>
          </w:p>
          <w:p w14:paraId="6FC30814" w14:textId="736297EB" w:rsidR="00735F7E" w:rsidRPr="00F5674C"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925AA">
              <w:rPr>
                <w:rFonts w:ascii="Times New Roman" w:eastAsia="Times New Roman" w:hAnsi="Times New Roman" w:cs="Times New Roman"/>
                <w:sz w:val="20"/>
                <w:szCs w:val="20"/>
              </w:rPr>
              <w:t>256</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78E9222A" w14:textId="0B1D5E91" w:rsidR="006C3C66" w:rsidRDefault="00EA78B4"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sidRPr="00F5674C">
              <w:rPr>
                <w:rFonts w:ascii="Times New Roman" w:eastAsia="Times New Roman" w:hAnsi="Times New Roman" w:cs="Times New Roman"/>
                <w:sz w:val="20"/>
                <w:szCs w:val="20"/>
              </w:rPr>
              <w:t>0.00</w:t>
            </w:r>
            <w:r w:rsidR="006C3C66">
              <w:rPr>
                <w:rFonts w:ascii="Times New Roman" w:eastAsia="Times New Roman" w:hAnsi="Times New Roman" w:cs="Times New Roman"/>
                <w:sz w:val="20"/>
                <w:szCs w:val="20"/>
              </w:rPr>
              <w:t>0</w:t>
            </w:r>
          </w:p>
          <w:p w14:paraId="2819E42C" w14:textId="554AEC9C" w:rsidR="00735F7E" w:rsidRPr="00F5674C" w:rsidRDefault="00735F7E" w:rsidP="00735F7E">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6C3C66">
              <w:rPr>
                <w:rFonts w:ascii="Times New Roman" w:eastAsia="Times New Roman" w:hAnsi="Times New Roman" w:cs="Times New Roman"/>
                <w:sz w:val="20"/>
                <w:szCs w:val="20"/>
              </w:rPr>
              <w:t>982</w:t>
            </w:r>
            <w:r w:rsidRPr="00F5674C">
              <w:rPr>
                <w:rFonts w:ascii="Times New Roman" w:eastAsia="Times New Roman" w:hAnsi="Times New Roman" w:cs="Times New Roman"/>
                <w:sz w:val="20"/>
                <w:szCs w:val="20"/>
              </w:rPr>
              <w:t>)</w:t>
            </w:r>
          </w:p>
        </w:tc>
      </w:tr>
      <w:tr w:rsidR="00E30146" w:rsidRPr="00F5674C" w14:paraId="0442A344" w14:textId="77777777" w:rsidTr="00D94751">
        <w:trPr>
          <w:trHeight w:val="87"/>
        </w:trPr>
        <w:tc>
          <w:tcPr>
            <w:tcW w:w="3828" w:type="dxa"/>
            <w:tcBorders>
              <w:top w:val="nil"/>
              <w:left w:val="nil"/>
              <w:bottom w:val="nil"/>
              <w:right w:val="nil"/>
            </w:tcBorders>
          </w:tcPr>
          <w:p w14:paraId="087F8EC7" w14:textId="5AB9C57B" w:rsidR="00735F7E" w:rsidRPr="00F5674C" w:rsidRDefault="00D94751" w:rsidP="00735F7E">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A0576D">
              <w:rPr>
                <w:rFonts w:ascii="Times New Roman" w:eastAsia="Times New Roman" w:hAnsi="Times New Roman" w:cs="Times New Roman"/>
                <w:color w:val="000000"/>
                <w:sz w:val="20"/>
                <w:szCs w:val="20"/>
                <w:lang w:val="en-US"/>
              </w:rPr>
              <w:t>Leverage</w:t>
            </w:r>
          </w:p>
        </w:tc>
        <w:tc>
          <w:tcPr>
            <w:tcW w:w="991" w:type="dxa"/>
            <w:tcBorders>
              <w:top w:val="nil"/>
              <w:left w:val="nil"/>
              <w:bottom w:val="nil"/>
              <w:right w:val="nil"/>
            </w:tcBorders>
          </w:tcPr>
          <w:p w14:paraId="55F802E8" w14:textId="77777777" w:rsidR="00735F7E"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14</w:t>
            </w:r>
          </w:p>
          <w:p w14:paraId="209521EA" w14:textId="0072FA46" w:rsidR="00735F7E" w:rsidRPr="00F5674C"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699</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78589D5C" w14:textId="24093736" w:rsidR="00735F7E" w:rsidRDefault="00EA78B4"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sidRPr="00F5674C">
              <w:rPr>
                <w:rFonts w:ascii="Times New Roman" w:eastAsia="Times New Roman" w:hAnsi="Times New Roman" w:cs="Times New Roman"/>
                <w:sz w:val="20"/>
                <w:szCs w:val="20"/>
              </w:rPr>
              <w:t>0.00</w:t>
            </w:r>
            <w:r w:rsidR="00735F7E">
              <w:rPr>
                <w:rFonts w:ascii="Times New Roman" w:eastAsia="Times New Roman" w:hAnsi="Times New Roman" w:cs="Times New Roman"/>
                <w:sz w:val="20"/>
                <w:szCs w:val="20"/>
              </w:rPr>
              <w:t>6</w:t>
            </w:r>
          </w:p>
          <w:p w14:paraId="1442DBA3" w14:textId="7A99D578" w:rsidR="00735F7E" w:rsidRPr="00F5674C" w:rsidRDefault="00735F7E" w:rsidP="00735F7E">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450</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1673D469" w14:textId="2B7A4625" w:rsidR="00446E30"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10</w:t>
            </w:r>
          </w:p>
          <w:p w14:paraId="63F0B695" w14:textId="3C79D8AC" w:rsidR="00735F7E" w:rsidRPr="00F5674C"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(.8</w:t>
            </w:r>
            <w:r w:rsidR="00446E30">
              <w:rPr>
                <w:rFonts w:ascii="Times New Roman" w:eastAsia="Times New Roman" w:hAnsi="Times New Roman" w:cs="Times New Roman"/>
                <w:sz w:val="20"/>
                <w:szCs w:val="20"/>
              </w:rPr>
              <w:t>01</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24995F14" w14:textId="77777777" w:rsidR="00735F7E" w:rsidRPr="00F5674C" w:rsidRDefault="00735F7E" w:rsidP="00735F7E">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0FA4124F" w14:textId="0D9E3BA2" w:rsidR="00AF0CFD"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0CFD">
              <w:rPr>
                <w:rFonts w:ascii="Times New Roman" w:eastAsia="Times New Roman" w:hAnsi="Times New Roman" w:cs="Times New Roman"/>
                <w:sz w:val="20"/>
                <w:szCs w:val="20"/>
              </w:rPr>
              <w:t>27</w:t>
            </w:r>
          </w:p>
          <w:p w14:paraId="2AE139CA" w14:textId="04BB0228" w:rsidR="00735F7E" w:rsidRPr="00F5674C" w:rsidRDefault="00735F7E" w:rsidP="00735F7E">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462</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45B4E2D6" w14:textId="567427BE" w:rsidR="00E30146" w:rsidRDefault="006F00D1" w:rsidP="00735F7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sidRPr="00F5674C">
              <w:rPr>
                <w:rFonts w:ascii="Times New Roman" w:eastAsia="Times New Roman" w:hAnsi="Times New Roman" w:cs="Times New Roman"/>
                <w:sz w:val="20"/>
                <w:szCs w:val="20"/>
              </w:rPr>
              <w:t>0.0</w:t>
            </w:r>
            <w:r w:rsidR="00A925AA">
              <w:rPr>
                <w:rFonts w:ascii="Times New Roman" w:eastAsia="Times New Roman" w:hAnsi="Times New Roman" w:cs="Times New Roman"/>
                <w:sz w:val="20"/>
                <w:szCs w:val="20"/>
              </w:rPr>
              <w:t>05</w:t>
            </w:r>
          </w:p>
          <w:p w14:paraId="1D72C4B7" w14:textId="2F1AF31C" w:rsidR="00735F7E" w:rsidRPr="00F5674C" w:rsidRDefault="00735F7E" w:rsidP="00735F7E">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925AA">
              <w:rPr>
                <w:rFonts w:ascii="Times New Roman" w:eastAsia="Times New Roman" w:hAnsi="Times New Roman" w:cs="Times New Roman"/>
                <w:sz w:val="20"/>
                <w:szCs w:val="20"/>
              </w:rPr>
              <w:t>521</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35FBB922" w14:textId="1E4107E3" w:rsidR="006C3C66"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6C3C66">
              <w:rPr>
                <w:rFonts w:ascii="Times New Roman" w:eastAsia="Times New Roman" w:hAnsi="Times New Roman" w:cs="Times New Roman"/>
                <w:sz w:val="20"/>
                <w:szCs w:val="20"/>
              </w:rPr>
              <w:t>28</w:t>
            </w:r>
          </w:p>
          <w:p w14:paraId="56F15B26" w14:textId="6664AB08" w:rsidR="00735F7E" w:rsidRPr="00F5674C" w:rsidRDefault="00735F7E" w:rsidP="00735F7E">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(.49</w:t>
            </w:r>
            <w:r w:rsidR="006C3C66">
              <w:rPr>
                <w:rFonts w:ascii="Times New Roman" w:eastAsia="Times New Roman" w:hAnsi="Times New Roman" w:cs="Times New Roman"/>
                <w:sz w:val="20"/>
                <w:szCs w:val="20"/>
              </w:rPr>
              <w:t>7</w:t>
            </w:r>
            <w:r w:rsidRPr="00F5674C">
              <w:rPr>
                <w:rFonts w:ascii="Times New Roman" w:eastAsia="Times New Roman" w:hAnsi="Times New Roman" w:cs="Times New Roman"/>
                <w:sz w:val="20"/>
                <w:szCs w:val="20"/>
              </w:rPr>
              <w:t>)</w:t>
            </w:r>
          </w:p>
        </w:tc>
      </w:tr>
      <w:tr w:rsidR="00E30146" w:rsidRPr="00F5674C" w14:paraId="453F57D4" w14:textId="77777777" w:rsidTr="00D94751">
        <w:trPr>
          <w:trHeight w:val="87"/>
        </w:trPr>
        <w:tc>
          <w:tcPr>
            <w:tcW w:w="3828" w:type="dxa"/>
            <w:tcBorders>
              <w:top w:val="nil"/>
              <w:left w:val="nil"/>
              <w:bottom w:val="nil"/>
              <w:right w:val="nil"/>
            </w:tcBorders>
          </w:tcPr>
          <w:p w14:paraId="0B7E0EBF" w14:textId="5BB7DB16" w:rsidR="00C72630" w:rsidRPr="00F5674C" w:rsidRDefault="00D94751" w:rsidP="00C726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A0576D">
              <w:rPr>
                <w:rFonts w:ascii="Times New Roman" w:eastAsia="Times New Roman" w:hAnsi="Times New Roman" w:cs="Times New Roman"/>
                <w:color w:val="000000"/>
                <w:sz w:val="20"/>
                <w:szCs w:val="20"/>
                <w:lang w:val="en-US"/>
              </w:rPr>
              <w:t xml:space="preserve">Liquidity </w:t>
            </w:r>
          </w:p>
        </w:tc>
        <w:tc>
          <w:tcPr>
            <w:tcW w:w="991" w:type="dxa"/>
            <w:tcBorders>
              <w:top w:val="nil"/>
              <w:left w:val="nil"/>
              <w:bottom w:val="nil"/>
              <w:right w:val="nil"/>
            </w:tcBorders>
          </w:tcPr>
          <w:p w14:paraId="46D57027" w14:textId="1B86030D" w:rsidR="0018087A" w:rsidRDefault="00EA78B4"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w:t>
            </w:r>
            <w:r w:rsidR="0018087A">
              <w:rPr>
                <w:rFonts w:ascii="Times New Roman" w:eastAsia="Times New Roman" w:hAnsi="Times New Roman" w:cs="Times New Roman"/>
                <w:sz w:val="20"/>
                <w:szCs w:val="20"/>
              </w:rPr>
              <w:t>14</w:t>
            </w:r>
          </w:p>
          <w:p w14:paraId="7E085AD9" w14:textId="489CEA4D"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18087A">
              <w:rPr>
                <w:rFonts w:ascii="Times New Roman" w:eastAsia="Times New Roman" w:hAnsi="Times New Roman" w:cs="Times New Roman"/>
                <w:sz w:val="20"/>
                <w:szCs w:val="20"/>
              </w:rPr>
              <w:t>674</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5EC11643" w14:textId="1097D29C" w:rsidR="00C72630" w:rsidRDefault="00EA78B4"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35F7E">
              <w:rPr>
                <w:rFonts w:ascii="Times New Roman" w:eastAsia="Times New Roman" w:hAnsi="Times New Roman" w:cs="Times New Roman"/>
                <w:sz w:val="20"/>
                <w:szCs w:val="20"/>
              </w:rPr>
              <w:t>0.006</w:t>
            </w:r>
          </w:p>
          <w:p w14:paraId="21923025" w14:textId="69047B48" w:rsidR="00735F7E" w:rsidRPr="00F5674C" w:rsidRDefault="00735F7E"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(.467)</w:t>
            </w:r>
          </w:p>
        </w:tc>
        <w:tc>
          <w:tcPr>
            <w:tcW w:w="997" w:type="dxa"/>
            <w:tcBorders>
              <w:top w:val="nil"/>
              <w:left w:val="nil"/>
              <w:bottom w:val="nil"/>
              <w:right w:val="nil"/>
            </w:tcBorders>
          </w:tcPr>
          <w:p w14:paraId="7C2C3AA8" w14:textId="2B7762CB" w:rsidR="00446E30" w:rsidRDefault="00EA78B4"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19</w:t>
            </w:r>
          </w:p>
          <w:p w14:paraId="004DB1EB" w14:textId="2CA290A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446E30">
              <w:rPr>
                <w:rFonts w:ascii="Times New Roman" w:eastAsia="Times New Roman" w:hAnsi="Times New Roman" w:cs="Times New Roman"/>
                <w:sz w:val="20"/>
                <w:szCs w:val="20"/>
              </w:rPr>
              <w:t>601</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3FAF39DF"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6CEC6728" w14:textId="12834DD1" w:rsidR="00AF0CFD" w:rsidRDefault="00E30146"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p>
          <w:p w14:paraId="404BEE04" w14:textId="573473FB"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956</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0894FE0C" w14:textId="41258668" w:rsidR="00E30146" w:rsidRDefault="006F00D1"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w:t>
            </w:r>
            <w:r w:rsidR="00A925AA">
              <w:rPr>
                <w:rFonts w:ascii="Times New Roman" w:eastAsia="Times New Roman" w:hAnsi="Times New Roman" w:cs="Times New Roman"/>
                <w:sz w:val="20"/>
                <w:szCs w:val="20"/>
              </w:rPr>
              <w:t>02</w:t>
            </w:r>
          </w:p>
          <w:p w14:paraId="3BF6D4B0" w14:textId="262128B9"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925AA">
              <w:rPr>
                <w:rFonts w:ascii="Times New Roman" w:eastAsia="Times New Roman" w:hAnsi="Times New Roman" w:cs="Times New Roman"/>
                <w:sz w:val="20"/>
                <w:szCs w:val="20"/>
              </w:rPr>
              <w:t>.819</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5C67ECD7" w14:textId="5D0126B9" w:rsidR="006C3C66" w:rsidRDefault="006C3C66"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14:paraId="074A377D" w14:textId="72AE2392"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B35C14">
              <w:rPr>
                <w:rFonts w:ascii="Times New Roman" w:eastAsia="Times New Roman" w:hAnsi="Times New Roman" w:cs="Times New Roman"/>
                <w:sz w:val="20"/>
                <w:szCs w:val="20"/>
              </w:rPr>
              <w:t>995</w:t>
            </w:r>
            <w:r w:rsidRPr="00F5674C">
              <w:rPr>
                <w:rFonts w:ascii="Times New Roman" w:eastAsia="Times New Roman" w:hAnsi="Times New Roman" w:cs="Times New Roman"/>
                <w:sz w:val="20"/>
                <w:szCs w:val="20"/>
              </w:rPr>
              <w:t>)</w:t>
            </w:r>
          </w:p>
        </w:tc>
      </w:tr>
      <w:tr w:rsidR="00E30146" w:rsidRPr="00F5674C" w14:paraId="650C31CF" w14:textId="77777777" w:rsidTr="00D94751">
        <w:trPr>
          <w:trHeight w:val="87"/>
        </w:trPr>
        <w:tc>
          <w:tcPr>
            <w:tcW w:w="3828" w:type="dxa"/>
            <w:tcBorders>
              <w:top w:val="nil"/>
              <w:left w:val="nil"/>
              <w:bottom w:val="nil"/>
              <w:right w:val="nil"/>
            </w:tcBorders>
          </w:tcPr>
          <w:p w14:paraId="2A193A4E" w14:textId="1D857675" w:rsidR="00C72630" w:rsidRPr="00F5674C" w:rsidRDefault="00D94751" w:rsidP="00C726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E61B4A">
              <w:rPr>
                <w:rFonts w:ascii="Times New Roman" w:eastAsia="Times New Roman" w:hAnsi="Times New Roman" w:cs="Times New Roman"/>
                <w:color w:val="000000"/>
                <w:sz w:val="20"/>
                <w:szCs w:val="20"/>
                <w:lang w:val="en-US"/>
              </w:rPr>
              <w:t>S</w:t>
            </w:r>
            <w:r w:rsidR="00A0576D">
              <w:rPr>
                <w:rFonts w:ascii="Times New Roman" w:eastAsia="Times New Roman" w:hAnsi="Times New Roman" w:cs="Times New Roman"/>
                <w:color w:val="000000"/>
                <w:sz w:val="20"/>
                <w:szCs w:val="20"/>
                <w:lang w:val="en-US"/>
              </w:rPr>
              <w:t>ize</w:t>
            </w:r>
          </w:p>
        </w:tc>
        <w:tc>
          <w:tcPr>
            <w:tcW w:w="991" w:type="dxa"/>
            <w:tcBorders>
              <w:top w:val="nil"/>
              <w:left w:val="nil"/>
              <w:bottom w:val="nil"/>
              <w:right w:val="nil"/>
            </w:tcBorders>
          </w:tcPr>
          <w:p w14:paraId="542F62A7" w14:textId="7CF89817" w:rsidR="0018087A"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18087A">
              <w:rPr>
                <w:rFonts w:ascii="Times New Roman" w:eastAsia="Times New Roman" w:hAnsi="Times New Roman" w:cs="Times New Roman"/>
                <w:sz w:val="20"/>
                <w:szCs w:val="20"/>
              </w:rPr>
              <w:t>54</w:t>
            </w:r>
            <w:r w:rsidR="00394410" w:rsidRPr="00394410">
              <w:rPr>
                <w:rFonts w:ascii="Times New Roman" w:eastAsia="Times New Roman" w:hAnsi="Times New Roman" w:cs="Times New Roman"/>
                <w:sz w:val="20"/>
                <w:szCs w:val="20"/>
                <w:vertAlign w:val="superscript"/>
              </w:rPr>
              <w:t>***</w:t>
            </w:r>
          </w:p>
          <w:p w14:paraId="24DE9775" w14:textId="26712994"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p>
        </w:tc>
        <w:tc>
          <w:tcPr>
            <w:tcW w:w="996" w:type="dxa"/>
            <w:tcBorders>
              <w:top w:val="nil"/>
              <w:left w:val="nil"/>
              <w:bottom w:val="nil"/>
              <w:right w:val="nil"/>
            </w:tcBorders>
          </w:tcPr>
          <w:p w14:paraId="129527BF" w14:textId="77A98B7C" w:rsidR="004740FD" w:rsidRDefault="00735F7E"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-0.011</w:t>
            </w:r>
            <w:r w:rsidR="00E822AF" w:rsidRPr="00E822AF">
              <w:rPr>
                <w:rFonts w:ascii="Times New Roman" w:eastAsia="Times New Roman" w:hAnsi="Times New Roman" w:cs="Times New Roman"/>
                <w:sz w:val="20"/>
                <w:szCs w:val="20"/>
                <w:vertAlign w:val="superscript"/>
              </w:rPr>
              <w:t>***</w:t>
            </w:r>
          </w:p>
          <w:p w14:paraId="0A65242C" w14:textId="2FB44F24" w:rsidR="00C72630" w:rsidRPr="00735F7E"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735F7E">
              <w:rPr>
                <w:rFonts w:ascii="Times New Roman" w:eastAsia="Times New Roman" w:hAnsi="Times New Roman" w:cs="Times New Roman"/>
                <w:sz w:val="20"/>
                <w:szCs w:val="20"/>
              </w:rPr>
              <w:t>000</w:t>
            </w:r>
            <w:r w:rsidR="00E822AF">
              <w:rPr>
                <w:rFonts w:ascii="Times New Roman" w:eastAsia="Times New Roman" w:hAnsi="Times New Roman" w:cs="Times New Roman"/>
                <w:sz w:val="20"/>
                <w:szCs w:val="20"/>
              </w:rPr>
              <w:t>)</w:t>
            </w:r>
          </w:p>
        </w:tc>
        <w:tc>
          <w:tcPr>
            <w:tcW w:w="997" w:type="dxa"/>
            <w:tcBorders>
              <w:top w:val="nil"/>
              <w:left w:val="nil"/>
              <w:bottom w:val="nil"/>
              <w:right w:val="nil"/>
            </w:tcBorders>
          </w:tcPr>
          <w:p w14:paraId="0D0E3F7B" w14:textId="334CD825"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446E30">
              <w:rPr>
                <w:rFonts w:ascii="Times New Roman" w:eastAsia="Times New Roman" w:hAnsi="Times New Roman" w:cs="Times New Roman"/>
                <w:sz w:val="20"/>
                <w:szCs w:val="20"/>
              </w:rPr>
              <w:t>64</w:t>
            </w:r>
            <w:r w:rsidR="00E822AF" w:rsidRPr="00E822AF">
              <w:rPr>
                <w:rFonts w:ascii="Times New Roman" w:eastAsia="Times New Roman" w:hAnsi="Times New Roman" w:cs="Times New Roman"/>
                <w:sz w:val="20"/>
                <w:szCs w:val="20"/>
                <w:vertAlign w:val="superscript"/>
              </w:rPr>
              <w:t>***</w:t>
            </w:r>
          </w:p>
          <w:p w14:paraId="65295618" w14:textId="4A39F59E"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sidR="00E822AF">
              <w:rPr>
                <w:rFonts w:ascii="Times New Roman" w:eastAsia="Times New Roman" w:hAnsi="Times New Roman" w:cs="Times New Roman"/>
                <w:sz w:val="20"/>
                <w:szCs w:val="20"/>
              </w:rPr>
              <w:t>)</w:t>
            </w:r>
          </w:p>
        </w:tc>
        <w:tc>
          <w:tcPr>
            <w:tcW w:w="236" w:type="dxa"/>
            <w:tcBorders>
              <w:top w:val="nil"/>
              <w:left w:val="nil"/>
              <w:bottom w:val="nil"/>
              <w:right w:val="nil"/>
            </w:tcBorders>
          </w:tcPr>
          <w:p w14:paraId="7DD8B3B4"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28C46A8C" w14:textId="5931E633" w:rsidR="00AF0C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E30146">
              <w:rPr>
                <w:rFonts w:ascii="Times New Roman" w:eastAsia="Times New Roman" w:hAnsi="Times New Roman" w:cs="Times New Roman"/>
                <w:sz w:val="20"/>
                <w:szCs w:val="20"/>
              </w:rPr>
              <w:t>57</w:t>
            </w:r>
            <w:r w:rsidR="00E822AF" w:rsidRPr="00E822AF">
              <w:rPr>
                <w:rFonts w:ascii="Times New Roman" w:eastAsia="Times New Roman" w:hAnsi="Times New Roman" w:cs="Times New Roman"/>
                <w:sz w:val="20"/>
                <w:szCs w:val="20"/>
                <w:vertAlign w:val="superscript"/>
              </w:rPr>
              <w:t>***</w:t>
            </w:r>
          </w:p>
          <w:p w14:paraId="7D72EA30" w14:textId="7693A71D"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sidR="00E822AF">
              <w:rPr>
                <w:rFonts w:ascii="Times New Roman" w:eastAsia="Times New Roman" w:hAnsi="Times New Roman" w:cs="Times New Roman"/>
                <w:sz w:val="20"/>
                <w:szCs w:val="20"/>
              </w:rPr>
              <w:t>)</w:t>
            </w:r>
          </w:p>
        </w:tc>
        <w:tc>
          <w:tcPr>
            <w:tcW w:w="1129" w:type="dxa"/>
            <w:tcBorders>
              <w:top w:val="nil"/>
              <w:left w:val="nil"/>
              <w:bottom w:val="nil"/>
              <w:right w:val="nil"/>
            </w:tcBorders>
          </w:tcPr>
          <w:p w14:paraId="54D23428" w14:textId="3124D6C9" w:rsidR="00E3014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925AA">
              <w:rPr>
                <w:rFonts w:ascii="Times New Roman" w:eastAsia="Times New Roman" w:hAnsi="Times New Roman" w:cs="Times New Roman"/>
                <w:sz w:val="20"/>
                <w:szCs w:val="20"/>
              </w:rPr>
              <w:t>12</w:t>
            </w:r>
            <w:r w:rsidR="00E822AF" w:rsidRPr="00E822AF">
              <w:rPr>
                <w:rFonts w:ascii="Times New Roman" w:eastAsia="Times New Roman" w:hAnsi="Times New Roman" w:cs="Times New Roman"/>
                <w:sz w:val="20"/>
                <w:szCs w:val="20"/>
                <w:vertAlign w:val="superscript"/>
              </w:rPr>
              <w:t>***</w:t>
            </w:r>
          </w:p>
          <w:p w14:paraId="3C8F1F8F" w14:textId="2958EF43"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sidR="00E822AF">
              <w:rPr>
                <w:rFonts w:ascii="Times New Roman" w:eastAsia="Times New Roman" w:hAnsi="Times New Roman" w:cs="Times New Roman"/>
                <w:sz w:val="20"/>
                <w:szCs w:val="20"/>
              </w:rPr>
              <w:t>)</w:t>
            </w:r>
          </w:p>
        </w:tc>
        <w:tc>
          <w:tcPr>
            <w:tcW w:w="994" w:type="dxa"/>
            <w:tcBorders>
              <w:top w:val="nil"/>
              <w:left w:val="nil"/>
              <w:bottom w:val="nil"/>
              <w:right w:val="nil"/>
            </w:tcBorders>
          </w:tcPr>
          <w:p w14:paraId="09A7C386" w14:textId="53DFAB31" w:rsidR="006C3C6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B35C14">
              <w:rPr>
                <w:rFonts w:ascii="Times New Roman" w:eastAsia="Times New Roman" w:hAnsi="Times New Roman" w:cs="Times New Roman"/>
                <w:sz w:val="20"/>
                <w:szCs w:val="20"/>
              </w:rPr>
              <w:t>66</w:t>
            </w:r>
            <w:r w:rsidR="00E822AF" w:rsidRPr="00E822AF">
              <w:rPr>
                <w:rFonts w:ascii="Times New Roman" w:eastAsia="Times New Roman" w:hAnsi="Times New Roman" w:cs="Times New Roman"/>
                <w:sz w:val="20"/>
                <w:szCs w:val="20"/>
                <w:vertAlign w:val="superscript"/>
              </w:rPr>
              <w:t>***</w:t>
            </w:r>
          </w:p>
          <w:p w14:paraId="59BA8EFC" w14:textId="44E5C237"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sidR="00E822AF">
              <w:rPr>
                <w:rFonts w:ascii="Times New Roman" w:eastAsia="Times New Roman" w:hAnsi="Times New Roman" w:cs="Times New Roman"/>
                <w:sz w:val="20"/>
                <w:szCs w:val="20"/>
              </w:rPr>
              <w:t>)</w:t>
            </w:r>
          </w:p>
        </w:tc>
      </w:tr>
      <w:tr w:rsidR="00E30146" w:rsidRPr="00F5674C" w14:paraId="1D124DE8" w14:textId="77777777" w:rsidTr="00D94751">
        <w:trPr>
          <w:trHeight w:val="87"/>
        </w:trPr>
        <w:tc>
          <w:tcPr>
            <w:tcW w:w="3828" w:type="dxa"/>
            <w:tcBorders>
              <w:top w:val="nil"/>
              <w:left w:val="nil"/>
              <w:bottom w:val="nil"/>
              <w:right w:val="nil"/>
            </w:tcBorders>
          </w:tcPr>
          <w:p w14:paraId="1FDFD15B" w14:textId="750228F2" w:rsidR="00C72630" w:rsidRPr="00F5674C" w:rsidRDefault="00D94751" w:rsidP="00C726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A0576D">
              <w:rPr>
                <w:rFonts w:ascii="Times New Roman" w:eastAsia="Times New Roman" w:hAnsi="Times New Roman" w:cs="Times New Roman"/>
                <w:color w:val="000000"/>
                <w:sz w:val="20"/>
                <w:szCs w:val="20"/>
                <w:lang w:val="en-US"/>
              </w:rPr>
              <w:t>Growth</w:t>
            </w:r>
          </w:p>
        </w:tc>
        <w:tc>
          <w:tcPr>
            <w:tcW w:w="991" w:type="dxa"/>
            <w:tcBorders>
              <w:top w:val="nil"/>
              <w:left w:val="nil"/>
              <w:bottom w:val="nil"/>
              <w:right w:val="nil"/>
            </w:tcBorders>
          </w:tcPr>
          <w:p w14:paraId="03D678A2" w14:textId="7F2FD46C" w:rsidR="0018087A" w:rsidRDefault="00EA78B4"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18087A">
              <w:rPr>
                <w:rFonts w:ascii="Times New Roman" w:eastAsia="Times New Roman" w:hAnsi="Times New Roman" w:cs="Times New Roman"/>
                <w:sz w:val="20"/>
                <w:szCs w:val="20"/>
              </w:rPr>
              <w:t>0.002</w:t>
            </w:r>
          </w:p>
          <w:p w14:paraId="686F4CE6" w14:textId="144DB2F1"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18087A">
              <w:rPr>
                <w:rFonts w:ascii="Times New Roman" w:eastAsia="Times New Roman" w:hAnsi="Times New Roman" w:cs="Times New Roman"/>
                <w:sz w:val="20"/>
                <w:szCs w:val="20"/>
              </w:rPr>
              <w:t>666</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697156E3" w14:textId="2150EB17" w:rsidR="004740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735F7E">
              <w:rPr>
                <w:rFonts w:ascii="Times New Roman" w:eastAsia="Times New Roman" w:hAnsi="Times New Roman" w:cs="Times New Roman"/>
                <w:sz w:val="20"/>
                <w:szCs w:val="20"/>
              </w:rPr>
              <w:t>0</w:t>
            </w:r>
          </w:p>
          <w:p w14:paraId="10E60047" w14:textId="5CD5CE4B"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735F7E">
              <w:rPr>
                <w:rFonts w:ascii="Times New Roman" w:eastAsia="Times New Roman" w:hAnsi="Times New Roman" w:cs="Times New Roman"/>
                <w:sz w:val="20"/>
                <w:szCs w:val="20"/>
              </w:rPr>
              <w:t>923</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599F6D63" w14:textId="1E15E176" w:rsidR="00446E30" w:rsidRDefault="00EA78B4"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0.002</w:t>
            </w:r>
          </w:p>
          <w:p w14:paraId="62A56CC5" w14:textId="16C94471"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(.6</w:t>
            </w:r>
            <w:r w:rsidR="00AF0CFD">
              <w:rPr>
                <w:rFonts w:ascii="Times New Roman" w:eastAsia="Times New Roman" w:hAnsi="Times New Roman" w:cs="Times New Roman"/>
                <w:sz w:val="20"/>
                <w:szCs w:val="20"/>
              </w:rPr>
              <w:t>73</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7F4ABE9E"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12F06A68" w14:textId="5A31B519" w:rsidR="00AF0CFD" w:rsidRDefault="006F00D1"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0.00</w:t>
            </w:r>
            <w:r w:rsidR="00E30146">
              <w:rPr>
                <w:rFonts w:ascii="Times New Roman" w:eastAsia="Times New Roman" w:hAnsi="Times New Roman" w:cs="Times New Roman"/>
                <w:sz w:val="20"/>
                <w:szCs w:val="20"/>
              </w:rPr>
              <w:t>3</w:t>
            </w:r>
          </w:p>
          <w:p w14:paraId="717FB9AB" w14:textId="550087AE"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E30146">
              <w:rPr>
                <w:rFonts w:ascii="Times New Roman" w:eastAsia="Times New Roman" w:hAnsi="Times New Roman" w:cs="Times New Roman"/>
                <w:sz w:val="20"/>
                <w:szCs w:val="20"/>
              </w:rPr>
              <w:t>509</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5124E92F" w14:textId="37DDC0E0" w:rsidR="00E3014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A925AA">
              <w:rPr>
                <w:rFonts w:ascii="Times New Roman" w:eastAsia="Times New Roman" w:hAnsi="Times New Roman" w:cs="Times New Roman"/>
                <w:sz w:val="20"/>
                <w:szCs w:val="20"/>
              </w:rPr>
              <w:t>0</w:t>
            </w:r>
          </w:p>
          <w:p w14:paraId="4C02C224" w14:textId="4E06CB4C"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w:t>
            </w:r>
            <w:r w:rsidR="00A925AA">
              <w:rPr>
                <w:rFonts w:ascii="Times New Roman" w:eastAsia="Times New Roman" w:hAnsi="Times New Roman" w:cs="Times New Roman"/>
                <w:sz w:val="20"/>
                <w:szCs w:val="20"/>
              </w:rPr>
              <w:t>77</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4199A4D9" w14:textId="00C187DE" w:rsidR="006C3C66" w:rsidRDefault="00EA78B4" w:rsidP="00C72630">
            <w:pPr>
              <w:spacing w:after="0"/>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0.00</w:t>
            </w:r>
            <w:r w:rsidR="00B35C14">
              <w:rPr>
                <w:rFonts w:ascii="Times New Roman" w:eastAsia="Times New Roman" w:hAnsi="Times New Roman" w:cs="Times New Roman"/>
                <w:sz w:val="20"/>
                <w:szCs w:val="20"/>
              </w:rPr>
              <w:t>3</w:t>
            </w:r>
          </w:p>
          <w:p w14:paraId="20DEC402" w14:textId="1F26D530" w:rsidR="00C72630" w:rsidRPr="00F5674C" w:rsidRDefault="00C72630" w:rsidP="00C72630">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B35C14">
              <w:rPr>
                <w:rFonts w:ascii="Times New Roman" w:eastAsia="Times New Roman" w:hAnsi="Times New Roman" w:cs="Times New Roman"/>
                <w:sz w:val="20"/>
                <w:szCs w:val="20"/>
              </w:rPr>
              <w:t>514</w:t>
            </w:r>
            <w:r w:rsidRPr="00F5674C">
              <w:rPr>
                <w:rFonts w:ascii="Times New Roman" w:eastAsia="Times New Roman" w:hAnsi="Times New Roman" w:cs="Times New Roman"/>
                <w:sz w:val="20"/>
                <w:szCs w:val="20"/>
              </w:rPr>
              <w:t>)</w:t>
            </w:r>
          </w:p>
        </w:tc>
      </w:tr>
      <w:tr w:rsidR="00E30146" w:rsidRPr="00F5674C" w14:paraId="283FD762" w14:textId="77777777" w:rsidTr="00D94751">
        <w:trPr>
          <w:trHeight w:val="87"/>
        </w:trPr>
        <w:tc>
          <w:tcPr>
            <w:tcW w:w="3828" w:type="dxa"/>
            <w:tcBorders>
              <w:top w:val="nil"/>
              <w:left w:val="nil"/>
              <w:bottom w:val="nil"/>
              <w:right w:val="nil"/>
            </w:tcBorders>
          </w:tcPr>
          <w:p w14:paraId="62437434" w14:textId="46FA1F8F" w:rsidR="00C72630" w:rsidRPr="00F5674C" w:rsidRDefault="00D94751" w:rsidP="00C726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E61B4A">
              <w:rPr>
                <w:rFonts w:ascii="Times New Roman" w:eastAsia="Times New Roman" w:hAnsi="Times New Roman" w:cs="Times New Roman"/>
                <w:color w:val="000000"/>
                <w:sz w:val="20"/>
                <w:szCs w:val="20"/>
                <w:lang w:val="en-US"/>
              </w:rPr>
              <w:t>Expenditure</w:t>
            </w:r>
          </w:p>
        </w:tc>
        <w:tc>
          <w:tcPr>
            <w:tcW w:w="991" w:type="dxa"/>
            <w:tcBorders>
              <w:top w:val="nil"/>
              <w:left w:val="nil"/>
              <w:bottom w:val="nil"/>
              <w:right w:val="nil"/>
            </w:tcBorders>
          </w:tcPr>
          <w:p w14:paraId="49BD11C8" w14:textId="0C79AEA7" w:rsidR="0018087A"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18087A">
              <w:rPr>
                <w:rFonts w:ascii="Times New Roman" w:eastAsia="Times New Roman" w:hAnsi="Times New Roman" w:cs="Times New Roman"/>
                <w:sz w:val="20"/>
                <w:szCs w:val="20"/>
              </w:rPr>
              <w:t>39</w:t>
            </w:r>
            <w:r w:rsidR="00394410" w:rsidRPr="00394410">
              <w:rPr>
                <w:rFonts w:ascii="Times New Roman" w:eastAsia="Times New Roman" w:hAnsi="Times New Roman" w:cs="Times New Roman"/>
                <w:sz w:val="20"/>
                <w:szCs w:val="20"/>
                <w:vertAlign w:val="superscript"/>
              </w:rPr>
              <w:t>**</w:t>
            </w:r>
          </w:p>
          <w:p w14:paraId="50CDCE33" w14:textId="02600444" w:rsidR="00C72630" w:rsidRPr="0018087A"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18087A">
              <w:rPr>
                <w:rFonts w:ascii="Times New Roman" w:eastAsia="Times New Roman" w:hAnsi="Times New Roman" w:cs="Times New Roman"/>
                <w:sz w:val="20"/>
                <w:szCs w:val="20"/>
              </w:rPr>
              <w:t>023</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12201BE8" w14:textId="7AEF401D" w:rsidR="004740FD" w:rsidRDefault="00446E30" w:rsidP="00C726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2630" w:rsidRPr="00F5674C">
              <w:rPr>
                <w:rFonts w:ascii="Times New Roman" w:eastAsia="Times New Roman" w:hAnsi="Times New Roman" w:cs="Times New Roman"/>
                <w:sz w:val="20"/>
                <w:szCs w:val="20"/>
              </w:rPr>
              <w:t>0.000</w:t>
            </w:r>
          </w:p>
          <w:p w14:paraId="026C562B" w14:textId="418722B1"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446E30">
              <w:rPr>
                <w:rFonts w:ascii="Times New Roman" w:eastAsia="Times New Roman" w:hAnsi="Times New Roman" w:cs="Times New Roman"/>
                <w:sz w:val="20"/>
                <w:szCs w:val="20"/>
              </w:rPr>
              <w:t>879</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73D72425" w14:textId="73B7B6F7" w:rsidR="00446E30"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0CFD">
              <w:rPr>
                <w:rFonts w:ascii="Times New Roman" w:eastAsia="Times New Roman" w:hAnsi="Times New Roman" w:cs="Times New Roman"/>
                <w:sz w:val="20"/>
                <w:szCs w:val="20"/>
              </w:rPr>
              <w:t>38</w:t>
            </w:r>
            <w:r w:rsidR="00E822AF" w:rsidRPr="00E822AF">
              <w:rPr>
                <w:rFonts w:ascii="Times New Roman" w:eastAsia="Times New Roman" w:hAnsi="Times New Roman" w:cs="Times New Roman"/>
                <w:sz w:val="20"/>
                <w:szCs w:val="20"/>
                <w:vertAlign w:val="superscript"/>
              </w:rPr>
              <w:t>**</w:t>
            </w:r>
          </w:p>
          <w:p w14:paraId="113268B8" w14:textId="2CC33E18" w:rsidR="00C72630" w:rsidRPr="00AF0CFD"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0CFD">
              <w:rPr>
                <w:rFonts w:ascii="Times New Roman" w:eastAsia="Times New Roman" w:hAnsi="Times New Roman" w:cs="Times New Roman"/>
                <w:sz w:val="20"/>
                <w:szCs w:val="20"/>
              </w:rPr>
              <w:t>045</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55E81E0E"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1A0796D9" w14:textId="7D2D7D09" w:rsidR="00AF0CFD"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E30146">
              <w:rPr>
                <w:rFonts w:ascii="Times New Roman" w:eastAsia="Times New Roman" w:hAnsi="Times New Roman" w:cs="Times New Roman"/>
                <w:sz w:val="20"/>
                <w:szCs w:val="20"/>
              </w:rPr>
              <w:t>44</w:t>
            </w:r>
            <w:r w:rsidR="00E822AF" w:rsidRPr="00E822AF">
              <w:rPr>
                <w:rFonts w:ascii="Times New Roman" w:eastAsia="Times New Roman" w:hAnsi="Times New Roman" w:cs="Times New Roman"/>
                <w:sz w:val="20"/>
                <w:szCs w:val="20"/>
                <w:vertAlign w:val="superscript"/>
              </w:rPr>
              <w:t>**</w:t>
            </w:r>
          </w:p>
          <w:p w14:paraId="44D5ED4E" w14:textId="332F1AD3"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E30146">
              <w:rPr>
                <w:rFonts w:ascii="Times New Roman" w:eastAsia="Times New Roman" w:hAnsi="Times New Roman" w:cs="Times New Roman"/>
                <w:sz w:val="20"/>
                <w:szCs w:val="20"/>
              </w:rPr>
              <w:t>16</w:t>
            </w:r>
            <w:r w:rsidR="00E822AF">
              <w:rPr>
                <w:rFonts w:ascii="Times New Roman" w:eastAsia="Times New Roman" w:hAnsi="Times New Roman" w:cs="Times New Roman"/>
                <w:sz w:val="20"/>
                <w:szCs w:val="20"/>
              </w:rPr>
              <w:t>)</w:t>
            </w:r>
          </w:p>
        </w:tc>
        <w:tc>
          <w:tcPr>
            <w:tcW w:w="1129" w:type="dxa"/>
            <w:tcBorders>
              <w:top w:val="nil"/>
              <w:left w:val="nil"/>
              <w:bottom w:val="nil"/>
              <w:right w:val="nil"/>
            </w:tcBorders>
          </w:tcPr>
          <w:p w14:paraId="34D6C9F0" w14:textId="3C3BA91E" w:rsidR="00E30146"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6C3C66">
              <w:rPr>
                <w:rFonts w:ascii="Times New Roman" w:eastAsia="Times New Roman" w:hAnsi="Times New Roman" w:cs="Times New Roman"/>
                <w:sz w:val="20"/>
                <w:szCs w:val="20"/>
              </w:rPr>
              <w:t>3</w:t>
            </w:r>
          </w:p>
          <w:p w14:paraId="5DFDAA97" w14:textId="685DC233"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6C3C66">
              <w:rPr>
                <w:rFonts w:ascii="Times New Roman" w:eastAsia="Times New Roman" w:hAnsi="Times New Roman" w:cs="Times New Roman"/>
                <w:sz w:val="20"/>
                <w:szCs w:val="20"/>
              </w:rPr>
              <w:t>508</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02AA5DE4" w14:textId="4F7B2D9B" w:rsidR="006C3C66" w:rsidRDefault="00C72630" w:rsidP="00C72630">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B35C14">
              <w:rPr>
                <w:rFonts w:ascii="Times New Roman" w:eastAsia="Times New Roman" w:hAnsi="Times New Roman" w:cs="Times New Roman"/>
                <w:sz w:val="20"/>
                <w:szCs w:val="20"/>
              </w:rPr>
              <w:t>44</w:t>
            </w:r>
            <w:r w:rsidR="00E822AF" w:rsidRPr="00E822AF">
              <w:rPr>
                <w:rFonts w:ascii="Times New Roman" w:eastAsia="Times New Roman" w:hAnsi="Times New Roman" w:cs="Times New Roman"/>
                <w:sz w:val="20"/>
                <w:szCs w:val="20"/>
                <w:vertAlign w:val="superscript"/>
              </w:rPr>
              <w:t>**</w:t>
            </w:r>
          </w:p>
          <w:p w14:paraId="67865A37" w14:textId="3C3206B2" w:rsidR="00C72630" w:rsidRPr="00F5674C" w:rsidRDefault="00C72630" w:rsidP="00C72630">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B35C14">
              <w:rPr>
                <w:rFonts w:ascii="Times New Roman" w:eastAsia="Times New Roman" w:hAnsi="Times New Roman" w:cs="Times New Roman"/>
                <w:sz w:val="20"/>
                <w:szCs w:val="20"/>
              </w:rPr>
              <w:t>31</w:t>
            </w:r>
            <w:r w:rsidRPr="00F5674C">
              <w:rPr>
                <w:rFonts w:ascii="Times New Roman" w:eastAsia="Times New Roman" w:hAnsi="Times New Roman" w:cs="Times New Roman"/>
                <w:sz w:val="20"/>
                <w:szCs w:val="20"/>
              </w:rPr>
              <w:t>)</w:t>
            </w:r>
          </w:p>
        </w:tc>
      </w:tr>
      <w:tr w:rsidR="00E30146" w:rsidRPr="00F5674C" w14:paraId="5B062243" w14:textId="77777777" w:rsidTr="00D94751">
        <w:trPr>
          <w:trHeight w:val="87"/>
        </w:trPr>
        <w:tc>
          <w:tcPr>
            <w:tcW w:w="3828" w:type="dxa"/>
            <w:tcBorders>
              <w:top w:val="nil"/>
              <w:left w:val="nil"/>
              <w:bottom w:val="nil"/>
              <w:right w:val="nil"/>
            </w:tcBorders>
          </w:tcPr>
          <w:p w14:paraId="3436978E" w14:textId="17C56EEE" w:rsidR="004740FD" w:rsidRPr="00F5674C" w:rsidRDefault="00D94751" w:rsidP="004740FD">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740FD">
              <w:rPr>
                <w:rFonts w:ascii="Times New Roman" w:eastAsia="Times New Roman" w:hAnsi="Times New Roman" w:cs="Times New Roman"/>
                <w:color w:val="000000"/>
                <w:sz w:val="20"/>
                <w:szCs w:val="20"/>
                <w:lang w:val="en-US"/>
              </w:rPr>
              <w:t>Year dummies</w:t>
            </w:r>
          </w:p>
        </w:tc>
        <w:tc>
          <w:tcPr>
            <w:tcW w:w="991" w:type="dxa"/>
            <w:tcBorders>
              <w:top w:val="nil"/>
              <w:left w:val="nil"/>
              <w:bottom w:val="nil"/>
              <w:right w:val="nil"/>
            </w:tcBorders>
          </w:tcPr>
          <w:p w14:paraId="2D60EAF8" w14:textId="5C208585"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6" w:type="dxa"/>
            <w:tcBorders>
              <w:top w:val="nil"/>
              <w:left w:val="nil"/>
              <w:bottom w:val="nil"/>
              <w:right w:val="nil"/>
            </w:tcBorders>
          </w:tcPr>
          <w:p w14:paraId="7A22F166" w14:textId="004964AE"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7" w:type="dxa"/>
            <w:tcBorders>
              <w:top w:val="nil"/>
              <w:left w:val="nil"/>
              <w:bottom w:val="nil"/>
              <w:right w:val="nil"/>
            </w:tcBorders>
          </w:tcPr>
          <w:p w14:paraId="2993D6EF" w14:textId="70BA350F"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236" w:type="dxa"/>
            <w:tcBorders>
              <w:top w:val="nil"/>
              <w:left w:val="nil"/>
              <w:bottom w:val="nil"/>
              <w:right w:val="nil"/>
            </w:tcBorders>
          </w:tcPr>
          <w:p w14:paraId="27A9527C" w14:textId="77777777" w:rsidR="004740FD" w:rsidRPr="0018087A" w:rsidRDefault="004740FD" w:rsidP="004740FD">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25CE39B6" w14:textId="1E9D11AF"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129" w:type="dxa"/>
            <w:tcBorders>
              <w:top w:val="nil"/>
              <w:left w:val="nil"/>
              <w:bottom w:val="nil"/>
              <w:right w:val="nil"/>
            </w:tcBorders>
          </w:tcPr>
          <w:p w14:paraId="7388CCB6" w14:textId="3EFB7F3D"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4" w:type="dxa"/>
            <w:tcBorders>
              <w:top w:val="nil"/>
              <w:left w:val="nil"/>
              <w:bottom w:val="nil"/>
              <w:right w:val="nil"/>
            </w:tcBorders>
          </w:tcPr>
          <w:p w14:paraId="62225AE6" w14:textId="10EEB136" w:rsidR="004740FD" w:rsidRPr="0018087A" w:rsidRDefault="004740FD" w:rsidP="004740FD">
            <w:pPr>
              <w:spacing w:after="0"/>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E30146" w:rsidRPr="00F5674C" w14:paraId="15E608DD" w14:textId="77777777" w:rsidTr="00D94751">
        <w:trPr>
          <w:trHeight w:val="87"/>
        </w:trPr>
        <w:tc>
          <w:tcPr>
            <w:tcW w:w="3828" w:type="dxa"/>
            <w:tcBorders>
              <w:top w:val="nil"/>
              <w:left w:val="nil"/>
              <w:bottom w:val="nil"/>
              <w:right w:val="nil"/>
            </w:tcBorders>
          </w:tcPr>
          <w:p w14:paraId="155D5615" w14:textId="35677AE7" w:rsidR="004740FD" w:rsidRPr="00F5674C" w:rsidRDefault="00D94751" w:rsidP="004740FD">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740FD">
              <w:rPr>
                <w:rFonts w:ascii="Times New Roman" w:eastAsia="Times New Roman" w:hAnsi="Times New Roman" w:cs="Times New Roman"/>
                <w:color w:val="000000"/>
                <w:sz w:val="20"/>
                <w:szCs w:val="20"/>
                <w:lang w:val="en-US"/>
              </w:rPr>
              <w:t>Country dummies</w:t>
            </w:r>
          </w:p>
        </w:tc>
        <w:tc>
          <w:tcPr>
            <w:tcW w:w="991" w:type="dxa"/>
            <w:tcBorders>
              <w:top w:val="nil"/>
              <w:left w:val="nil"/>
              <w:bottom w:val="nil"/>
              <w:right w:val="nil"/>
            </w:tcBorders>
          </w:tcPr>
          <w:p w14:paraId="38BC3321" w14:textId="126DF5D9"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6" w:type="dxa"/>
            <w:tcBorders>
              <w:top w:val="nil"/>
              <w:left w:val="nil"/>
              <w:bottom w:val="nil"/>
              <w:right w:val="nil"/>
            </w:tcBorders>
          </w:tcPr>
          <w:p w14:paraId="2702481D" w14:textId="4EF86F33"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7" w:type="dxa"/>
            <w:tcBorders>
              <w:top w:val="nil"/>
              <w:left w:val="nil"/>
              <w:bottom w:val="nil"/>
              <w:right w:val="nil"/>
            </w:tcBorders>
          </w:tcPr>
          <w:p w14:paraId="1D95532F" w14:textId="76308ACE"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236" w:type="dxa"/>
            <w:tcBorders>
              <w:top w:val="nil"/>
              <w:left w:val="nil"/>
              <w:bottom w:val="nil"/>
              <w:right w:val="nil"/>
            </w:tcBorders>
          </w:tcPr>
          <w:p w14:paraId="04A4F2F7" w14:textId="77777777" w:rsidR="004740FD" w:rsidRPr="0018087A" w:rsidRDefault="004740FD" w:rsidP="004740FD">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4709ACBF" w14:textId="725E4F87"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129" w:type="dxa"/>
            <w:tcBorders>
              <w:top w:val="nil"/>
              <w:left w:val="nil"/>
              <w:bottom w:val="nil"/>
              <w:right w:val="nil"/>
            </w:tcBorders>
          </w:tcPr>
          <w:p w14:paraId="5934EC02" w14:textId="6789E0FD" w:rsidR="004740FD" w:rsidRPr="0018087A" w:rsidRDefault="004740FD" w:rsidP="004740F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4" w:type="dxa"/>
            <w:tcBorders>
              <w:top w:val="nil"/>
              <w:left w:val="nil"/>
              <w:bottom w:val="nil"/>
              <w:right w:val="nil"/>
            </w:tcBorders>
          </w:tcPr>
          <w:p w14:paraId="5E4EF3A6" w14:textId="0265E791" w:rsidR="004740FD" w:rsidRPr="0018087A" w:rsidRDefault="004740FD" w:rsidP="004740FD">
            <w:pPr>
              <w:spacing w:after="0"/>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E30146" w:rsidRPr="00F5674C" w14:paraId="4DB4BAF9" w14:textId="77777777" w:rsidTr="00D94751">
        <w:tc>
          <w:tcPr>
            <w:tcW w:w="3828" w:type="dxa"/>
            <w:tcBorders>
              <w:top w:val="nil"/>
              <w:left w:val="nil"/>
              <w:bottom w:val="nil"/>
              <w:right w:val="nil"/>
            </w:tcBorders>
          </w:tcPr>
          <w:p w14:paraId="2B353B51" w14:textId="77777777" w:rsidR="00C72630" w:rsidRPr="00F5674C" w:rsidRDefault="00C72630" w:rsidP="00C72630">
            <w:pPr>
              <w:spacing w:after="0"/>
              <w:rPr>
                <w:rFonts w:ascii="Times New Roman" w:eastAsia="SimSun" w:hAnsi="Times New Roman" w:cs="Times New Roman"/>
                <w:color w:val="000000"/>
                <w:sz w:val="20"/>
                <w:szCs w:val="20"/>
                <w:lang w:val="en-US"/>
              </w:rPr>
            </w:pPr>
            <w:r w:rsidRPr="00F5674C">
              <w:rPr>
                <w:rFonts w:ascii="Times New Roman" w:eastAsia="SimSun" w:hAnsi="Times New Roman" w:cs="Times New Roman"/>
                <w:color w:val="000000"/>
                <w:sz w:val="20"/>
                <w:szCs w:val="20"/>
                <w:lang w:val="en-US"/>
              </w:rPr>
              <w:t>Constant</w:t>
            </w:r>
          </w:p>
        </w:tc>
        <w:tc>
          <w:tcPr>
            <w:tcW w:w="991" w:type="dxa"/>
            <w:tcBorders>
              <w:top w:val="nil"/>
              <w:left w:val="nil"/>
              <w:bottom w:val="nil"/>
              <w:right w:val="nil"/>
            </w:tcBorders>
          </w:tcPr>
          <w:p w14:paraId="343152F1" w14:textId="1B8467BD"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1.</w:t>
            </w:r>
            <w:r w:rsidR="0018087A">
              <w:rPr>
                <w:rFonts w:ascii="Times New Roman" w:eastAsia="Times New Roman" w:hAnsi="Times New Roman" w:cs="Times New Roman"/>
                <w:sz w:val="20"/>
                <w:szCs w:val="20"/>
              </w:rPr>
              <w:t>111</w:t>
            </w:r>
            <w:r w:rsidRPr="00F5674C">
              <w:rPr>
                <w:rFonts w:ascii="Times New Roman" w:eastAsia="Times New Roman" w:hAnsi="Times New Roman" w:cs="Times New Roman"/>
                <w:sz w:val="20"/>
                <w:szCs w:val="20"/>
                <w:vertAlign w:val="superscript"/>
              </w:rPr>
              <w:t>***</w:t>
            </w:r>
          </w:p>
        </w:tc>
        <w:tc>
          <w:tcPr>
            <w:tcW w:w="996" w:type="dxa"/>
            <w:tcBorders>
              <w:top w:val="nil"/>
              <w:left w:val="nil"/>
              <w:bottom w:val="nil"/>
              <w:right w:val="nil"/>
            </w:tcBorders>
          </w:tcPr>
          <w:p w14:paraId="6347AA16" w14:textId="15DCC6B5"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446E30">
              <w:rPr>
                <w:rFonts w:ascii="Times New Roman" w:eastAsia="Times New Roman" w:hAnsi="Times New Roman" w:cs="Times New Roman"/>
                <w:sz w:val="20"/>
                <w:szCs w:val="20"/>
              </w:rPr>
              <w:t>214</w:t>
            </w:r>
            <w:r w:rsidRPr="00F5674C">
              <w:rPr>
                <w:rFonts w:ascii="Times New Roman" w:eastAsia="Times New Roman" w:hAnsi="Times New Roman" w:cs="Times New Roman"/>
                <w:sz w:val="20"/>
                <w:szCs w:val="20"/>
                <w:vertAlign w:val="superscript"/>
              </w:rPr>
              <w:t>***</w:t>
            </w:r>
          </w:p>
        </w:tc>
        <w:tc>
          <w:tcPr>
            <w:tcW w:w="997" w:type="dxa"/>
            <w:tcBorders>
              <w:top w:val="nil"/>
              <w:left w:val="nil"/>
              <w:bottom w:val="nil"/>
              <w:right w:val="nil"/>
            </w:tcBorders>
          </w:tcPr>
          <w:p w14:paraId="4F54F338" w14:textId="5A5277D2"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1.</w:t>
            </w:r>
            <w:r w:rsidR="00AF0CFD">
              <w:rPr>
                <w:rFonts w:ascii="Times New Roman" w:eastAsia="Times New Roman" w:hAnsi="Times New Roman" w:cs="Times New Roman"/>
                <w:sz w:val="20"/>
                <w:szCs w:val="20"/>
              </w:rPr>
              <w:t>304</w:t>
            </w:r>
            <w:r w:rsidRPr="00F5674C">
              <w:rPr>
                <w:rFonts w:ascii="Times New Roman" w:eastAsia="Times New Roman" w:hAnsi="Times New Roman" w:cs="Times New Roman"/>
                <w:sz w:val="20"/>
                <w:szCs w:val="20"/>
                <w:vertAlign w:val="superscript"/>
              </w:rPr>
              <w:t>***</w:t>
            </w:r>
          </w:p>
        </w:tc>
        <w:tc>
          <w:tcPr>
            <w:tcW w:w="236" w:type="dxa"/>
            <w:tcBorders>
              <w:top w:val="nil"/>
              <w:left w:val="nil"/>
              <w:bottom w:val="nil"/>
              <w:right w:val="nil"/>
            </w:tcBorders>
          </w:tcPr>
          <w:p w14:paraId="09039466"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6960B37E" w14:textId="2EBDCA5F" w:rsidR="00C72630" w:rsidRPr="00F5674C" w:rsidRDefault="00E30146" w:rsidP="00C72630">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0.996</w:t>
            </w:r>
            <w:r w:rsidR="00C72630" w:rsidRPr="00F5674C">
              <w:rPr>
                <w:rFonts w:ascii="Times New Roman" w:eastAsia="Times New Roman" w:hAnsi="Times New Roman" w:cs="Times New Roman"/>
                <w:sz w:val="20"/>
                <w:szCs w:val="20"/>
                <w:vertAlign w:val="superscript"/>
              </w:rPr>
              <w:t>***</w:t>
            </w:r>
          </w:p>
        </w:tc>
        <w:tc>
          <w:tcPr>
            <w:tcW w:w="1129" w:type="dxa"/>
            <w:tcBorders>
              <w:top w:val="nil"/>
              <w:left w:val="nil"/>
              <w:bottom w:val="nil"/>
              <w:right w:val="nil"/>
            </w:tcBorders>
          </w:tcPr>
          <w:p w14:paraId="3DD2C995" w14:textId="1EA0F541"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0.2</w:t>
            </w:r>
            <w:r w:rsidR="006C3C66">
              <w:rPr>
                <w:rFonts w:ascii="Times New Roman" w:eastAsia="Times New Roman" w:hAnsi="Times New Roman" w:cs="Times New Roman"/>
                <w:sz w:val="20"/>
                <w:szCs w:val="20"/>
              </w:rPr>
              <w:t>09</w:t>
            </w:r>
            <w:r w:rsidRPr="00F5674C">
              <w:rPr>
                <w:rFonts w:ascii="Times New Roman" w:eastAsia="Times New Roman" w:hAnsi="Times New Roman" w:cs="Times New Roman"/>
                <w:sz w:val="20"/>
                <w:szCs w:val="20"/>
                <w:vertAlign w:val="superscript"/>
              </w:rPr>
              <w:t>***</w:t>
            </w:r>
          </w:p>
        </w:tc>
        <w:tc>
          <w:tcPr>
            <w:tcW w:w="994" w:type="dxa"/>
            <w:tcBorders>
              <w:top w:val="nil"/>
              <w:left w:val="nil"/>
              <w:bottom w:val="nil"/>
              <w:right w:val="nil"/>
            </w:tcBorders>
          </w:tcPr>
          <w:p w14:paraId="5A8C26AE" w14:textId="33308300" w:rsidR="00C72630" w:rsidRPr="00F5674C" w:rsidRDefault="00C72630" w:rsidP="00C72630">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1.</w:t>
            </w:r>
            <w:r w:rsidR="006C3C66">
              <w:rPr>
                <w:rFonts w:ascii="Times New Roman" w:eastAsia="Times New Roman" w:hAnsi="Times New Roman" w:cs="Times New Roman"/>
                <w:sz w:val="20"/>
                <w:szCs w:val="20"/>
              </w:rPr>
              <w:t>165</w:t>
            </w:r>
            <w:r w:rsidRPr="00F5674C">
              <w:rPr>
                <w:rFonts w:ascii="Times New Roman" w:eastAsia="Times New Roman" w:hAnsi="Times New Roman" w:cs="Times New Roman"/>
                <w:sz w:val="20"/>
                <w:szCs w:val="20"/>
                <w:vertAlign w:val="superscript"/>
              </w:rPr>
              <w:t>***</w:t>
            </w:r>
          </w:p>
        </w:tc>
      </w:tr>
      <w:tr w:rsidR="00E30146" w:rsidRPr="00F5674C" w14:paraId="5EB6EBFC" w14:textId="77777777" w:rsidTr="00D94751">
        <w:tc>
          <w:tcPr>
            <w:tcW w:w="3828" w:type="dxa"/>
            <w:tcBorders>
              <w:top w:val="nil"/>
              <w:left w:val="nil"/>
              <w:right w:val="nil"/>
            </w:tcBorders>
          </w:tcPr>
          <w:p w14:paraId="4E9434AC" w14:textId="46A0EB25" w:rsidR="00C72630" w:rsidRPr="00F5674C" w:rsidRDefault="00C72630" w:rsidP="00C72630">
            <w:pPr>
              <w:spacing w:after="0"/>
              <w:rPr>
                <w:rFonts w:ascii="Times New Roman" w:eastAsia="SimSun" w:hAnsi="Times New Roman" w:cs="Times New Roman"/>
                <w:color w:val="000000"/>
                <w:sz w:val="20"/>
                <w:szCs w:val="20"/>
                <w:lang w:val="en-US"/>
              </w:rPr>
            </w:pPr>
            <w:r w:rsidRPr="00F5674C">
              <w:rPr>
                <w:rFonts w:ascii="Times New Roman" w:eastAsia="SimSun" w:hAnsi="Times New Roman" w:cs="Times New Roman"/>
                <w:i/>
                <w:sz w:val="20"/>
                <w:szCs w:val="20"/>
                <w:lang w:val="en-US"/>
              </w:rPr>
              <w:t>R</w:t>
            </w:r>
            <w:r w:rsidR="0018087A">
              <w:rPr>
                <w:rFonts w:ascii="Times New Roman" w:eastAsia="SimSun" w:hAnsi="Times New Roman" w:cs="Times New Roman"/>
                <w:i/>
                <w:sz w:val="20"/>
                <w:szCs w:val="20"/>
                <w:lang w:val="en-US"/>
              </w:rPr>
              <w:t>-sq</w:t>
            </w:r>
          </w:p>
        </w:tc>
        <w:tc>
          <w:tcPr>
            <w:tcW w:w="991" w:type="dxa"/>
            <w:tcBorders>
              <w:top w:val="nil"/>
              <w:left w:val="nil"/>
              <w:right w:val="nil"/>
            </w:tcBorders>
          </w:tcPr>
          <w:p w14:paraId="26B58C58" w14:textId="1FD1EDE6"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18087A">
              <w:rPr>
                <w:rFonts w:ascii="Times New Roman" w:eastAsia="Times New Roman" w:hAnsi="Times New Roman" w:cs="Times New Roman"/>
                <w:sz w:val="20"/>
                <w:szCs w:val="20"/>
              </w:rPr>
              <w:t>528</w:t>
            </w:r>
          </w:p>
        </w:tc>
        <w:tc>
          <w:tcPr>
            <w:tcW w:w="996" w:type="dxa"/>
            <w:tcBorders>
              <w:top w:val="nil"/>
              <w:left w:val="nil"/>
              <w:right w:val="nil"/>
            </w:tcBorders>
          </w:tcPr>
          <w:p w14:paraId="1DD5C7FD" w14:textId="751AAED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446E30">
              <w:rPr>
                <w:rFonts w:ascii="Times New Roman" w:eastAsia="Times New Roman" w:hAnsi="Times New Roman" w:cs="Times New Roman"/>
                <w:sz w:val="20"/>
                <w:szCs w:val="20"/>
              </w:rPr>
              <w:t>450</w:t>
            </w:r>
          </w:p>
        </w:tc>
        <w:tc>
          <w:tcPr>
            <w:tcW w:w="997" w:type="dxa"/>
            <w:tcBorders>
              <w:top w:val="nil"/>
              <w:left w:val="nil"/>
              <w:right w:val="nil"/>
            </w:tcBorders>
          </w:tcPr>
          <w:p w14:paraId="2D65FB58" w14:textId="6CCFC49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446E30">
              <w:rPr>
                <w:rFonts w:ascii="Times New Roman" w:eastAsia="Times New Roman" w:hAnsi="Times New Roman" w:cs="Times New Roman"/>
                <w:sz w:val="20"/>
                <w:szCs w:val="20"/>
              </w:rPr>
              <w:t>456</w:t>
            </w:r>
          </w:p>
        </w:tc>
        <w:tc>
          <w:tcPr>
            <w:tcW w:w="236" w:type="dxa"/>
            <w:tcBorders>
              <w:top w:val="nil"/>
              <w:left w:val="nil"/>
              <w:right w:val="nil"/>
            </w:tcBorders>
          </w:tcPr>
          <w:p w14:paraId="3C682EEB"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right w:val="nil"/>
            </w:tcBorders>
          </w:tcPr>
          <w:p w14:paraId="03DCBFF2" w14:textId="636B4C60"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E30146">
              <w:rPr>
                <w:rFonts w:ascii="Times New Roman" w:eastAsia="Times New Roman" w:hAnsi="Times New Roman" w:cs="Times New Roman"/>
                <w:sz w:val="20"/>
                <w:szCs w:val="20"/>
              </w:rPr>
              <w:t>438</w:t>
            </w:r>
          </w:p>
        </w:tc>
        <w:tc>
          <w:tcPr>
            <w:tcW w:w="1129" w:type="dxa"/>
            <w:tcBorders>
              <w:top w:val="nil"/>
              <w:left w:val="nil"/>
              <w:right w:val="nil"/>
            </w:tcBorders>
          </w:tcPr>
          <w:p w14:paraId="46BC60D5" w14:textId="320B3F32"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0.3</w:t>
            </w:r>
            <w:r w:rsidR="006C3C66">
              <w:rPr>
                <w:rFonts w:ascii="Times New Roman" w:eastAsia="Times New Roman" w:hAnsi="Times New Roman" w:cs="Times New Roman"/>
                <w:sz w:val="20"/>
                <w:szCs w:val="20"/>
              </w:rPr>
              <w:t>92</w:t>
            </w:r>
          </w:p>
        </w:tc>
        <w:tc>
          <w:tcPr>
            <w:tcW w:w="994" w:type="dxa"/>
            <w:tcBorders>
              <w:top w:val="nil"/>
              <w:left w:val="nil"/>
              <w:right w:val="nil"/>
            </w:tcBorders>
          </w:tcPr>
          <w:p w14:paraId="43DBB4E1" w14:textId="0D8B218D"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0.44</w:t>
            </w:r>
            <w:r w:rsidR="006C3C66">
              <w:rPr>
                <w:rFonts w:ascii="Times New Roman" w:eastAsia="Times New Roman" w:hAnsi="Times New Roman" w:cs="Times New Roman"/>
                <w:sz w:val="20"/>
                <w:szCs w:val="20"/>
              </w:rPr>
              <w:t>9</w:t>
            </w:r>
          </w:p>
        </w:tc>
      </w:tr>
      <w:tr w:rsidR="00E30146" w:rsidRPr="00F5674C" w14:paraId="51B9E117" w14:textId="77777777" w:rsidTr="00D94751">
        <w:tc>
          <w:tcPr>
            <w:tcW w:w="3828" w:type="dxa"/>
            <w:tcBorders>
              <w:top w:val="nil"/>
              <w:left w:val="nil"/>
              <w:bottom w:val="single" w:sz="4" w:space="0" w:color="auto"/>
              <w:right w:val="nil"/>
            </w:tcBorders>
          </w:tcPr>
          <w:p w14:paraId="2A8810FE" w14:textId="596D74F9" w:rsidR="00C72630" w:rsidRPr="00F5674C" w:rsidRDefault="00C72630" w:rsidP="00C72630">
            <w:pPr>
              <w:spacing w:after="0"/>
              <w:rPr>
                <w:rFonts w:ascii="Times New Roman" w:eastAsia="SimSun" w:hAnsi="Times New Roman" w:cs="Times New Roman"/>
                <w:color w:val="000000"/>
                <w:sz w:val="20"/>
                <w:szCs w:val="20"/>
                <w:lang w:val="en-US"/>
              </w:rPr>
            </w:pPr>
            <w:r w:rsidRPr="00F5674C">
              <w:rPr>
                <w:rFonts w:ascii="Times New Roman" w:eastAsia="SimSun" w:hAnsi="Times New Roman" w:cs="Times New Roman"/>
                <w:color w:val="000000"/>
                <w:sz w:val="20"/>
                <w:szCs w:val="20"/>
                <w:lang w:val="en-US"/>
              </w:rPr>
              <w:t>N</w:t>
            </w:r>
            <w:r w:rsidR="00075CB3">
              <w:rPr>
                <w:rFonts w:ascii="Times New Roman" w:eastAsia="SimSun" w:hAnsi="Times New Roman" w:cs="Times New Roman"/>
                <w:color w:val="000000"/>
                <w:sz w:val="20"/>
                <w:szCs w:val="20"/>
                <w:lang w:val="en-US"/>
              </w:rPr>
              <w:t>umber of observations</w:t>
            </w:r>
          </w:p>
        </w:tc>
        <w:tc>
          <w:tcPr>
            <w:tcW w:w="991" w:type="dxa"/>
            <w:tcBorders>
              <w:top w:val="nil"/>
              <w:left w:val="nil"/>
              <w:bottom w:val="single" w:sz="4" w:space="0" w:color="auto"/>
              <w:right w:val="nil"/>
            </w:tcBorders>
          </w:tcPr>
          <w:p w14:paraId="4100B013"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996" w:type="dxa"/>
            <w:tcBorders>
              <w:top w:val="nil"/>
              <w:left w:val="nil"/>
              <w:bottom w:val="single" w:sz="4" w:space="0" w:color="auto"/>
              <w:right w:val="nil"/>
            </w:tcBorders>
          </w:tcPr>
          <w:p w14:paraId="526F8D89"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997" w:type="dxa"/>
            <w:tcBorders>
              <w:top w:val="nil"/>
              <w:left w:val="nil"/>
              <w:bottom w:val="single" w:sz="4" w:space="0" w:color="auto"/>
              <w:right w:val="nil"/>
            </w:tcBorders>
          </w:tcPr>
          <w:p w14:paraId="1C95A94C"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236" w:type="dxa"/>
            <w:tcBorders>
              <w:top w:val="nil"/>
              <w:left w:val="nil"/>
              <w:bottom w:val="single" w:sz="4" w:space="0" w:color="auto"/>
              <w:right w:val="nil"/>
            </w:tcBorders>
          </w:tcPr>
          <w:p w14:paraId="348C8AFF" w14:textId="77777777" w:rsidR="00C72630" w:rsidRPr="00F5674C" w:rsidRDefault="00C72630" w:rsidP="00C72630">
            <w:pPr>
              <w:spacing w:after="0"/>
              <w:rPr>
                <w:rFonts w:ascii="Times New Roman" w:eastAsia="Times New Roman" w:hAnsi="Times New Roman" w:cs="Times New Roman"/>
                <w:sz w:val="20"/>
                <w:szCs w:val="20"/>
              </w:rPr>
            </w:pPr>
          </w:p>
        </w:tc>
        <w:tc>
          <w:tcPr>
            <w:tcW w:w="1046" w:type="dxa"/>
            <w:tcBorders>
              <w:top w:val="nil"/>
              <w:left w:val="nil"/>
              <w:bottom w:val="single" w:sz="4" w:space="0" w:color="auto"/>
              <w:right w:val="nil"/>
            </w:tcBorders>
          </w:tcPr>
          <w:p w14:paraId="0EBD2FEE"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1129" w:type="dxa"/>
            <w:tcBorders>
              <w:top w:val="nil"/>
              <w:left w:val="nil"/>
              <w:bottom w:val="single" w:sz="4" w:space="0" w:color="auto"/>
              <w:right w:val="nil"/>
            </w:tcBorders>
          </w:tcPr>
          <w:p w14:paraId="0AE48865"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994" w:type="dxa"/>
            <w:tcBorders>
              <w:top w:val="nil"/>
              <w:left w:val="nil"/>
              <w:bottom w:val="single" w:sz="4" w:space="0" w:color="auto"/>
              <w:right w:val="nil"/>
            </w:tcBorders>
          </w:tcPr>
          <w:p w14:paraId="7C513061" w14:textId="77777777" w:rsidR="00C72630" w:rsidRPr="00F5674C" w:rsidRDefault="00C72630" w:rsidP="00C72630">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r>
      <w:tr w:rsidR="00C72630" w:rsidRPr="00F5674C" w14:paraId="1EF224E0" w14:textId="77777777" w:rsidTr="00D94751">
        <w:tc>
          <w:tcPr>
            <w:tcW w:w="10213" w:type="dxa"/>
            <w:gridSpan w:val="8"/>
            <w:tcBorders>
              <w:top w:val="single" w:sz="4" w:space="0" w:color="auto"/>
              <w:left w:val="nil"/>
              <w:right w:val="nil"/>
            </w:tcBorders>
          </w:tcPr>
          <w:p w14:paraId="62FCFFE7" w14:textId="1AD0EF17" w:rsidR="00C72630" w:rsidRPr="00F5674C" w:rsidRDefault="00C72630" w:rsidP="00C72630">
            <w:pPr>
              <w:spacing w:after="0"/>
              <w:rPr>
                <w:rFonts w:ascii="Times New Roman" w:eastAsia="Calibri" w:hAnsi="Times New Roman" w:cs="Times New Roman"/>
                <w:sz w:val="16"/>
                <w:szCs w:val="16"/>
                <w:lang w:val="en-US"/>
              </w:rPr>
            </w:pPr>
            <w:r w:rsidRPr="00F5674C">
              <w:rPr>
                <w:rFonts w:ascii="Times New Roman" w:eastAsia="Times New Roman" w:hAnsi="Times New Roman" w:cs="Times New Roman"/>
                <w:color w:val="000000"/>
                <w:sz w:val="20"/>
                <w:szCs w:val="20"/>
                <w:lang w:val="en-US" w:eastAsia="en-GB"/>
              </w:rPr>
              <w:t xml:space="preserve">Please </w:t>
            </w:r>
            <w:r w:rsidR="00E56A18">
              <w:rPr>
                <w:rFonts w:ascii="Times New Roman" w:eastAsia="Times New Roman" w:hAnsi="Times New Roman" w:cs="Times New Roman"/>
                <w:color w:val="000000"/>
                <w:sz w:val="20"/>
                <w:szCs w:val="20"/>
                <w:lang w:val="en-US" w:eastAsia="en-GB"/>
              </w:rPr>
              <w:t>refer to the</w:t>
            </w:r>
            <w:r w:rsidRPr="00F5674C">
              <w:rPr>
                <w:rFonts w:ascii="Times New Roman" w:eastAsia="Times New Roman" w:hAnsi="Times New Roman" w:cs="Times New Roman"/>
                <w:color w:val="000000"/>
                <w:sz w:val="20"/>
                <w:szCs w:val="20"/>
                <w:lang w:val="en-US" w:eastAsia="en-GB"/>
              </w:rPr>
              <w:t xml:space="preserve"> </w:t>
            </w:r>
            <w:r w:rsidRPr="008113B5">
              <w:rPr>
                <w:rFonts w:ascii="Times New Roman" w:eastAsia="Times New Roman" w:hAnsi="Times New Roman" w:cs="Times New Roman"/>
                <w:b/>
                <w:bCs/>
                <w:i/>
                <w:iCs/>
                <w:color w:val="000000"/>
                <w:sz w:val="20"/>
                <w:szCs w:val="20"/>
                <w:lang w:val="en-US" w:eastAsia="en-GB"/>
              </w:rPr>
              <w:t>online Appendix 1</w:t>
            </w:r>
            <w:r w:rsidRPr="00F5674C">
              <w:rPr>
                <w:rFonts w:ascii="Times New Roman" w:eastAsia="Times New Roman" w:hAnsi="Times New Roman" w:cs="Times New Roman"/>
                <w:color w:val="000000"/>
                <w:sz w:val="20"/>
                <w:szCs w:val="20"/>
                <w:lang w:val="en-US" w:eastAsia="en-GB"/>
              </w:rPr>
              <w:t xml:space="preserve"> for variable definitions. </w:t>
            </w:r>
            <w:r w:rsidRPr="00F5674C">
              <w:rPr>
                <w:rFonts w:ascii="Times New Roman" w:eastAsia="Calibri" w:hAnsi="Times New Roman" w:cs="Times New Roman"/>
                <w:sz w:val="20"/>
                <w:szCs w:val="20"/>
                <w:lang w:val="en-US"/>
              </w:rPr>
              <w:t>*** Significance at the 1% level (p&lt;0.01)</w:t>
            </w:r>
            <w:r>
              <w:rPr>
                <w:rFonts w:ascii="Times New Roman" w:eastAsia="Calibri" w:hAnsi="Times New Roman" w:cs="Times New Roman"/>
                <w:sz w:val="20"/>
                <w:szCs w:val="20"/>
                <w:lang w:val="en-US"/>
              </w:rPr>
              <w:t xml:space="preserve">, </w:t>
            </w:r>
            <w:r w:rsidRPr="00F5674C">
              <w:rPr>
                <w:rFonts w:ascii="Times New Roman" w:eastAsia="Calibri" w:hAnsi="Times New Roman" w:cs="Times New Roman"/>
                <w:sz w:val="20"/>
                <w:szCs w:val="20"/>
                <w:lang w:val="en-US"/>
              </w:rPr>
              <w:t>** Significance at the 5% level (p&lt;0.05)</w:t>
            </w:r>
            <w:r>
              <w:rPr>
                <w:rFonts w:ascii="Times New Roman" w:eastAsia="Calibri" w:hAnsi="Times New Roman" w:cs="Times New Roman"/>
                <w:sz w:val="20"/>
                <w:szCs w:val="20"/>
                <w:lang w:val="en-US"/>
              </w:rPr>
              <w:t xml:space="preserve"> and </w:t>
            </w:r>
            <w:r w:rsidRPr="00F5674C">
              <w:rPr>
                <w:rFonts w:ascii="Times New Roman" w:eastAsia="Calibri" w:hAnsi="Times New Roman" w:cs="Times New Roman"/>
                <w:sz w:val="20"/>
                <w:szCs w:val="20"/>
                <w:lang w:val="en-US"/>
              </w:rPr>
              <w:t>* Significance at the 10% level (p&lt;0.10).</w:t>
            </w:r>
          </w:p>
        </w:tc>
      </w:tr>
    </w:tbl>
    <w:p w14:paraId="6CD3AA4D" w14:textId="77777777" w:rsidR="00F8030B" w:rsidRDefault="00F8030B" w:rsidP="00855220">
      <w:pPr>
        <w:sectPr w:rsidR="00F8030B" w:rsidSect="008E418C">
          <w:pgSz w:w="11906" w:h="16838"/>
          <w:pgMar w:top="1440" w:right="1440" w:bottom="1440" w:left="1440" w:header="720" w:footer="720" w:gutter="0"/>
          <w:cols w:space="720"/>
          <w:docGrid w:linePitch="299"/>
        </w:sectPr>
      </w:pPr>
    </w:p>
    <w:tbl>
      <w:tblPr>
        <w:tblpPr w:leftFromText="180" w:rightFromText="180" w:vertAnchor="page" w:horzAnchor="margin" w:tblpXSpec="center" w:tblpY="2245"/>
        <w:tblW w:w="9928" w:type="dxa"/>
        <w:tblLayout w:type="fixed"/>
        <w:tblLook w:val="04A0" w:firstRow="1" w:lastRow="0" w:firstColumn="1" w:lastColumn="0" w:noHBand="0" w:noVBand="1"/>
      </w:tblPr>
      <w:tblGrid>
        <w:gridCol w:w="3544"/>
        <w:gridCol w:w="992"/>
        <w:gridCol w:w="992"/>
        <w:gridCol w:w="992"/>
        <w:gridCol w:w="236"/>
        <w:gridCol w:w="1044"/>
        <w:gridCol w:w="1133"/>
        <w:gridCol w:w="995"/>
      </w:tblGrid>
      <w:tr w:rsidR="008E418C" w:rsidRPr="006B5786" w14:paraId="44C8C799" w14:textId="77777777" w:rsidTr="00D94751">
        <w:tc>
          <w:tcPr>
            <w:tcW w:w="9924" w:type="dxa"/>
            <w:gridSpan w:val="8"/>
            <w:tcBorders>
              <w:left w:val="nil"/>
              <w:bottom w:val="single" w:sz="12" w:space="0" w:color="auto"/>
              <w:right w:val="nil"/>
            </w:tcBorders>
          </w:tcPr>
          <w:p w14:paraId="710673CD" w14:textId="77777777" w:rsidR="008E418C" w:rsidRDefault="008E418C" w:rsidP="00C71211">
            <w:pPr>
              <w:spacing w:after="0"/>
              <w:rPr>
                <w:rFonts w:ascii="Times New Roman" w:eastAsia="Times New Roman" w:hAnsi="Times New Roman"/>
                <w:b/>
                <w:bCs/>
                <w:sz w:val="20"/>
                <w:szCs w:val="20"/>
                <w:lang w:val="en-US" w:eastAsia="zh-CN"/>
              </w:rPr>
            </w:pPr>
          </w:p>
          <w:p w14:paraId="1F957C28" w14:textId="34D1C7E5" w:rsidR="008E418C" w:rsidRPr="006B5786" w:rsidRDefault="008E418C" w:rsidP="00C71211">
            <w:pPr>
              <w:spacing w:after="0"/>
              <w:rPr>
                <w:rFonts w:ascii="Times New Roman" w:hAnsi="Times New Roman"/>
                <w:iCs/>
                <w:sz w:val="20"/>
                <w:szCs w:val="20"/>
              </w:rPr>
            </w:pPr>
            <w:r>
              <w:rPr>
                <w:rFonts w:ascii="Times New Roman" w:eastAsia="Times New Roman" w:hAnsi="Times New Roman"/>
                <w:b/>
                <w:bCs/>
                <w:sz w:val="20"/>
                <w:szCs w:val="20"/>
                <w:lang w:val="en-US" w:eastAsia="zh-CN"/>
              </w:rPr>
              <w:t xml:space="preserve">Table 2 (Continued). </w:t>
            </w:r>
            <w:r>
              <w:rPr>
                <w:rFonts w:ascii="Times New Roman" w:eastAsia="Times New Roman" w:hAnsi="Times New Roman"/>
                <w:bCs/>
                <w:sz w:val="20"/>
                <w:szCs w:val="20"/>
                <w:lang w:val="en-US" w:eastAsia="zh-CN"/>
              </w:rPr>
              <w:t xml:space="preserve"> VC pay and performance relationship (HEIs’ short-term performance)</w:t>
            </w:r>
          </w:p>
        </w:tc>
      </w:tr>
      <w:tr w:rsidR="008E418C" w:rsidRPr="006B5786" w14:paraId="4BE0D7BA" w14:textId="77777777" w:rsidTr="00D94751">
        <w:tc>
          <w:tcPr>
            <w:tcW w:w="3544" w:type="dxa"/>
            <w:vMerge w:val="restart"/>
            <w:tcBorders>
              <w:top w:val="single" w:sz="12" w:space="0" w:color="auto"/>
              <w:left w:val="nil"/>
              <w:right w:val="nil"/>
            </w:tcBorders>
          </w:tcPr>
          <w:p w14:paraId="659E13D8" w14:textId="77777777" w:rsidR="008E418C" w:rsidRDefault="008E418C" w:rsidP="00C71211">
            <w:pPr>
              <w:spacing w:after="0"/>
              <w:rPr>
                <w:rFonts w:ascii="Times New Roman" w:eastAsia="Times New Roman" w:hAnsi="Times New Roman"/>
                <w:sz w:val="20"/>
                <w:szCs w:val="20"/>
              </w:rPr>
            </w:pPr>
          </w:p>
          <w:p w14:paraId="7C6C2872" w14:textId="77777777" w:rsidR="008E418C" w:rsidRDefault="008E418C" w:rsidP="00C71211">
            <w:pPr>
              <w:spacing w:after="0"/>
              <w:rPr>
                <w:rFonts w:ascii="Times New Roman" w:eastAsia="Times New Roman" w:hAnsi="Times New Roman"/>
                <w:sz w:val="20"/>
                <w:szCs w:val="20"/>
              </w:rPr>
            </w:pPr>
            <w:r w:rsidRPr="006B5786">
              <w:rPr>
                <w:rFonts w:ascii="Times New Roman" w:eastAsia="Times New Roman" w:hAnsi="Times New Roman"/>
                <w:sz w:val="20"/>
                <w:szCs w:val="20"/>
              </w:rPr>
              <w:t>Dep. Variable</w:t>
            </w:r>
          </w:p>
          <w:p w14:paraId="45B69BC9" w14:textId="77777777" w:rsidR="001B3ADF" w:rsidRDefault="001B3ADF" w:rsidP="00C71211">
            <w:pPr>
              <w:spacing w:after="0"/>
              <w:rPr>
                <w:rFonts w:ascii="Times New Roman" w:eastAsia="Times New Roman" w:hAnsi="Times New Roman"/>
                <w:sz w:val="20"/>
                <w:szCs w:val="20"/>
              </w:rPr>
            </w:pPr>
          </w:p>
          <w:p w14:paraId="5C589B98" w14:textId="5EAA48C5" w:rsidR="008E418C" w:rsidRPr="006B5786" w:rsidRDefault="008E418C" w:rsidP="00C71211">
            <w:pPr>
              <w:spacing w:after="0"/>
              <w:rPr>
                <w:rFonts w:ascii="Times New Roman" w:eastAsia="Times New Roman" w:hAnsi="Times New Roman"/>
                <w:sz w:val="20"/>
                <w:szCs w:val="20"/>
              </w:rPr>
            </w:pPr>
            <w:r w:rsidRPr="006B5786">
              <w:rPr>
                <w:rFonts w:ascii="Times New Roman" w:eastAsia="Times New Roman" w:hAnsi="Times New Roman"/>
                <w:sz w:val="20"/>
                <w:szCs w:val="20"/>
              </w:rPr>
              <w:t>(</w:t>
            </w:r>
            <w:r w:rsidRPr="006B5786">
              <w:rPr>
                <w:rFonts w:ascii="Times New Roman" w:eastAsia="Times New Roman" w:hAnsi="Times New Roman"/>
                <w:i/>
                <w:iCs/>
                <w:sz w:val="20"/>
                <w:szCs w:val="20"/>
              </w:rPr>
              <w:t>Model</w:t>
            </w:r>
            <w:r w:rsidRPr="006B5786">
              <w:rPr>
                <w:rFonts w:ascii="Times New Roman" w:eastAsia="Times New Roman" w:hAnsi="Times New Roman"/>
                <w:sz w:val="20"/>
                <w:szCs w:val="20"/>
              </w:rPr>
              <w:t>)</w:t>
            </w:r>
          </w:p>
        </w:tc>
        <w:tc>
          <w:tcPr>
            <w:tcW w:w="1984" w:type="dxa"/>
            <w:gridSpan w:val="2"/>
            <w:tcBorders>
              <w:top w:val="single" w:sz="12" w:space="0" w:color="auto"/>
              <w:left w:val="nil"/>
              <w:bottom w:val="single" w:sz="4" w:space="0" w:color="auto"/>
              <w:right w:val="nil"/>
            </w:tcBorders>
          </w:tcPr>
          <w:p w14:paraId="4E55EB90" w14:textId="77777777" w:rsidR="008E418C" w:rsidRPr="006B5786" w:rsidRDefault="008E418C" w:rsidP="00C71211">
            <w:pPr>
              <w:spacing w:after="0"/>
              <w:jc w:val="center"/>
              <w:rPr>
                <w:rFonts w:ascii="Times New Roman" w:hAnsi="Times New Roman"/>
                <w:bCs/>
                <w:sz w:val="20"/>
                <w:szCs w:val="20"/>
              </w:rPr>
            </w:pPr>
            <w:r w:rsidRPr="006B5786">
              <w:rPr>
                <w:rFonts w:ascii="Times New Roman" w:hAnsi="Times New Roman"/>
                <w:bCs/>
                <w:sz w:val="20"/>
                <w:szCs w:val="20"/>
              </w:rPr>
              <w:t xml:space="preserve">       </w:t>
            </w:r>
            <w:r>
              <w:rPr>
                <w:rFonts w:ascii="Times New Roman" w:hAnsi="Times New Roman"/>
                <w:bCs/>
                <w:sz w:val="20"/>
                <w:szCs w:val="20"/>
              </w:rPr>
              <w:t>QS</w:t>
            </w:r>
            <w:r w:rsidRPr="006B5786">
              <w:rPr>
                <w:rFonts w:ascii="Times New Roman" w:hAnsi="Times New Roman"/>
                <w:bCs/>
                <w:sz w:val="20"/>
                <w:szCs w:val="20"/>
              </w:rPr>
              <w:t xml:space="preserve"> Ranking</w:t>
            </w:r>
          </w:p>
        </w:tc>
        <w:tc>
          <w:tcPr>
            <w:tcW w:w="992" w:type="dxa"/>
            <w:tcBorders>
              <w:top w:val="single" w:sz="12" w:space="0" w:color="auto"/>
              <w:left w:val="nil"/>
              <w:bottom w:val="single" w:sz="4" w:space="0" w:color="auto"/>
              <w:right w:val="nil"/>
            </w:tcBorders>
          </w:tcPr>
          <w:p w14:paraId="513AC8E1" w14:textId="77777777" w:rsidR="008E418C" w:rsidRPr="006B5786" w:rsidRDefault="008E418C" w:rsidP="00C71211">
            <w:pPr>
              <w:spacing w:after="0"/>
              <w:rPr>
                <w:rFonts w:ascii="Times New Roman" w:hAnsi="Times New Roman"/>
                <w:iCs/>
                <w:sz w:val="20"/>
                <w:szCs w:val="20"/>
              </w:rPr>
            </w:pPr>
          </w:p>
        </w:tc>
        <w:tc>
          <w:tcPr>
            <w:tcW w:w="3408" w:type="dxa"/>
            <w:gridSpan w:val="4"/>
            <w:tcBorders>
              <w:top w:val="single" w:sz="12" w:space="0" w:color="auto"/>
              <w:left w:val="nil"/>
              <w:right w:val="nil"/>
            </w:tcBorders>
          </w:tcPr>
          <w:p w14:paraId="57394A36" w14:textId="77777777" w:rsidR="008E418C" w:rsidRPr="006B5786" w:rsidRDefault="008E418C" w:rsidP="00C71211">
            <w:pPr>
              <w:spacing w:after="0"/>
              <w:jc w:val="center"/>
              <w:rPr>
                <w:rFonts w:ascii="Times New Roman" w:hAnsi="Times New Roman"/>
                <w:iCs/>
                <w:sz w:val="20"/>
                <w:szCs w:val="20"/>
              </w:rPr>
            </w:pPr>
            <w:r>
              <w:rPr>
                <w:rFonts w:ascii="Times New Roman" w:hAnsi="Times New Roman"/>
                <w:iCs/>
                <w:sz w:val="20"/>
                <w:szCs w:val="20"/>
              </w:rPr>
              <w:t>THE Ranking</w:t>
            </w:r>
          </w:p>
        </w:tc>
      </w:tr>
      <w:tr w:rsidR="008E418C" w:rsidRPr="006B5786" w14:paraId="4A083135" w14:textId="77777777" w:rsidTr="00D94751">
        <w:tc>
          <w:tcPr>
            <w:tcW w:w="3544" w:type="dxa"/>
            <w:vMerge/>
            <w:tcBorders>
              <w:top w:val="single" w:sz="4" w:space="0" w:color="auto"/>
              <w:left w:val="nil"/>
              <w:bottom w:val="single" w:sz="4" w:space="0" w:color="auto"/>
              <w:right w:val="nil"/>
            </w:tcBorders>
          </w:tcPr>
          <w:p w14:paraId="0BC0D9CF" w14:textId="77777777" w:rsidR="008E418C" w:rsidRPr="006B5786" w:rsidRDefault="008E418C" w:rsidP="00C71211">
            <w:pPr>
              <w:spacing w:after="0"/>
              <w:rPr>
                <w:rFonts w:ascii="Times New Roman" w:eastAsia="Times New Roman" w:hAnsi="Times New Roman"/>
                <w:sz w:val="20"/>
                <w:szCs w:val="20"/>
              </w:rPr>
            </w:pPr>
          </w:p>
        </w:tc>
        <w:tc>
          <w:tcPr>
            <w:tcW w:w="992" w:type="dxa"/>
            <w:tcBorders>
              <w:top w:val="single" w:sz="4" w:space="0" w:color="auto"/>
              <w:left w:val="nil"/>
              <w:bottom w:val="single" w:sz="4" w:space="0" w:color="auto"/>
              <w:right w:val="nil"/>
            </w:tcBorders>
          </w:tcPr>
          <w:p w14:paraId="00708882" w14:textId="0C152733" w:rsidR="008E418C" w:rsidRPr="006B5786" w:rsidRDefault="008E418C" w:rsidP="00075CB3">
            <w:pPr>
              <w:spacing w:after="0"/>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VC Basic</w:t>
            </w:r>
            <w:r w:rsidR="00075CB3">
              <w:rPr>
                <w:rFonts w:ascii="Times New Roman" w:eastAsia="Times New Roman" w:hAnsi="Times New Roman"/>
                <w:sz w:val="20"/>
                <w:szCs w:val="20"/>
                <w:lang w:val="en-US" w:eastAsia="zh-CN"/>
              </w:rPr>
              <w:t xml:space="preserve"> </w:t>
            </w:r>
            <w:r>
              <w:rPr>
                <w:rFonts w:ascii="Times New Roman" w:eastAsia="Times New Roman" w:hAnsi="Times New Roman"/>
                <w:sz w:val="20"/>
                <w:szCs w:val="20"/>
                <w:lang w:val="en-US" w:eastAsia="zh-CN"/>
              </w:rPr>
              <w:t>Pay</w:t>
            </w:r>
          </w:p>
          <w:p w14:paraId="7831A071" w14:textId="77777777" w:rsidR="008E418C" w:rsidRPr="006B5786" w:rsidRDefault="008E418C" w:rsidP="00C71211">
            <w:pPr>
              <w:spacing w:after="0"/>
              <w:rPr>
                <w:rFonts w:ascii="Times New Roman" w:eastAsia="Times New Roman" w:hAnsi="Times New Roman"/>
                <w:sz w:val="20"/>
                <w:szCs w:val="20"/>
              </w:rPr>
            </w:pPr>
            <w:r w:rsidRPr="006B5786">
              <w:rPr>
                <w:rFonts w:ascii="Times New Roman" w:eastAsia="Times New Roman" w:hAnsi="Times New Roman"/>
                <w:sz w:val="20"/>
                <w:szCs w:val="20"/>
                <w:lang w:val="en-US" w:eastAsia="zh-CN"/>
              </w:rPr>
              <w:t>(</w:t>
            </w:r>
            <w:r>
              <w:rPr>
                <w:rFonts w:ascii="Times New Roman" w:eastAsia="Times New Roman" w:hAnsi="Times New Roman"/>
                <w:sz w:val="20"/>
                <w:szCs w:val="20"/>
                <w:lang w:val="en-US" w:eastAsia="zh-CN"/>
              </w:rPr>
              <w:t>7</w:t>
            </w:r>
            <w:r w:rsidRPr="006B5786">
              <w:rPr>
                <w:rFonts w:ascii="Times New Roman" w:eastAsia="Times New Roman" w:hAnsi="Times New Roman"/>
                <w:sz w:val="20"/>
                <w:szCs w:val="20"/>
                <w:lang w:val="en-US" w:eastAsia="zh-CN"/>
              </w:rPr>
              <w:t>)</w:t>
            </w:r>
          </w:p>
        </w:tc>
        <w:tc>
          <w:tcPr>
            <w:tcW w:w="992" w:type="dxa"/>
            <w:tcBorders>
              <w:top w:val="single" w:sz="4" w:space="0" w:color="auto"/>
              <w:left w:val="nil"/>
              <w:bottom w:val="single" w:sz="4" w:space="0" w:color="auto"/>
              <w:right w:val="nil"/>
            </w:tcBorders>
          </w:tcPr>
          <w:p w14:paraId="6DBF9705" w14:textId="77777777" w:rsidR="00075CB3" w:rsidRPr="006B5786" w:rsidRDefault="00075CB3" w:rsidP="00075CB3">
            <w:pPr>
              <w:spacing w:after="0"/>
              <w:ind w:right="-41"/>
              <w:rPr>
                <w:rFonts w:ascii="Times New Roman" w:eastAsia="Times New Roman" w:hAnsi="Times New Roman"/>
                <w:sz w:val="20"/>
                <w:szCs w:val="20"/>
                <w:lang w:val="en-US" w:eastAsia="zh-CN"/>
              </w:rPr>
            </w:pPr>
            <w:r>
              <w:rPr>
                <w:rFonts w:ascii="Times New Roman" w:hAnsi="Times New Roman"/>
                <w:bCs/>
                <w:sz w:val="20"/>
                <w:szCs w:val="20"/>
              </w:rPr>
              <w:t>VC Non-Basic Pay</w:t>
            </w:r>
          </w:p>
          <w:p w14:paraId="22E4F841" w14:textId="72E2E55A" w:rsidR="008E418C" w:rsidRPr="006B5786" w:rsidRDefault="00075CB3" w:rsidP="00075CB3">
            <w:pPr>
              <w:spacing w:after="0"/>
              <w:rPr>
                <w:rFonts w:ascii="Times New Roman" w:eastAsia="Times New Roman" w:hAnsi="Times New Roman"/>
                <w:sz w:val="20"/>
                <w:szCs w:val="20"/>
              </w:rPr>
            </w:pPr>
            <w:r w:rsidRPr="006B5786">
              <w:rPr>
                <w:rFonts w:ascii="Times New Roman" w:eastAsia="Times New Roman" w:hAnsi="Times New Roman"/>
                <w:sz w:val="20"/>
                <w:szCs w:val="20"/>
                <w:lang w:val="en-US" w:eastAsia="zh-CN"/>
              </w:rPr>
              <w:t>(</w:t>
            </w:r>
            <w:r>
              <w:rPr>
                <w:rFonts w:ascii="Times New Roman" w:eastAsia="Times New Roman" w:hAnsi="Times New Roman"/>
                <w:sz w:val="20"/>
                <w:szCs w:val="20"/>
                <w:lang w:val="en-US" w:eastAsia="zh-CN"/>
              </w:rPr>
              <w:t>8</w:t>
            </w:r>
            <w:r w:rsidRPr="006B5786">
              <w:rPr>
                <w:rFonts w:ascii="Times New Roman" w:eastAsia="Times New Roman" w:hAnsi="Times New Roman"/>
                <w:sz w:val="20"/>
                <w:szCs w:val="20"/>
                <w:lang w:val="en-US" w:eastAsia="zh-CN"/>
              </w:rPr>
              <w:t>)</w:t>
            </w:r>
          </w:p>
        </w:tc>
        <w:tc>
          <w:tcPr>
            <w:tcW w:w="992" w:type="dxa"/>
            <w:tcBorders>
              <w:top w:val="single" w:sz="4" w:space="0" w:color="auto"/>
              <w:left w:val="nil"/>
              <w:bottom w:val="single" w:sz="4" w:space="0" w:color="auto"/>
              <w:right w:val="nil"/>
            </w:tcBorders>
          </w:tcPr>
          <w:p w14:paraId="45149587" w14:textId="77777777" w:rsidR="008E418C" w:rsidRPr="006B5786" w:rsidRDefault="008E418C" w:rsidP="00C71211">
            <w:pPr>
              <w:spacing w:after="0"/>
              <w:rPr>
                <w:rFonts w:ascii="Times New Roman" w:hAnsi="Times New Roman"/>
                <w:iCs/>
                <w:sz w:val="20"/>
                <w:szCs w:val="20"/>
              </w:rPr>
            </w:pPr>
            <w:r>
              <w:rPr>
                <w:rFonts w:ascii="Times New Roman" w:hAnsi="Times New Roman"/>
                <w:iCs/>
                <w:sz w:val="20"/>
                <w:szCs w:val="20"/>
              </w:rPr>
              <w:t>VC Total Pay</w:t>
            </w:r>
          </w:p>
          <w:p w14:paraId="41B9338F" w14:textId="77777777" w:rsidR="008E418C" w:rsidRPr="006B5786" w:rsidRDefault="008E418C" w:rsidP="00C71211">
            <w:pPr>
              <w:spacing w:after="0"/>
              <w:rPr>
                <w:rFonts w:ascii="Times New Roman" w:hAnsi="Times New Roman"/>
                <w:iCs/>
                <w:sz w:val="20"/>
                <w:szCs w:val="20"/>
              </w:rPr>
            </w:pPr>
            <w:r w:rsidRPr="006B5786">
              <w:rPr>
                <w:rFonts w:ascii="Times New Roman" w:hAnsi="Times New Roman"/>
                <w:iCs/>
                <w:sz w:val="20"/>
                <w:szCs w:val="20"/>
              </w:rPr>
              <w:t>(</w:t>
            </w:r>
            <w:r>
              <w:rPr>
                <w:rFonts w:ascii="Times New Roman" w:hAnsi="Times New Roman"/>
                <w:iCs/>
                <w:sz w:val="20"/>
                <w:szCs w:val="20"/>
              </w:rPr>
              <w:t>9</w:t>
            </w:r>
            <w:r w:rsidRPr="006B5786">
              <w:rPr>
                <w:rFonts w:ascii="Times New Roman" w:hAnsi="Times New Roman"/>
                <w:iCs/>
                <w:sz w:val="20"/>
                <w:szCs w:val="20"/>
              </w:rPr>
              <w:t>)</w:t>
            </w:r>
          </w:p>
        </w:tc>
        <w:tc>
          <w:tcPr>
            <w:tcW w:w="236" w:type="dxa"/>
            <w:tcBorders>
              <w:left w:val="nil"/>
              <w:bottom w:val="single" w:sz="4" w:space="0" w:color="auto"/>
              <w:right w:val="nil"/>
            </w:tcBorders>
          </w:tcPr>
          <w:p w14:paraId="78FBD4C8" w14:textId="77777777" w:rsidR="008E418C" w:rsidRPr="006B5786" w:rsidRDefault="008E418C" w:rsidP="00C71211">
            <w:pPr>
              <w:spacing w:after="0"/>
              <w:rPr>
                <w:rFonts w:ascii="Times New Roman" w:hAnsi="Times New Roman"/>
                <w:iCs/>
                <w:sz w:val="20"/>
                <w:szCs w:val="20"/>
              </w:rPr>
            </w:pPr>
          </w:p>
        </w:tc>
        <w:tc>
          <w:tcPr>
            <w:tcW w:w="1044" w:type="dxa"/>
            <w:tcBorders>
              <w:top w:val="single" w:sz="4" w:space="0" w:color="auto"/>
              <w:left w:val="nil"/>
              <w:bottom w:val="single" w:sz="4" w:space="0" w:color="auto"/>
              <w:right w:val="nil"/>
            </w:tcBorders>
          </w:tcPr>
          <w:p w14:paraId="701EE2B5" w14:textId="77777777" w:rsidR="008E418C" w:rsidRPr="006B5786" w:rsidRDefault="008E418C" w:rsidP="00075CB3">
            <w:pPr>
              <w:spacing w:after="0"/>
              <w:ind w:right="-105"/>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VC Basic Pay</w:t>
            </w:r>
          </w:p>
          <w:p w14:paraId="6BEC22E0" w14:textId="77777777" w:rsidR="008E418C" w:rsidRPr="006B5786" w:rsidRDefault="008E418C" w:rsidP="00C71211">
            <w:pPr>
              <w:spacing w:after="0"/>
              <w:rPr>
                <w:rFonts w:ascii="Times New Roman" w:eastAsia="Times New Roman" w:hAnsi="Times New Roman"/>
                <w:sz w:val="20"/>
                <w:szCs w:val="20"/>
              </w:rPr>
            </w:pPr>
            <w:r>
              <w:rPr>
                <w:rFonts w:ascii="Times New Roman" w:eastAsia="Times New Roman" w:hAnsi="Times New Roman"/>
                <w:sz w:val="20"/>
                <w:szCs w:val="20"/>
                <w:lang w:val="en-US" w:eastAsia="zh-CN"/>
              </w:rPr>
              <w:t>(10)</w:t>
            </w:r>
          </w:p>
        </w:tc>
        <w:tc>
          <w:tcPr>
            <w:tcW w:w="1133" w:type="dxa"/>
            <w:tcBorders>
              <w:top w:val="single" w:sz="4" w:space="0" w:color="auto"/>
              <w:left w:val="nil"/>
              <w:bottom w:val="single" w:sz="4" w:space="0" w:color="auto"/>
              <w:right w:val="nil"/>
            </w:tcBorders>
          </w:tcPr>
          <w:p w14:paraId="5D02E595" w14:textId="77777777" w:rsidR="008E418C" w:rsidRPr="006B5786" w:rsidRDefault="008E418C" w:rsidP="00C71211">
            <w:pPr>
              <w:spacing w:after="0"/>
              <w:rPr>
                <w:rFonts w:ascii="Times New Roman" w:eastAsia="Times New Roman" w:hAnsi="Times New Roman"/>
                <w:sz w:val="20"/>
                <w:szCs w:val="20"/>
                <w:lang w:val="en-US" w:eastAsia="zh-CN"/>
              </w:rPr>
            </w:pPr>
            <w:r>
              <w:rPr>
                <w:rFonts w:ascii="Times New Roman" w:hAnsi="Times New Roman"/>
                <w:bCs/>
                <w:sz w:val="20"/>
                <w:szCs w:val="20"/>
              </w:rPr>
              <w:t>VC Non-Basic Pay</w:t>
            </w:r>
          </w:p>
          <w:p w14:paraId="532E68DC" w14:textId="77777777" w:rsidR="008E418C" w:rsidRPr="006B5786" w:rsidRDefault="008E418C" w:rsidP="00C71211">
            <w:pPr>
              <w:spacing w:after="0"/>
              <w:rPr>
                <w:rFonts w:ascii="Times New Roman" w:hAnsi="Times New Roman"/>
                <w:sz w:val="20"/>
                <w:szCs w:val="20"/>
              </w:rPr>
            </w:pPr>
            <w:r w:rsidRPr="006B5786">
              <w:rPr>
                <w:rFonts w:ascii="Times New Roman" w:eastAsia="Times New Roman" w:hAnsi="Times New Roman"/>
                <w:sz w:val="20"/>
                <w:szCs w:val="20"/>
                <w:lang w:val="en-US" w:eastAsia="zh-CN"/>
              </w:rPr>
              <w:t>(</w:t>
            </w:r>
            <w:r>
              <w:rPr>
                <w:rFonts w:ascii="Times New Roman" w:eastAsia="Times New Roman" w:hAnsi="Times New Roman"/>
                <w:sz w:val="20"/>
                <w:szCs w:val="20"/>
                <w:lang w:val="en-US" w:eastAsia="zh-CN"/>
              </w:rPr>
              <w:t>11</w:t>
            </w:r>
            <w:r w:rsidRPr="006B5786">
              <w:rPr>
                <w:rFonts w:ascii="Times New Roman" w:eastAsia="Times New Roman" w:hAnsi="Times New Roman"/>
                <w:sz w:val="20"/>
                <w:szCs w:val="20"/>
                <w:lang w:val="en-US" w:eastAsia="zh-CN"/>
              </w:rPr>
              <w:t>)</w:t>
            </w:r>
          </w:p>
        </w:tc>
        <w:tc>
          <w:tcPr>
            <w:tcW w:w="995" w:type="dxa"/>
            <w:tcBorders>
              <w:top w:val="single" w:sz="4" w:space="0" w:color="auto"/>
              <w:left w:val="nil"/>
              <w:bottom w:val="single" w:sz="4" w:space="0" w:color="auto"/>
              <w:right w:val="nil"/>
            </w:tcBorders>
          </w:tcPr>
          <w:p w14:paraId="367990B2" w14:textId="77777777" w:rsidR="008E418C" w:rsidRPr="006B5786" w:rsidRDefault="008E418C" w:rsidP="00C71211">
            <w:pPr>
              <w:spacing w:after="0"/>
              <w:rPr>
                <w:rFonts w:ascii="Times New Roman" w:hAnsi="Times New Roman"/>
                <w:iCs/>
                <w:sz w:val="20"/>
                <w:szCs w:val="20"/>
              </w:rPr>
            </w:pPr>
            <w:r>
              <w:rPr>
                <w:rFonts w:ascii="Times New Roman" w:hAnsi="Times New Roman"/>
                <w:iCs/>
                <w:sz w:val="20"/>
                <w:szCs w:val="20"/>
              </w:rPr>
              <w:t>VC Total Pay</w:t>
            </w:r>
          </w:p>
          <w:p w14:paraId="70B0CF28" w14:textId="77777777" w:rsidR="008E418C" w:rsidRPr="006B5786" w:rsidRDefault="008E418C" w:rsidP="00C71211">
            <w:pPr>
              <w:spacing w:after="0"/>
              <w:rPr>
                <w:rFonts w:ascii="Times New Roman" w:eastAsia="Times New Roman" w:hAnsi="Times New Roman"/>
                <w:sz w:val="20"/>
                <w:szCs w:val="20"/>
                <w:lang w:val="en-US" w:eastAsia="zh-CN"/>
              </w:rPr>
            </w:pPr>
            <w:r w:rsidRPr="006B5786">
              <w:rPr>
                <w:rFonts w:ascii="Times New Roman" w:hAnsi="Times New Roman"/>
                <w:iCs/>
                <w:sz w:val="20"/>
                <w:szCs w:val="20"/>
              </w:rPr>
              <w:t>(</w:t>
            </w:r>
            <w:r>
              <w:rPr>
                <w:rFonts w:ascii="Times New Roman" w:hAnsi="Times New Roman"/>
                <w:iCs/>
                <w:sz w:val="20"/>
                <w:szCs w:val="20"/>
              </w:rPr>
              <w:t>12</w:t>
            </w:r>
            <w:r w:rsidRPr="006B5786">
              <w:rPr>
                <w:rFonts w:ascii="Times New Roman" w:hAnsi="Times New Roman"/>
                <w:iCs/>
                <w:sz w:val="20"/>
                <w:szCs w:val="20"/>
              </w:rPr>
              <w:t>)</w:t>
            </w:r>
          </w:p>
        </w:tc>
      </w:tr>
      <w:tr w:rsidR="008E418C" w:rsidRPr="006B5786" w14:paraId="660EE2DA" w14:textId="77777777" w:rsidTr="00D94751">
        <w:trPr>
          <w:trHeight w:val="127"/>
        </w:trPr>
        <w:tc>
          <w:tcPr>
            <w:tcW w:w="9924" w:type="dxa"/>
            <w:gridSpan w:val="8"/>
            <w:tcBorders>
              <w:top w:val="single" w:sz="4" w:space="0" w:color="auto"/>
              <w:left w:val="nil"/>
              <w:bottom w:val="nil"/>
              <w:right w:val="nil"/>
            </w:tcBorders>
          </w:tcPr>
          <w:p w14:paraId="3754ABE0" w14:textId="77777777" w:rsidR="008E418C" w:rsidRPr="00196D61" w:rsidRDefault="008E418C" w:rsidP="00C71211">
            <w:pPr>
              <w:spacing w:after="0"/>
              <w:ind w:right="-62"/>
              <w:rPr>
                <w:rFonts w:ascii="Times New Roman" w:eastAsia="Times New Roman" w:hAnsi="Times New Roman"/>
                <w:i/>
                <w:iCs/>
                <w:sz w:val="10"/>
                <w:szCs w:val="10"/>
              </w:rPr>
            </w:pPr>
          </w:p>
          <w:p w14:paraId="46528040" w14:textId="77777777" w:rsidR="008E418C" w:rsidRPr="006B5786" w:rsidRDefault="008E418C" w:rsidP="00C71211">
            <w:pPr>
              <w:spacing w:after="0"/>
              <w:ind w:right="-62"/>
              <w:rPr>
                <w:rFonts w:ascii="Times New Roman" w:eastAsia="Times New Roman" w:hAnsi="Times New Roman"/>
                <w:sz w:val="20"/>
                <w:szCs w:val="20"/>
              </w:rPr>
            </w:pPr>
            <w:r>
              <w:rPr>
                <w:rFonts w:ascii="Times New Roman" w:eastAsia="Times New Roman" w:hAnsi="Times New Roman"/>
                <w:i/>
                <w:iCs/>
                <w:sz w:val="20"/>
                <w:szCs w:val="20"/>
              </w:rPr>
              <w:t>Explanatory</w:t>
            </w:r>
            <w:r w:rsidRPr="006B5786">
              <w:rPr>
                <w:rFonts w:ascii="Times New Roman" w:eastAsia="Times New Roman" w:hAnsi="Times New Roman"/>
                <w:i/>
                <w:iCs/>
                <w:sz w:val="20"/>
                <w:szCs w:val="20"/>
              </w:rPr>
              <w:t xml:space="preserve"> variables (</w:t>
            </w:r>
            <w:r>
              <w:rPr>
                <w:rFonts w:ascii="Times New Roman" w:eastAsia="Times New Roman" w:hAnsi="Times New Roman"/>
                <w:i/>
                <w:iCs/>
                <w:sz w:val="20"/>
                <w:szCs w:val="20"/>
              </w:rPr>
              <w:t>HEI</w:t>
            </w:r>
            <w:r w:rsidRPr="006B5786">
              <w:rPr>
                <w:rFonts w:ascii="Times New Roman" w:eastAsia="Times New Roman" w:hAnsi="Times New Roman"/>
                <w:i/>
                <w:iCs/>
                <w:sz w:val="20"/>
                <w:szCs w:val="20"/>
              </w:rPr>
              <w:t xml:space="preserve"> performance)</w:t>
            </w:r>
          </w:p>
        </w:tc>
      </w:tr>
      <w:tr w:rsidR="00075CB3" w:rsidRPr="006B5786" w14:paraId="22777865" w14:textId="77777777" w:rsidTr="00D94751">
        <w:trPr>
          <w:trHeight w:val="127"/>
        </w:trPr>
        <w:tc>
          <w:tcPr>
            <w:tcW w:w="3544" w:type="dxa"/>
            <w:tcBorders>
              <w:top w:val="nil"/>
              <w:left w:val="nil"/>
              <w:bottom w:val="nil"/>
              <w:right w:val="nil"/>
            </w:tcBorders>
          </w:tcPr>
          <w:p w14:paraId="6421A999" w14:textId="3FA3A4A2" w:rsidR="00075CB3" w:rsidRPr="006B5786" w:rsidRDefault="00D94751" w:rsidP="00075CB3">
            <w:pPr>
              <w:spacing w:after="0" w:line="240" w:lineRule="auto"/>
              <w:rPr>
                <w:rFonts w:ascii="Times New Roman" w:eastAsia="Times New Roman" w:hAnsi="Times New Roman"/>
                <w:iCs/>
                <w:color w:val="000000"/>
                <w:sz w:val="20"/>
                <w:szCs w:val="20"/>
                <w:lang w:val="en-US"/>
              </w:rPr>
            </w:pPr>
            <w:r>
              <w:rPr>
                <w:rFonts w:ascii="Times New Roman" w:eastAsia="Times New Roman" w:hAnsi="Times New Roman"/>
                <w:iCs/>
                <w:color w:val="000000"/>
                <w:sz w:val="20"/>
                <w:szCs w:val="20"/>
                <w:lang w:val="en-US"/>
              </w:rPr>
              <w:t xml:space="preserve">    </w:t>
            </w:r>
            <w:r w:rsidR="00075CB3">
              <w:rPr>
                <w:rFonts w:ascii="Times New Roman" w:eastAsia="Times New Roman" w:hAnsi="Times New Roman"/>
                <w:iCs/>
                <w:color w:val="000000"/>
                <w:sz w:val="20"/>
                <w:szCs w:val="20"/>
                <w:lang w:val="en-US"/>
              </w:rPr>
              <w:t>HEI</w:t>
            </w:r>
            <w:r w:rsidR="00CD1B54">
              <w:rPr>
                <w:rFonts w:ascii="Times New Roman" w:eastAsia="Times New Roman" w:hAnsi="Times New Roman"/>
                <w:iCs/>
                <w:color w:val="000000"/>
                <w:sz w:val="20"/>
                <w:szCs w:val="20"/>
                <w:lang w:val="en-US"/>
              </w:rPr>
              <w:t xml:space="preserve"> Performance</w:t>
            </w:r>
          </w:p>
        </w:tc>
        <w:tc>
          <w:tcPr>
            <w:tcW w:w="992" w:type="dxa"/>
            <w:tcBorders>
              <w:top w:val="nil"/>
              <w:left w:val="nil"/>
              <w:bottom w:val="nil"/>
              <w:right w:val="nil"/>
            </w:tcBorders>
          </w:tcPr>
          <w:p w14:paraId="0464DC6D" w14:textId="6637A058" w:rsidR="00075CB3" w:rsidRDefault="00075CB3" w:rsidP="00075CB3">
            <w:pPr>
              <w:spacing w:after="0"/>
              <w:rPr>
                <w:rFonts w:ascii="Times New Roman" w:eastAsia="Times New Roman" w:hAnsi="Times New Roman"/>
                <w:sz w:val="20"/>
                <w:szCs w:val="20"/>
              </w:rPr>
            </w:pPr>
            <w:r>
              <w:rPr>
                <w:rFonts w:ascii="Times New Roman" w:eastAsia="Times New Roman" w:hAnsi="Times New Roman"/>
                <w:sz w:val="20"/>
                <w:szCs w:val="20"/>
              </w:rPr>
              <w:t>0.0</w:t>
            </w:r>
            <w:r w:rsidR="00A44614">
              <w:rPr>
                <w:rFonts w:ascii="Times New Roman" w:eastAsia="Times New Roman" w:hAnsi="Times New Roman"/>
                <w:sz w:val="20"/>
                <w:szCs w:val="20"/>
              </w:rPr>
              <w:t>19</w:t>
            </w:r>
            <w:r w:rsidR="00E822AF" w:rsidRPr="00E822AF">
              <w:rPr>
                <w:rFonts w:ascii="Times New Roman" w:eastAsia="Times New Roman" w:hAnsi="Times New Roman"/>
                <w:sz w:val="20"/>
                <w:szCs w:val="20"/>
                <w:vertAlign w:val="superscript"/>
              </w:rPr>
              <w:t>***</w:t>
            </w:r>
          </w:p>
          <w:p w14:paraId="7A743BB4" w14:textId="6F0C44C0" w:rsidR="00075CB3" w:rsidRPr="006B5786" w:rsidRDefault="00075CB3" w:rsidP="00075CB3">
            <w:pPr>
              <w:spacing w:after="0"/>
              <w:rPr>
                <w:rFonts w:ascii="Times New Roman" w:eastAsia="Times New Roman" w:hAnsi="Times New Roman"/>
                <w:sz w:val="20"/>
                <w:szCs w:val="20"/>
                <w:vertAlign w:val="superscript"/>
              </w:rPr>
            </w:pPr>
            <w:r w:rsidRPr="006B5786">
              <w:rPr>
                <w:rFonts w:ascii="Times New Roman" w:eastAsia="Times New Roman" w:hAnsi="Times New Roman"/>
                <w:sz w:val="20"/>
                <w:szCs w:val="20"/>
              </w:rPr>
              <w:t>(.000</w:t>
            </w:r>
            <w:r w:rsidR="00E822AF">
              <w:rPr>
                <w:rFonts w:ascii="Times New Roman" w:eastAsia="Times New Roman" w:hAnsi="Times New Roman"/>
                <w:sz w:val="20"/>
                <w:szCs w:val="20"/>
              </w:rPr>
              <w:t>)</w:t>
            </w:r>
          </w:p>
        </w:tc>
        <w:tc>
          <w:tcPr>
            <w:tcW w:w="992" w:type="dxa"/>
            <w:tcBorders>
              <w:top w:val="nil"/>
              <w:left w:val="nil"/>
              <w:bottom w:val="nil"/>
              <w:right w:val="nil"/>
            </w:tcBorders>
          </w:tcPr>
          <w:p w14:paraId="47EEE102" w14:textId="44B67E99" w:rsidR="00075CB3" w:rsidRDefault="00075CB3" w:rsidP="00075CB3">
            <w:pPr>
              <w:spacing w:after="0"/>
              <w:rPr>
                <w:rFonts w:ascii="Times New Roman" w:eastAsia="Times New Roman" w:hAnsi="Times New Roman"/>
                <w:sz w:val="20"/>
                <w:szCs w:val="20"/>
              </w:rPr>
            </w:pPr>
            <w:r>
              <w:rPr>
                <w:rFonts w:ascii="Times New Roman" w:eastAsia="Times New Roman" w:hAnsi="Times New Roman"/>
                <w:sz w:val="20"/>
                <w:szCs w:val="20"/>
              </w:rPr>
              <w:t>0.0</w:t>
            </w:r>
            <w:r w:rsidR="001B1EAA">
              <w:rPr>
                <w:rFonts w:ascii="Times New Roman" w:eastAsia="Times New Roman" w:hAnsi="Times New Roman"/>
                <w:sz w:val="20"/>
                <w:szCs w:val="20"/>
              </w:rPr>
              <w:t>04</w:t>
            </w:r>
            <w:r w:rsidR="00E822AF" w:rsidRPr="00E822AF">
              <w:rPr>
                <w:rFonts w:ascii="Times New Roman" w:eastAsia="Times New Roman" w:hAnsi="Times New Roman"/>
                <w:sz w:val="20"/>
                <w:szCs w:val="20"/>
                <w:vertAlign w:val="superscript"/>
              </w:rPr>
              <w:t>***</w:t>
            </w:r>
          </w:p>
          <w:p w14:paraId="58236286" w14:textId="5B1F840E" w:rsidR="00075CB3" w:rsidRPr="00001E88" w:rsidRDefault="00075CB3" w:rsidP="00075CB3">
            <w:pPr>
              <w:spacing w:after="0"/>
              <w:rPr>
                <w:rFonts w:ascii="Times New Roman" w:eastAsia="Times New Roman" w:hAnsi="Times New Roman"/>
                <w:sz w:val="20"/>
                <w:szCs w:val="20"/>
                <w:vertAlign w:val="superscript"/>
              </w:rPr>
            </w:pPr>
            <w:r w:rsidRPr="006B5786">
              <w:rPr>
                <w:rFonts w:ascii="Times New Roman" w:eastAsia="Times New Roman" w:hAnsi="Times New Roman"/>
                <w:sz w:val="20"/>
                <w:szCs w:val="20"/>
              </w:rPr>
              <w:t>(.00</w:t>
            </w:r>
            <w:r w:rsidR="001B1EAA">
              <w:rPr>
                <w:rFonts w:ascii="Times New Roman" w:eastAsia="Times New Roman" w:hAnsi="Times New Roman"/>
                <w:sz w:val="20"/>
                <w:szCs w:val="20"/>
              </w:rPr>
              <w:t>7</w:t>
            </w:r>
            <w:r w:rsidR="00E822AF">
              <w:rPr>
                <w:rFonts w:ascii="Times New Roman" w:eastAsia="Times New Roman" w:hAnsi="Times New Roman"/>
                <w:sz w:val="20"/>
                <w:szCs w:val="20"/>
              </w:rPr>
              <w:t>)</w:t>
            </w:r>
          </w:p>
        </w:tc>
        <w:tc>
          <w:tcPr>
            <w:tcW w:w="992" w:type="dxa"/>
            <w:tcBorders>
              <w:top w:val="nil"/>
              <w:left w:val="nil"/>
              <w:bottom w:val="nil"/>
              <w:right w:val="nil"/>
            </w:tcBorders>
          </w:tcPr>
          <w:p w14:paraId="73AA87D9" w14:textId="6319F768" w:rsidR="00075CB3" w:rsidRDefault="00075CB3" w:rsidP="00075CB3">
            <w:pPr>
              <w:spacing w:after="0"/>
              <w:rPr>
                <w:rFonts w:ascii="Times New Roman" w:eastAsia="Times New Roman" w:hAnsi="Times New Roman"/>
                <w:sz w:val="20"/>
                <w:szCs w:val="20"/>
              </w:rPr>
            </w:pPr>
            <w:r>
              <w:rPr>
                <w:rFonts w:ascii="Times New Roman" w:eastAsia="Times New Roman" w:hAnsi="Times New Roman"/>
                <w:sz w:val="20"/>
                <w:szCs w:val="20"/>
              </w:rPr>
              <w:t>0.0</w:t>
            </w:r>
            <w:r w:rsidR="00A73ED1">
              <w:rPr>
                <w:rFonts w:ascii="Times New Roman" w:eastAsia="Times New Roman" w:hAnsi="Times New Roman"/>
                <w:sz w:val="20"/>
                <w:szCs w:val="20"/>
              </w:rPr>
              <w:t>21</w:t>
            </w:r>
            <w:r w:rsidR="00E822AF" w:rsidRPr="00E822AF">
              <w:rPr>
                <w:rFonts w:ascii="Times New Roman" w:eastAsia="Times New Roman" w:hAnsi="Times New Roman"/>
                <w:sz w:val="20"/>
                <w:szCs w:val="20"/>
                <w:vertAlign w:val="superscript"/>
              </w:rPr>
              <w:t>***</w:t>
            </w:r>
          </w:p>
          <w:p w14:paraId="60878B84" w14:textId="32BF2650" w:rsidR="00075CB3" w:rsidRPr="003D7632" w:rsidRDefault="00075CB3" w:rsidP="00075CB3">
            <w:pPr>
              <w:spacing w:after="0"/>
              <w:ind w:right="-111"/>
              <w:rPr>
                <w:rFonts w:ascii="Times New Roman" w:eastAsia="Times New Roman" w:hAnsi="Times New Roman"/>
                <w:sz w:val="20"/>
                <w:szCs w:val="20"/>
                <w:vertAlign w:val="superscript"/>
              </w:rPr>
            </w:pPr>
            <w:r w:rsidRPr="006B5786">
              <w:rPr>
                <w:rFonts w:ascii="Times New Roman" w:eastAsia="Times New Roman" w:hAnsi="Times New Roman"/>
                <w:sz w:val="20"/>
                <w:szCs w:val="20"/>
              </w:rPr>
              <w:t>(.000</w:t>
            </w:r>
            <w:r w:rsidR="00E822AF">
              <w:rPr>
                <w:rFonts w:ascii="Times New Roman" w:eastAsia="Times New Roman" w:hAnsi="Times New Roman"/>
                <w:sz w:val="20"/>
                <w:szCs w:val="20"/>
              </w:rPr>
              <w:t>)</w:t>
            </w:r>
          </w:p>
        </w:tc>
        <w:tc>
          <w:tcPr>
            <w:tcW w:w="236" w:type="dxa"/>
            <w:tcBorders>
              <w:top w:val="nil"/>
              <w:left w:val="nil"/>
              <w:bottom w:val="nil"/>
              <w:right w:val="nil"/>
            </w:tcBorders>
          </w:tcPr>
          <w:p w14:paraId="4B0022D1" w14:textId="77777777" w:rsidR="00075CB3" w:rsidRPr="00962D3D" w:rsidRDefault="00075CB3" w:rsidP="00075CB3">
            <w:pPr>
              <w:spacing w:after="0"/>
              <w:rPr>
                <w:rFonts w:ascii="Times New Roman" w:eastAsia="Times New Roman" w:hAnsi="Times New Roman"/>
                <w:sz w:val="20"/>
                <w:szCs w:val="20"/>
              </w:rPr>
            </w:pPr>
          </w:p>
        </w:tc>
        <w:tc>
          <w:tcPr>
            <w:tcW w:w="1044" w:type="dxa"/>
            <w:tcBorders>
              <w:top w:val="nil"/>
              <w:left w:val="nil"/>
              <w:bottom w:val="nil"/>
              <w:right w:val="nil"/>
            </w:tcBorders>
          </w:tcPr>
          <w:p w14:paraId="7C5E0280" w14:textId="6A2D9397" w:rsidR="00075CB3" w:rsidRDefault="00075CB3" w:rsidP="00075CB3">
            <w:pPr>
              <w:spacing w:after="0"/>
              <w:rPr>
                <w:rFonts w:ascii="Times New Roman" w:eastAsia="Times New Roman" w:hAnsi="Times New Roman"/>
                <w:sz w:val="20"/>
                <w:szCs w:val="20"/>
              </w:rPr>
            </w:pPr>
            <w:r>
              <w:rPr>
                <w:rFonts w:ascii="Times New Roman" w:eastAsia="Times New Roman" w:hAnsi="Times New Roman"/>
                <w:sz w:val="20"/>
                <w:szCs w:val="20"/>
              </w:rPr>
              <w:t>0.0</w:t>
            </w:r>
            <w:r w:rsidR="00A535C5">
              <w:rPr>
                <w:rFonts w:ascii="Times New Roman" w:eastAsia="Times New Roman" w:hAnsi="Times New Roman"/>
                <w:sz w:val="20"/>
                <w:szCs w:val="20"/>
              </w:rPr>
              <w:t>16</w:t>
            </w:r>
            <w:r w:rsidR="00E822AF" w:rsidRPr="00E822AF">
              <w:rPr>
                <w:rFonts w:ascii="Times New Roman" w:eastAsia="Times New Roman" w:hAnsi="Times New Roman"/>
                <w:sz w:val="20"/>
                <w:szCs w:val="20"/>
                <w:vertAlign w:val="superscript"/>
              </w:rPr>
              <w:t>***</w:t>
            </w:r>
          </w:p>
          <w:p w14:paraId="5F4479ED" w14:textId="6A3449DD" w:rsidR="00075CB3" w:rsidRPr="00AE5519" w:rsidRDefault="00075CB3" w:rsidP="00075CB3">
            <w:pPr>
              <w:spacing w:after="0"/>
              <w:rPr>
                <w:rFonts w:ascii="Times New Roman" w:eastAsia="Times New Roman" w:hAnsi="Times New Roman"/>
                <w:sz w:val="20"/>
                <w:szCs w:val="20"/>
                <w:vertAlign w:val="superscript"/>
              </w:rPr>
            </w:pPr>
            <w:r w:rsidRPr="006B5786">
              <w:rPr>
                <w:rFonts w:ascii="Times New Roman" w:eastAsia="Times New Roman" w:hAnsi="Times New Roman"/>
                <w:sz w:val="20"/>
                <w:szCs w:val="20"/>
              </w:rPr>
              <w:t>(.000</w:t>
            </w:r>
            <w:r w:rsidR="00E822AF">
              <w:rPr>
                <w:rFonts w:ascii="Times New Roman" w:eastAsia="Times New Roman" w:hAnsi="Times New Roman"/>
                <w:sz w:val="20"/>
                <w:szCs w:val="20"/>
              </w:rPr>
              <w:t>)</w:t>
            </w:r>
          </w:p>
        </w:tc>
        <w:tc>
          <w:tcPr>
            <w:tcW w:w="1133" w:type="dxa"/>
            <w:tcBorders>
              <w:top w:val="nil"/>
              <w:left w:val="nil"/>
              <w:bottom w:val="nil"/>
              <w:right w:val="nil"/>
            </w:tcBorders>
          </w:tcPr>
          <w:p w14:paraId="0DCDCFEB" w14:textId="0467D0E9" w:rsidR="00075CB3" w:rsidRDefault="00075CB3" w:rsidP="00075CB3">
            <w:pPr>
              <w:spacing w:after="0"/>
              <w:rPr>
                <w:rFonts w:ascii="Times New Roman" w:eastAsia="Times New Roman" w:hAnsi="Times New Roman"/>
                <w:sz w:val="20"/>
                <w:szCs w:val="20"/>
              </w:rPr>
            </w:pPr>
            <w:r>
              <w:rPr>
                <w:rFonts w:ascii="Times New Roman" w:eastAsia="Times New Roman" w:hAnsi="Times New Roman"/>
                <w:sz w:val="20"/>
                <w:szCs w:val="20"/>
              </w:rPr>
              <w:t>0.0</w:t>
            </w:r>
            <w:r w:rsidR="00A535C5">
              <w:rPr>
                <w:rFonts w:ascii="Times New Roman" w:eastAsia="Times New Roman" w:hAnsi="Times New Roman"/>
                <w:sz w:val="20"/>
                <w:szCs w:val="20"/>
              </w:rPr>
              <w:t>02</w:t>
            </w:r>
          </w:p>
          <w:p w14:paraId="6106564F" w14:textId="56D1D40B" w:rsidR="00075CB3" w:rsidRPr="00196D61" w:rsidRDefault="00075CB3" w:rsidP="00075CB3">
            <w:pPr>
              <w:spacing w:after="0"/>
              <w:rPr>
                <w:rFonts w:ascii="Times New Roman" w:eastAsia="Times New Roman" w:hAnsi="Times New Roman"/>
                <w:sz w:val="20"/>
                <w:szCs w:val="20"/>
                <w:vertAlign w:val="superscript"/>
              </w:rPr>
            </w:pPr>
            <w:r w:rsidRPr="006B5786">
              <w:rPr>
                <w:rFonts w:ascii="Times New Roman" w:eastAsia="Times New Roman" w:hAnsi="Times New Roman"/>
                <w:sz w:val="20"/>
                <w:szCs w:val="20"/>
              </w:rPr>
              <w:t>(.</w:t>
            </w:r>
            <w:r w:rsidR="00A535C5">
              <w:rPr>
                <w:rFonts w:ascii="Times New Roman" w:eastAsia="Times New Roman" w:hAnsi="Times New Roman"/>
                <w:sz w:val="20"/>
                <w:szCs w:val="20"/>
              </w:rPr>
              <w:t>144</w:t>
            </w:r>
            <w:r w:rsidRPr="006B5786">
              <w:rPr>
                <w:rFonts w:ascii="Times New Roman" w:eastAsia="Times New Roman" w:hAnsi="Times New Roman"/>
                <w:sz w:val="20"/>
                <w:szCs w:val="20"/>
              </w:rPr>
              <w:t>)</w:t>
            </w:r>
          </w:p>
        </w:tc>
        <w:tc>
          <w:tcPr>
            <w:tcW w:w="995" w:type="dxa"/>
            <w:tcBorders>
              <w:top w:val="nil"/>
              <w:left w:val="nil"/>
              <w:bottom w:val="nil"/>
              <w:right w:val="nil"/>
            </w:tcBorders>
          </w:tcPr>
          <w:p w14:paraId="216F462B" w14:textId="7302971F" w:rsidR="00075CB3" w:rsidRDefault="00075CB3" w:rsidP="00075CB3">
            <w:pPr>
              <w:spacing w:after="0"/>
              <w:rPr>
                <w:rFonts w:ascii="Times New Roman" w:eastAsia="Times New Roman" w:hAnsi="Times New Roman"/>
                <w:sz w:val="20"/>
                <w:szCs w:val="20"/>
              </w:rPr>
            </w:pPr>
            <w:r>
              <w:rPr>
                <w:rFonts w:ascii="Times New Roman" w:eastAsia="Times New Roman" w:hAnsi="Times New Roman"/>
                <w:sz w:val="20"/>
                <w:szCs w:val="20"/>
              </w:rPr>
              <w:t>0.0</w:t>
            </w:r>
            <w:r w:rsidR="00B87CE5">
              <w:rPr>
                <w:rFonts w:ascii="Times New Roman" w:eastAsia="Times New Roman" w:hAnsi="Times New Roman"/>
                <w:sz w:val="20"/>
                <w:szCs w:val="20"/>
              </w:rPr>
              <w:t>16</w:t>
            </w:r>
            <w:r w:rsidR="00E822AF" w:rsidRPr="00E822AF">
              <w:rPr>
                <w:rFonts w:ascii="Times New Roman" w:eastAsia="Times New Roman" w:hAnsi="Times New Roman"/>
                <w:sz w:val="20"/>
                <w:szCs w:val="20"/>
                <w:vertAlign w:val="superscript"/>
              </w:rPr>
              <w:t>***</w:t>
            </w:r>
          </w:p>
          <w:p w14:paraId="4B29ED0A" w14:textId="23FEACC2" w:rsidR="00075CB3" w:rsidRPr="002E4C70" w:rsidRDefault="00075CB3" w:rsidP="00075CB3">
            <w:pPr>
              <w:spacing w:after="0"/>
              <w:ind w:right="-62"/>
              <w:rPr>
                <w:rFonts w:ascii="Times New Roman" w:eastAsia="Times New Roman" w:hAnsi="Times New Roman"/>
                <w:sz w:val="20"/>
                <w:szCs w:val="20"/>
                <w:vertAlign w:val="superscript"/>
              </w:rPr>
            </w:pPr>
            <w:r w:rsidRPr="006B5786">
              <w:rPr>
                <w:rFonts w:ascii="Times New Roman" w:eastAsia="Times New Roman" w:hAnsi="Times New Roman"/>
                <w:sz w:val="20"/>
                <w:szCs w:val="20"/>
              </w:rPr>
              <w:t>(.00</w:t>
            </w:r>
            <w:r w:rsidR="00B87CE5">
              <w:rPr>
                <w:rFonts w:ascii="Times New Roman" w:eastAsia="Times New Roman" w:hAnsi="Times New Roman"/>
                <w:sz w:val="20"/>
                <w:szCs w:val="20"/>
              </w:rPr>
              <w:t>2</w:t>
            </w:r>
            <w:r w:rsidR="00E822AF">
              <w:rPr>
                <w:rFonts w:ascii="Times New Roman" w:eastAsia="Times New Roman" w:hAnsi="Times New Roman"/>
                <w:sz w:val="20"/>
                <w:szCs w:val="20"/>
              </w:rPr>
              <w:t>)</w:t>
            </w:r>
          </w:p>
        </w:tc>
      </w:tr>
      <w:tr w:rsidR="008E418C" w:rsidRPr="006B5786" w14:paraId="5E38BFFB" w14:textId="77777777" w:rsidTr="00D94751">
        <w:trPr>
          <w:trHeight w:val="173"/>
        </w:trPr>
        <w:tc>
          <w:tcPr>
            <w:tcW w:w="9924" w:type="dxa"/>
            <w:gridSpan w:val="8"/>
            <w:tcBorders>
              <w:top w:val="nil"/>
              <w:left w:val="nil"/>
              <w:bottom w:val="nil"/>
              <w:right w:val="nil"/>
            </w:tcBorders>
          </w:tcPr>
          <w:p w14:paraId="5C527369" w14:textId="77777777" w:rsidR="008E418C" w:rsidRPr="00196D61" w:rsidRDefault="008E418C" w:rsidP="00C71211">
            <w:pPr>
              <w:spacing w:after="0"/>
              <w:rPr>
                <w:rFonts w:ascii="Times New Roman" w:eastAsia="Times New Roman" w:hAnsi="Times New Roman"/>
                <w:i/>
                <w:iCs/>
                <w:sz w:val="10"/>
                <w:szCs w:val="10"/>
              </w:rPr>
            </w:pPr>
          </w:p>
          <w:p w14:paraId="6222703D" w14:textId="77777777" w:rsidR="008E418C" w:rsidRPr="006B5786" w:rsidRDefault="008E418C" w:rsidP="00C71211">
            <w:pPr>
              <w:spacing w:after="0"/>
              <w:rPr>
                <w:rFonts w:ascii="Times New Roman" w:eastAsia="Times New Roman" w:hAnsi="Times New Roman"/>
                <w:sz w:val="20"/>
                <w:szCs w:val="20"/>
              </w:rPr>
            </w:pPr>
            <w:r w:rsidRPr="006B5786">
              <w:rPr>
                <w:rFonts w:ascii="Times New Roman" w:eastAsia="Times New Roman" w:hAnsi="Times New Roman"/>
                <w:i/>
                <w:iCs/>
                <w:sz w:val="20"/>
                <w:szCs w:val="20"/>
              </w:rPr>
              <w:t>Controls (governance mechanisms)</w:t>
            </w:r>
          </w:p>
        </w:tc>
      </w:tr>
      <w:tr w:rsidR="00CD1B54" w:rsidRPr="006B5786" w14:paraId="75CBD424" w14:textId="77777777" w:rsidTr="00D94751">
        <w:trPr>
          <w:trHeight w:val="173"/>
        </w:trPr>
        <w:tc>
          <w:tcPr>
            <w:tcW w:w="3544" w:type="dxa"/>
            <w:tcBorders>
              <w:top w:val="nil"/>
              <w:left w:val="nil"/>
              <w:bottom w:val="nil"/>
              <w:right w:val="nil"/>
            </w:tcBorders>
          </w:tcPr>
          <w:p w14:paraId="4229E8A2" w14:textId="5E38A9E0" w:rsidR="00CD1B54" w:rsidRPr="006B5786" w:rsidRDefault="00D94751" w:rsidP="00CD1B54">
            <w:pPr>
              <w:spacing w:after="0" w:line="240" w:lineRule="auto"/>
              <w:ind w:right="-105"/>
              <w:rPr>
                <w:rFonts w:ascii="Times New Roman" w:eastAsia="Times New Roman" w:hAnsi="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D1B54" w:rsidRPr="00F5674C">
              <w:rPr>
                <w:rFonts w:ascii="Times New Roman" w:eastAsia="Times New Roman" w:hAnsi="Times New Roman" w:cs="Times New Roman"/>
                <w:iCs/>
                <w:color w:val="000000"/>
                <w:sz w:val="20"/>
                <w:szCs w:val="20"/>
                <w:lang w:val="en-US"/>
              </w:rPr>
              <w:t>P</w:t>
            </w:r>
            <w:r w:rsidR="00CD1B54">
              <w:rPr>
                <w:rFonts w:ascii="Times New Roman" w:eastAsia="Times New Roman" w:hAnsi="Times New Roman" w:cs="Times New Roman"/>
                <w:iCs/>
                <w:color w:val="000000"/>
                <w:sz w:val="20"/>
                <w:szCs w:val="20"/>
                <w:lang w:val="en-US"/>
              </w:rPr>
              <w:t>resence of Remuneration Committee</w:t>
            </w:r>
          </w:p>
        </w:tc>
        <w:tc>
          <w:tcPr>
            <w:tcW w:w="992" w:type="dxa"/>
            <w:tcBorders>
              <w:top w:val="nil"/>
              <w:left w:val="nil"/>
              <w:bottom w:val="nil"/>
              <w:right w:val="nil"/>
            </w:tcBorders>
          </w:tcPr>
          <w:p w14:paraId="51B12A06" w14:textId="75CC062B"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44614">
              <w:rPr>
                <w:rFonts w:ascii="Times New Roman" w:eastAsia="Times New Roman" w:hAnsi="Times New Roman"/>
                <w:sz w:val="20"/>
                <w:szCs w:val="20"/>
              </w:rPr>
              <w:t>0.010</w:t>
            </w:r>
          </w:p>
          <w:p w14:paraId="5CCE70A2" w14:textId="43407782" w:rsidR="00CD1B54" w:rsidRPr="00F07E54"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44614">
              <w:rPr>
                <w:rFonts w:ascii="Times New Roman" w:eastAsia="Times New Roman" w:hAnsi="Times New Roman"/>
                <w:sz w:val="20"/>
                <w:szCs w:val="20"/>
              </w:rPr>
              <w:t>476</w:t>
            </w:r>
            <w:r>
              <w:rPr>
                <w:rFonts w:ascii="Times New Roman" w:eastAsia="Times New Roman" w:hAnsi="Times New Roman"/>
                <w:sz w:val="20"/>
                <w:szCs w:val="20"/>
              </w:rPr>
              <w:t>)</w:t>
            </w:r>
          </w:p>
        </w:tc>
        <w:tc>
          <w:tcPr>
            <w:tcW w:w="992" w:type="dxa"/>
            <w:tcBorders>
              <w:top w:val="nil"/>
              <w:left w:val="nil"/>
              <w:bottom w:val="nil"/>
              <w:right w:val="nil"/>
            </w:tcBorders>
          </w:tcPr>
          <w:p w14:paraId="386B1B5A" w14:textId="7C364C5D"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1B1EAA">
              <w:rPr>
                <w:rFonts w:ascii="Times New Roman" w:eastAsia="Times New Roman" w:hAnsi="Times New Roman"/>
                <w:sz w:val="20"/>
                <w:szCs w:val="20"/>
              </w:rPr>
              <w:t>17</w:t>
            </w:r>
            <w:r w:rsidR="00E822AF" w:rsidRPr="00E822AF">
              <w:rPr>
                <w:rFonts w:ascii="Times New Roman" w:eastAsia="Times New Roman" w:hAnsi="Times New Roman"/>
                <w:sz w:val="20"/>
                <w:szCs w:val="20"/>
                <w:vertAlign w:val="superscript"/>
              </w:rPr>
              <w:t>***</w:t>
            </w:r>
          </w:p>
          <w:p w14:paraId="76C3D243" w14:textId="60ACC961" w:rsidR="00CD1B54" w:rsidRPr="001B2C50"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(.00</w:t>
            </w:r>
            <w:r w:rsidR="001B1EAA">
              <w:rPr>
                <w:rFonts w:ascii="Times New Roman" w:eastAsia="Times New Roman" w:hAnsi="Times New Roman"/>
                <w:sz w:val="20"/>
                <w:szCs w:val="20"/>
              </w:rPr>
              <w:t>3</w:t>
            </w:r>
            <w:r w:rsidR="00E822AF">
              <w:rPr>
                <w:rFonts w:ascii="Times New Roman" w:eastAsia="Times New Roman" w:hAnsi="Times New Roman"/>
                <w:sz w:val="20"/>
                <w:szCs w:val="20"/>
              </w:rPr>
              <w:t>)</w:t>
            </w:r>
          </w:p>
        </w:tc>
        <w:tc>
          <w:tcPr>
            <w:tcW w:w="992" w:type="dxa"/>
            <w:tcBorders>
              <w:top w:val="nil"/>
              <w:left w:val="nil"/>
              <w:bottom w:val="nil"/>
              <w:right w:val="nil"/>
            </w:tcBorders>
          </w:tcPr>
          <w:p w14:paraId="6EFFCA95" w14:textId="5402836C"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73ED1">
              <w:rPr>
                <w:rFonts w:ascii="Times New Roman" w:eastAsia="Times New Roman" w:hAnsi="Times New Roman"/>
                <w:sz w:val="20"/>
                <w:szCs w:val="20"/>
              </w:rPr>
              <w:t>03</w:t>
            </w:r>
          </w:p>
          <w:p w14:paraId="51664542" w14:textId="4C8123A2"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872</w:t>
            </w:r>
            <w:r>
              <w:rPr>
                <w:rFonts w:ascii="Times New Roman" w:eastAsia="Times New Roman" w:hAnsi="Times New Roman"/>
                <w:sz w:val="20"/>
                <w:szCs w:val="20"/>
              </w:rPr>
              <w:t>)</w:t>
            </w:r>
          </w:p>
        </w:tc>
        <w:tc>
          <w:tcPr>
            <w:tcW w:w="236" w:type="dxa"/>
            <w:tcBorders>
              <w:top w:val="nil"/>
              <w:left w:val="nil"/>
              <w:bottom w:val="nil"/>
              <w:right w:val="nil"/>
            </w:tcBorders>
          </w:tcPr>
          <w:p w14:paraId="5B7BC4A0"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0E0BA9F3" w14:textId="5AC3D34B"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535C5">
              <w:rPr>
                <w:rFonts w:ascii="Times New Roman" w:eastAsia="Times New Roman" w:hAnsi="Times New Roman"/>
                <w:sz w:val="20"/>
                <w:szCs w:val="20"/>
              </w:rPr>
              <w:t>15</w:t>
            </w:r>
          </w:p>
          <w:p w14:paraId="36330B30" w14:textId="2E720464" w:rsidR="00CD1B54" w:rsidRPr="00BE430F"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535C5">
              <w:rPr>
                <w:rFonts w:ascii="Times New Roman" w:eastAsia="Times New Roman" w:hAnsi="Times New Roman"/>
                <w:sz w:val="20"/>
                <w:szCs w:val="20"/>
              </w:rPr>
              <w:t>256</w:t>
            </w:r>
            <w:r>
              <w:rPr>
                <w:rFonts w:ascii="Times New Roman" w:eastAsia="Times New Roman" w:hAnsi="Times New Roman"/>
                <w:sz w:val="20"/>
                <w:szCs w:val="20"/>
              </w:rPr>
              <w:t>)</w:t>
            </w:r>
          </w:p>
        </w:tc>
        <w:tc>
          <w:tcPr>
            <w:tcW w:w="1133" w:type="dxa"/>
            <w:tcBorders>
              <w:top w:val="nil"/>
              <w:left w:val="nil"/>
              <w:bottom w:val="nil"/>
              <w:right w:val="nil"/>
            </w:tcBorders>
          </w:tcPr>
          <w:p w14:paraId="5801B477" w14:textId="19C6E134" w:rsidR="00CD1B54" w:rsidRDefault="00B87CE5" w:rsidP="00CD1B54">
            <w:pPr>
              <w:spacing w:after="0"/>
              <w:rPr>
                <w:rFonts w:ascii="Times New Roman" w:eastAsia="Times New Roman" w:hAnsi="Times New Roman"/>
                <w:sz w:val="20"/>
                <w:szCs w:val="20"/>
              </w:rPr>
            </w:pPr>
            <w:r>
              <w:rPr>
                <w:rFonts w:ascii="Times New Roman" w:eastAsia="Times New Roman" w:hAnsi="Times New Roman"/>
                <w:sz w:val="20"/>
                <w:szCs w:val="20"/>
              </w:rPr>
              <w:t>-0.016</w:t>
            </w:r>
            <w:r w:rsidR="00E822AF" w:rsidRPr="00E822AF">
              <w:rPr>
                <w:rFonts w:ascii="Times New Roman" w:eastAsia="Times New Roman" w:hAnsi="Times New Roman"/>
                <w:sz w:val="20"/>
                <w:szCs w:val="20"/>
                <w:vertAlign w:val="superscript"/>
              </w:rPr>
              <w:t>***</w:t>
            </w:r>
          </w:p>
          <w:p w14:paraId="5F40FAD7" w14:textId="159E8B1D" w:rsidR="00CD1B54" w:rsidRPr="00196D61"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(.00</w:t>
            </w:r>
            <w:r w:rsidR="00B87CE5">
              <w:rPr>
                <w:rFonts w:ascii="Times New Roman" w:eastAsia="Times New Roman" w:hAnsi="Times New Roman"/>
                <w:sz w:val="20"/>
                <w:szCs w:val="20"/>
              </w:rPr>
              <w:t>5</w:t>
            </w:r>
            <w:r w:rsidR="00E822AF">
              <w:rPr>
                <w:rFonts w:ascii="Times New Roman" w:eastAsia="Times New Roman" w:hAnsi="Times New Roman"/>
                <w:sz w:val="20"/>
                <w:szCs w:val="20"/>
              </w:rPr>
              <w:t>)</w:t>
            </w:r>
          </w:p>
        </w:tc>
        <w:tc>
          <w:tcPr>
            <w:tcW w:w="995" w:type="dxa"/>
            <w:tcBorders>
              <w:top w:val="nil"/>
              <w:left w:val="nil"/>
              <w:bottom w:val="nil"/>
              <w:right w:val="nil"/>
            </w:tcBorders>
          </w:tcPr>
          <w:p w14:paraId="084F9157" w14:textId="14DCD5E1" w:rsidR="00CD1B54" w:rsidRDefault="00B87CE5" w:rsidP="00CD1B54">
            <w:pPr>
              <w:spacing w:after="0"/>
              <w:rPr>
                <w:rFonts w:ascii="Times New Roman" w:eastAsia="Times New Roman" w:hAnsi="Times New Roman"/>
                <w:sz w:val="20"/>
                <w:szCs w:val="20"/>
              </w:rPr>
            </w:pPr>
            <w:r>
              <w:rPr>
                <w:rFonts w:ascii="Times New Roman" w:eastAsia="Times New Roman" w:hAnsi="Times New Roman"/>
                <w:sz w:val="20"/>
                <w:szCs w:val="20"/>
              </w:rPr>
              <w:t>-0.001</w:t>
            </w:r>
          </w:p>
          <w:p w14:paraId="5AE3F21B" w14:textId="3409F711"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B87CE5">
              <w:rPr>
                <w:rFonts w:ascii="Times New Roman" w:eastAsia="Times New Roman" w:hAnsi="Times New Roman"/>
                <w:sz w:val="20"/>
                <w:szCs w:val="20"/>
              </w:rPr>
              <w:t>931</w:t>
            </w:r>
            <w:r>
              <w:rPr>
                <w:rFonts w:ascii="Times New Roman" w:eastAsia="Times New Roman" w:hAnsi="Times New Roman"/>
                <w:sz w:val="20"/>
                <w:szCs w:val="20"/>
              </w:rPr>
              <w:t>)</w:t>
            </w:r>
          </w:p>
        </w:tc>
      </w:tr>
      <w:tr w:rsidR="00CD1B54" w:rsidRPr="006B5786" w14:paraId="52328F2D" w14:textId="77777777" w:rsidTr="00D94751">
        <w:trPr>
          <w:trHeight w:val="91"/>
        </w:trPr>
        <w:tc>
          <w:tcPr>
            <w:tcW w:w="3544" w:type="dxa"/>
            <w:tcBorders>
              <w:top w:val="nil"/>
              <w:left w:val="nil"/>
              <w:bottom w:val="nil"/>
              <w:right w:val="nil"/>
            </w:tcBorders>
          </w:tcPr>
          <w:p w14:paraId="27965D38" w14:textId="682B4B3C" w:rsidR="00CD1B54" w:rsidRPr="006B5786" w:rsidRDefault="00D94751" w:rsidP="00CD1B54">
            <w:pPr>
              <w:spacing w:after="0" w:line="240" w:lineRule="auto"/>
              <w:rPr>
                <w:rFonts w:ascii="Times New Roman" w:eastAsia="Times New Roman" w:hAnsi="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D1B54">
              <w:rPr>
                <w:rFonts w:ascii="Times New Roman" w:eastAsia="Times New Roman" w:hAnsi="Times New Roman" w:cs="Times New Roman"/>
                <w:iCs/>
                <w:color w:val="000000"/>
                <w:sz w:val="20"/>
                <w:szCs w:val="20"/>
                <w:lang w:val="en-US"/>
              </w:rPr>
              <w:t>Presence of Governance Committee</w:t>
            </w:r>
          </w:p>
        </w:tc>
        <w:tc>
          <w:tcPr>
            <w:tcW w:w="992" w:type="dxa"/>
            <w:tcBorders>
              <w:top w:val="nil"/>
              <w:left w:val="nil"/>
              <w:bottom w:val="nil"/>
              <w:right w:val="nil"/>
            </w:tcBorders>
          </w:tcPr>
          <w:p w14:paraId="3DED9F68" w14:textId="1271B882"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44614">
              <w:rPr>
                <w:rFonts w:ascii="Times New Roman" w:eastAsia="Times New Roman" w:hAnsi="Times New Roman"/>
                <w:sz w:val="20"/>
                <w:szCs w:val="20"/>
              </w:rPr>
              <w:t>10</w:t>
            </w:r>
          </w:p>
          <w:p w14:paraId="4E82F5CD" w14:textId="5AE92164" w:rsidR="00CD1B54" w:rsidRPr="00F07E54"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44614">
              <w:rPr>
                <w:rFonts w:ascii="Times New Roman" w:eastAsia="Times New Roman" w:hAnsi="Times New Roman"/>
                <w:sz w:val="20"/>
                <w:szCs w:val="20"/>
              </w:rPr>
              <w:t>374</w:t>
            </w:r>
            <w:r>
              <w:rPr>
                <w:rFonts w:ascii="Times New Roman" w:eastAsia="Times New Roman" w:hAnsi="Times New Roman"/>
                <w:sz w:val="20"/>
                <w:szCs w:val="20"/>
              </w:rPr>
              <w:t>)</w:t>
            </w:r>
          </w:p>
        </w:tc>
        <w:tc>
          <w:tcPr>
            <w:tcW w:w="992" w:type="dxa"/>
            <w:tcBorders>
              <w:top w:val="nil"/>
              <w:left w:val="nil"/>
              <w:bottom w:val="nil"/>
              <w:right w:val="nil"/>
            </w:tcBorders>
          </w:tcPr>
          <w:p w14:paraId="02BAB3D7" w14:textId="2F68B96E"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1B1EAA">
              <w:rPr>
                <w:rFonts w:ascii="Times New Roman" w:eastAsia="Times New Roman" w:hAnsi="Times New Roman"/>
                <w:sz w:val="20"/>
                <w:szCs w:val="20"/>
              </w:rPr>
              <w:t>01</w:t>
            </w:r>
          </w:p>
          <w:p w14:paraId="111C85C1" w14:textId="52E8944A"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1B1EAA">
              <w:rPr>
                <w:rFonts w:ascii="Times New Roman" w:eastAsia="Times New Roman" w:hAnsi="Times New Roman"/>
                <w:sz w:val="20"/>
                <w:szCs w:val="20"/>
              </w:rPr>
              <w:t>841</w:t>
            </w:r>
            <w:r>
              <w:rPr>
                <w:rFonts w:ascii="Times New Roman" w:eastAsia="Times New Roman" w:hAnsi="Times New Roman"/>
                <w:sz w:val="20"/>
                <w:szCs w:val="20"/>
              </w:rPr>
              <w:t>)</w:t>
            </w:r>
          </w:p>
        </w:tc>
        <w:tc>
          <w:tcPr>
            <w:tcW w:w="992" w:type="dxa"/>
            <w:tcBorders>
              <w:top w:val="nil"/>
              <w:left w:val="nil"/>
              <w:bottom w:val="nil"/>
              <w:right w:val="nil"/>
            </w:tcBorders>
          </w:tcPr>
          <w:p w14:paraId="35A03450" w14:textId="747F45B5"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w:t>
            </w:r>
            <w:r w:rsidR="00A73ED1">
              <w:rPr>
                <w:rFonts w:ascii="Times New Roman" w:eastAsia="Times New Roman" w:hAnsi="Times New Roman"/>
                <w:sz w:val="20"/>
                <w:szCs w:val="20"/>
              </w:rPr>
              <w:t>008</w:t>
            </w:r>
          </w:p>
          <w:p w14:paraId="0E43ED25" w14:textId="410B1915" w:rsidR="00CD1B54" w:rsidRPr="00962D3D" w:rsidRDefault="00CD1B54" w:rsidP="00CD1B54">
            <w:pPr>
              <w:spacing w:after="0"/>
              <w:ind w:right="-111"/>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526</w:t>
            </w:r>
            <w:r>
              <w:rPr>
                <w:rFonts w:ascii="Times New Roman" w:eastAsia="Times New Roman" w:hAnsi="Times New Roman"/>
                <w:sz w:val="20"/>
                <w:szCs w:val="20"/>
              </w:rPr>
              <w:t>)</w:t>
            </w:r>
          </w:p>
        </w:tc>
        <w:tc>
          <w:tcPr>
            <w:tcW w:w="236" w:type="dxa"/>
            <w:tcBorders>
              <w:top w:val="nil"/>
              <w:left w:val="nil"/>
              <w:bottom w:val="nil"/>
              <w:right w:val="nil"/>
            </w:tcBorders>
          </w:tcPr>
          <w:p w14:paraId="5EED687A"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2B5D4AB1" w14:textId="1DEF7FBE"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535C5">
              <w:rPr>
                <w:rFonts w:ascii="Times New Roman" w:eastAsia="Times New Roman" w:hAnsi="Times New Roman"/>
                <w:sz w:val="20"/>
                <w:szCs w:val="20"/>
              </w:rPr>
              <w:t>06</w:t>
            </w:r>
          </w:p>
          <w:p w14:paraId="54CDE776" w14:textId="4E17CE81" w:rsidR="00CD1B54" w:rsidRPr="00BE430F"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535C5">
              <w:rPr>
                <w:rFonts w:ascii="Times New Roman" w:eastAsia="Times New Roman" w:hAnsi="Times New Roman"/>
                <w:sz w:val="20"/>
                <w:szCs w:val="20"/>
              </w:rPr>
              <w:t>541</w:t>
            </w:r>
            <w:r>
              <w:rPr>
                <w:rFonts w:ascii="Times New Roman" w:eastAsia="Times New Roman" w:hAnsi="Times New Roman"/>
                <w:sz w:val="20"/>
                <w:szCs w:val="20"/>
              </w:rPr>
              <w:t>)</w:t>
            </w:r>
          </w:p>
        </w:tc>
        <w:tc>
          <w:tcPr>
            <w:tcW w:w="1133" w:type="dxa"/>
            <w:tcBorders>
              <w:top w:val="nil"/>
              <w:left w:val="nil"/>
              <w:bottom w:val="nil"/>
              <w:right w:val="nil"/>
            </w:tcBorders>
          </w:tcPr>
          <w:p w14:paraId="1B953C3E" w14:textId="2653E88C"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B87CE5">
              <w:rPr>
                <w:rFonts w:ascii="Times New Roman" w:eastAsia="Times New Roman" w:hAnsi="Times New Roman"/>
                <w:sz w:val="20"/>
                <w:szCs w:val="20"/>
              </w:rPr>
              <w:t>01</w:t>
            </w:r>
          </w:p>
          <w:p w14:paraId="7A357D38" w14:textId="0BEB9DA2"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B87CE5">
              <w:rPr>
                <w:rFonts w:ascii="Times New Roman" w:eastAsia="Times New Roman" w:hAnsi="Times New Roman"/>
                <w:sz w:val="20"/>
                <w:szCs w:val="20"/>
              </w:rPr>
              <w:t>786)</w:t>
            </w:r>
          </w:p>
        </w:tc>
        <w:tc>
          <w:tcPr>
            <w:tcW w:w="995" w:type="dxa"/>
            <w:tcBorders>
              <w:top w:val="nil"/>
              <w:left w:val="nil"/>
              <w:bottom w:val="nil"/>
              <w:right w:val="nil"/>
            </w:tcBorders>
          </w:tcPr>
          <w:p w14:paraId="1E7C5165" w14:textId="717CFE8E"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w:t>
            </w:r>
            <w:r w:rsidR="00B87CE5">
              <w:rPr>
                <w:rFonts w:ascii="Times New Roman" w:eastAsia="Times New Roman" w:hAnsi="Times New Roman"/>
                <w:sz w:val="20"/>
                <w:szCs w:val="20"/>
              </w:rPr>
              <w:t>.005</w:t>
            </w:r>
          </w:p>
          <w:p w14:paraId="7111C800" w14:textId="081AEDFB"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B87CE5">
              <w:rPr>
                <w:rFonts w:ascii="Times New Roman" w:eastAsia="Times New Roman" w:hAnsi="Times New Roman"/>
                <w:sz w:val="20"/>
                <w:szCs w:val="20"/>
              </w:rPr>
              <w:t>.666</w:t>
            </w:r>
            <w:r>
              <w:rPr>
                <w:rFonts w:ascii="Times New Roman" w:eastAsia="Times New Roman" w:hAnsi="Times New Roman"/>
                <w:sz w:val="20"/>
                <w:szCs w:val="20"/>
              </w:rPr>
              <w:t>)</w:t>
            </w:r>
          </w:p>
        </w:tc>
      </w:tr>
      <w:tr w:rsidR="00CD1B54" w:rsidRPr="006B5786" w14:paraId="2CD9C548" w14:textId="77777777" w:rsidTr="00D94751">
        <w:trPr>
          <w:trHeight w:val="87"/>
        </w:trPr>
        <w:tc>
          <w:tcPr>
            <w:tcW w:w="3544" w:type="dxa"/>
            <w:tcBorders>
              <w:top w:val="nil"/>
              <w:left w:val="nil"/>
              <w:bottom w:val="nil"/>
              <w:right w:val="nil"/>
            </w:tcBorders>
          </w:tcPr>
          <w:p w14:paraId="78AB8FD4" w14:textId="2CDE4C29" w:rsidR="00CD1B54" w:rsidRPr="006B5786" w:rsidRDefault="00D94751" w:rsidP="00CD1B54">
            <w:pPr>
              <w:spacing w:after="0" w:line="240" w:lineRule="auto"/>
              <w:rPr>
                <w:rFonts w:ascii="Times New Roman" w:eastAsia="Times New Roman" w:hAnsi="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D1B54">
              <w:rPr>
                <w:rFonts w:ascii="Times New Roman" w:eastAsia="Times New Roman" w:hAnsi="Times New Roman" w:cs="Times New Roman"/>
                <w:iCs/>
                <w:color w:val="000000"/>
                <w:sz w:val="20"/>
                <w:szCs w:val="20"/>
                <w:lang w:val="en-US"/>
              </w:rPr>
              <w:t>Executive Management Team Size</w:t>
            </w:r>
          </w:p>
        </w:tc>
        <w:tc>
          <w:tcPr>
            <w:tcW w:w="992" w:type="dxa"/>
            <w:tcBorders>
              <w:top w:val="nil"/>
              <w:left w:val="nil"/>
              <w:bottom w:val="nil"/>
              <w:right w:val="nil"/>
            </w:tcBorders>
          </w:tcPr>
          <w:p w14:paraId="5935EE78" w14:textId="1256B59D" w:rsidR="00CD1B54" w:rsidRDefault="00A44614" w:rsidP="00CD1B54">
            <w:pPr>
              <w:spacing w:after="0"/>
              <w:rPr>
                <w:rFonts w:ascii="Times New Roman" w:eastAsia="Times New Roman" w:hAnsi="Times New Roman"/>
                <w:sz w:val="20"/>
                <w:szCs w:val="20"/>
              </w:rPr>
            </w:pPr>
            <w:r>
              <w:rPr>
                <w:rFonts w:ascii="Times New Roman" w:eastAsia="Times New Roman" w:hAnsi="Times New Roman"/>
                <w:sz w:val="20"/>
                <w:szCs w:val="20"/>
              </w:rPr>
              <w:t>-0.002</w:t>
            </w:r>
          </w:p>
          <w:p w14:paraId="68B9BA17" w14:textId="2889D52A"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44614">
              <w:rPr>
                <w:rFonts w:ascii="Times New Roman" w:eastAsia="Times New Roman" w:hAnsi="Times New Roman"/>
                <w:sz w:val="20"/>
                <w:szCs w:val="20"/>
              </w:rPr>
              <w:t>638</w:t>
            </w:r>
            <w:r>
              <w:rPr>
                <w:rFonts w:ascii="Times New Roman" w:eastAsia="Times New Roman" w:hAnsi="Times New Roman"/>
                <w:sz w:val="20"/>
                <w:szCs w:val="20"/>
              </w:rPr>
              <w:t>)</w:t>
            </w:r>
          </w:p>
        </w:tc>
        <w:tc>
          <w:tcPr>
            <w:tcW w:w="992" w:type="dxa"/>
            <w:tcBorders>
              <w:top w:val="nil"/>
              <w:left w:val="nil"/>
              <w:bottom w:val="nil"/>
              <w:right w:val="nil"/>
            </w:tcBorders>
          </w:tcPr>
          <w:p w14:paraId="6E138B9B" w14:textId="276BB294" w:rsidR="00CD1B54" w:rsidRDefault="001B1EAA" w:rsidP="00CD1B54">
            <w:pPr>
              <w:spacing w:after="0"/>
              <w:rPr>
                <w:rFonts w:ascii="Times New Roman" w:eastAsia="Times New Roman" w:hAnsi="Times New Roman"/>
                <w:sz w:val="20"/>
                <w:szCs w:val="20"/>
              </w:rPr>
            </w:pPr>
            <w:r>
              <w:rPr>
                <w:rFonts w:ascii="Times New Roman" w:eastAsia="Times New Roman" w:hAnsi="Times New Roman"/>
                <w:sz w:val="20"/>
                <w:szCs w:val="20"/>
              </w:rPr>
              <w:t>-0.000</w:t>
            </w:r>
          </w:p>
          <w:p w14:paraId="3824EAC9" w14:textId="09766218" w:rsidR="00CD1B54" w:rsidRPr="001B2C50"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1B1EAA">
              <w:rPr>
                <w:rFonts w:ascii="Times New Roman" w:eastAsia="Times New Roman" w:hAnsi="Times New Roman"/>
                <w:sz w:val="20"/>
                <w:szCs w:val="20"/>
              </w:rPr>
              <w:t>924</w:t>
            </w:r>
            <w:r>
              <w:rPr>
                <w:rFonts w:ascii="Times New Roman" w:eastAsia="Times New Roman" w:hAnsi="Times New Roman"/>
                <w:sz w:val="20"/>
                <w:szCs w:val="20"/>
              </w:rPr>
              <w:t>)</w:t>
            </w:r>
          </w:p>
        </w:tc>
        <w:tc>
          <w:tcPr>
            <w:tcW w:w="992" w:type="dxa"/>
            <w:tcBorders>
              <w:top w:val="nil"/>
              <w:left w:val="nil"/>
              <w:bottom w:val="nil"/>
              <w:right w:val="nil"/>
            </w:tcBorders>
          </w:tcPr>
          <w:p w14:paraId="302236B5" w14:textId="06105D45" w:rsidR="00CD1B54" w:rsidRDefault="00A73ED1" w:rsidP="00CD1B54">
            <w:pPr>
              <w:spacing w:after="0"/>
              <w:rPr>
                <w:rFonts w:ascii="Times New Roman" w:eastAsia="Times New Roman" w:hAnsi="Times New Roman"/>
                <w:sz w:val="20"/>
                <w:szCs w:val="20"/>
              </w:rPr>
            </w:pPr>
            <w:r>
              <w:rPr>
                <w:rFonts w:ascii="Times New Roman" w:eastAsia="Times New Roman" w:hAnsi="Times New Roman"/>
                <w:sz w:val="20"/>
                <w:szCs w:val="20"/>
              </w:rPr>
              <w:t>-0.003</w:t>
            </w:r>
          </w:p>
          <w:p w14:paraId="7B4FE01B" w14:textId="46879175"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655</w:t>
            </w:r>
            <w:r>
              <w:rPr>
                <w:rFonts w:ascii="Times New Roman" w:eastAsia="Times New Roman" w:hAnsi="Times New Roman"/>
                <w:sz w:val="20"/>
                <w:szCs w:val="20"/>
              </w:rPr>
              <w:t>)</w:t>
            </w:r>
          </w:p>
        </w:tc>
        <w:tc>
          <w:tcPr>
            <w:tcW w:w="236" w:type="dxa"/>
            <w:tcBorders>
              <w:top w:val="nil"/>
              <w:left w:val="nil"/>
              <w:bottom w:val="nil"/>
              <w:right w:val="nil"/>
            </w:tcBorders>
          </w:tcPr>
          <w:p w14:paraId="425569C3"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6D9A5060" w14:textId="3648AE4C"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A535C5">
              <w:rPr>
                <w:rFonts w:ascii="Times New Roman" w:eastAsia="Times New Roman" w:hAnsi="Times New Roman"/>
                <w:sz w:val="20"/>
                <w:szCs w:val="20"/>
              </w:rPr>
              <w:t>3</w:t>
            </w:r>
          </w:p>
          <w:p w14:paraId="61C744B7" w14:textId="4515EA73" w:rsidR="00CD1B54" w:rsidRPr="00AE5519"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535C5">
              <w:rPr>
                <w:rFonts w:ascii="Times New Roman" w:eastAsia="Times New Roman" w:hAnsi="Times New Roman"/>
                <w:sz w:val="20"/>
                <w:szCs w:val="20"/>
              </w:rPr>
              <w:t>527</w:t>
            </w:r>
            <w:r>
              <w:rPr>
                <w:rFonts w:ascii="Times New Roman" w:eastAsia="Times New Roman" w:hAnsi="Times New Roman"/>
                <w:sz w:val="20"/>
                <w:szCs w:val="20"/>
              </w:rPr>
              <w:t>)</w:t>
            </w:r>
          </w:p>
        </w:tc>
        <w:tc>
          <w:tcPr>
            <w:tcW w:w="1133" w:type="dxa"/>
            <w:tcBorders>
              <w:top w:val="nil"/>
              <w:left w:val="nil"/>
              <w:bottom w:val="nil"/>
              <w:right w:val="nil"/>
            </w:tcBorders>
          </w:tcPr>
          <w:p w14:paraId="7136EF00" w14:textId="1D537327"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B87CE5">
              <w:rPr>
                <w:rFonts w:ascii="Times New Roman" w:eastAsia="Times New Roman" w:hAnsi="Times New Roman"/>
                <w:sz w:val="20"/>
                <w:szCs w:val="20"/>
              </w:rPr>
              <w:t>0</w:t>
            </w:r>
          </w:p>
          <w:p w14:paraId="34A40962" w14:textId="2624FBA8" w:rsidR="00CD1B54" w:rsidRPr="00AE5519"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B87CE5">
              <w:rPr>
                <w:rFonts w:ascii="Times New Roman" w:eastAsia="Times New Roman" w:hAnsi="Times New Roman"/>
                <w:sz w:val="20"/>
                <w:szCs w:val="20"/>
              </w:rPr>
              <w:t>814</w:t>
            </w:r>
            <w:r>
              <w:rPr>
                <w:rFonts w:ascii="Times New Roman" w:eastAsia="Times New Roman" w:hAnsi="Times New Roman"/>
                <w:sz w:val="20"/>
                <w:szCs w:val="20"/>
              </w:rPr>
              <w:t>)</w:t>
            </w:r>
          </w:p>
        </w:tc>
        <w:tc>
          <w:tcPr>
            <w:tcW w:w="995" w:type="dxa"/>
            <w:tcBorders>
              <w:top w:val="nil"/>
              <w:left w:val="nil"/>
              <w:bottom w:val="nil"/>
              <w:right w:val="nil"/>
            </w:tcBorders>
          </w:tcPr>
          <w:p w14:paraId="7C8690BF" w14:textId="257554F8"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B87CE5">
              <w:rPr>
                <w:rFonts w:ascii="Times New Roman" w:eastAsia="Times New Roman" w:hAnsi="Times New Roman"/>
                <w:sz w:val="20"/>
                <w:szCs w:val="20"/>
              </w:rPr>
              <w:t>4</w:t>
            </w:r>
          </w:p>
          <w:p w14:paraId="1408B378" w14:textId="40694BA0" w:rsidR="00CD1B54" w:rsidRPr="002E4C70"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B87CE5">
              <w:rPr>
                <w:rFonts w:ascii="Times New Roman" w:eastAsia="Times New Roman" w:hAnsi="Times New Roman"/>
                <w:sz w:val="20"/>
                <w:szCs w:val="20"/>
              </w:rPr>
              <w:t>492</w:t>
            </w:r>
            <w:r>
              <w:rPr>
                <w:rFonts w:ascii="Times New Roman" w:eastAsia="Times New Roman" w:hAnsi="Times New Roman"/>
                <w:sz w:val="20"/>
                <w:szCs w:val="20"/>
              </w:rPr>
              <w:t>)</w:t>
            </w:r>
          </w:p>
        </w:tc>
      </w:tr>
      <w:tr w:rsidR="00CD1B54" w:rsidRPr="006B5786" w14:paraId="60C4BCC5" w14:textId="77777777" w:rsidTr="00D94751">
        <w:trPr>
          <w:trHeight w:val="87"/>
        </w:trPr>
        <w:tc>
          <w:tcPr>
            <w:tcW w:w="3544" w:type="dxa"/>
            <w:tcBorders>
              <w:top w:val="nil"/>
              <w:left w:val="nil"/>
              <w:bottom w:val="nil"/>
              <w:right w:val="nil"/>
            </w:tcBorders>
          </w:tcPr>
          <w:p w14:paraId="397227F5" w14:textId="0FD61AB6" w:rsidR="00CD1B54" w:rsidRPr="006B5786" w:rsidRDefault="00D94751" w:rsidP="00CD1B54">
            <w:pPr>
              <w:spacing w:after="0" w:line="240" w:lineRule="auto"/>
              <w:ind w:right="-105"/>
              <w:rPr>
                <w:rFonts w:ascii="Times New Roman" w:eastAsia="Times New Roman" w:hAnsi="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D1B54">
              <w:rPr>
                <w:rFonts w:ascii="Times New Roman" w:eastAsia="Times New Roman" w:hAnsi="Times New Roman" w:cs="Times New Roman"/>
                <w:iCs/>
                <w:color w:val="000000"/>
                <w:sz w:val="20"/>
                <w:szCs w:val="20"/>
                <w:lang w:val="en-US"/>
              </w:rPr>
              <w:t>Executive Management Team Diversity</w:t>
            </w:r>
          </w:p>
        </w:tc>
        <w:tc>
          <w:tcPr>
            <w:tcW w:w="992" w:type="dxa"/>
            <w:tcBorders>
              <w:top w:val="nil"/>
              <w:left w:val="nil"/>
              <w:bottom w:val="nil"/>
              <w:right w:val="nil"/>
            </w:tcBorders>
          </w:tcPr>
          <w:p w14:paraId="7B69400A" w14:textId="1998140A"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A44614">
              <w:rPr>
                <w:rFonts w:ascii="Times New Roman" w:eastAsia="Times New Roman" w:hAnsi="Times New Roman"/>
                <w:sz w:val="20"/>
                <w:szCs w:val="20"/>
              </w:rPr>
              <w:t>09</w:t>
            </w:r>
          </w:p>
          <w:p w14:paraId="6B73C2CF" w14:textId="779BF448" w:rsidR="00CD1B54" w:rsidRPr="00F07E54"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44614">
              <w:rPr>
                <w:rFonts w:ascii="Times New Roman" w:eastAsia="Times New Roman" w:hAnsi="Times New Roman"/>
                <w:sz w:val="20"/>
                <w:szCs w:val="20"/>
              </w:rPr>
              <w:t>280</w:t>
            </w:r>
            <w:r>
              <w:rPr>
                <w:rFonts w:ascii="Times New Roman" w:eastAsia="Times New Roman" w:hAnsi="Times New Roman"/>
                <w:sz w:val="20"/>
                <w:szCs w:val="20"/>
              </w:rPr>
              <w:t>)</w:t>
            </w:r>
          </w:p>
        </w:tc>
        <w:tc>
          <w:tcPr>
            <w:tcW w:w="992" w:type="dxa"/>
            <w:tcBorders>
              <w:top w:val="nil"/>
              <w:left w:val="nil"/>
              <w:bottom w:val="nil"/>
              <w:right w:val="nil"/>
            </w:tcBorders>
          </w:tcPr>
          <w:p w14:paraId="26E6609E" w14:textId="5C4B1144" w:rsidR="00CD1B54" w:rsidRDefault="001B1EAA" w:rsidP="00CD1B54">
            <w:pPr>
              <w:spacing w:after="0"/>
              <w:rPr>
                <w:rFonts w:ascii="Times New Roman" w:eastAsia="Times New Roman" w:hAnsi="Times New Roman"/>
                <w:sz w:val="20"/>
                <w:szCs w:val="20"/>
              </w:rPr>
            </w:pPr>
            <w:r>
              <w:rPr>
                <w:rFonts w:ascii="Times New Roman" w:eastAsia="Times New Roman" w:hAnsi="Times New Roman"/>
                <w:sz w:val="20"/>
                <w:szCs w:val="20"/>
              </w:rPr>
              <w:t>-0.004</w:t>
            </w:r>
          </w:p>
          <w:p w14:paraId="5305731D" w14:textId="5BC05444"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B4462">
              <w:rPr>
                <w:rFonts w:ascii="Times New Roman" w:eastAsia="Times New Roman" w:hAnsi="Times New Roman"/>
                <w:sz w:val="20"/>
                <w:szCs w:val="20"/>
              </w:rPr>
              <w:t>239</w:t>
            </w:r>
            <w:r>
              <w:rPr>
                <w:rFonts w:ascii="Times New Roman" w:eastAsia="Times New Roman" w:hAnsi="Times New Roman"/>
                <w:sz w:val="20"/>
                <w:szCs w:val="20"/>
              </w:rPr>
              <w:t>)</w:t>
            </w:r>
          </w:p>
        </w:tc>
        <w:tc>
          <w:tcPr>
            <w:tcW w:w="992" w:type="dxa"/>
            <w:tcBorders>
              <w:top w:val="nil"/>
              <w:left w:val="nil"/>
              <w:bottom w:val="nil"/>
              <w:right w:val="nil"/>
            </w:tcBorders>
          </w:tcPr>
          <w:p w14:paraId="7CF91B83" w14:textId="2149719B"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A73ED1">
              <w:rPr>
                <w:rFonts w:ascii="Times New Roman" w:eastAsia="Times New Roman" w:hAnsi="Times New Roman"/>
                <w:sz w:val="20"/>
                <w:szCs w:val="20"/>
              </w:rPr>
              <w:t>04</w:t>
            </w:r>
          </w:p>
          <w:p w14:paraId="131DF961" w14:textId="3757498F"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660</w:t>
            </w:r>
            <w:r>
              <w:rPr>
                <w:rFonts w:ascii="Times New Roman" w:eastAsia="Times New Roman" w:hAnsi="Times New Roman"/>
                <w:sz w:val="20"/>
                <w:szCs w:val="20"/>
              </w:rPr>
              <w:t>)</w:t>
            </w:r>
          </w:p>
        </w:tc>
        <w:tc>
          <w:tcPr>
            <w:tcW w:w="236" w:type="dxa"/>
            <w:tcBorders>
              <w:top w:val="nil"/>
              <w:left w:val="nil"/>
              <w:bottom w:val="nil"/>
              <w:right w:val="nil"/>
            </w:tcBorders>
          </w:tcPr>
          <w:p w14:paraId="7FF4A98B"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56F87689" w14:textId="3C366EB3"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A535C5">
              <w:rPr>
                <w:rFonts w:ascii="Times New Roman" w:eastAsia="Times New Roman" w:hAnsi="Times New Roman"/>
                <w:sz w:val="20"/>
                <w:szCs w:val="20"/>
              </w:rPr>
              <w:t>13</w:t>
            </w:r>
            <w:r w:rsidR="00E822AF" w:rsidRPr="00E822AF">
              <w:rPr>
                <w:rFonts w:ascii="Times New Roman" w:eastAsia="Times New Roman" w:hAnsi="Times New Roman"/>
                <w:sz w:val="20"/>
                <w:szCs w:val="20"/>
                <w:vertAlign w:val="superscript"/>
              </w:rPr>
              <w:t>**</w:t>
            </w:r>
          </w:p>
          <w:p w14:paraId="6819393F" w14:textId="6165CF19" w:rsidR="00CD1B54" w:rsidRPr="00AE5519"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w:t>
            </w:r>
            <w:r w:rsidR="00A535C5">
              <w:rPr>
                <w:rFonts w:ascii="Times New Roman" w:eastAsia="Times New Roman" w:hAnsi="Times New Roman"/>
                <w:sz w:val="20"/>
                <w:szCs w:val="20"/>
              </w:rPr>
              <w:t>50</w:t>
            </w:r>
            <w:r w:rsidR="00E822AF">
              <w:rPr>
                <w:rFonts w:ascii="Times New Roman" w:eastAsia="Times New Roman" w:hAnsi="Times New Roman"/>
                <w:sz w:val="20"/>
                <w:szCs w:val="20"/>
              </w:rPr>
              <w:t>)</w:t>
            </w:r>
          </w:p>
        </w:tc>
        <w:tc>
          <w:tcPr>
            <w:tcW w:w="1133" w:type="dxa"/>
            <w:tcBorders>
              <w:top w:val="nil"/>
              <w:left w:val="nil"/>
              <w:bottom w:val="nil"/>
              <w:right w:val="nil"/>
            </w:tcBorders>
          </w:tcPr>
          <w:p w14:paraId="3655C845" w14:textId="328E7CE9" w:rsidR="00CD1B54" w:rsidRDefault="00B87CE5" w:rsidP="00CD1B54">
            <w:pPr>
              <w:spacing w:after="0"/>
              <w:rPr>
                <w:rFonts w:ascii="Times New Roman" w:eastAsia="Times New Roman" w:hAnsi="Times New Roman"/>
                <w:sz w:val="20"/>
                <w:szCs w:val="20"/>
              </w:rPr>
            </w:pPr>
            <w:r>
              <w:rPr>
                <w:rFonts w:ascii="Times New Roman" w:eastAsia="Times New Roman" w:hAnsi="Times New Roman"/>
                <w:sz w:val="20"/>
                <w:szCs w:val="20"/>
              </w:rPr>
              <w:t>-0.007</w:t>
            </w:r>
            <w:r w:rsidR="00E822AF" w:rsidRPr="00E822AF">
              <w:rPr>
                <w:rFonts w:ascii="Times New Roman" w:eastAsia="Times New Roman" w:hAnsi="Times New Roman"/>
                <w:sz w:val="20"/>
                <w:szCs w:val="20"/>
                <w:vertAlign w:val="superscript"/>
              </w:rPr>
              <w:t>**</w:t>
            </w:r>
          </w:p>
          <w:p w14:paraId="2AB61A8D" w14:textId="765F605C" w:rsidR="00CD1B54" w:rsidRPr="00AE5519"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w:t>
            </w:r>
            <w:r w:rsidR="00B87CE5">
              <w:rPr>
                <w:rFonts w:ascii="Times New Roman" w:eastAsia="Times New Roman" w:hAnsi="Times New Roman"/>
                <w:sz w:val="20"/>
                <w:szCs w:val="20"/>
              </w:rPr>
              <w:t>29</w:t>
            </w:r>
            <w:r w:rsidR="00E822AF">
              <w:rPr>
                <w:rFonts w:ascii="Times New Roman" w:eastAsia="Times New Roman" w:hAnsi="Times New Roman"/>
                <w:sz w:val="20"/>
                <w:szCs w:val="20"/>
              </w:rPr>
              <w:t>)</w:t>
            </w:r>
          </w:p>
        </w:tc>
        <w:tc>
          <w:tcPr>
            <w:tcW w:w="995" w:type="dxa"/>
            <w:tcBorders>
              <w:top w:val="nil"/>
              <w:left w:val="nil"/>
              <w:bottom w:val="nil"/>
              <w:right w:val="nil"/>
            </w:tcBorders>
          </w:tcPr>
          <w:p w14:paraId="5F54C8CD" w14:textId="4C6BA4F7" w:rsidR="00CD1B54" w:rsidRDefault="00B87CE5"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Pr>
                <w:rFonts w:ascii="Times New Roman" w:eastAsia="Times New Roman" w:hAnsi="Times New Roman"/>
                <w:sz w:val="20"/>
                <w:szCs w:val="20"/>
              </w:rPr>
              <w:t>06</w:t>
            </w:r>
            <w:r w:rsidR="00E822AF" w:rsidRPr="00E822AF">
              <w:rPr>
                <w:rFonts w:ascii="Times New Roman" w:eastAsia="Times New Roman" w:hAnsi="Times New Roman"/>
                <w:sz w:val="20"/>
                <w:szCs w:val="20"/>
                <w:vertAlign w:val="superscript"/>
              </w:rPr>
              <w:t>***</w:t>
            </w:r>
          </w:p>
          <w:p w14:paraId="272565F2" w14:textId="7A9C327E" w:rsidR="00CD1B54" w:rsidRPr="00962D3D" w:rsidRDefault="00CD1B54" w:rsidP="00CD1B54">
            <w:pPr>
              <w:spacing w:after="0"/>
              <w:ind w:right="-69"/>
              <w:rPr>
                <w:rFonts w:ascii="Times New Roman" w:eastAsia="Times New Roman" w:hAnsi="Times New Roman"/>
                <w:sz w:val="20"/>
                <w:szCs w:val="20"/>
              </w:rPr>
            </w:pPr>
            <w:r>
              <w:rPr>
                <w:rFonts w:ascii="Times New Roman" w:eastAsia="Times New Roman" w:hAnsi="Times New Roman"/>
                <w:sz w:val="20"/>
                <w:szCs w:val="20"/>
              </w:rPr>
              <w:t>(.000</w:t>
            </w:r>
            <w:r w:rsidR="00E822AF">
              <w:rPr>
                <w:rFonts w:ascii="Times New Roman" w:eastAsia="Times New Roman" w:hAnsi="Times New Roman"/>
                <w:sz w:val="20"/>
                <w:szCs w:val="20"/>
              </w:rPr>
              <w:t>)</w:t>
            </w:r>
          </w:p>
        </w:tc>
      </w:tr>
      <w:tr w:rsidR="00CD1B54" w:rsidRPr="006B5786" w14:paraId="1209EEF9" w14:textId="77777777" w:rsidTr="00D94751">
        <w:trPr>
          <w:trHeight w:val="87"/>
        </w:trPr>
        <w:tc>
          <w:tcPr>
            <w:tcW w:w="3544" w:type="dxa"/>
            <w:tcBorders>
              <w:top w:val="nil"/>
              <w:left w:val="nil"/>
              <w:bottom w:val="nil"/>
              <w:right w:val="nil"/>
            </w:tcBorders>
          </w:tcPr>
          <w:p w14:paraId="768AB2D2" w14:textId="13B9D197" w:rsidR="00CD1B54" w:rsidRPr="006B5786" w:rsidRDefault="00D94751" w:rsidP="00CD1B54">
            <w:pPr>
              <w:spacing w:after="0" w:line="240" w:lineRule="auto"/>
              <w:ind w:right="-105"/>
              <w:rPr>
                <w:rFonts w:ascii="Times New Roman" w:eastAsia="Times New Roman" w:hAnsi="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D1B54">
              <w:rPr>
                <w:rFonts w:ascii="Times New Roman" w:eastAsia="Times New Roman" w:hAnsi="Times New Roman" w:cs="Times New Roman"/>
                <w:iCs/>
                <w:color w:val="000000"/>
                <w:sz w:val="20"/>
                <w:szCs w:val="20"/>
                <w:lang w:val="en-US"/>
              </w:rPr>
              <w:t>Executive Management Team Meeting</w:t>
            </w:r>
          </w:p>
        </w:tc>
        <w:tc>
          <w:tcPr>
            <w:tcW w:w="992" w:type="dxa"/>
            <w:tcBorders>
              <w:top w:val="nil"/>
              <w:left w:val="nil"/>
              <w:bottom w:val="nil"/>
              <w:right w:val="nil"/>
            </w:tcBorders>
          </w:tcPr>
          <w:p w14:paraId="6E3FDCBB" w14:textId="4CB426FE"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A44614">
              <w:rPr>
                <w:rFonts w:ascii="Times New Roman" w:eastAsia="Times New Roman" w:hAnsi="Times New Roman"/>
                <w:sz w:val="20"/>
                <w:szCs w:val="20"/>
              </w:rPr>
              <w:t>2</w:t>
            </w:r>
          </w:p>
          <w:p w14:paraId="41FB19A6" w14:textId="46FEA4FF" w:rsidR="00CD1B54" w:rsidRPr="00962D3D"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44614">
              <w:rPr>
                <w:rFonts w:ascii="Times New Roman" w:eastAsia="Times New Roman" w:hAnsi="Times New Roman"/>
                <w:sz w:val="20"/>
                <w:szCs w:val="20"/>
              </w:rPr>
              <w:t>812</w:t>
            </w:r>
            <w:r>
              <w:rPr>
                <w:rFonts w:ascii="Times New Roman" w:eastAsia="Times New Roman" w:hAnsi="Times New Roman"/>
                <w:sz w:val="20"/>
                <w:szCs w:val="20"/>
              </w:rPr>
              <w:t>)</w:t>
            </w:r>
          </w:p>
        </w:tc>
        <w:tc>
          <w:tcPr>
            <w:tcW w:w="992" w:type="dxa"/>
            <w:tcBorders>
              <w:top w:val="nil"/>
              <w:left w:val="nil"/>
              <w:bottom w:val="nil"/>
              <w:right w:val="nil"/>
            </w:tcBorders>
          </w:tcPr>
          <w:p w14:paraId="6DDD604E" w14:textId="5FB678DC" w:rsidR="00CD1B54" w:rsidRDefault="00CB4462" w:rsidP="00CD1B54">
            <w:pPr>
              <w:spacing w:after="0"/>
              <w:rPr>
                <w:rFonts w:ascii="Times New Roman" w:eastAsia="Times New Roman" w:hAnsi="Times New Roman"/>
                <w:sz w:val="20"/>
                <w:szCs w:val="20"/>
              </w:rPr>
            </w:pPr>
            <w:r>
              <w:rPr>
                <w:rFonts w:ascii="Times New Roman" w:eastAsia="Times New Roman" w:hAnsi="Times New Roman"/>
                <w:sz w:val="20"/>
                <w:szCs w:val="20"/>
              </w:rPr>
              <w:t>-0.011</w:t>
            </w:r>
            <w:r w:rsidR="00E822AF" w:rsidRPr="00E822AF">
              <w:rPr>
                <w:rFonts w:ascii="Times New Roman" w:eastAsia="Times New Roman" w:hAnsi="Times New Roman"/>
                <w:sz w:val="20"/>
                <w:szCs w:val="20"/>
                <w:vertAlign w:val="superscript"/>
              </w:rPr>
              <w:t>***</w:t>
            </w:r>
          </w:p>
          <w:p w14:paraId="5913DCC8" w14:textId="615EA58D" w:rsidR="00CD1B54" w:rsidRPr="00CB4462"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CB4462">
              <w:rPr>
                <w:rFonts w:ascii="Times New Roman" w:eastAsia="Times New Roman" w:hAnsi="Times New Roman"/>
                <w:sz w:val="20"/>
                <w:szCs w:val="20"/>
              </w:rPr>
              <w:t>001</w:t>
            </w:r>
            <w:r w:rsidR="00E822AF">
              <w:rPr>
                <w:rFonts w:ascii="Times New Roman" w:eastAsia="Times New Roman" w:hAnsi="Times New Roman"/>
                <w:sz w:val="20"/>
                <w:szCs w:val="20"/>
              </w:rPr>
              <w:t>)</w:t>
            </w:r>
          </w:p>
        </w:tc>
        <w:tc>
          <w:tcPr>
            <w:tcW w:w="992" w:type="dxa"/>
            <w:tcBorders>
              <w:top w:val="nil"/>
              <w:left w:val="nil"/>
              <w:bottom w:val="nil"/>
              <w:right w:val="nil"/>
            </w:tcBorders>
          </w:tcPr>
          <w:p w14:paraId="36D04FA2" w14:textId="1ED0473E" w:rsidR="00CD1B54" w:rsidRDefault="00A73ED1" w:rsidP="00CD1B54">
            <w:pPr>
              <w:spacing w:after="0"/>
              <w:rPr>
                <w:rFonts w:ascii="Times New Roman" w:eastAsia="Times New Roman" w:hAnsi="Times New Roman"/>
                <w:sz w:val="20"/>
                <w:szCs w:val="20"/>
              </w:rPr>
            </w:pPr>
            <w:r>
              <w:rPr>
                <w:rFonts w:ascii="Times New Roman" w:eastAsia="Times New Roman" w:hAnsi="Times New Roman"/>
                <w:sz w:val="20"/>
                <w:szCs w:val="20"/>
              </w:rPr>
              <w:t>-0.010</w:t>
            </w:r>
          </w:p>
          <w:p w14:paraId="6A09B893" w14:textId="36275A7C"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314</w:t>
            </w:r>
            <w:r>
              <w:rPr>
                <w:rFonts w:ascii="Times New Roman" w:eastAsia="Times New Roman" w:hAnsi="Times New Roman"/>
                <w:sz w:val="20"/>
                <w:szCs w:val="20"/>
              </w:rPr>
              <w:t>)</w:t>
            </w:r>
          </w:p>
        </w:tc>
        <w:tc>
          <w:tcPr>
            <w:tcW w:w="236" w:type="dxa"/>
            <w:tcBorders>
              <w:top w:val="nil"/>
              <w:left w:val="nil"/>
              <w:bottom w:val="nil"/>
              <w:right w:val="nil"/>
            </w:tcBorders>
          </w:tcPr>
          <w:p w14:paraId="11FACA07"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22A3F4CD" w14:textId="5D52CDF5"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A535C5">
              <w:rPr>
                <w:rFonts w:ascii="Times New Roman" w:eastAsia="Times New Roman" w:hAnsi="Times New Roman"/>
                <w:sz w:val="20"/>
                <w:szCs w:val="20"/>
              </w:rPr>
              <w:t>4</w:t>
            </w:r>
          </w:p>
          <w:p w14:paraId="5D25343A" w14:textId="51254849"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535C5">
              <w:rPr>
                <w:rFonts w:ascii="Times New Roman" w:eastAsia="Times New Roman" w:hAnsi="Times New Roman"/>
                <w:sz w:val="20"/>
                <w:szCs w:val="20"/>
              </w:rPr>
              <w:t>601</w:t>
            </w:r>
            <w:r>
              <w:rPr>
                <w:rFonts w:ascii="Times New Roman" w:eastAsia="Times New Roman" w:hAnsi="Times New Roman"/>
                <w:sz w:val="20"/>
                <w:szCs w:val="20"/>
              </w:rPr>
              <w:t>)</w:t>
            </w:r>
          </w:p>
        </w:tc>
        <w:tc>
          <w:tcPr>
            <w:tcW w:w="1133" w:type="dxa"/>
            <w:tcBorders>
              <w:top w:val="nil"/>
              <w:left w:val="nil"/>
              <w:bottom w:val="nil"/>
              <w:right w:val="nil"/>
            </w:tcBorders>
          </w:tcPr>
          <w:p w14:paraId="54CE6FDE" w14:textId="44009971" w:rsidR="00CD1B54" w:rsidRDefault="00B87CE5" w:rsidP="00CD1B54">
            <w:pPr>
              <w:spacing w:after="0"/>
              <w:rPr>
                <w:rFonts w:ascii="Times New Roman" w:eastAsia="Times New Roman" w:hAnsi="Times New Roman"/>
                <w:sz w:val="20"/>
                <w:szCs w:val="20"/>
              </w:rPr>
            </w:pPr>
            <w:r>
              <w:rPr>
                <w:rFonts w:ascii="Times New Roman" w:eastAsia="Times New Roman" w:hAnsi="Times New Roman"/>
                <w:sz w:val="20"/>
                <w:szCs w:val="20"/>
              </w:rPr>
              <w:t>-0.010</w:t>
            </w:r>
            <w:r w:rsidR="00E822AF" w:rsidRPr="00E822AF">
              <w:rPr>
                <w:rFonts w:ascii="Times New Roman" w:eastAsia="Times New Roman" w:hAnsi="Times New Roman"/>
                <w:sz w:val="20"/>
                <w:szCs w:val="20"/>
                <w:vertAlign w:val="superscript"/>
              </w:rPr>
              <w:t>***</w:t>
            </w:r>
          </w:p>
          <w:p w14:paraId="77516C0F" w14:textId="58B4C2D2" w:rsidR="00CD1B54" w:rsidRPr="00B87CE5"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B87CE5">
              <w:rPr>
                <w:rFonts w:ascii="Times New Roman" w:eastAsia="Times New Roman" w:hAnsi="Times New Roman"/>
                <w:sz w:val="20"/>
                <w:szCs w:val="20"/>
              </w:rPr>
              <w:t>002</w:t>
            </w:r>
            <w:r w:rsidR="00E822AF">
              <w:rPr>
                <w:rFonts w:ascii="Times New Roman" w:eastAsia="Times New Roman" w:hAnsi="Times New Roman"/>
                <w:sz w:val="20"/>
                <w:szCs w:val="20"/>
              </w:rPr>
              <w:t>)</w:t>
            </w:r>
          </w:p>
        </w:tc>
        <w:tc>
          <w:tcPr>
            <w:tcW w:w="995" w:type="dxa"/>
            <w:tcBorders>
              <w:top w:val="nil"/>
              <w:left w:val="nil"/>
              <w:bottom w:val="nil"/>
              <w:right w:val="nil"/>
            </w:tcBorders>
          </w:tcPr>
          <w:p w14:paraId="2BB62229" w14:textId="382EB781"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-0.008</w:t>
            </w:r>
          </w:p>
          <w:p w14:paraId="09AB773C" w14:textId="3604B70A"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E22FF6">
              <w:rPr>
                <w:rFonts w:ascii="Times New Roman" w:eastAsia="Times New Roman" w:hAnsi="Times New Roman"/>
                <w:sz w:val="20"/>
                <w:szCs w:val="20"/>
              </w:rPr>
              <w:t>378</w:t>
            </w:r>
            <w:r>
              <w:rPr>
                <w:rFonts w:ascii="Times New Roman" w:eastAsia="Times New Roman" w:hAnsi="Times New Roman"/>
                <w:sz w:val="20"/>
                <w:szCs w:val="20"/>
              </w:rPr>
              <w:t>)</w:t>
            </w:r>
          </w:p>
        </w:tc>
      </w:tr>
      <w:tr w:rsidR="00CD1B54" w:rsidRPr="006B5786" w14:paraId="22BCD7C6" w14:textId="77777777" w:rsidTr="00D94751">
        <w:trPr>
          <w:trHeight w:val="87"/>
        </w:trPr>
        <w:tc>
          <w:tcPr>
            <w:tcW w:w="3544" w:type="dxa"/>
            <w:tcBorders>
              <w:top w:val="nil"/>
              <w:left w:val="nil"/>
              <w:bottom w:val="nil"/>
              <w:right w:val="nil"/>
            </w:tcBorders>
          </w:tcPr>
          <w:p w14:paraId="22218673" w14:textId="7DF3DA1C" w:rsidR="00CD1B54" w:rsidRDefault="00D94751" w:rsidP="00CD1B54">
            <w:pPr>
              <w:spacing w:after="0" w:line="240" w:lineRule="auto"/>
              <w:rPr>
                <w:rFonts w:ascii="Times New Roman" w:eastAsia="Times New Roman" w:hAnsi="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00CD1B54" w:rsidRPr="00F5674C">
              <w:rPr>
                <w:rFonts w:ascii="Times New Roman" w:eastAsia="Times New Roman" w:hAnsi="Times New Roman" w:cs="Times New Roman"/>
                <w:iCs/>
                <w:color w:val="000000"/>
                <w:sz w:val="20"/>
                <w:szCs w:val="20"/>
                <w:lang w:val="en-US"/>
              </w:rPr>
              <w:t>VC Change</w:t>
            </w:r>
          </w:p>
        </w:tc>
        <w:tc>
          <w:tcPr>
            <w:tcW w:w="992" w:type="dxa"/>
            <w:tcBorders>
              <w:top w:val="nil"/>
              <w:left w:val="nil"/>
              <w:bottom w:val="nil"/>
              <w:right w:val="nil"/>
            </w:tcBorders>
          </w:tcPr>
          <w:p w14:paraId="6764B1F1" w14:textId="19F67133" w:rsidR="00CD1B54" w:rsidRDefault="00A4461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Pr>
                <w:rFonts w:ascii="Times New Roman" w:eastAsia="Times New Roman" w:hAnsi="Times New Roman"/>
                <w:sz w:val="20"/>
                <w:szCs w:val="20"/>
              </w:rPr>
              <w:t>0</w:t>
            </w:r>
          </w:p>
          <w:p w14:paraId="7B2FA1E5" w14:textId="6ED0E8D8" w:rsidR="00CD1B54" w:rsidRPr="00F07E54"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CB4462">
              <w:rPr>
                <w:rFonts w:ascii="Times New Roman" w:eastAsia="Times New Roman" w:hAnsi="Times New Roman"/>
                <w:sz w:val="20"/>
                <w:szCs w:val="20"/>
              </w:rPr>
              <w:t>.</w:t>
            </w:r>
            <w:r w:rsidR="00A44614">
              <w:rPr>
                <w:rFonts w:ascii="Times New Roman" w:eastAsia="Times New Roman" w:hAnsi="Times New Roman"/>
                <w:sz w:val="20"/>
                <w:szCs w:val="20"/>
              </w:rPr>
              <w:t>994</w:t>
            </w:r>
            <w:r>
              <w:rPr>
                <w:rFonts w:ascii="Times New Roman" w:eastAsia="Times New Roman" w:hAnsi="Times New Roman"/>
                <w:sz w:val="20"/>
                <w:szCs w:val="20"/>
              </w:rPr>
              <w:t>)</w:t>
            </w:r>
          </w:p>
        </w:tc>
        <w:tc>
          <w:tcPr>
            <w:tcW w:w="992" w:type="dxa"/>
            <w:tcBorders>
              <w:top w:val="nil"/>
              <w:left w:val="nil"/>
              <w:bottom w:val="nil"/>
              <w:right w:val="nil"/>
            </w:tcBorders>
          </w:tcPr>
          <w:p w14:paraId="4C69D76E" w14:textId="6B315377"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CB4462">
              <w:rPr>
                <w:rFonts w:ascii="Times New Roman" w:eastAsia="Times New Roman" w:hAnsi="Times New Roman"/>
                <w:sz w:val="20"/>
                <w:szCs w:val="20"/>
              </w:rPr>
              <w:t>0</w:t>
            </w:r>
          </w:p>
          <w:p w14:paraId="6D62D044" w14:textId="40E6BC41"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B4462">
              <w:rPr>
                <w:rFonts w:ascii="Times New Roman" w:eastAsia="Times New Roman" w:hAnsi="Times New Roman"/>
                <w:sz w:val="20"/>
                <w:szCs w:val="20"/>
              </w:rPr>
              <w:t>285</w:t>
            </w:r>
            <w:r>
              <w:rPr>
                <w:rFonts w:ascii="Times New Roman" w:eastAsia="Times New Roman" w:hAnsi="Times New Roman"/>
                <w:sz w:val="20"/>
                <w:szCs w:val="20"/>
              </w:rPr>
              <w:t>)</w:t>
            </w:r>
          </w:p>
        </w:tc>
        <w:tc>
          <w:tcPr>
            <w:tcW w:w="992" w:type="dxa"/>
            <w:tcBorders>
              <w:top w:val="nil"/>
              <w:left w:val="nil"/>
              <w:bottom w:val="nil"/>
              <w:right w:val="nil"/>
            </w:tcBorders>
          </w:tcPr>
          <w:p w14:paraId="05F812E1" w14:textId="722E098D"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A73ED1">
              <w:rPr>
                <w:rFonts w:ascii="Times New Roman" w:eastAsia="Times New Roman" w:hAnsi="Times New Roman"/>
                <w:sz w:val="20"/>
                <w:szCs w:val="20"/>
              </w:rPr>
              <w:t>1</w:t>
            </w:r>
          </w:p>
          <w:p w14:paraId="02DCA722" w14:textId="253EFF92"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707</w:t>
            </w:r>
            <w:r>
              <w:rPr>
                <w:rFonts w:ascii="Times New Roman" w:eastAsia="Times New Roman" w:hAnsi="Times New Roman"/>
                <w:sz w:val="20"/>
                <w:szCs w:val="20"/>
              </w:rPr>
              <w:t>)</w:t>
            </w:r>
          </w:p>
        </w:tc>
        <w:tc>
          <w:tcPr>
            <w:tcW w:w="236" w:type="dxa"/>
            <w:tcBorders>
              <w:top w:val="nil"/>
              <w:left w:val="nil"/>
              <w:bottom w:val="nil"/>
              <w:right w:val="nil"/>
            </w:tcBorders>
          </w:tcPr>
          <w:p w14:paraId="66048284"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30A5D0D4" w14:textId="171FAA1D" w:rsidR="00CD1B54" w:rsidRDefault="00A535C5" w:rsidP="00CD1B54">
            <w:pPr>
              <w:spacing w:after="0"/>
              <w:rPr>
                <w:rFonts w:ascii="Times New Roman" w:eastAsia="Times New Roman" w:hAnsi="Times New Roman"/>
                <w:sz w:val="20"/>
                <w:szCs w:val="20"/>
              </w:rPr>
            </w:pPr>
            <w:r>
              <w:rPr>
                <w:rFonts w:ascii="Times New Roman" w:eastAsia="Times New Roman" w:hAnsi="Times New Roman"/>
                <w:sz w:val="20"/>
                <w:szCs w:val="20"/>
              </w:rPr>
              <w:t>-0.001</w:t>
            </w:r>
          </w:p>
          <w:p w14:paraId="560FE084" w14:textId="1558B9E8" w:rsidR="00CD1B54" w:rsidRPr="00BE430F"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535C5">
              <w:rPr>
                <w:rFonts w:ascii="Times New Roman" w:eastAsia="Times New Roman" w:hAnsi="Times New Roman"/>
                <w:sz w:val="20"/>
                <w:szCs w:val="20"/>
              </w:rPr>
              <w:t>337</w:t>
            </w:r>
            <w:r>
              <w:rPr>
                <w:rFonts w:ascii="Times New Roman" w:eastAsia="Times New Roman" w:hAnsi="Times New Roman"/>
                <w:sz w:val="20"/>
                <w:szCs w:val="20"/>
              </w:rPr>
              <w:t>)</w:t>
            </w:r>
          </w:p>
        </w:tc>
        <w:tc>
          <w:tcPr>
            <w:tcW w:w="1133" w:type="dxa"/>
            <w:tcBorders>
              <w:top w:val="nil"/>
              <w:left w:val="nil"/>
              <w:bottom w:val="nil"/>
              <w:right w:val="nil"/>
            </w:tcBorders>
          </w:tcPr>
          <w:p w14:paraId="7ACAE431" w14:textId="3FF086E9"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B87CE5">
              <w:rPr>
                <w:rFonts w:ascii="Times New Roman" w:eastAsia="Times New Roman" w:hAnsi="Times New Roman"/>
                <w:sz w:val="20"/>
                <w:szCs w:val="20"/>
              </w:rPr>
              <w:t>1</w:t>
            </w:r>
            <w:r w:rsidR="00E822AF" w:rsidRPr="00E822AF">
              <w:rPr>
                <w:rFonts w:ascii="Times New Roman" w:eastAsia="Times New Roman" w:hAnsi="Times New Roman"/>
                <w:sz w:val="20"/>
                <w:szCs w:val="20"/>
                <w:vertAlign w:val="superscript"/>
              </w:rPr>
              <w:t>*</w:t>
            </w:r>
          </w:p>
          <w:p w14:paraId="3A24FB46" w14:textId="5310F3F3"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w:t>
            </w:r>
            <w:r w:rsidR="00B87CE5">
              <w:rPr>
                <w:rFonts w:ascii="Times New Roman" w:eastAsia="Times New Roman" w:hAnsi="Times New Roman"/>
                <w:sz w:val="20"/>
                <w:szCs w:val="20"/>
              </w:rPr>
              <w:t>77</w:t>
            </w:r>
            <w:r w:rsidR="00E822AF">
              <w:rPr>
                <w:rFonts w:ascii="Times New Roman" w:eastAsia="Times New Roman" w:hAnsi="Times New Roman"/>
                <w:sz w:val="20"/>
                <w:szCs w:val="20"/>
              </w:rPr>
              <w:t>)</w:t>
            </w:r>
          </w:p>
        </w:tc>
        <w:tc>
          <w:tcPr>
            <w:tcW w:w="995" w:type="dxa"/>
            <w:tcBorders>
              <w:top w:val="nil"/>
              <w:left w:val="nil"/>
              <w:bottom w:val="nil"/>
              <w:right w:val="nil"/>
            </w:tcBorders>
          </w:tcPr>
          <w:p w14:paraId="0905CDC9" w14:textId="5471D31D" w:rsidR="00CD1B54" w:rsidRDefault="00E22FF6" w:rsidP="00CD1B54">
            <w:pPr>
              <w:spacing w:after="0"/>
              <w:rPr>
                <w:rFonts w:ascii="Times New Roman" w:eastAsia="Times New Roman" w:hAnsi="Times New Roman"/>
                <w:sz w:val="20"/>
                <w:szCs w:val="20"/>
              </w:rPr>
            </w:pPr>
            <w:r>
              <w:rPr>
                <w:rFonts w:ascii="Times New Roman" w:eastAsia="Times New Roman" w:hAnsi="Times New Roman"/>
                <w:sz w:val="20"/>
                <w:szCs w:val="20"/>
              </w:rPr>
              <w:t>-0.000</w:t>
            </w:r>
          </w:p>
          <w:p w14:paraId="37C885AC" w14:textId="7993BAE4"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E22FF6">
              <w:rPr>
                <w:rFonts w:ascii="Times New Roman" w:eastAsia="Times New Roman" w:hAnsi="Times New Roman"/>
                <w:sz w:val="20"/>
                <w:szCs w:val="20"/>
              </w:rPr>
              <w:t>943</w:t>
            </w:r>
            <w:r>
              <w:rPr>
                <w:rFonts w:ascii="Times New Roman" w:eastAsia="Times New Roman" w:hAnsi="Times New Roman"/>
                <w:sz w:val="20"/>
                <w:szCs w:val="20"/>
              </w:rPr>
              <w:t>)</w:t>
            </w:r>
          </w:p>
        </w:tc>
      </w:tr>
      <w:tr w:rsidR="008E418C" w:rsidRPr="006B5786" w14:paraId="0728F515" w14:textId="77777777" w:rsidTr="00D94751">
        <w:trPr>
          <w:trHeight w:val="164"/>
        </w:trPr>
        <w:tc>
          <w:tcPr>
            <w:tcW w:w="9924" w:type="dxa"/>
            <w:gridSpan w:val="8"/>
            <w:tcBorders>
              <w:top w:val="nil"/>
              <w:left w:val="nil"/>
              <w:bottom w:val="nil"/>
              <w:right w:val="nil"/>
            </w:tcBorders>
          </w:tcPr>
          <w:p w14:paraId="41AE9AED" w14:textId="77777777" w:rsidR="008E418C" w:rsidRPr="00196D61" w:rsidRDefault="008E418C" w:rsidP="00C71211">
            <w:pPr>
              <w:spacing w:after="0"/>
              <w:rPr>
                <w:rFonts w:ascii="Times New Roman" w:eastAsia="Times New Roman" w:hAnsi="Times New Roman"/>
                <w:i/>
                <w:iCs/>
                <w:sz w:val="10"/>
                <w:szCs w:val="10"/>
              </w:rPr>
            </w:pPr>
          </w:p>
          <w:p w14:paraId="627A4153" w14:textId="77777777" w:rsidR="008E418C" w:rsidRPr="006B5786" w:rsidRDefault="008E418C" w:rsidP="00C71211">
            <w:pPr>
              <w:spacing w:after="0"/>
              <w:rPr>
                <w:rFonts w:ascii="Times New Roman" w:eastAsia="Times New Roman" w:hAnsi="Times New Roman"/>
                <w:sz w:val="20"/>
                <w:szCs w:val="20"/>
              </w:rPr>
            </w:pPr>
            <w:r w:rsidRPr="006B5786">
              <w:rPr>
                <w:rFonts w:ascii="Times New Roman" w:eastAsia="Times New Roman" w:hAnsi="Times New Roman"/>
                <w:i/>
                <w:iCs/>
                <w:sz w:val="20"/>
                <w:szCs w:val="20"/>
              </w:rPr>
              <w:t xml:space="preserve">Controls (general </w:t>
            </w:r>
            <w:r>
              <w:rPr>
                <w:rFonts w:ascii="Times New Roman" w:eastAsia="Times New Roman" w:hAnsi="Times New Roman"/>
                <w:i/>
                <w:iCs/>
                <w:sz w:val="20"/>
                <w:szCs w:val="20"/>
              </w:rPr>
              <w:t>HEI</w:t>
            </w:r>
            <w:r w:rsidRPr="006B5786">
              <w:rPr>
                <w:rFonts w:ascii="Times New Roman" w:eastAsia="Times New Roman" w:hAnsi="Times New Roman"/>
                <w:i/>
                <w:iCs/>
                <w:sz w:val="20"/>
                <w:szCs w:val="20"/>
              </w:rPr>
              <w:t xml:space="preserve"> characteristics)</w:t>
            </w:r>
          </w:p>
        </w:tc>
      </w:tr>
      <w:tr w:rsidR="00CD1B54" w:rsidRPr="006B5786" w14:paraId="0BAAB87C" w14:textId="77777777" w:rsidTr="00D94751">
        <w:trPr>
          <w:trHeight w:val="164"/>
        </w:trPr>
        <w:tc>
          <w:tcPr>
            <w:tcW w:w="3544" w:type="dxa"/>
            <w:tcBorders>
              <w:top w:val="nil"/>
              <w:left w:val="nil"/>
              <w:bottom w:val="nil"/>
              <w:right w:val="nil"/>
            </w:tcBorders>
          </w:tcPr>
          <w:p w14:paraId="494ED7A2" w14:textId="3C4A981F" w:rsidR="00CD1B54" w:rsidRPr="006B5786" w:rsidRDefault="00D94751" w:rsidP="00CD1B5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iCs/>
                <w:color w:val="000000"/>
                <w:sz w:val="20"/>
                <w:szCs w:val="20"/>
                <w:lang w:val="en-US"/>
              </w:rPr>
              <w:t xml:space="preserve">    </w:t>
            </w:r>
            <w:r w:rsidR="00CD1B54" w:rsidRPr="00F5674C">
              <w:rPr>
                <w:rFonts w:ascii="Times New Roman" w:eastAsia="Times New Roman" w:hAnsi="Times New Roman" w:cs="Times New Roman"/>
                <w:iCs/>
                <w:color w:val="000000"/>
                <w:sz w:val="20"/>
                <w:szCs w:val="20"/>
                <w:lang w:val="en-US"/>
              </w:rPr>
              <w:t>P</w:t>
            </w:r>
            <w:r w:rsidR="00CD1B54">
              <w:rPr>
                <w:rFonts w:ascii="Times New Roman" w:eastAsia="Times New Roman" w:hAnsi="Times New Roman" w:cs="Times New Roman"/>
                <w:iCs/>
                <w:color w:val="000000"/>
                <w:sz w:val="20"/>
                <w:szCs w:val="20"/>
                <w:lang w:val="en-US"/>
              </w:rPr>
              <w:t>O</w:t>
            </w:r>
            <w:r w:rsidR="00CD1B54" w:rsidRPr="00F5674C">
              <w:rPr>
                <w:rFonts w:ascii="Times New Roman" w:eastAsia="Times New Roman" w:hAnsi="Times New Roman" w:cs="Times New Roman"/>
                <w:iCs/>
                <w:color w:val="000000"/>
                <w:sz w:val="20"/>
                <w:szCs w:val="20"/>
                <w:lang w:val="en-US"/>
              </w:rPr>
              <w:t>ST_</w:t>
            </w:r>
            <w:r w:rsidR="00CD1B54">
              <w:rPr>
                <w:rFonts w:ascii="Times New Roman" w:eastAsia="Times New Roman" w:hAnsi="Times New Roman" w:cs="Times New Roman"/>
                <w:iCs/>
                <w:color w:val="000000"/>
                <w:sz w:val="20"/>
                <w:szCs w:val="20"/>
                <w:lang w:val="en-US"/>
              </w:rPr>
              <w:t>19</w:t>
            </w:r>
            <w:r w:rsidR="00CD1B54" w:rsidRPr="00F5674C">
              <w:rPr>
                <w:rFonts w:ascii="Times New Roman" w:eastAsia="Times New Roman" w:hAnsi="Times New Roman" w:cs="Times New Roman"/>
                <w:iCs/>
                <w:color w:val="000000"/>
                <w:sz w:val="20"/>
                <w:szCs w:val="20"/>
                <w:lang w:val="en-US"/>
              </w:rPr>
              <w:t>92</w:t>
            </w:r>
          </w:p>
        </w:tc>
        <w:tc>
          <w:tcPr>
            <w:tcW w:w="992" w:type="dxa"/>
            <w:tcBorders>
              <w:top w:val="nil"/>
              <w:left w:val="nil"/>
              <w:bottom w:val="nil"/>
              <w:right w:val="nil"/>
            </w:tcBorders>
          </w:tcPr>
          <w:p w14:paraId="58DD6D5D" w14:textId="32059870"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1B1EAA">
              <w:rPr>
                <w:rFonts w:ascii="Times New Roman" w:eastAsia="Times New Roman" w:hAnsi="Times New Roman"/>
                <w:sz w:val="20"/>
                <w:szCs w:val="20"/>
              </w:rPr>
              <w:t>03</w:t>
            </w:r>
          </w:p>
          <w:p w14:paraId="70B333BF" w14:textId="7E4E46F1" w:rsidR="00CD1B54" w:rsidRPr="00F07E54"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1B1EAA">
              <w:rPr>
                <w:rFonts w:ascii="Times New Roman" w:eastAsia="Times New Roman" w:hAnsi="Times New Roman"/>
                <w:sz w:val="20"/>
                <w:szCs w:val="20"/>
              </w:rPr>
              <w:t>812</w:t>
            </w:r>
            <w:r>
              <w:rPr>
                <w:rFonts w:ascii="Times New Roman" w:eastAsia="Times New Roman" w:hAnsi="Times New Roman"/>
                <w:sz w:val="20"/>
                <w:szCs w:val="20"/>
              </w:rPr>
              <w:t>)</w:t>
            </w:r>
          </w:p>
        </w:tc>
        <w:tc>
          <w:tcPr>
            <w:tcW w:w="992" w:type="dxa"/>
            <w:tcBorders>
              <w:top w:val="nil"/>
              <w:left w:val="nil"/>
              <w:bottom w:val="nil"/>
              <w:right w:val="nil"/>
            </w:tcBorders>
          </w:tcPr>
          <w:p w14:paraId="5397FCFF" w14:textId="66AB12BF"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CB4462">
              <w:rPr>
                <w:rFonts w:ascii="Times New Roman" w:eastAsia="Times New Roman" w:hAnsi="Times New Roman"/>
                <w:sz w:val="20"/>
                <w:szCs w:val="20"/>
              </w:rPr>
              <w:t>02</w:t>
            </w:r>
          </w:p>
          <w:p w14:paraId="25D514AF" w14:textId="46D8919E" w:rsidR="00CD1B54" w:rsidRPr="003D7632"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CB4462">
              <w:rPr>
                <w:rFonts w:ascii="Times New Roman" w:eastAsia="Times New Roman" w:hAnsi="Times New Roman"/>
                <w:sz w:val="20"/>
                <w:szCs w:val="20"/>
              </w:rPr>
              <w:t>612</w:t>
            </w:r>
            <w:r>
              <w:rPr>
                <w:rFonts w:ascii="Times New Roman" w:eastAsia="Times New Roman" w:hAnsi="Times New Roman"/>
                <w:sz w:val="20"/>
                <w:szCs w:val="20"/>
              </w:rPr>
              <w:t>)</w:t>
            </w:r>
          </w:p>
        </w:tc>
        <w:tc>
          <w:tcPr>
            <w:tcW w:w="992" w:type="dxa"/>
            <w:tcBorders>
              <w:top w:val="nil"/>
              <w:left w:val="nil"/>
              <w:bottom w:val="nil"/>
              <w:right w:val="nil"/>
            </w:tcBorders>
          </w:tcPr>
          <w:p w14:paraId="6BB46C3B" w14:textId="434DF35A"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73ED1">
              <w:rPr>
                <w:rFonts w:ascii="Times New Roman" w:eastAsia="Times New Roman" w:hAnsi="Times New Roman"/>
                <w:sz w:val="20"/>
                <w:szCs w:val="20"/>
              </w:rPr>
              <w:t>01</w:t>
            </w:r>
          </w:p>
          <w:p w14:paraId="7A873F6F" w14:textId="23AD2B0A"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906</w:t>
            </w:r>
            <w:r>
              <w:rPr>
                <w:rFonts w:ascii="Times New Roman" w:eastAsia="Times New Roman" w:hAnsi="Times New Roman"/>
                <w:sz w:val="20"/>
                <w:szCs w:val="20"/>
              </w:rPr>
              <w:t>)</w:t>
            </w:r>
          </w:p>
        </w:tc>
        <w:tc>
          <w:tcPr>
            <w:tcW w:w="236" w:type="dxa"/>
            <w:tcBorders>
              <w:top w:val="nil"/>
              <w:left w:val="nil"/>
              <w:bottom w:val="nil"/>
              <w:right w:val="nil"/>
            </w:tcBorders>
          </w:tcPr>
          <w:p w14:paraId="31997891"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0E9DA0EB" w14:textId="3D66C587" w:rsidR="00CD1B54" w:rsidRDefault="00A535C5" w:rsidP="00CD1B54">
            <w:pPr>
              <w:spacing w:after="0"/>
              <w:rPr>
                <w:rFonts w:ascii="Times New Roman" w:eastAsia="Times New Roman" w:hAnsi="Times New Roman"/>
                <w:sz w:val="20"/>
                <w:szCs w:val="20"/>
              </w:rPr>
            </w:pPr>
            <w:r>
              <w:rPr>
                <w:rFonts w:ascii="Times New Roman" w:eastAsia="Times New Roman" w:hAnsi="Times New Roman"/>
                <w:sz w:val="20"/>
                <w:szCs w:val="20"/>
              </w:rPr>
              <w:t>-0.003</w:t>
            </w:r>
          </w:p>
          <w:p w14:paraId="67B3143C" w14:textId="60FBC4C5" w:rsidR="00CD1B54" w:rsidRPr="00BE430F"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535C5">
              <w:rPr>
                <w:rFonts w:ascii="Times New Roman" w:eastAsia="Times New Roman" w:hAnsi="Times New Roman"/>
                <w:sz w:val="20"/>
                <w:szCs w:val="20"/>
              </w:rPr>
              <w:t>788</w:t>
            </w:r>
            <w:r>
              <w:rPr>
                <w:rFonts w:ascii="Times New Roman" w:eastAsia="Times New Roman" w:hAnsi="Times New Roman"/>
                <w:sz w:val="20"/>
                <w:szCs w:val="20"/>
              </w:rPr>
              <w:t>)</w:t>
            </w:r>
          </w:p>
        </w:tc>
        <w:tc>
          <w:tcPr>
            <w:tcW w:w="1133" w:type="dxa"/>
            <w:tcBorders>
              <w:top w:val="nil"/>
              <w:left w:val="nil"/>
              <w:bottom w:val="nil"/>
              <w:right w:val="nil"/>
            </w:tcBorders>
          </w:tcPr>
          <w:p w14:paraId="4F56CC4A" w14:textId="3BF3B158"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B87CE5">
              <w:rPr>
                <w:rFonts w:ascii="Times New Roman" w:eastAsia="Times New Roman" w:hAnsi="Times New Roman"/>
                <w:sz w:val="20"/>
                <w:szCs w:val="20"/>
              </w:rPr>
              <w:t>01</w:t>
            </w:r>
          </w:p>
          <w:p w14:paraId="5C1C3F86" w14:textId="47D90507" w:rsidR="00CD1B54" w:rsidRPr="00AE5519"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B87CE5">
              <w:rPr>
                <w:rFonts w:ascii="Times New Roman" w:eastAsia="Times New Roman" w:hAnsi="Times New Roman"/>
                <w:sz w:val="20"/>
                <w:szCs w:val="20"/>
              </w:rPr>
              <w:t>861</w:t>
            </w:r>
            <w:r>
              <w:rPr>
                <w:rFonts w:ascii="Times New Roman" w:eastAsia="Times New Roman" w:hAnsi="Times New Roman"/>
                <w:sz w:val="20"/>
                <w:szCs w:val="20"/>
              </w:rPr>
              <w:t>)</w:t>
            </w:r>
          </w:p>
        </w:tc>
        <w:tc>
          <w:tcPr>
            <w:tcW w:w="995" w:type="dxa"/>
            <w:tcBorders>
              <w:top w:val="nil"/>
              <w:left w:val="nil"/>
              <w:bottom w:val="nil"/>
              <w:right w:val="nil"/>
            </w:tcBorders>
          </w:tcPr>
          <w:p w14:paraId="58FD1CB5" w14:textId="407D9A8F"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E52468">
              <w:rPr>
                <w:rFonts w:ascii="Times New Roman" w:eastAsia="Times New Roman" w:hAnsi="Times New Roman"/>
                <w:sz w:val="20"/>
                <w:szCs w:val="20"/>
              </w:rPr>
              <w:t>05</w:t>
            </w:r>
          </w:p>
          <w:p w14:paraId="42BDEFF1" w14:textId="5AA043E1"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E52468">
              <w:rPr>
                <w:rFonts w:ascii="Times New Roman" w:eastAsia="Times New Roman" w:hAnsi="Times New Roman"/>
                <w:sz w:val="20"/>
                <w:szCs w:val="20"/>
              </w:rPr>
              <w:t>665</w:t>
            </w:r>
            <w:r>
              <w:rPr>
                <w:rFonts w:ascii="Times New Roman" w:eastAsia="Times New Roman" w:hAnsi="Times New Roman"/>
                <w:sz w:val="20"/>
                <w:szCs w:val="20"/>
              </w:rPr>
              <w:t>)</w:t>
            </w:r>
          </w:p>
        </w:tc>
      </w:tr>
      <w:tr w:rsidR="00CD1B54" w:rsidRPr="006B5786" w14:paraId="6C538129" w14:textId="77777777" w:rsidTr="00D94751">
        <w:trPr>
          <w:trHeight w:val="87"/>
        </w:trPr>
        <w:tc>
          <w:tcPr>
            <w:tcW w:w="3544" w:type="dxa"/>
            <w:tcBorders>
              <w:top w:val="nil"/>
              <w:left w:val="nil"/>
              <w:bottom w:val="nil"/>
              <w:right w:val="nil"/>
            </w:tcBorders>
          </w:tcPr>
          <w:p w14:paraId="2F742EE9" w14:textId="7E974ADD" w:rsidR="00CD1B54" w:rsidRPr="006B5786" w:rsidRDefault="00D94751" w:rsidP="00CD1B5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CD1B54">
              <w:rPr>
                <w:rFonts w:ascii="Times New Roman" w:eastAsia="Times New Roman" w:hAnsi="Times New Roman" w:cs="Times New Roman"/>
                <w:color w:val="000000"/>
                <w:sz w:val="20"/>
                <w:szCs w:val="20"/>
                <w:lang w:val="en-US"/>
              </w:rPr>
              <w:t>Auditing Firm Size</w:t>
            </w:r>
          </w:p>
        </w:tc>
        <w:tc>
          <w:tcPr>
            <w:tcW w:w="992" w:type="dxa"/>
            <w:tcBorders>
              <w:top w:val="nil"/>
              <w:left w:val="nil"/>
              <w:bottom w:val="nil"/>
              <w:right w:val="nil"/>
            </w:tcBorders>
          </w:tcPr>
          <w:p w14:paraId="01933415" w14:textId="7D4D9EBC" w:rsidR="00CD1B54" w:rsidRDefault="001B1EAA" w:rsidP="00CD1B54">
            <w:pPr>
              <w:spacing w:after="0"/>
              <w:rPr>
                <w:rFonts w:ascii="Times New Roman" w:eastAsia="Times New Roman" w:hAnsi="Times New Roman"/>
                <w:sz w:val="20"/>
                <w:szCs w:val="20"/>
              </w:rPr>
            </w:pPr>
            <w:r>
              <w:rPr>
                <w:rFonts w:ascii="Times New Roman" w:eastAsia="Times New Roman" w:hAnsi="Times New Roman"/>
                <w:sz w:val="20"/>
                <w:szCs w:val="20"/>
              </w:rPr>
              <w:t>-0.005</w:t>
            </w:r>
          </w:p>
          <w:p w14:paraId="17386D86" w14:textId="0B321303"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1B1EAA">
              <w:rPr>
                <w:rFonts w:ascii="Times New Roman" w:eastAsia="Times New Roman" w:hAnsi="Times New Roman"/>
                <w:sz w:val="20"/>
                <w:szCs w:val="20"/>
              </w:rPr>
              <w:t>329</w:t>
            </w:r>
            <w:r>
              <w:rPr>
                <w:rFonts w:ascii="Times New Roman" w:eastAsia="Times New Roman" w:hAnsi="Times New Roman"/>
                <w:sz w:val="20"/>
                <w:szCs w:val="20"/>
              </w:rPr>
              <w:t>)</w:t>
            </w:r>
          </w:p>
        </w:tc>
        <w:tc>
          <w:tcPr>
            <w:tcW w:w="992" w:type="dxa"/>
            <w:tcBorders>
              <w:top w:val="nil"/>
              <w:left w:val="nil"/>
              <w:bottom w:val="nil"/>
              <w:right w:val="nil"/>
            </w:tcBorders>
          </w:tcPr>
          <w:p w14:paraId="0E0FC51C" w14:textId="7388537E"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B4462">
              <w:rPr>
                <w:rFonts w:ascii="Times New Roman" w:eastAsia="Times New Roman" w:hAnsi="Times New Roman"/>
                <w:sz w:val="20"/>
                <w:szCs w:val="20"/>
              </w:rPr>
              <w:t>0.003</w:t>
            </w:r>
          </w:p>
          <w:p w14:paraId="6ACE6F17" w14:textId="68A1C7FD" w:rsidR="00CD1B54" w:rsidRPr="001B2C50"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CB4462">
              <w:rPr>
                <w:rFonts w:ascii="Times New Roman" w:eastAsia="Times New Roman" w:hAnsi="Times New Roman"/>
                <w:sz w:val="20"/>
                <w:szCs w:val="20"/>
              </w:rPr>
              <w:t>174</w:t>
            </w:r>
            <w:r>
              <w:rPr>
                <w:rFonts w:ascii="Times New Roman" w:eastAsia="Times New Roman" w:hAnsi="Times New Roman"/>
                <w:sz w:val="20"/>
                <w:szCs w:val="20"/>
              </w:rPr>
              <w:t>)</w:t>
            </w:r>
          </w:p>
        </w:tc>
        <w:tc>
          <w:tcPr>
            <w:tcW w:w="992" w:type="dxa"/>
            <w:tcBorders>
              <w:top w:val="nil"/>
              <w:left w:val="nil"/>
              <w:bottom w:val="nil"/>
              <w:right w:val="nil"/>
            </w:tcBorders>
          </w:tcPr>
          <w:p w14:paraId="2DD488D3" w14:textId="160FBE56"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73ED1">
              <w:rPr>
                <w:rFonts w:ascii="Times New Roman" w:eastAsia="Times New Roman" w:hAnsi="Times New Roman"/>
                <w:sz w:val="20"/>
                <w:szCs w:val="20"/>
              </w:rPr>
              <w:t>03</w:t>
            </w:r>
          </w:p>
          <w:p w14:paraId="0C88B527" w14:textId="2B048856" w:rsidR="00CD1B54" w:rsidRPr="003D7632"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73ED1">
              <w:rPr>
                <w:rFonts w:ascii="Times New Roman" w:eastAsia="Times New Roman" w:hAnsi="Times New Roman"/>
                <w:sz w:val="20"/>
                <w:szCs w:val="20"/>
              </w:rPr>
              <w:t>657</w:t>
            </w:r>
            <w:r>
              <w:rPr>
                <w:rFonts w:ascii="Times New Roman" w:eastAsia="Times New Roman" w:hAnsi="Times New Roman"/>
                <w:sz w:val="20"/>
                <w:szCs w:val="20"/>
              </w:rPr>
              <w:t>)</w:t>
            </w:r>
          </w:p>
        </w:tc>
        <w:tc>
          <w:tcPr>
            <w:tcW w:w="236" w:type="dxa"/>
            <w:tcBorders>
              <w:top w:val="nil"/>
              <w:left w:val="nil"/>
              <w:bottom w:val="nil"/>
              <w:right w:val="nil"/>
            </w:tcBorders>
          </w:tcPr>
          <w:p w14:paraId="739A4CF1"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4D48CF7C" w14:textId="430570ED"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535C5">
              <w:rPr>
                <w:rFonts w:ascii="Times New Roman" w:eastAsia="Times New Roman" w:hAnsi="Times New Roman"/>
                <w:sz w:val="20"/>
                <w:szCs w:val="20"/>
              </w:rPr>
              <w:t>04</w:t>
            </w:r>
          </w:p>
          <w:p w14:paraId="0186A71A" w14:textId="20B07D8A"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535C5">
              <w:rPr>
                <w:rFonts w:ascii="Times New Roman" w:eastAsia="Times New Roman" w:hAnsi="Times New Roman"/>
                <w:sz w:val="20"/>
                <w:szCs w:val="20"/>
              </w:rPr>
              <w:t>428</w:t>
            </w:r>
            <w:r>
              <w:rPr>
                <w:rFonts w:ascii="Times New Roman" w:eastAsia="Times New Roman" w:hAnsi="Times New Roman"/>
                <w:sz w:val="20"/>
                <w:szCs w:val="20"/>
              </w:rPr>
              <w:t>)</w:t>
            </w:r>
          </w:p>
        </w:tc>
        <w:tc>
          <w:tcPr>
            <w:tcW w:w="1133" w:type="dxa"/>
            <w:tcBorders>
              <w:top w:val="nil"/>
              <w:left w:val="nil"/>
              <w:bottom w:val="nil"/>
              <w:right w:val="nil"/>
            </w:tcBorders>
          </w:tcPr>
          <w:p w14:paraId="147D08F1" w14:textId="7EB23D9C" w:rsidR="00CD1B54" w:rsidRDefault="00B87CE5" w:rsidP="00CD1B54">
            <w:pPr>
              <w:spacing w:after="0"/>
              <w:rPr>
                <w:rFonts w:ascii="Times New Roman" w:eastAsia="Times New Roman" w:hAnsi="Times New Roman"/>
                <w:sz w:val="20"/>
                <w:szCs w:val="20"/>
              </w:rPr>
            </w:pPr>
            <w:r>
              <w:rPr>
                <w:rFonts w:ascii="Times New Roman" w:eastAsia="Times New Roman" w:hAnsi="Times New Roman"/>
                <w:sz w:val="20"/>
                <w:szCs w:val="20"/>
              </w:rPr>
              <w:t>0.004</w:t>
            </w:r>
            <w:r w:rsidR="00E822AF" w:rsidRPr="00E822AF">
              <w:rPr>
                <w:rFonts w:ascii="Times New Roman" w:eastAsia="Times New Roman" w:hAnsi="Times New Roman"/>
                <w:sz w:val="20"/>
                <w:szCs w:val="20"/>
                <w:vertAlign w:val="superscript"/>
              </w:rPr>
              <w:t>**</w:t>
            </w:r>
          </w:p>
          <w:p w14:paraId="25C53324" w14:textId="70EB1031"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w:t>
            </w:r>
            <w:r w:rsidR="00B87CE5">
              <w:rPr>
                <w:rFonts w:ascii="Times New Roman" w:eastAsia="Times New Roman" w:hAnsi="Times New Roman"/>
                <w:sz w:val="20"/>
                <w:szCs w:val="20"/>
              </w:rPr>
              <w:t>32</w:t>
            </w:r>
            <w:r w:rsidR="00E822AF">
              <w:rPr>
                <w:rFonts w:ascii="Times New Roman" w:eastAsia="Times New Roman" w:hAnsi="Times New Roman"/>
                <w:sz w:val="20"/>
                <w:szCs w:val="20"/>
              </w:rPr>
              <w:t>)</w:t>
            </w:r>
          </w:p>
        </w:tc>
        <w:tc>
          <w:tcPr>
            <w:tcW w:w="995" w:type="dxa"/>
            <w:tcBorders>
              <w:top w:val="nil"/>
              <w:left w:val="nil"/>
              <w:bottom w:val="nil"/>
              <w:right w:val="nil"/>
            </w:tcBorders>
          </w:tcPr>
          <w:p w14:paraId="16225D04" w14:textId="664A5CC2"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E52468">
              <w:rPr>
                <w:rFonts w:ascii="Times New Roman" w:eastAsia="Times New Roman" w:hAnsi="Times New Roman"/>
                <w:sz w:val="20"/>
                <w:szCs w:val="20"/>
              </w:rPr>
              <w:t>01</w:t>
            </w:r>
          </w:p>
          <w:p w14:paraId="1947A361" w14:textId="33145B2F" w:rsidR="00CD1B54" w:rsidRPr="002E4C70"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E52468">
              <w:rPr>
                <w:rFonts w:ascii="Times New Roman" w:eastAsia="Times New Roman" w:hAnsi="Times New Roman"/>
                <w:sz w:val="20"/>
                <w:szCs w:val="20"/>
              </w:rPr>
              <w:t>872)</w:t>
            </w:r>
          </w:p>
        </w:tc>
      </w:tr>
      <w:tr w:rsidR="00CD1B54" w:rsidRPr="006B5786" w14:paraId="716DD33B" w14:textId="77777777" w:rsidTr="00D94751">
        <w:trPr>
          <w:trHeight w:val="87"/>
        </w:trPr>
        <w:tc>
          <w:tcPr>
            <w:tcW w:w="3544" w:type="dxa"/>
            <w:tcBorders>
              <w:top w:val="nil"/>
              <w:left w:val="nil"/>
              <w:bottom w:val="nil"/>
              <w:right w:val="nil"/>
            </w:tcBorders>
          </w:tcPr>
          <w:p w14:paraId="5A8EFDF0" w14:textId="5295CFF8" w:rsidR="00CD1B54" w:rsidRPr="006B5786" w:rsidRDefault="00D94751" w:rsidP="00CD1B5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CD1B54">
              <w:rPr>
                <w:rFonts w:ascii="Times New Roman" w:eastAsia="Times New Roman" w:hAnsi="Times New Roman" w:cs="Times New Roman"/>
                <w:color w:val="000000"/>
                <w:sz w:val="20"/>
                <w:szCs w:val="20"/>
                <w:lang w:val="en-US"/>
              </w:rPr>
              <w:t>Leverage</w:t>
            </w:r>
          </w:p>
        </w:tc>
        <w:tc>
          <w:tcPr>
            <w:tcW w:w="992" w:type="dxa"/>
            <w:tcBorders>
              <w:top w:val="nil"/>
              <w:left w:val="nil"/>
              <w:bottom w:val="nil"/>
              <w:right w:val="nil"/>
            </w:tcBorders>
          </w:tcPr>
          <w:p w14:paraId="01901482" w14:textId="3DAE001A" w:rsidR="00CD1B54" w:rsidRDefault="001B1EAA" w:rsidP="00CD1B54">
            <w:pPr>
              <w:spacing w:after="0"/>
              <w:rPr>
                <w:rFonts w:ascii="Times New Roman" w:eastAsia="Times New Roman" w:hAnsi="Times New Roman"/>
                <w:sz w:val="20"/>
                <w:szCs w:val="20"/>
              </w:rPr>
            </w:pPr>
            <w:r>
              <w:rPr>
                <w:rFonts w:ascii="Times New Roman" w:eastAsia="Times New Roman" w:hAnsi="Times New Roman"/>
                <w:sz w:val="20"/>
                <w:szCs w:val="20"/>
              </w:rPr>
              <w:t>-0.028</w:t>
            </w:r>
          </w:p>
          <w:p w14:paraId="3AB0C1F8" w14:textId="531C4B28"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1B1EAA">
              <w:rPr>
                <w:rFonts w:ascii="Times New Roman" w:eastAsia="Times New Roman" w:hAnsi="Times New Roman"/>
                <w:sz w:val="20"/>
                <w:szCs w:val="20"/>
              </w:rPr>
              <w:t>147</w:t>
            </w:r>
            <w:r>
              <w:rPr>
                <w:rFonts w:ascii="Times New Roman" w:eastAsia="Times New Roman" w:hAnsi="Times New Roman"/>
                <w:sz w:val="20"/>
                <w:szCs w:val="20"/>
              </w:rPr>
              <w:t>)</w:t>
            </w:r>
          </w:p>
        </w:tc>
        <w:tc>
          <w:tcPr>
            <w:tcW w:w="992" w:type="dxa"/>
            <w:tcBorders>
              <w:top w:val="nil"/>
              <w:left w:val="nil"/>
              <w:bottom w:val="nil"/>
              <w:right w:val="nil"/>
            </w:tcBorders>
          </w:tcPr>
          <w:p w14:paraId="4B0E3C3D" w14:textId="644CB848"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CB4462">
              <w:rPr>
                <w:rFonts w:ascii="Times New Roman" w:eastAsia="Times New Roman" w:hAnsi="Times New Roman"/>
                <w:sz w:val="20"/>
                <w:szCs w:val="20"/>
              </w:rPr>
              <w:t>4</w:t>
            </w:r>
          </w:p>
          <w:p w14:paraId="2A0E2282" w14:textId="49618F3B" w:rsidR="00CD1B54" w:rsidRPr="003D7632"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CB4462">
              <w:rPr>
                <w:rFonts w:ascii="Times New Roman" w:eastAsia="Times New Roman" w:hAnsi="Times New Roman"/>
                <w:sz w:val="20"/>
                <w:szCs w:val="20"/>
              </w:rPr>
              <w:t>616</w:t>
            </w:r>
            <w:r>
              <w:rPr>
                <w:rFonts w:ascii="Times New Roman" w:eastAsia="Times New Roman" w:hAnsi="Times New Roman"/>
                <w:sz w:val="20"/>
                <w:szCs w:val="20"/>
              </w:rPr>
              <w:t>)</w:t>
            </w:r>
          </w:p>
        </w:tc>
        <w:tc>
          <w:tcPr>
            <w:tcW w:w="992" w:type="dxa"/>
            <w:tcBorders>
              <w:top w:val="nil"/>
              <w:left w:val="nil"/>
              <w:bottom w:val="nil"/>
              <w:right w:val="nil"/>
            </w:tcBorders>
          </w:tcPr>
          <w:p w14:paraId="62742BF4" w14:textId="7F00A761" w:rsidR="00CD1B54" w:rsidRDefault="00A73ED1" w:rsidP="00CD1B54">
            <w:pPr>
              <w:spacing w:after="0"/>
              <w:rPr>
                <w:rFonts w:ascii="Times New Roman" w:eastAsia="Times New Roman" w:hAnsi="Times New Roman"/>
                <w:sz w:val="20"/>
                <w:szCs w:val="20"/>
              </w:rPr>
            </w:pPr>
            <w:r>
              <w:rPr>
                <w:rFonts w:ascii="Times New Roman" w:eastAsia="Times New Roman" w:hAnsi="Times New Roman"/>
                <w:sz w:val="20"/>
                <w:szCs w:val="20"/>
              </w:rPr>
              <w:t>-0.027</w:t>
            </w:r>
          </w:p>
          <w:p w14:paraId="7B4E9FC7" w14:textId="5E9AE9E3"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214)</w:t>
            </w:r>
          </w:p>
        </w:tc>
        <w:tc>
          <w:tcPr>
            <w:tcW w:w="236" w:type="dxa"/>
            <w:tcBorders>
              <w:top w:val="nil"/>
              <w:left w:val="nil"/>
              <w:bottom w:val="nil"/>
              <w:right w:val="nil"/>
            </w:tcBorders>
          </w:tcPr>
          <w:p w14:paraId="12548B3C"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0019783A" w14:textId="12D0F12A" w:rsidR="00CD1B54" w:rsidRDefault="00A535C5" w:rsidP="00CD1B54">
            <w:pPr>
              <w:spacing w:after="0"/>
              <w:rPr>
                <w:rFonts w:ascii="Times New Roman" w:eastAsia="Times New Roman" w:hAnsi="Times New Roman"/>
                <w:sz w:val="20"/>
                <w:szCs w:val="20"/>
              </w:rPr>
            </w:pPr>
            <w:r>
              <w:rPr>
                <w:rFonts w:ascii="Times New Roman" w:eastAsia="Times New Roman" w:hAnsi="Times New Roman"/>
                <w:sz w:val="20"/>
                <w:szCs w:val="20"/>
              </w:rPr>
              <w:t>-0.022</w:t>
            </w:r>
          </w:p>
          <w:p w14:paraId="506E2CAD" w14:textId="385F3086" w:rsidR="00CD1B54" w:rsidRPr="00BE430F"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(.1</w:t>
            </w:r>
            <w:r w:rsidR="00A535C5">
              <w:rPr>
                <w:rFonts w:ascii="Times New Roman" w:eastAsia="Times New Roman" w:hAnsi="Times New Roman"/>
                <w:sz w:val="20"/>
                <w:szCs w:val="20"/>
              </w:rPr>
              <w:t>74</w:t>
            </w:r>
            <w:r>
              <w:rPr>
                <w:rFonts w:ascii="Times New Roman" w:eastAsia="Times New Roman" w:hAnsi="Times New Roman"/>
                <w:sz w:val="20"/>
                <w:szCs w:val="20"/>
              </w:rPr>
              <w:t>)</w:t>
            </w:r>
          </w:p>
        </w:tc>
        <w:tc>
          <w:tcPr>
            <w:tcW w:w="1133" w:type="dxa"/>
            <w:tcBorders>
              <w:top w:val="nil"/>
              <w:left w:val="nil"/>
              <w:bottom w:val="nil"/>
              <w:right w:val="nil"/>
            </w:tcBorders>
          </w:tcPr>
          <w:p w14:paraId="7B7E1A4E" w14:textId="67C6ED3E"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B87CE5">
              <w:rPr>
                <w:rFonts w:ascii="Times New Roman" w:eastAsia="Times New Roman" w:hAnsi="Times New Roman"/>
                <w:sz w:val="20"/>
                <w:szCs w:val="20"/>
              </w:rPr>
              <w:t>2</w:t>
            </w:r>
          </w:p>
          <w:p w14:paraId="2DB4C550" w14:textId="7EA35A98" w:rsidR="00CD1B54" w:rsidRPr="00AE5519"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B87CE5">
              <w:rPr>
                <w:rFonts w:ascii="Times New Roman" w:eastAsia="Times New Roman" w:hAnsi="Times New Roman"/>
                <w:sz w:val="20"/>
                <w:szCs w:val="20"/>
              </w:rPr>
              <w:t>728</w:t>
            </w:r>
            <w:r>
              <w:rPr>
                <w:rFonts w:ascii="Times New Roman" w:eastAsia="Times New Roman" w:hAnsi="Times New Roman"/>
                <w:sz w:val="20"/>
                <w:szCs w:val="20"/>
              </w:rPr>
              <w:t>)</w:t>
            </w:r>
          </w:p>
        </w:tc>
        <w:tc>
          <w:tcPr>
            <w:tcW w:w="995" w:type="dxa"/>
            <w:tcBorders>
              <w:top w:val="nil"/>
              <w:left w:val="nil"/>
              <w:bottom w:val="nil"/>
              <w:right w:val="nil"/>
            </w:tcBorders>
          </w:tcPr>
          <w:p w14:paraId="1F7E06DD" w14:textId="442452E9"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-0.022</w:t>
            </w:r>
          </w:p>
          <w:p w14:paraId="0B024716" w14:textId="40E2938F"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E52468">
              <w:rPr>
                <w:rFonts w:ascii="Times New Roman" w:eastAsia="Times New Roman" w:hAnsi="Times New Roman"/>
                <w:sz w:val="20"/>
                <w:szCs w:val="20"/>
              </w:rPr>
              <w:t>226</w:t>
            </w:r>
            <w:r>
              <w:rPr>
                <w:rFonts w:ascii="Times New Roman" w:eastAsia="Times New Roman" w:hAnsi="Times New Roman"/>
                <w:sz w:val="20"/>
                <w:szCs w:val="20"/>
              </w:rPr>
              <w:t>)</w:t>
            </w:r>
          </w:p>
        </w:tc>
      </w:tr>
      <w:tr w:rsidR="00CD1B54" w:rsidRPr="006B5786" w14:paraId="349D91D1" w14:textId="77777777" w:rsidTr="00D94751">
        <w:trPr>
          <w:trHeight w:val="87"/>
        </w:trPr>
        <w:tc>
          <w:tcPr>
            <w:tcW w:w="3544" w:type="dxa"/>
            <w:tcBorders>
              <w:top w:val="nil"/>
              <w:left w:val="nil"/>
              <w:bottom w:val="nil"/>
              <w:right w:val="nil"/>
            </w:tcBorders>
          </w:tcPr>
          <w:p w14:paraId="1D4D8023" w14:textId="5FF844AA" w:rsidR="00CD1B54" w:rsidRPr="006B5786" w:rsidRDefault="00D94751" w:rsidP="00CD1B5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CD1B54">
              <w:rPr>
                <w:rFonts w:ascii="Times New Roman" w:eastAsia="Times New Roman" w:hAnsi="Times New Roman" w:cs="Times New Roman"/>
                <w:color w:val="000000"/>
                <w:sz w:val="20"/>
                <w:szCs w:val="20"/>
                <w:lang w:val="en-US"/>
              </w:rPr>
              <w:t xml:space="preserve">Liquidity </w:t>
            </w:r>
          </w:p>
        </w:tc>
        <w:tc>
          <w:tcPr>
            <w:tcW w:w="992" w:type="dxa"/>
            <w:tcBorders>
              <w:top w:val="nil"/>
              <w:left w:val="nil"/>
              <w:bottom w:val="nil"/>
              <w:right w:val="nil"/>
            </w:tcBorders>
          </w:tcPr>
          <w:p w14:paraId="439CCD76" w14:textId="0DD6DE33"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1B1EAA">
              <w:rPr>
                <w:rFonts w:ascii="Times New Roman" w:eastAsia="Times New Roman" w:hAnsi="Times New Roman"/>
                <w:sz w:val="20"/>
                <w:szCs w:val="20"/>
              </w:rPr>
              <w:t>17</w:t>
            </w:r>
          </w:p>
          <w:p w14:paraId="41398260" w14:textId="397C19DB" w:rsidR="00CD1B54" w:rsidRPr="00F07E54"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1B1EAA">
              <w:rPr>
                <w:rFonts w:ascii="Times New Roman" w:eastAsia="Times New Roman" w:hAnsi="Times New Roman"/>
                <w:sz w:val="20"/>
                <w:szCs w:val="20"/>
              </w:rPr>
              <w:t>318</w:t>
            </w:r>
            <w:r>
              <w:rPr>
                <w:rFonts w:ascii="Times New Roman" w:eastAsia="Times New Roman" w:hAnsi="Times New Roman"/>
                <w:sz w:val="20"/>
                <w:szCs w:val="20"/>
              </w:rPr>
              <w:t>)</w:t>
            </w:r>
          </w:p>
        </w:tc>
        <w:tc>
          <w:tcPr>
            <w:tcW w:w="992" w:type="dxa"/>
            <w:tcBorders>
              <w:top w:val="nil"/>
              <w:left w:val="nil"/>
              <w:bottom w:val="nil"/>
              <w:right w:val="nil"/>
            </w:tcBorders>
          </w:tcPr>
          <w:p w14:paraId="17B4AF11" w14:textId="6F352155"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CB4462">
              <w:rPr>
                <w:rFonts w:ascii="Times New Roman" w:eastAsia="Times New Roman" w:hAnsi="Times New Roman"/>
                <w:sz w:val="20"/>
                <w:szCs w:val="20"/>
              </w:rPr>
              <w:t>02</w:t>
            </w:r>
          </w:p>
          <w:p w14:paraId="564B778A" w14:textId="5A2E3E01"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B4462">
              <w:rPr>
                <w:rFonts w:ascii="Times New Roman" w:eastAsia="Times New Roman" w:hAnsi="Times New Roman"/>
                <w:sz w:val="20"/>
                <w:szCs w:val="20"/>
              </w:rPr>
              <w:t>735</w:t>
            </w:r>
            <w:r>
              <w:rPr>
                <w:rFonts w:ascii="Times New Roman" w:eastAsia="Times New Roman" w:hAnsi="Times New Roman"/>
                <w:sz w:val="20"/>
                <w:szCs w:val="20"/>
              </w:rPr>
              <w:t>)</w:t>
            </w:r>
          </w:p>
        </w:tc>
        <w:tc>
          <w:tcPr>
            <w:tcW w:w="992" w:type="dxa"/>
            <w:tcBorders>
              <w:top w:val="nil"/>
              <w:left w:val="nil"/>
              <w:bottom w:val="nil"/>
              <w:right w:val="nil"/>
            </w:tcBorders>
          </w:tcPr>
          <w:p w14:paraId="5DE05913" w14:textId="6936AC77"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A73ED1">
              <w:rPr>
                <w:rFonts w:ascii="Times New Roman" w:eastAsia="Times New Roman" w:hAnsi="Times New Roman"/>
                <w:sz w:val="20"/>
                <w:szCs w:val="20"/>
              </w:rPr>
              <w:t>19</w:t>
            </w:r>
          </w:p>
          <w:p w14:paraId="2835BABB" w14:textId="4625050D"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311</w:t>
            </w:r>
            <w:r>
              <w:rPr>
                <w:rFonts w:ascii="Times New Roman" w:eastAsia="Times New Roman" w:hAnsi="Times New Roman"/>
                <w:sz w:val="20"/>
                <w:szCs w:val="20"/>
              </w:rPr>
              <w:t>)</w:t>
            </w:r>
          </w:p>
        </w:tc>
        <w:tc>
          <w:tcPr>
            <w:tcW w:w="236" w:type="dxa"/>
            <w:tcBorders>
              <w:top w:val="nil"/>
              <w:left w:val="nil"/>
              <w:bottom w:val="nil"/>
              <w:right w:val="nil"/>
            </w:tcBorders>
          </w:tcPr>
          <w:p w14:paraId="30496A5B"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30B4EA7D" w14:textId="691BEDF9"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A535C5">
              <w:rPr>
                <w:rFonts w:ascii="Times New Roman" w:eastAsia="Times New Roman" w:hAnsi="Times New Roman"/>
                <w:sz w:val="20"/>
                <w:szCs w:val="20"/>
              </w:rPr>
              <w:t>04</w:t>
            </w:r>
          </w:p>
          <w:p w14:paraId="0B81F769" w14:textId="7084254A" w:rsidR="00CD1B54" w:rsidRPr="00BE430F"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535C5">
              <w:rPr>
                <w:rFonts w:ascii="Times New Roman" w:eastAsia="Times New Roman" w:hAnsi="Times New Roman"/>
                <w:sz w:val="20"/>
                <w:szCs w:val="20"/>
              </w:rPr>
              <w:t>775</w:t>
            </w:r>
            <w:r>
              <w:rPr>
                <w:rFonts w:ascii="Times New Roman" w:eastAsia="Times New Roman" w:hAnsi="Times New Roman"/>
                <w:sz w:val="20"/>
                <w:szCs w:val="20"/>
              </w:rPr>
              <w:t>)</w:t>
            </w:r>
          </w:p>
        </w:tc>
        <w:tc>
          <w:tcPr>
            <w:tcW w:w="1133" w:type="dxa"/>
            <w:tcBorders>
              <w:top w:val="nil"/>
              <w:left w:val="nil"/>
              <w:bottom w:val="nil"/>
              <w:right w:val="nil"/>
            </w:tcBorders>
          </w:tcPr>
          <w:p w14:paraId="4D24FBDA" w14:textId="7BF1012C"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w:t>
            </w:r>
            <w:r w:rsidR="00B87CE5">
              <w:rPr>
                <w:rFonts w:ascii="Times New Roman" w:eastAsia="Times New Roman" w:hAnsi="Times New Roman"/>
                <w:sz w:val="20"/>
                <w:szCs w:val="20"/>
              </w:rPr>
              <w:t>02</w:t>
            </w:r>
          </w:p>
          <w:p w14:paraId="13FD1C2A" w14:textId="19D60F56"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B87CE5">
              <w:rPr>
                <w:rFonts w:ascii="Times New Roman" w:eastAsia="Times New Roman" w:hAnsi="Times New Roman"/>
                <w:sz w:val="20"/>
                <w:szCs w:val="20"/>
              </w:rPr>
              <w:t>734</w:t>
            </w:r>
            <w:r>
              <w:rPr>
                <w:rFonts w:ascii="Times New Roman" w:eastAsia="Times New Roman" w:hAnsi="Times New Roman"/>
                <w:sz w:val="20"/>
                <w:szCs w:val="20"/>
              </w:rPr>
              <w:t>)</w:t>
            </w:r>
          </w:p>
        </w:tc>
        <w:tc>
          <w:tcPr>
            <w:tcW w:w="995" w:type="dxa"/>
            <w:tcBorders>
              <w:top w:val="nil"/>
              <w:left w:val="nil"/>
              <w:bottom w:val="nil"/>
              <w:right w:val="nil"/>
            </w:tcBorders>
          </w:tcPr>
          <w:p w14:paraId="77450BC4" w14:textId="2D109E11"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-0.006</w:t>
            </w:r>
          </w:p>
          <w:p w14:paraId="702E2064" w14:textId="0E62B61C"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E52468">
              <w:rPr>
                <w:rFonts w:ascii="Times New Roman" w:eastAsia="Times New Roman" w:hAnsi="Times New Roman"/>
                <w:sz w:val="20"/>
                <w:szCs w:val="20"/>
              </w:rPr>
              <w:t>715</w:t>
            </w:r>
            <w:r>
              <w:rPr>
                <w:rFonts w:ascii="Times New Roman" w:eastAsia="Times New Roman" w:hAnsi="Times New Roman"/>
                <w:sz w:val="20"/>
                <w:szCs w:val="20"/>
              </w:rPr>
              <w:t>)</w:t>
            </w:r>
          </w:p>
        </w:tc>
      </w:tr>
      <w:tr w:rsidR="00CD1B54" w:rsidRPr="006B5786" w14:paraId="54154B19" w14:textId="77777777" w:rsidTr="00D94751">
        <w:trPr>
          <w:trHeight w:val="87"/>
        </w:trPr>
        <w:tc>
          <w:tcPr>
            <w:tcW w:w="3544" w:type="dxa"/>
            <w:tcBorders>
              <w:top w:val="nil"/>
              <w:left w:val="nil"/>
              <w:bottom w:val="nil"/>
              <w:right w:val="nil"/>
            </w:tcBorders>
          </w:tcPr>
          <w:p w14:paraId="1BEFD193" w14:textId="61F9658D" w:rsidR="00CD1B54" w:rsidRPr="006B5786" w:rsidRDefault="00D94751" w:rsidP="00CD1B5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CD1B54">
              <w:rPr>
                <w:rFonts w:ascii="Times New Roman" w:eastAsia="Times New Roman" w:hAnsi="Times New Roman" w:cs="Times New Roman"/>
                <w:color w:val="000000"/>
                <w:sz w:val="20"/>
                <w:szCs w:val="20"/>
                <w:lang w:val="en-US"/>
              </w:rPr>
              <w:t>Size</w:t>
            </w:r>
          </w:p>
        </w:tc>
        <w:tc>
          <w:tcPr>
            <w:tcW w:w="992" w:type="dxa"/>
            <w:tcBorders>
              <w:top w:val="nil"/>
              <w:left w:val="nil"/>
              <w:bottom w:val="nil"/>
              <w:right w:val="nil"/>
            </w:tcBorders>
          </w:tcPr>
          <w:p w14:paraId="4AF38245" w14:textId="5549F280"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-0.022</w:t>
            </w:r>
            <w:r w:rsidR="00E822AF" w:rsidRPr="00E822AF">
              <w:rPr>
                <w:rFonts w:ascii="Times New Roman" w:eastAsia="Times New Roman" w:hAnsi="Times New Roman"/>
                <w:sz w:val="20"/>
                <w:szCs w:val="20"/>
                <w:vertAlign w:val="superscript"/>
              </w:rPr>
              <w:t>***</w:t>
            </w:r>
          </w:p>
          <w:p w14:paraId="5A47B54A" w14:textId="2E87F28C" w:rsidR="00CD1B54" w:rsidRPr="00962D3D"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(.000</w:t>
            </w:r>
            <w:r w:rsidR="00E822AF">
              <w:rPr>
                <w:rFonts w:ascii="Times New Roman" w:eastAsia="Times New Roman" w:hAnsi="Times New Roman"/>
                <w:sz w:val="20"/>
                <w:szCs w:val="20"/>
              </w:rPr>
              <w:t>)</w:t>
            </w:r>
          </w:p>
        </w:tc>
        <w:tc>
          <w:tcPr>
            <w:tcW w:w="992" w:type="dxa"/>
            <w:tcBorders>
              <w:top w:val="nil"/>
              <w:left w:val="nil"/>
              <w:bottom w:val="nil"/>
              <w:right w:val="nil"/>
            </w:tcBorders>
          </w:tcPr>
          <w:p w14:paraId="28B1E238" w14:textId="30709EA1" w:rsidR="00CD1B54" w:rsidRDefault="00A73ED1"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CB4462">
              <w:rPr>
                <w:rFonts w:ascii="Times New Roman" w:eastAsia="Times New Roman" w:hAnsi="Times New Roman"/>
                <w:sz w:val="20"/>
                <w:szCs w:val="20"/>
              </w:rPr>
              <w:t>6</w:t>
            </w:r>
            <w:r w:rsidR="00E822AF" w:rsidRPr="00E822AF">
              <w:rPr>
                <w:rFonts w:ascii="Times New Roman" w:eastAsia="Times New Roman" w:hAnsi="Times New Roman"/>
                <w:sz w:val="20"/>
                <w:szCs w:val="20"/>
                <w:vertAlign w:val="superscript"/>
              </w:rPr>
              <w:t>***</w:t>
            </w:r>
          </w:p>
          <w:p w14:paraId="0C02BD44" w14:textId="6C14D1C6" w:rsidR="00CD1B54" w:rsidRPr="00CB4462"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CB4462">
              <w:rPr>
                <w:rFonts w:ascii="Times New Roman" w:eastAsia="Times New Roman" w:hAnsi="Times New Roman"/>
                <w:sz w:val="20"/>
                <w:szCs w:val="20"/>
              </w:rPr>
              <w:t>009</w:t>
            </w:r>
            <w:r w:rsidR="00E822AF">
              <w:rPr>
                <w:rFonts w:ascii="Times New Roman" w:eastAsia="Times New Roman" w:hAnsi="Times New Roman"/>
                <w:sz w:val="20"/>
                <w:szCs w:val="20"/>
              </w:rPr>
              <w:t>)</w:t>
            </w:r>
          </w:p>
        </w:tc>
        <w:tc>
          <w:tcPr>
            <w:tcW w:w="992" w:type="dxa"/>
            <w:tcBorders>
              <w:top w:val="nil"/>
              <w:left w:val="nil"/>
              <w:bottom w:val="nil"/>
              <w:right w:val="nil"/>
            </w:tcBorders>
          </w:tcPr>
          <w:p w14:paraId="0470EE08" w14:textId="75C082A7" w:rsidR="00CD1B54" w:rsidRDefault="00A73ED1" w:rsidP="00CD1B54">
            <w:pPr>
              <w:spacing w:after="0"/>
              <w:rPr>
                <w:rFonts w:ascii="Times New Roman" w:eastAsia="Times New Roman" w:hAnsi="Times New Roman"/>
                <w:sz w:val="20"/>
                <w:szCs w:val="20"/>
              </w:rPr>
            </w:pPr>
            <w:r>
              <w:rPr>
                <w:rFonts w:ascii="Times New Roman" w:eastAsia="Times New Roman" w:hAnsi="Times New Roman"/>
                <w:sz w:val="20"/>
                <w:szCs w:val="20"/>
              </w:rPr>
              <w:t>-0.028</w:t>
            </w:r>
            <w:r w:rsidR="00E822AF" w:rsidRPr="00E822AF">
              <w:rPr>
                <w:rFonts w:ascii="Times New Roman" w:eastAsia="Times New Roman" w:hAnsi="Times New Roman"/>
                <w:sz w:val="20"/>
                <w:szCs w:val="20"/>
                <w:vertAlign w:val="superscript"/>
              </w:rPr>
              <w:t>***</w:t>
            </w:r>
          </w:p>
          <w:p w14:paraId="602383F6" w14:textId="528738B8" w:rsidR="00CD1B54" w:rsidRPr="00A73ED1"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73ED1">
              <w:rPr>
                <w:rFonts w:ascii="Times New Roman" w:eastAsia="Times New Roman" w:hAnsi="Times New Roman"/>
                <w:sz w:val="20"/>
                <w:szCs w:val="20"/>
              </w:rPr>
              <w:t>000</w:t>
            </w:r>
            <w:r w:rsidR="00E822AF">
              <w:rPr>
                <w:rFonts w:ascii="Times New Roman" w:eastAsia="Times New Roman" w:hAnsi="Times New Roman"/>
                <w:sz w:val="20"/>
                <w:szCs w:val="20"/>
              </w:rPr>
              <w:t>)</w:t>
            </w:r>
          </w:p>
        </w:tc>
        <w:tc>
          <w:tcPr>
            <w:tcW w:w="236" w:type="dxa"/>
            <w:tcBorders>
              <w:top w:val="nil"/>
              <w:left w:val="nil"/>
              <w:bottom w:val="nil"/>
              <w:right w:val="nil"/>
            </w:tcBorders>
          </w:tcPr>
          <w:p w14:paraId="4D8A5F4A"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2E6D1AFA" w14:textId="2897DB2A" w:rsidR="00CD1B54" w:rsidRDefault="00A535C5" w:rsidP="00CD1B54">
            <w:pPr>
              <w:spacing w:after="0"/>
              <w:rPr>
                <w:rFonts w:ascii="Times New Roman" w:eastAsia="Times New Roman" w:hAnsi="Times New Roman"/>
                <w:sz w:val="20"/>
                <w:szCs w:val="20"/>
              </w:rPr>
            </w:pPr>
            <w:r>
              <w:rPr>
                <w:rFonts w:ascii="Times New Roman" w:eastAsia="Times New Roman" w:hAnsi="Times New Roman"/>
                <w:sz w:val="20"/>
                <w:szCs w:val="20"/>
              </w:rPr>
              <w:t>-0.023</w:t>
            </w:r>
            <w:r w:rsidR="00E822AF" w:rsidRPr="00E822AF">
              <w:rPr>
                <w:rFonts w:ascii="Times New Roman" w:eastAsia="Times New Roman" w:hAnsi="Times New Roman"/>
                <w:sz w:val="20"/>
                <w:szCs w:val="20"/>
                <w:vertAlign w:val="superscript"/>
              </w:rPr>
              <w:t>***</w:t>
            </w:r>
          </w:p>
          <w:p w14:paraId="50767B70" w14:textId="6E3AAD44" w:rsidR="00CD1B54" w:rsidRPr="00A535C5"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A535C5">
              <w:rPr>
                <w:rFonts w:ascii="Times New Roman" w:eastAsia="Times New Roman" w:hAnsi="Times New Roman"/>
                <w:sz w:val="20"/>
                <w:szCs w:val="20"/>
              </w:rPr>
              <w:t>000</w:t>
            </w:r>
            <w:r w:rsidR="00E822AF">
              <w:rPr>
                <w:rFonts w:ascii="Times New Roman" w:eastAsia="Times New Roman" w:hAnsi="Times New Roman"/>
                <w:sz w:val="20"/>
                <w:szCs w:val="20"/>
              </w:rPr>
              <w:t>)</w:t>
            </w:r>
          </w:p>
        </w:tc>
        <w:tc>
          <w:tcPr>
            <w:tcW w:w="1133" w:type="dxa"/>
            <w:tcBorders>
              <w:top w:val="nil"/>
              <w:left w:val="nil"/>
              <w:bottom w:val="nil"/>
              <w:right w:val="nil"/>
            </w:tcBorders>
          </w:tcPr>
          <w:p w14:paraId="6547B91A" w14:textId="04D91EA4" w:rsidR="00CD1B54" w:rsidRDefault="00B87CE5" w:rsidP="00CD1B54">
            <w:pPr>
              <w:spacing w:after="0"/>
              <w:rPr>
                <w:rFonts w:ascii="Times New Roman" w:eastAsia="Times New Roman" w:hAnsi="Times New Roman"/>
                <w:sz w:val="20"/>
                <w:szCs w:val="20"/>
              </w:rPr>
            </w:pPr>
            <w:r>
              <w:rPr>
                <w:rFonts w:ascii="Times New Roman" w:eastAsia="Times New Roman" w:hAnsi="Times New Roman"/>
                <w:sz w:val="20"/>
                <w:szCs w:val="20"/>
              </w:rPr>
              <w:t>-0.007</w:t>
            </w:r>
            <w:r w:rsidR="00E822AF" w:rsidRPr="00E822AF">
              <w:rPr>
                <w:rFonts w:ascii="Times New Roman" w:eastAsia="Times New Roman" w:hAnsi="Times New Roman"/>
                <w:sz w:val="20"/>
                <w:szCs w:val="20"/>
                <w:vertAlign w:val="superscript"/>
              </w:rPr>
              <w:t>***</w:t>
            </w:r>
          </w:p>
          <w:p w14:paraId="6C6A648E" w14:textId="5765D5DE" w:rsidR="00CD1B54" w:rsidRPr="00B87CE5"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B87CE5">
              <w:rPr>
                <w:rFonts w:ascii="Times New Roman" w:eastAsia="Times New Roman" w:hAnsi="Times New Roman"/>
                <w:sz w:val="20"/>
                <w:szCs w:val="20"/>
              </w:rPr>
              <w:t>002</w:t>
            </w:r>
            <w:r w:rsidR="00E822AF">
              <w:rPr>
                <w:rFonts w:ascii="Times New Roman" w:eastAsia="Times New Roman" w:hAnsi="Times New Roman"/>
                <w:sz w:val="20"/>
                <w:szCs w:val="20"/>
              </w:rPr>
              <w:t>)</w:t>
            </w:r>
          </w:p>
        </w:tc>
        <w:tc>
          <w:tcPr>
            <w:tcW w:w="995" w:type="dxa"/>
            <w:tcBorders>
              <w:top w:val="nil"/>
              <w:left w:val="nil"/>
              <w:bottom w:val="nil"/>
              <w:right w:val="nil"/>
            </w:tcBorders>
          </w:tcPr>
          <w:p w14:paraId="4FA01E22" w14:textId="78CA9D3B"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-0.029</w:t>
            </w:r>
            <w:r w:rsidR="00E822AF" w:rsidRPr="00E822AF">
              <w:rPr>
                <w:rFonts w:ascii="Times New Roman" w:eastAsia="Times New Roman" w:hAnsi="Times New Roman"/>
                <w:sz w:val="20"/>
                <w:szCs w:val="20"/>
                <w:vertAlign w:val="superscript"/>
              </w:rPr>
              <w:t>***</w:t>
            </w:r>
          </w:p>
          <w:p w14:paraId="48A098DE" w14:textId="52C61621" w:rsidR="00CD1B54" w:rsidRPr="006F00D1" w:rsidRDefault="00CD1B54" w:rsidP="00CD1B54">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w:t>
            </w:r>
            <w:r w:rsidR="006F00D1">
              <w:rPr>
                <w:rFonts w:ascii="Times New Roman" w:eastAsia="Times New Roman" w:hAnsi="Times New Roman"/>
                <w:sz w:val="20"/>
                <w:szCs w:val="20"/>
              </w:rPr>
              <w:t>000</w:t>
            </w:r>
            <w:r w:rsidR="00E822AF">
              <w:rPr>
                <w:rFonts w:ascii="Times New Roman" w:eastAsia="Times New Roman" w:hAnsi="Times New Roman"/>
                <w:sz w:val="20"/>
                <w:szCs w:val="20"/>
              </w:rPr>
              <w:t>)</w:t>
            </w:r>
          </w:p>
        </w:tc>
      </w:tr>
      <w:tr w:rsidR="00CD1B54" w:rsidRPr="006B5786" w14:paraId="07815F74" w14:textId="77777777" w:rsidTr="00D94751">
        <w:trPr>
          <w:trHeight w:val="87"/>
        </w:trPr>
        <w:tc>
          <w:tcPr>
            <w:tcW w:w="3544" w:type="dxa"/>
            <w:tcBorders>
              <w:top w:val="nil"/>
              <w:left w:val="nil"/>
              <w:bottom w:val="nil"/>
              <w:right w:val="nil"/>
            </w:tcBorders>
          </w:tcPr>
          <w:p w14:paraId="4FEEDEBD" w14:textId="7A80DE6B" w:rsidR="00CD1B54" w:rsidRPr="006B5786" w:rsidRDefault="00D94751" w:rsidP="00CD1B5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CD1B54">
              <w:rPr>
                <w:rFonts w:ascii="Times New Roman" w:eastAsia="Times New Roman" w:hAnsi="Times New Roman" w:cs="Times New Roman"/>
                <w:color w:val="000000"/>
                <w:sz w:val="20"/>
                <w:szCs w:val="20"/>
                <w:lang w:val="en-US"/>
              </w:rPr>
              <w:t>Growth</w:t>
            </w:r>
          </w:p>
        </w:tc>
        <w:tc>
          <w:tcPr>
            <w:tcW w:w="992" w:type="dxa"/>
            <w:tcBorders>
              <w:top w:val="nil"/>
              <w:left w:val="nil"/>
              <w:bottom w:val="nil"/>
              <w:right w:val="nil"/>
            </w:tcBorders>
          </w:tcPr>
          <w:p w14:paraId="01461F33" w14:textId="07170B6B"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1B1EAA">
              <w:rPr>
                <w:rFonts w:ascii="Times New Roman" w:eastAsia="Times New Roman" w:hAnsi="Times New Roman"/>
                <w:sz w:val="20"/>
                <w:szCs w:val="20"/>
              </w:rPr>
              <w:t>0.000</w:t>
            </w:r>
          </w:p>
          <w:p w14:paraId="19E3DEA4" w14:textId="60707F39"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1B1EAA">
              <w:rPr>
                <w:rFonts w:ascii="Times New Roman" w:eastAsia="Times New Roman" w:hAnsi="Times New Roman"/>
                <w:sz w:val="20"/>
                <w:szCs w:val="20"/>
              </w:rPr>
              <w:t>769</w:t>
            </w:r>
            <w:r>
              <w:rPr>
                <w:rFonts w:ascii="Times New Roman" w:eastAsia="Times New Roman" w:hAnsi="Times New Roman"/>
                <w:sz w:val="20"/>
                <w:szCs w:val="20"/>
              </w:rPr>
              <w:t>)</w:t>
            </w:r>
          </w:p>
        </w:tc>
        <w:tc>
          <w:tcPr>
            <w:tcW w:w="992" w:type="dxa"/>
            <w:tcBorders>
              <w:top w:val="nil"/>
              <w:left w:val="nil"/>
              <w:bottom w:val="nil"/>
              <w:right w:val="nil"/>
            </w:tcBorders>
          </w:tcPr>
          <w:p w14:paraId="5A53D1CF" w14:textId="5C65887D"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CB4462">
              <w:rPr>
                <w:rFonts w:ascii="Times New Roman" w:eastAsia="Times New Roman" w:hAnsi="Times New Roman"/>
                <w:sz w:val="20"/>
                <w:szCs w:val="20"/>
              </w:rPr>
              <w:t>0</w:t>
            </w:r>
          </w:p>
          <w:p w14:paraId="55E0F538" w14:textId="450817CC"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B4462">
              <w:rPr>
                <w:rFonts w:ascii="Times New Roman" w:eastAsia="Times New Roman" w:hAnsi="Times New Roman"/>
                <w:sz w:val="20"/>
                <w:szCs w:val="20"/>
              </w:rPr>
              <w:t>875</w:t>
            </w:r>
            <w:r>
              <w:rPr>
                <w:rFonts w:ascii="Times New Roman" w:eastAsia="Times New Roman" w:hAnsi="Times New Roman"/>
                <w:sz w:val="20"/>
                <w:szCs w:val="20"/>
              </w:rPr>
              <w:t>)</w:t>
            </w:r>
          </w:p>
        </w:tc>
        <w:tc>
          <w:tcPr>
            <w:tcW w:w="992" w:type="dxa"/>
            <w:tcBorders>
              <w:top w:val="nil"/>
              <w:left w:val="nil"/>
              <w:bottom w:val="nil"/>
              <w:right w:val="nil"/>
            </w:tcBorders>
          </w:tcPr>
          <w:p w14:paraId="17714376" w14:textId="718340A5"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A73ED1">
              <w:rPr>
                <w:rFonts w:ascii="Times New Roman" w:eastAsia="Times New Roman" w:hAnsi="Times New Roman"/>
                <w:sz w:val="20"/>
                <w:szCs w:val="20"/>
              </w:rPr>
              <w:t>1</w:t>
            </w:r>
          </w:p>
          <w:p w14:paraId="322C55AA" w14:textId="39F84D92"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734</w:t>
            </w:r>
            <w:r>
              <w:rPr>
                <w:rFonts w:ascii="Times New Roman" w:eastAsia="Times New Roman" w:hAnsi="Times New Roman"/>
                <w:sz w:val="20"/>
                <w:szCs w:val="20"/>
              </w:rPr>
              <w:t>)</w:t>
            </w:r>
          </w:p>
        </w:tc>
        <w:tc>
          <w:tcPr>
            <w:tcW w:w="236" w:type="dxa"/>
            <w:tcBorders>
              <w:top w:val="nil"/>
              <w:left w:val="nil"/>
              <w:bottom w:val="nil"/>
              <w:right w:val="nil"/>
            </w:tcBorders>
          </w:tcPr>
          <w:p w14:paraId="69DF18F2"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13025BD0" w14:textId="6F8555BA"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A535C5">
              <w:rPr>
                <w:rFonts w:ascii="Times New Roman" w:eastAsia="Times New Roman" w:hAnsi="Times New Roman"/>
                <w:sz w:val="20"/>
                <w:szCs w:val="20"/>
              </w:rPr>
              <w:t>1</w:t>
            </w:r>
          </w:p>
          <w:p w14:paraId="2ECCF2FA" w14:textId="1B2E4AFF"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535C5">
              <w:rPr>
                <w:rFonts w:ascii="Times New Roman" w:eastAsia="Times New Roman" w:hAnsi="Times New Roman"/>
                <w:sz w:val="20"/>
                <w:szCs w:val="20"/>
              </w:rPr>
              <w:t>.618</w:t>
            </w:r>
            <w:r>
              <w:rPr>
                <w:rFonts w:ascii="Times New Roman" w:eastAsia="Times New Roman" w:hAnsi="Times New Roman"/>
                <w:sz w:val="20"/>
                <w:szCs w:val="20"/>
              </w:rPr>
              <w:t>)</w:t>
            </w:r>
          </w:p>
        </w:tc>
        <w:tc>
          <w:tcPr>
            <w:tcW w:w="1133" w:type="dxa"/>
            <w:tcBorders>
              <w:top w:val="nil"/>
              <w:left w:val="nil"/>
              <w:bottom w:val="nil"/>
              <w:right w:val="nil"/>
            </w:tcBorders>
          </w:tcPr>
          <w:p w14:paraId="4BF236F1" w14:textId="558851E4" w:rsidR="00CD1B54" w:rsidRDefault="00E52468"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sidR="00B87CE5">
              <w:rPr>
                <w:rFonts w:ascii="Times New Roman" w:eastAsia="Times New Roman" w:hAnsi="Times New Roman"/>
                <w:sz w:val="20"/>
                <w:szCs w:val="20"/>
              </w:rPr>
              <w:t>0</w:t>
            </w:r>
          </w:p>
          <w:p w14:paraId="07922C5A" w14:textId="16C4B058"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B87CE5">
              <w:rPr>
                <w:rFonts w:ascii="Times New Roman" w:eastAsia="Times New Roman" w:hAnsi="Times New Roman"/>
                <w:sz w:val="20"/>
                <w:szCs w:val="20"/>
              </w:rPr>
              <w:t>823</w:t>
            </w:r>
            <w:r>
              <w:rPr>
                <w:rFonts w:ascii="Times New Roman" w:eastAsia="Times New Roman" w:hAnsi="Times New Roman"/>
                <w:sz w:val="20"/>
                <w:szCs w:val="20"/>
              </w:rPr>
              <w:t>)</w:t>
            </w:r>
          </w:p>
        </w:tc>
        <w:tc>
          <w:tcPr>
            <w:tcW w:w="995" w:type="dxa"/>
            <w:tcBorders>
              <w:top w:val="nil"/>
              <w:left w:val="nil"/>
              <w:bottom w:val="nil"/>
              <w:right w:val="nil"/>
            </w:tcBorders>
          </w:tcPr>
          <w:p w14:paraId="499D6CA3" w14:textId="6D47911E"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D1B54">
              <w:rPr>
                <w:rFonts w:ascii="Times New Roman" w:eastAsia="Times New Roman" w:hAnsi="Times New Roman"/>
                <w:sz w:val="20"/>
                <w:szCs w:val="20"/>
              </w:rPr>
              <w:t>0.00</w:t>
            </w:r>
            <w:r>
              <w:rPr>
                <w:rFonts w:ascii="Times New Roman" w:eastAsia="Times New Roman" w:hAnsi="Times New Roman"/>
                <w:sz w:val="20"/>
                <w:szCs w:val="20"/>
              </w:rPr>
              <w:t>1</w:t>
            </w:r>
          </w:p>
          <w:p w14:paraId="0DBC2FC5" w14:textId="2D417CAC" w:rsidR="00CD1B54" w:rsidRPr="00962D3D" w:rsidRDefault="00CD1B54" w:rsidP="00CD1B54">
            <w:pPr>
              <w:spacing w:after="0"/>
              <w:ind w:right="-62"/>
              <w:rPr>
                <w:rFonts w:ascii="Times New Roman" w:eastAsia="Times New Roman" w:hAnsi="Times New Roman"/>
                <w:sz w:val="20"/>
                <w:szCs w:val="20"/>
              </w:rPr>
            </w:pPr>
            <w:r>
              <w:rPr>
                <w:rFonts w:ascii="Times New Roman" w:eastAsia="Times New Roman" w:hAnsi="Times New Roman"/>
                <w:sz w:val="20"/>
                <w:szCs w:val="20"/>
              </w:rPr>
              <w:t>(.</w:t>
            </w:r>
            <w:r w:rsidR="006F00D1">
              <w:rPr>
                <w:rFonts w:ascii="Times New Roman" w:eastAsia="Times New Roman" w:hAnsi="Times New Roman"/>
                <w:sz w:val="20"/>
                <w:szCs w:val="20"/>
              </w:rPr>
              <w:t>600</w:t>
            </w:r>
            <w:r>
              <w:rPr>
                <w:rFonts w:ascii="Times New Roman" w:eastAsia="Times New Roman" w:hAnsi="Times New Roman"/>
                <w:sz w:val="20"/>
                <w:szCs w:val="20"/>
              </w:rPr>
              <w:t>)</w:t>
            </w:r>
          </w:p>
        </w:tc>
      </w:tr>
      <w:tr w:rsidR="00CD1B54" w:rsidRPr="006B5786" w14:paraId="247FDD2E" w14:textId="77777777" w:rsidTr="00D94751">
        <w:trPr>
          <w:trHeight w:val="87"/>
        </w:trPr>
        <w:tc>
          <w:tcPr>
            <w:tcW w:w="3544" w:type="dxa"/>
            <w:tcBorders>
              <w:top w:val="nil"/>
              <w:left w:val="nil"/>
              <w:bottom w:val="nil"/>
              <w:right w:val="nil"/>
            </w:tcBorders>
          </w:tcPr>
          <w:p w14:paraId="0937922D" w14:textId="389D08F7" w:rsidR="00CD1B54" w:rsidRPr="006B5786" w:rsidRDefault="00D94751" w:rsidP="00CD1B5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CD1B54">
              <w:rPr>
                <w:rFonts w:ascii="Times New Roman" w:eastAsia="Times New Roman" w:hAnsi="Times New Roman" w:cs="Times New Roman"/>
                <w:color w:val="000000"/>
                <w:sz w:val="20"/>
                <w:szCs w:val="20"/>
                <w:lang w:val="en-US"/>
              </w:rPr>
              <w:t>Expenditure</w:t>
            </w:r>
          </w:p>
        </w:tc>
        <w:tc>
          <w:tcPr>
            <w:tcW w:w="992" w:type="dxa"/>
            <w:tcBorders>
              <w:top w:val="nil"/>
              <w:left w:val="nil"/>
              <w:bottom w:val="nil"/>
              <w:right w:val="nil"/>
            </w:tcBorders>
          </w:tcPr>
          <w:p w14:paraId="5C7DC685" w14:textId="0AB5CC59" w:rsidR="00CD1B54" w:rsidRDefault="001B1EAA" w:rsidP="00CD1B54">
            <w:pPr>
              <w:spacing w:after="0"/>
              <w:rPr>
                <w:rFonts w:ascii="Times New Roman" w:eastAsia="Times New Roman" w:hAnsi="Times New Roman"/>
                <w:sz w:val="20"/>
                <w:szCs w:val="20"/>
              </w:rPr>
            </w:pPr>
            <w:r>
              <w:rPr>
                <w:rFonts w:ascii="Times New Roman" w:eastAsia="Times New Roman" w:hAnsi="Times New Roman"/>
                <w:sz w:val="20"/>
                <w:szCs w:val="20"/>
              </w:rPr>
              <w:t>-0.006</w:t>
            </w:r>
          </w:p>
          <w:p w14:paraId="33EF8232" w14:textId="665D77B5"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1B1EAA">
              <w:rPr>
                <w:rFonts w:ascii="Times New Roman" w:eastAsia="Times New Roman" w:hAnsi="Times New Roman"/>
                <w:sz w:val="20"/>
                <w:szCs w:val="20"/>
              </w:rPr>
              <w:t>560</w:t>
            </w:r>
            <w:r>
              <w:rPr>
                <w:rFonts w:ascii="Times New Roman" w:eastAsia="Times New Roman" w:hAnsi="Times New Roman"/>
                <w:sz w:val="20"/>
                <w:szCs w:val="20"/>
              </w:rPr>
              <w:t>)</w:t>
            </w:r>
          </w:p>
        </w:tc>
        <w:tc>
          <w:tcPr>
            <w:tcW w:w="992" w:type="dxa"/>
            <w:tcBorders>
              <w:top w:val="nil"/>
              <w:left w:val="nil"/>
              <w:bottom w:val="nil"/>
              <w:right w:val="nil"/>
            </w:tcBorders>
          </w:tcPr>
          <w:p w14:paraId="3106CEEB" w14:textId="3D01DD36" w:rsidR="00CD1B54" w:rsidRDefault="00CB4462" w:rsidP="00CD1B54">
            <w:pPr>
              <w:spacing w:after="0"/>
              <w:rPr>
                <w:rFonts w:ascii="Times New Roman" w:eastAsia="Times New Roman" w:hAnsi="Times New Roman"/>
                <w:sz w:val="20"/>
                <w:szCs w:val="20"/>
              </w:rPr>
            </w:pPr>
            <w:r>
              <w:rPr>
                <w:rFonts w:ascii="Times New Roman" w:eastAsia="Times New Roman" w:hAnsi="Times New Roman"/>
                <w:sz w:val="20"/>
                <w:szCs w:val="20"/>
              </w:rPr>
              <w:t>0.002</w:t>
            </w:r>
          </w:p>
          <w:p w14:paraId="06627456" w14:textId="5F98EEF5"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CB4462">
              <w:rPr>
                <w:rFonts w:ascii="Times New Roman" w:eastAsia="Times New Roman" w:hAnsi="Times New Roman"/>
                <w:sz w:val="20"/>
                <w:szCs w:val="20"/>
              </w:rPr>
              <w:t>617</w:t>
            </w:r>
            <w:r>
              <w:rPr>
                <w:rFonts w:ascii="Times New Roman" w:eastAsia="Times New Roman" w:hAnsi="Times New Roman"/>
                <w:sz w:val="20"/>
                <w:szCs w:val="20"/>
              </w:rPr>
              <w:t>)</w:t>
            </w:r>
          </w:p>
        </w:tc>
        <w:tc>
          <w:tcPr>
            <w:tcW w:w="992" w:type="dxa"/>
            <w:tcBorders>
              <w:top w:val="nil"/>
              <w:left w:val="nil"/>
              <w:bottom w:val="nil"/>
              <w:right w:val="nil"/>
            </w:tcBorders>
          </w:tcPr>
          <w:p w14:paraId="6D1A6CDD" w14:textId="7DDCE019"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A73ED1">
              <w:rPr>
                <w:rFonts w:ascii="Times New Roman" w:eastAsia="Times New Roman" w:hAnsi="Times New Roman"/>
                <w:sz w:val="20"/>
                <w:szCs w:val="20"/>
              </w:rPr>
              <w:t>04</w:t>
            </w:r>
          </w:p>
          <w:p w14:paraId="0A15B540" w14:textId="7D76C34D"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73ED1">
              <w:rPr>
                <w:rFonts w:ascii="Times New Roman" w:eastAsia="Times New Roman" w:hAnsi="Times New Roman"/>
                <w:sz w:val="20"/>
                <w:szCs w:val="20"/>
              </w:rPr>
              <w:t>729</w:t>
            </w:r>
            <w:r>
              <w:rPr>
                <w:rFonts w:ascii="Times New Roman" w:eastAsia="Times New Roman" w:hAnsi="Times New Roman"/>
                <w:sz w:val="20"/>
                <w:szCs w:val="20"/>
              </w:rPr>
              <w:t>)</w:t>
            </w:r>
          </w:p>
        </w:tc>
        <w:tc>
          <w:tcPr>
            <w:tcW w:w="236" w:type="dxa"/>
            <w:tcBorders>
              <w:top w:val="nil"/>
              <w:left w:val="nil"/>
              <w:bottom w:val="nil"/>
              <w:right w:val="nil"/>
            </w:tcBorders>
          </w:tcPr>
          <w:p w14:paraId="7DD71FF4" w14:textId="77777777" w:rsidR="00CD1B54" w:rsidRPr="00962D3D" w:rsidRDefault="00CD1B54" w:rsidP="00CD1B54">
            <w:pPr>
              <w:spacing w:after="0"/>
              <w:rPr>
                <w:rFonts w:ascii="Times New Roman" w:eastAsia="Times New Roman" w:hAnsi="Times New Roman"/>
                <w:sz w:val="20"/>
                <w:szCs w:val="20"/>
              </w:rPr>
            </w:pPr>
          </w:p>
        </w:tc>
        <w:tc>
          <w:tcPr>
            <w:tcW w:w="1044" w:type="dxa"/>
            <w:tcBorders>
              <w:top w:val="nil"/>
              <w:left w:val="nil"/>
              <w:bottom w:val="nil"/>
              <w:right w:val="nil"/>
            </w:tcBorders>
          </w:tcPr>
          <w:p w14:paraId="238447EE" w14:textId="3AD1E9A5" w:rsidR="00CD1B54" w:rsidRDefault="00A535C5" w:rsidP="00CD1B54">
            <w:pPr>
              <w:spacing w:after="0"/>
              <w:rPr>
                <w:rFonts w:ascii="Times New Roman" w:eastAsia="Times New Roman" w:hAnsi="Times New Roman"/>
                <w:sz w:val="20"/>
                <w:szCs w:val="20"/>
              </w:rPr>
            </w:pPr>
            <w:r>
              <w:rPr>
                <w:rFonts w:ascii="Times New Roman" w:eastAsia="Times New Roman" w:hAnsi="Times New Roman"/>
                <w:sz w:val="20"/>
                <w:szCs w:val="20"/>
              </w:rPr>
              <w:t>-0.008</w:t>
            </w:r>
          </w:p>
          <w:p w14:paraId="40F1CD53" w14:textId="7D6B57AA"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A535C5">
              <w:rPr>
                <w:rFonts w:ascii="Times New Roman" w:eastAsia="Times New Roman" w:hAnsi="Times New Roman"/>
                <w:sz w:val="20"/>
                <w:szCs w:val="20"/>
              </w:rPr>
              <w:t>339</w:t>
            </w:r>
            <w:r>
              <w:rPr>
                <w:rFonts w:ascii="Times New Roman" w:eastAsia="Times New Roman" w:hAnsi="Times New Roman"/>
                <w:sz w:val="20"/>
                <w:szCs w:val="20"/>
              </w:rPr>
              <w:t>)</w:t>
            </w:r>
          </w:p>
        </w:tc>
        <w:tc>
          <w:tcPr>
            <w:tcW w:w="1133" w:type="dxa"/>
            <w:tcBorders>
              <w:top w:val="nil"/>
              <w:left w:val="nil"/>
              <w:bottom w:val="nil"/>
              <w:right w:val="nil"/>
            </w:tcBorders>
          </w:tcPr>
          <w:p w14:paraId="2D3E4603" w14:textId="2125154F" w:rsidR="00CD1B54"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-0.0</w:t>
            </w:r>
            <w:r w:rsidR="00B87CE5">
              <w:rPr>
                <w:rFonts w:ascii="Times New Roman" w:eastAsia="Times New Roman" w:hAnsi="Times New Roman"/>
                <w:sz w:val="20"/>
                <w:szCs w:val="20"/>
              </w:rPr>
              <w:t>01</w:t>
            </w:r>
          </w:p>
          <w:p w14:paraId="175EC265" w14:textId="2CD212CE" w:rsidR="00CD1B54" w:rsidRPr="00962D3D" w:rsidRDefault="00CD1B54" w:rsidP="00CD1B54">
            <w:pPr>
              <w:spacing w:after="0"/>
              <w:rPr>
                <w:rFonts w:ascii="Times New Roman" w:eastAsia="Times New Roman" w:hAnsi="Times New Roman"/>
                <w:sz w:val="20"/>
                <w:szCs w:val="20"/>
              </w:rPr>
            </w:pPr>
            <w:r>
              <w:rPr>
                <w:rFonts w:ascii="Times New Roman" w:eastAsia="Times New Roman" w:hAnsi="Times New Roman"/>
                <w:sz w:val="20"/>
                <w:szCs w:val="20"/>
              </w:rPr>
              <w:t>(.</w:t>
            </w:r>
            <w:r w:rsidR="00B87CE5">
              <w:rPr>
                <w:rFonts w:ascii="Times New Roman" w:eastAsia="Times New Roman" w:hAnsi="Times New Roman"/>
                <w:sz w:val="20"/>
                <w:szCs w:val="20"/>
              </w:rPr>
              <w:t>692</w:t>
            </w:r>
            <w:r>
              <w:rPr>
                <w:rFonts w:ascii="Times New Roman" w:eastAsia="Times New Roman" w:hAnsi="Times New Roman"/>
                <w:sz w:val="20"/>
                <w:szCs w:val="20"/>
              </w:rPr>
              <w:t>)</w:t>
            </w:r>
          </w:p>
        </w:tc>
        <w:tc>
          <w:tcPr>
            <w:tcW w:w="995" w:type="dxa"/>
            <w:tcBorders>
              <w:top w:val="nil"/>
              <w:left w:val="nil"/>
              <w:bottom w:val="nil"/>
              <w:right w:val="nil"/>
            </w:tcBorders>
          </w:tcPr>
          <w:p w14:paraId="21FDE13D" w14:textId="332618E3" w:rsidR="00CD1B54" w:rsidRDefault="006F00D1" w:rsidP="00CD1B54">
            <w:pPr>
              <w:spacing w:after="0"/>
              <w:rPr>
                <w:rFonts w:ascii="Times New Roman" w:eastAsia="Times New Roman" w:hAnsi="Times New Roman"/>
                <w:sz w:val="20"/>
                <w:szCs w:val="20"/>
              </w:rPr>
            </w:pPr>
            <w:r>
              <w:rPr>
                <w:rFonts w:ascii="Times New Roman" w:eastAsia="Times New Roman" w:hAnsi="Times New Roman"/>
                <w:sz w:val="20"/>
                <w:szCs w:val="20"/>
              </w:rPr>
              <w:t>-0.006</w:t>
            </w:r>
          </w:p>
          <w:p w14:paraId="29545CFB" w14:textId="35C3A6A1" w:rsidR="00CD1B54" w:rsidRPr="00962D3D" w:rsidRDefault="00CD1B54" w:rsidP="00CD1B54">
            <w:pPr>
              <w:spacing w:after="0"/>
              <w:ind w:right="-62"/>
              <w:rPr>
                <w:rFonts w:ascii="Times New Roman" w:eastAsia="Times New Roman" w:hAnsi="Times New Roman"/>
                <w:sz w:val="20"/>
                <w:szCs w:val="20"/>
              </w:rPr>
            </w:pPr>
            <w:r>
              <w:rPr>
                <w:rFonts w:ascii="Times New Roman" w:eastAsia="Times New Roman" w:hAnsi="Times New Roman"/>
                <w:sz w:val="20"/>
                <w:szCs w:val="20"/>
              </w:rPr>
              <w:t>(.</w:t>
            </w:r>
            <w:r w:rsidR="006F00D1">
              <w:rPr>
                <w:rFonts w:ascii="Times New Roman" w:eastAsia="Times New Roman" w:hAnsi="Times New Roman"/>
                <w:sz w:val="20"/>
                <w:szCs w:val="20"/>
              </w:rPr>
              <w:t>514</w:t>
            </w:r>
            <w:r>
              <w:rPr>
                <w:rFonts w:ascii="Times New Roman" w:eastAsia="Times New Roman" w:hAnsi="Times New Roman"/>
                <w:sz w:val="20"/>
                <w:szCs w:val="20"/>
              </w:rPr>
              <w:t>)</w:t>
            </w:r>
          </w:p>
        </w:tc>
      </w:tr>
      <w:tr w:rsidR="001B1EAA" w:rsidRPr="006B5786" w14:paraId="5E257186" w14:textId="77777777" w:rsidTr="00D94751">
        <w:trPr>
          <w:trHeight w:val="87"/>
        </w:trPr>
        <w:tc>
          <w:tcPr>
            <w:tcW w:w="3544" w:type="dxa"/>
            <w:tcBorders>
              <w:top w:val="nil"/>
              <w:left w:val="nil"/>
              <w:bottom w:val="nil"/>
              <w:right w:val="nil"/>
            </w:tcBorders>
          </w:tcPr>
          <w:p w14:paraId="5854F8F0" w14:textId="7AFCB463" w:rsidR="001B1EAA" w:rsidRDefault="00D94751" w:rsidP="001B1EAA">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1B1EAA">
              <w:rPr>
                <w:rFonts w:ascii="Times New Roman" w:eastAsia="Times New Roman" w:hAnsi="Times New Roman" w:cs="Times New Roman"/>
                <w:color w:val="000000"/>
                <w:sz w:val="20"/>
                <w:szCs w:val="20"/>
                <w:lang w:val="en-US"/>
              </w:rPr>
              <w:t>Year dummies</w:t>
            </w:r>
          </w:p>
        </w:tc>
        <w:tc>
          <w:tcPr>
            <w:tcW w:w="992" w:type="dxa"/>
            <w:tcBorders>
              <w:top w:val="nil"/>
              <w:left w:val="nil"/>
              <w:bottom w:val="nil"/>
              <w:right w:val="nil"/>
            </w:tcBorders>
          </w:tcPr>
          <w:p w14:paraId="4EDEF71D" w14:textId="7061D009"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992" w:type="dxa"/>
            <w:tcBorders>
              <w:top w:val="nil"/>
              <w:left w:val="nil"/>
              <w:bottom w:val="nil"/>
              <w:right w:val="nil"/>
            </w:tcBorders>
          </w:tcPr>
          <w:p w14:paraId="5ABAEAE6" w14:textId="7376E08D"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992" w:type="dxa"/>
            <w:tcBorders>
              <w:top w:val="nil"/>
              <w:left w:val="nil"/>
              <w:bottom w:val="nil"/>
              <w:right w:val="nil"/>
            </w:tcBorders>
          </w:tcPr>
          <w:p w14:paraId="4FD271D0" w14:textId="32918805"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236" w:type="dxa"/>
            <w:tcBorders>
              <w:top w:val="nil"/>
              <w:left w:val="nil"/>
              <w:bottom w:val="nil"/>
              <w:right w:val="nil"/>
            </w:tcBorders>
          </w:tcPr>
          <w:p w14:paraId="576526DB" w14:textId="77777777" w:rsidR="001B1EAA" w:rsidRPr="001B1EAA" w:rsidRDefault="001B1EAA" w:rsidP="001B1EAA">
            <w:pPr>
              <w:spacing w:after="0"/>
              <w:rPr>
                <w:rFonts w:ascii="Times New Roman" w:eastAsia="Times New Roman" w:hAnsi="Times New Roman"/>
                <w:sz w:val="20"/>
                <w:szCs w:val="20"/>
              </w:rPr>
            </w:pPr>
          </w:p>
        </w:tc>
        <w:tc>
          <w:tcPr>
            <w:tcW w:w="1044" w:type="dxa"/>
            <w:tcBorders>
              <w:top w:val="nil"/>
              <w:left w:val="nil"/>
              <w:bottom w:val="nil"/>
              <w:right w:val="nil"/>
            </w:tcBorders>
          </w:tcPr>
          <w:p w14:paraId="5E9087C8" w14:textId="141BF8F7"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1133" w:type="dxa"/>
            <w:tcBorders>
              <w:top w:val="nil"/>
              <w:left w:val="nil"/>
              <w:bottom w:val="nil"/>
              <w:right w:val="nil"/>
            </w:tcBorders>
          </w:tcPr>
          <w:p w14:paraId="69B5F6E5" w14:textId="102AEAB5"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995" w:type="dxa"/>
            <w:tcBorders>
              <w:top w:val="nil"/>
              <w:left w:val="nil"/>
              <w:bottom w:val="nil"/>
              <w:right w:val="nil"/>
            </w:tcBorders>
          </w:tcPr>
          <w:p w14:paraId="04CD96F9" w14:textId="597AE676" w:rsidR="001B1EAA" w:rsidRPr="001B1EAA" w:rsidRDefault="001B1EAA" w:rsidP="001B1EAA">
            <w:pPr>
              <w:spacing w:after="0"/>
              <w:ind w:right="-62"/>
              <w:rPr>
                <w:rFonts w:ascii="Times New Roman" w:eastAsia="Times New Roman" w:hAnsi="Times New Roman"/>
                <w:sz w:val="20"/>
                <w:szCs w:val="20"/>
              </w:rPr>
            </w:pPr>
            <w:r>
              <w:rPr>
                <w:rFonts w:ascii="Times New Roman" w:eastAsia="Times New Roman" w:hAnsi="Times New Roman" w:cs="Times New Roman"/>
                <w:sz w:val="20"/>
                <w:szCs w:val="20"/>
              </w:rPr>
              <w:t>YES</w:t>
            </w:r>
          </w:p>
        </w:tc>
      </w:tr>
      <w:tr w:rsidR="001B1EAA" w:rsidRPr="006B5786" w14:paraId="7E11CDC2" w14:textId="77777777" w:rsidTr="00D94751">
        <w:trPr>
          <w:trHeight w:val="87"/>
        </w:trPr>
        <w:tc>
          <w:tcPr>
            <w:tcW w:w="3544" w:type="dxa"/>
            <w:tcBorders>
              <w:top w:val="nil"/>
              <w:left w:val="nil"/>
              <w:bottom w:val="nil"/>
              <w:right w:val="nil"/>
            </w:tcBorders>
          </w:tcPr>
          <w:p w14:paraId="5D80FBD1" w14:textId="636E5B80" w:rsidR="001B1EAA" w:rsidRDefault="00D94751" w:rsidP="001B1EAA">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1B1EAA">
              <w:rPr>
                <w:rFonts w:ascii="Times New Roman" w:eastAsia="Times New Roman" w:hAnsi="Times New Roman" w:cs="Times New Roman"/>
                <w:color w:val="000000"/>
                <w:sz w:val="20"/>
                <w:szCs w:val="20"/>
                <w:lang w:val="en-US"/>
              </w:rPr>
              <w:t>Country dummies</w:t>
            </w:r>
          </w:p>
        </w:tc>
        <w:tc>
          <w:tcPr>
            <w:tcW w:w="992" w:type="dxa"/>
            <w:tcBorders>
              <w:top w:val="nil"/>
              <w:left w:val="nil"/>
              <w:bottom w:val="nil"/>
              <w:right w:val="nil"/>
            </w:tcBorders>
          </w:tcPr>
          <w:p w14:paraId="38496E79" w14:textId="5AE82C5C"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992" w:type="dxa"/>
            <w:tcBorders>
              <w:top w:val="nil"/>
              <w:left w:val="nil"/>
              <w:bottom w:val="nil"/>
              <w:right w:val="nil"/>
            </w:tcBorders>
          </w:tcPr>
          <w:p w14:paraId="741FE0DC" w14:textId="17FAAA0E"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992" w:type="dxa"/>
            <w:tcBorders>
              <w:top w:val="nil"/>
              <w:left w:val="nil"/>
              <w:bottom w:val="nil"/>
              <w:right w:val="nil"/>
            </w:tcBorders>
          </w:tcPr>
          <w:p w14:paraId="06024E03" w14:textId="065A8C65"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236" w:type="dxa"/>
            <w:tcBorders>
              <w:top w:val="nil"/>
              <w:left w:val="nil"/>
              <w:bottom w:val="nil"/>
              <w:right w:val="nil"/>
            </w:tcBorders>
          </w:tcPr>
          <w:p w14:paraId="217786C2" w14:textId="77777777" w:rsidR="001B1EAA" w:rsidRPr="001B1EAA" w:rsidRDefault="001B1EAA" w:rsidP="001B1EAA">
            <w:pPr>
              <w:spacing w:after="0"/>
              <w:rPr>
                <w:rFonts w:ascii="Times New Roman" w:eastAsia="Times New Roman" w:hAnsi="Times New Roman"/>
                <w:sz w:val="20"/>
                <w:szCs w:val="20"/>
              </w:rPr>
            </w:pPr>
          </w:p>
        </w:tc>
        <w:tc>
          <w:tcPr>
            <w:tcW w:w="1044" w:type="dxa"/>
            <w:tcBorders>
              <w:top w:val="nil"/>
              <w:left w:val="nil"/>
              <w:bottom w:val="nil"/>
              <w:right w:val="nil"/>
            </w:tcBorders>
          </w:tcPr>
          <w:p w14:paraId="017986C3" w14:textId="5AC89FBC"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1133" w:type="dxa"/>
            <w:tcBorders>
              <w:top w:val="nil"/>
              <w:left w:val="nil"/>
              <w:bottom w:val="nil"/>
              <w:right w:val="nil"/>
            </w:tcBorders>
          </w:tcPr>
          <w:p w14:paraId="2E33A8DA" w14:textId="5DA4CD1B" w:rsidR="001B1EAA" w:rsidRPr="001B1EAA" w:rsidRDefault="001B1EAA" w:rsidP="001B1EAA">
            <w:pPr>
              <w:spacing w:after="0"/>
              <w:rPr>
                <w:rFonts w:ascii="Times New Roman" w:eastAsia="Times New Roman" w:hAnsi="Times New Roman"/>
                <w:sz w:val="20"/>
                <w:szCs w:val="20"/>
              </w:rPr>
            </w:pPr>
            <w:r>
              <w:rPr>
                <w:rFonts w:ascii="Times New Roman" w:eastAsia="Times New Roman" w:hAnsi="Times New Roman" w:cs="Times New Roman"/>
                <w:sz w:val="20"/>
                <w:szCs w:val="20"/>
              </w:rPr>
              <w:t>YES</w:t>
            </w:r>
          </w:p>
        </w:tc>
        <w:tc>
          <w:tcPr>
            <w:tcW w:w="995" w:type="dxa"/>
            <w:tcBorders>
              <w:top w:val="nil"/>
              <w:left w:val="nil"/>
              <w:bottom w:val="nil"/>
              <w:right w:val="nil"/>
            </w:tcBorders>
          </w:tcPr>
          <w:p w14:paraId="0EE18E03" w14:textId="165D6E89" w:rsidR="001B1EAA" w:rsidRPr="001B1EAA" w:rsidRDefault="001B1EAA" w:rsidP="001B1EAA">
            <w:pPr>
              <w:spacing w:after="0"/>
              <w:ind w:right="-62"/>
              <w:rPr>
                <w:rFonts w:ascii="Times New Roman" w:eastAsia="Times New Roman" w:hAnsi="Times New Roman"/>
                <w:sz w:val="20"/>
                <w:szCs w:val="20"/>
              </w:rPr>
            </w:pPr>
            <w:r>
              <w:rPr>
                <w:rFonts w:ascii="Times New Roman" w:eastAsia="Times New Roman" w:hAnsi="Times New Roman" w:cs="Times New Roman"/>
                <w:sz w:val="20"/>
                <w:szCs w:val="20"/>
              </w:rPr>
              <w:t>YES</w:t>
            </w:r>
          </w:p>
        </w:tc>
      </w:tr>
      <w:tr w:rsidR="001B1EAA" w:rsidRPr="006B5786" w14:paraId="55666EC4" w14:textId="77777777" w:rsidTr="00D94751">
        <w:tc>
          <w:tcPr>
            <w:tcW w:w="3544" w:type="dxa"/>
            <w:tcBorders>
              <w:top w:val="nil"/>
              <w:left w:val="nil"/>
              <w:bottom w:val="nil"/>
              <w:right w:val="nil"/>
            </w:tcBorders>
          </w:tcPr>
          <w:p w14:paraId="09746631" w14:textId="77777777" w:rsidR="001B1EAA" w:rsidRPr="006B5786" w:rsidRDefault="001B1EAA" w:rsidP="001B1EAA">
            <w:pPr>
              <w:spacing w:after="0"/>
              <w:rPr>
                <w:rFonts w:ascii="Times New Roman" w:eastAsia="SimSun" w:hAnsi="Times New Roman"/>
                <w:color w:val="000000"/>
                <w:sz w:val="20"/>
                <w:szCs w:val="20"/>
                <w:lang w:val="en-US"/>
              </w:rPr>
            </w:pPr>
            <w:r w:rsidRPr="006B5786">
              <w:rPr>
                <w:rFonts w:ascii="Times New Roman" w:eastAsia="SimSun" w:hAnsi="Times New Roman"/>
                <w:color w:val="000000"/>
                <w:sz w:val="20"/>
                <w:szCs w:val="20"/>
                <w:lang w:val="en-US"/>
              </w:rPr>
              <w:t>Constant</w:t>
            </w:r>
          </w:p>
        </w:tc>
        <w:tc>
          <w:tcPr>
            <w:tcW w:w="992" w:type="dxa"/>
            <w:tcBorders>
              <w:top w:val="nil"/>
              <w:left w:val="nil"/>
              <w:bottom w:val="nil"/>
              <w:right w:val="nil"/>
            </w:tcBorders>
          </w:tcPr>
          <w:p w14:paraId="518118C0" w14:textId="1CB7BF80" w:rsidR="001B1EAA" w:rsidRPr="006B5786" w:rsidRDefault="001B1EAA" w:rsidP="001B1EAA">
            <w:pPr>
              <w:spacing w:after="0"/>
              <w:rPr>
                <w:rFonts w:ascii="Times New Roman" w:eastAsia="Times New Roman" w:hAnsi="Times New Roman"/>
                <w:sz w:val="20"/>
                <w:szCs w:val="20"/>
                <w:vertAlign w:val="superscript"/>
              </w:rPr>
            </w:pPr>
            <w:r w:rsidRPr="001B2C50">
              <w:rPr>
                <w:rFonts w:ascii="Times New Roman" w:eastAsia="Times New Roman" w:hAnsi="Times New Roman"/>
                <w:sz w:val="20"/>
                <w:szCs w:val="20"/>
              </w:rPr>
              <w:t>0.</w:t>
            </w:r>
            <w:r>
              <w:rPr>
                <w:rFonts w:ascii="Times New Roman" w:eastAsia="Times New Roman" w:hAnsi="Times New Roman"/>
                <w:sz w:val="20"/>
                <w:szCs w:val="20"/>
              </w:rPr>
              <w:t>304</w:t>
            </w:r>
            <w:r w:rsidRPr="006B5786">
              <w:rPr>
                <w:rFonts w:ascii="Times New Roman" w:eastAsia="Times New Roman" w:hAnsi="Times New Roman"/>
                <w:sz w:val="20"/>
                <w:szCs w:val="20"/>
                <w:vertAlign w:val="superscript"/>
              </w:rPr>
              <w:t>***</w:t>
            </w:r>
          </w:p>
        </w:tc>
        <w:tc>
          <w:tcPr>
            <w:tcW w:w="992" w:type="dxa"/>
            <w:tcBorders>
              <w:top w:val="nil"/>
              <w:left w:val="nil"/>
              <w:bottom w:val="nil"/>
              <w:right w:val="nil"/>
            </w:tcBorders>
          </w:tcPr>
          <w:p w14:paraId="609F6B5E" w14:textId="12FA6F06" w:rsidR="001B1EAA" w:rsidRPr="006B5786" w:rsidRDefault="001B1EAA" w:rsidP="001B1EAA">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w:t>
            </w:r>
            <w:r w:rsidR="00A73ED1">
              <w:rPr>
                <w:rFonts w:ascii="Times New Roman" w:eastAsia="Times New Roman" w:hAnsi="Times New Roman"/>
                <w:sz w:val="20"/>
                <w:szCs w:val="20"/>
              </w:rPr>
              <w:t>107</w:t>
            </w:r>
            <w:r w:rsidRPr="006B5786">
              <w:rPr>
                <w:rFonts w:ascii="Times New Roman" w:eastAsia="Times New Roman" w:hAnsi="Times New Roman"/>
                <w:sz w:val="20"/>
                <w:szCs w:val="20"/>
                <w:vertAlign w:val="superscript"/>
              </w:rPr>
              <w:t>***</w:t>
            </w:r>
          </w:p>
        </w:tc>
        <w:tc>
          <w:tcPr>
            <w:tcW w:w="992" w:type="dxa"/>
            <w:tcBorders>
              <w:top w:val="nil"/>
              <w:left w:val="nil"/>
              <w:bottom w:val="nil"/>
              <w:right w:val="nil"/>
            </w:tcBorders>
          </w:tcPr>
          <w:p w14:paraId="5EE6EB62" w14:textId="7CDE10D3" w:rsidR="001B1EAA" w:rsidRPr="006B5786" w:rsidRDefault="001B1EAA" w:rsidP="001B1EAA">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w:t>
            </w:r>
            <w:r w:rsidR="007C669F">
              <w:rPr>
                <w:rFonts w:ascii="Times New Roman" w:eastAsia="Times New Roman" w:hAnsi="Times New Roman"/>
                <w:sz w:val="20"/>
                <w:szCs w:val="20"/>
              </w:rPr>
              <w:t>418</w:t>
            </w:r>
            <w:r>
              <w:rPr>
                <w:rFonts w:ascii="Times New Roman" w:eastAsia="Times New Roman" w:hAnsi="Times New Roman"/>
                <w:sz w:val="20"/>
                <w:szCs w:val="20"/>
                <w:vertAlign w:val="superscript"/>
              </w:rPr>
              <w:t>***</w:t>
            </w:r>
          </w:p>
        </w:tc>
        <w:tc>
          <w:tcPr>
            <w:tcW w:w="236" w:type="dxa"/>
            <w:tcBorders>
              <w:top w:val="nil"/>
              <w:left w:val="nil"/>
              <w:bottom w:val="nil"/>
              <w:right w:val="nil"/>
            </w:tcBorders>
          </w:tcPr>
          <w:p w14:paraId="5BE10091" w14:textId="77777777" w:rsidR="001B1EAA" w:rsidRPr="006B5786" w:rsidRDefault="001B1EAA" w:rsidP="001B1EAA">
            <w:pPr>
              <w:spacing w:after="0"/>
              <w:rPr>
                <w:rFonts w:ascii="Times New Roman" w:eastAsia="Times New Roman" w:hAnsi="Times New Roman"/>
                <w:sz w:val="20"/>
                <w:szCs w:val="20"/>
              </w:rPr>
            </w:pPr>
          </w:p>
        </w:tc>
        <w:tc>
          <w:tcPr>
            <w:tcW w:w="1044" w:type="dxa"/>
            <w:tcBorders>
              <w:top w:val="nil"/>
              <w:left w:val="nil"/>
              <w:bottom w:val="nil"/>
              <w:right w:val="nil"/>
            </w:tcBorders>
          </w:tcPr>
          <w:p w14:paraId="61DF9F14" w14:textId="6FBDF164" w:rsidR="001B1EAA" w:rsidRPr="006B5786" w:rsidRDefault="001B1EAA" w:rsidP="001B1EAA">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w:t>
            </w:r>
            <w:r w:rsidR="00A535C5">
              <w:rPr>
                <w:rFonts w:ascii="Times New Roman" w:eastAsia="Times New Roman" w:hAnsi="Times New Roman"/>
                <w:sz w:val="20"/>
                <w:szCs w:val="20"/>
              </w:rPr>
              <w:t>306</w:t>
            </w:r>
            <w:r w:rsidRPr="006B5786">
              <w:rPr>
                <w:rFonts w:ascii="Times New Roman" w:eastAsia="Times New Roman" w:hAnsi="Times New Roman"/>
                <w:sz w:val="20"/>
                <w:szCs w:val="20"/>
                <w:vertAlign w:val="superscript"/>
              </w:rPr>
              <w:t>***</w:t>
            </w:r>
          </w:p>
        </w:tc>
        <w:tc>
          <w:tcPr>
            <w:tcW w:w="1133" w:type="dxa"/>
            <w:tcBorders>
              <w:top w:val="nil"/>
              <w:left w:val="nil"/>
              <w:bottom w:val="nil"/>
              <w:right w:val="nil"/>
            </w:tcBorders>
          </w:tcPr>
          <w:p w14:paraId="5AE6AB64" w14:textId="3120B03D" w:rsidR="001B1EAA" w:rsidRPr="006B5786" w:rsidRDefault="001B1EAA" w:rsidP="001B1EAA">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w:t>
            </w:r>
            <w:r w:rsidR="00B87CE5">
              <w:rPr>
                <w:rFonts w:ascii="Times New Roman" w:eastAsia="Times New Roman" w:hAnsi="Times New Roman"/>
                <w:sz w:val="20"/>
                <w:szCs w:val="20"/>
              </w:rPr>
              <w:t>122</w:t>
            </w:r>
            <w:r w:rsidRPr="006B5786">
              <w:rPr>
                <w:rFonts w:ascii="Times New Roman" w:eastAsia="Times New Roman" w:hAnsi="Times New Roman"/>
                <w:sz w:val="20"/>
                <w:szCs w:val="20"/>
                <w:vertAlign w:val="superscript"/>
              </w:rPr>
              <w:t>***</w:t>
            </w:r>
          </w:p>
        </w:tc>
        <w:tc>
          <w:tcPr>
            <w:tcW w:w="995" w:type="dxa"/>
            <w:tcBorders>
              <w:top w:val="nil"/>
              <w:left w:val="nil"/>
              <w:bottom w:val="nil"/>
              <w:right w:val="nil"/>
            </w:tcBorders>
          </w:tcPr>
          <w:p w14:paraId="5E49EF19" w14:textId="4FF06EE6" w:rsidR="001B1EAA" w:rsidRPr="006B5786" w:rsidRDefault="001B1EAA" w:rsidP="001B1EAA">
            <w:pPr>
              <w:spacing w:after="0"/>
              <w:rPr>
                <w:rFonts w:ascii="Times New Roman" w:eastAsia="Times New Roman" w:hAnsi="Times New Roman"/>
                <w:sz w:val="20"/>
                <w:szCs w:val="20"/>
                <w:vertAlign w:val="superscript"/>
              </w:rPr>
            </w:pPr>
            <w:r>
              <w:rPr>
                <w:rFonts w:ascii="Times New Roman" w:eastAsia="Times New Roman" w:hAnsi="Times New Roman"/>
                <w:sz w:val="20"/>
                <w:szCs w:val="20"/>
              </w:rPr>
              <w:t>0</w:t>
            </w:r>
            <w:r w:rsidR="006F00D1">
              <w:rPr>
                <w:rFonts w:ascii="Times New Roman" w:eastAsia="Times New Roman" w:hAnsi="Times New Roman"/>
                <w:sz w:val="20"/>
                <w:szCs w:val="20"/>
              </w:rPr>
              <w:t>440</w:t>
            </w:r>
            <w:r>
              <w:rPr>
                <w:rFonts w:ascii="Times New Roman" w:eastAsia="Times New Roman" w:hAnsi="Times New Roman"/>
                <w:sz w:val="20"/>
                <w:szCs w:val="20"/>
                <w:vertAlign w:val="superscript"/>
              </w:rPr>
              <w:t>***</w:t>
            </w:r>
          </w:p>
        </w:tc>
      </w:tr>
      <w:tr w:rsidR="001B1EAA" w:rsidRPr="006B5786" w14:paraId="05E873FD" w14:textId="77777777" w:rsidTr="00D94751">
        <w:tc>
          <w:tcPr>
            <w:tcW w:w="3544" w:type="dxa"/>
            <w:tcBorders>
              <w:top w:val="nil"/>
              <w:left w:val="nil"/>
              <w:right w:val="nil"/>
            </w:tcBorders>
          </w:tcPr>
          <w:p w14:paraId="680C43F5" w14:textId="134E5203" w:rsidR="001B1EAA" w:rsidRPr="006B5786" w:rsidRDefault="001B1EAA" w:rsidP="001B1EAA">
            <w:pPr>
              <w:spacing w:after="0"/>
              <w:rPr>
                <w:rFonts w:ascii="Times New Roman" w:eastAsia="SimSun" w:hAnsi="Times New Roman"/>
                <w:color w:val="000000"/>
                <w:sz w:val="20"/>
                <w:szCs w:val="20"/>
                <w:lang w:val="en-US"/>
              </w:rPr>
            </w:pPr>
            <w:r w:rsidRPr="006B5786">
              <w:rPr>
                <w:rFonts w:ascii="Times New Roman" w:eastAsia="SimSun" w:hAnsi="Times New Roman"/>
                <w:i/>
                <w:sz w:val="20"/>
                <w:szCs w:val="20"/>
                <w:lang w:val="en-US"/>
              </w:rPr>
              <w:t>R</w:t>
            </w:r>
            <w:r>
              <w:rPr>
                <w:rFonts w:ascii="Times New Roman" w:eastAsia="SimSun" w:hAnsi="Times New Roman"/>
                <w:i/>
                <w:sz w:val="20"/>
                <w:szCs w:val="20"/>
                <w:lang w:val="en-US"/>
              </w:rPr>
              <w:t>-sq</w:t>
            </w:r>
          </w:p>
        </w:tc>
        <w:tc>
          <w:tcPr>
            <w:tcW w:w="992" w:type="dxa"/>
            <w:tcBorders>
              <w:top w:val="nil"/>
              <w:left w:val="nil"/>
              <w:right w:val="nil"/>
            </w:tcBorders>
          </w:tcPr>
          <w:p w14:paraId="39980EF5" w14:textId="1C6DFDCC" w:rsidR="001B1EAA" w:rsidRPr="006B5786" w:rsidRDefault="001B1EAA" w:rsidP="001B1EAA">
            <w:pPr>
              <w:spacing w:after="0"/>
              <w:rPr>
                <w:rFonts w:ascii="Times New Roman" w:eastAsia="Times New Roman" w:hAnsi="Times New Roman"/>
                <w:sz w:val="20"/>
                <w:szCs w:val="20"/>
              </w:rPr>
            </w:pPr>
            <w:r>
              <w:rPr>
                <w:rFonts w:ascii="Times New Roman" w:eastAsia="Times New Roman" w:hAnsi="Times New Roman"/>
                <w:sz w:val="20"/>
                <w:szCs w:val="20"/>
              </w:rPr>
              <w:t>0.518</w:t>
            </w:r>
          </w:p>
        </w:tc>
        <w:tc>
          <w:tcPr>
            <w:tcW w:w="992" w:type="dxa"/>
            <w:tcBorders>
              <w:top w:val="nil"/>
              <w:left w:val="nil"/>
              <w:right w:val="nil"/>
            </w:tcBorders>
          </w:tcPr>
          <w:p w14:paraId="198297A3" w14:textId="28A3B367" w:rsidR="001B1EAA" w:rsidRPr="006B5786" w:rsidRDefault="00A73ED1" w:rsidP="001B1EAA">
            <w:pPr>
              <w:spacing w:after="0"/>
              <w:rPr>
                <w:rFonts w:ascii="Times New Roman" w:eastAsia="Times New Roman" w:hAnsi="Times New Roman"/>
                <w:sz w:val="20"/>
                <w:szCs w:val="20"/>
              </w:rPr>
            </w:pPr>
            <w:r>
              <w:rPr>
                <w:rFonts w:ascii="Times New Roman" w:eastAsia="Times New Roman" w:hAnsi="Times New Roman"/>
                <w:sz w:val="20"/>
                <w:szCs w:val="20"/>
              </w:rPr>
              <w:t>0.270</w:t>
            </w:r>
          </w:p>
        </w:tc>
        <w:tc>
          <w:tcPr>
            <w:tcW w:w="992" w:type="dxa"/>
            <w:tcBorders>
              <w:top w:val="nil"/>
              <w:left w:val="nil"/>
              <w:right w:val="nil"/>
            </w:tcBorders>
          </w:tcPr>
          <w:p w14:paraId="41FFF865" w14:textId="6A468316" w:rsidR="001B1EAA" w:rsidRPr="006B5786" w:rsidRDefault="001B1EAA" w:rsidP="001B1EAA">
            <w:pPr>
              <w:spacing w:after="0"/>
              <w:rPr>
                <w:rFonts w:ascii="Times New Roman" w:eastAsia="Times New Roman" w:hAnsi="Times New Roman"/>
                <w:sz w:val="20"/>
                <w:szCs w:val="20"/>
              </w:rPr>
            </w:pPr>
            <w:r>
              <w:rPr>
                <w:rFonts w:ascii="Times New Roman" w:eastAsia="Times New Roman" w:hAnsi="Times New Roman"/>
                <w:sz w:val="20"/>
                <w:szCs w:val="20"/>
              </w:rPr>
              <w:t>0.</w:t>
            </w:r>
            <w:r w:rsidR="00A73ED1">
              <w:rPr>
                <w:rFonts w:ascii="Times New Roman" w:eastAsia="Times New Roman" w:hAnsi="Times New Roman"/>
                <w:sz w:val="20"/>
                <w:szCs w:val="20"/>
              </w:rPr>
              <w:t>513</w:t>
            </w:r>
          </w:p>
        </w:tc>
        <w:tc>
          <w:tcPr>
            <w:tcW w:w="236" w:type="dxa"/>
            <w:tcBorders>
              <w:top w:val="nil"/>
              <w:left w:val="nil"/>
              <w:right w:val="nil"/>
            </w:tcBorders>
          </w:tcPr>
          <w:p w14:paraId="13E90CAA" w14:textId="77777777" w:rsidR="001B1EAA" w:rsidRPr="006B5786" w:rsidRDefault="001B1EAA" w:rsidP="001B1EAA">
            <w:pPr>
              <w:spacing w:after="0"/>
              <w:rPr>
                <w:rFonts w:ascii="Times New Roman" w:eastAsia="Times New Roman" w:hAnsi="Times New Roman"/>
                <w:sz w:val="20"/>
                <w:szCs w:val="20"/>
              </w:rPr>
            </w:pPr>
          </w:p>
        </w:tc>
        <w:tc>
          <w:tcPr>
            <w:tcW w:w="1044" w:type="dxa"/>
            <w:tcBorders>
              <w:top w:val="nil"/>
              <w:left w:val="nil"/>
              <w:right w:val="nil"/>
            </w:tcBorders>
          </w:tcPr>
          <w:p w14:paraId="6E97A4A8" w14:textId="553AC167" w:rsidR="001B1EAA" w:rsidRPr="006B5786" w:rsidRDefault="001B1EAA" w:rsidP="001B1EAA">
            <w:pPr>
              <w:spacing w:after="0"/>
              <w:rPr>
                <w:rFonts w:ascii="Times New Roman" w:eastAsia="Times New Roman" w:hAnsi="Times New Roman"/>
                <w:sz w:val="20"/>
                <w:szCs w:val="20"/>
              </w:rPr>
            </w:pPr>
            <w:r>
              <w:rPr>
                <w:rFonts w:ascii="Times New Roman" w:eastAsia="Times New Roman" w:hAnsi="Times New Roman"/>
                <w:sz w:val="20"/>
                <w:szCs w:val="20"/>
              </w:rPr>
              <w:t>0.</w:t>
            </w:r>
            <w:r w:rsidR="00A535C5">
              <w:rPr>
                <w:rFonts w:ascii="Times New Roman" w:eastAsia="Times New Roman" w:hAnsi="Times New Roman"/>
                <w:sz w:val="20"/>
                <w:szCs w:val="20"/>
              </w:rPr>
              <w:t>424</w:t>
            </w:r>
          </w:p>
        </w:tc>
        <w:tc>
          <w:tcPr>
            <w:tcW w:w="1133" w:type="dxa"/>
            <w:tcBorders>
              <w:top w:val="nil"/>
              <w:left w:val="nil"/>
              <w:right w:val="nil"/>
            </w:tcBorders>
          </w:tcPr>
          <w:p w14:paraId="4A94A523" w14:textId="4C2BB69F" w:rsidR="001B1EAA" w:rsidRPr="006B5786" w:rsidRDefault="001B1EAA" w:rsidP="001B1EAA">
            <w:pPr>
              <w:spacing w:after="0"/>
              <w:rPr>
                <w:rFonts w:ascii="Times New Roman" w:eastAsia="Times New Roman" w:hAnsi="Times New Roman"/>
                <w:sz w:val="20"/>
                <w:szCs w:val="20"/>
              </w:rPr>
            </w:pPr>
            <w:r>
              <w:rPr>
                <w:rFonts w:ascii="Times New Roman" w:eastAsia="Times New Roman" w:hAnsi="Times New Roman"/>
                <w:sz w:val="20"/>
                <w:szCs w:val="20"/>
              </w:rPr>
              <w:t>0.</w:t>
            </w:r>
            <w:r w:rsidR="00A535C5">
              <w:rPr>
                <w:rFonts w:ascii="Times New Roman" w:eastAsia="Times New Roman" w:hAnsi="Times New Roman"/>
                <w:sz w:val="20"/>
                <w:szCs w:val="20"/>
              </w:rPr>
              <w:t>180</w:t>
            </w:r>
          </w:p>
        </w:tc>
        <w:tc>
          <w:tcPr>
            <w:tcW w:w="995" w:type="dxa"/>
            <w:tcBorders>
              <w:top w:val="nil"/>
              <w:left w:val="nil"/>
              <w:right w:val="nil"/>
            </w:tcBorders>
          </w:tcPr>
          <w:p w14:paraId="438FFCF7" w14:textId="2A701C12" w:rsidR="001B1EAA" w:rsidRPr="006B5786" w:rsidRDefault="001B1EAA" w:rsidP="001B1EAA">
            <w:pPr>
              <w:spacing w:after="0"/>
              <w:rPr>
                <w:rFonts w:ascii="Times New Roman" w:eastAsia="Times New Roman" w:hAnsi="Times New Roman"/>
                <w:sz w:val="20"/>
                <w:szCs w:val="20"/>
              </w:rPr>
            </w:pPr>
            <w:r>
              <w:rPr>
                <w:rFonts w:ascii="Times New Roman" w:eastAsia="Times New Roman" w:hAnsi="Times New Roman"/>
                <w:sz w:val="20"/>
                <w:szCs w:val="20"/>
              </w:rPr>
              <w:t>0.</w:t>
            </w:r>
            <w:r w:rsidR="00B87CE5">
              <w:rPr>
                <w:rFonts w:ascii="Times New Roman" w:eastAsia="Times New Roman" w:hAnsi="Times New Roman"/>
                <w:sz w:val="20"/>
                <w:szCs w:val="20"/>
              </w:rPr>
              <w:t>406</w:t>
            </w:r>
          </w:p>
        </w:tc>
      </w:tr>
      <w:tr w:rsidR="001B1EAA" w:rsidRPr="006B5786" w14:paraId="40669732" w14:textId="77777777" w:rsidTr="00D94751">
        <w:tc>
          <w:tcPr>
            <w:tcW w:w="3544" w:type="dxa"/>
            <w:tcBorders>
              <w:top w:val="nil"/>
              <w:left w:val="nil"/>
              <w:bottom w:val="single" w:sz="4" w:space="0" w:color="auto"/>
              <w:right w:val="nil"/>
            </w:tcBorders>
          </w:tcPr>
          <w:p w14:paraId="41B665BC" w14:textId="5B9367F8" w:rsidR="001B1EAA" w:rsidRPr="006B5786" w:rsidRDefault="001B1EAA" w:rsidP="001B1EAA">
            <w:pPr>
              <w:spacing w:after="0"/>
              <w:rPr>
                <w:rFonts w:ascii="Times New Roman" w:eastAsia="SimSun" w:hAnsi="Times New Roman"/>
                <w:color w:val="000000"/>
                <w:sz w:val="20"/>
                <w:szCs w:val="20"/>
                <w:lang w:val="en-US"/>
              </w:rPr>
            </w:pPr>
            <w:r w:rsidRPr="00F5674C">
              <w:rPr>
                <w:rFonts w:ascii="Times New Roman" w:eastAsia="SimSun" w:hAnsi="Times New Roman" w:cs="Times New Roman"/>
                <w:color w:val="000000"/>
                <w:sz w:val="20"/>
                <w:szCs w:val="20"/>
                <w:lang w:val="en-US"/>
              </w:rPr>
              <w:t>N</w:t>
            </w:r>
            <w:r>
              <w:rPr>
                <w:rFonts w:ascii="Times New Roman" w:eastAsia="SimSun" w:hAnsi="Times New Roman" w:cs="Times New Roman"/>
                <w:color w:val="000000"/>
                <w:sz w:val="20"/>
                <w:szCs w:val="20"/>
                <w:lang w:val="en-US"/>
              </w:rPr>
              <w:t>umber of observations</w:t>
            </w:r>
          </w:p>
        </w:tc>
        <w:tc>
          <w:tcPr>
            <w:tcW w:w="992" w:type="dxa"/>
            <w:tcBorders>
              <w:top w:val="nil"/>
              <w:left w:val="nil"/>
              <w:bottom w:val="single" w:sz="4" w:space="0" w:color="auto"/>
              <w:right w:val="nil"/>
            </w:tcBorders>
          </w:tcPr>
          <w:p w14:paraId="0D69B950" w14:textId="77777777" w:rsidR="001B1EAA" w:rsidRPr="006B5786" w:rsidRDefault="001B1EAA" w:rsidP="001B1EAA">
            <w:pPr>
              <w:spacing w:after="0"/>
              <w:rPr>
                <w:rFonts w:ascii="Times New Roman" w:eastAsia="Times New Roman" w:hAnsi="Times New Roman"/>
                <w:sz w:val="20"/>
                <w:szCs w:val="20"/>
              </w:rPr>
            </w:pPr>
            <w:r w:rsidRPr="006B5786">
              <w:rPr>
                <w:rFonts w:ascii="Times New Roman" w:eastAsia="Times New Roman" w:hAnsi="Times New Roman"/>
                <w:sz w:val="20"/>
                <w:szCs w:val="20"/>
              </w:rPr>
              <w:t>702</w:t>
            </w:r>
          </w:p>
        </w:tc>
        <w:tc>
          <w:tcPr>
            <w:tcW w:w="992" w:type="dxa"/>
            <w:tcBorders>
              <w:top w:val="nil"/>
              <w:left w:val="nil"/>
              <w:bottom w:val="single" w:sz="4" w:space="0" w:color="auto"/>
              <w:right w:val="nil"/>
            </w:tcBorders>
          </w:tcPr>
          <w:p w14:paraId="2BF6E7A3" w14:textId="77777777" w:rsidR="001B1EAA" w:rsidRPr="006B5786" w:rsidRDefault="001B1EAA" w:rsidP="001B1EAA">
            <w:pPr>
              <w:spacing w:after="0"/>
              <w:rPr>
                <w:rFonts w:ascii="Times New Roman" w:eastAsia="Times New Roman" w:hAnsi="Times New Roman"/>
                <w:sz w:val="20"/>
                <w:szCs w:val="20"/>
              </w:rPr>
            </w:pPr>
            <w:r w:rsidRPr="006B5786">
              <w:rPr>
                <w:rFonts w:ascii="Times New Roman" w:eastAsia="Times New Roman" w:hAnsi="Times New Roman"/>
                <w:sz w:val="20"/>
                <w:szCs w:val="20"/>
              </w:rPr>
              <w:t>702</w:t>
            </w:r>
          </w:p>
        </w:tc>
        <w:tc>
          <w:tcPr>
            <w:tcW w:w="992" w:type="dxa"/>
            <w:tcBorders>
              <w:top w:val="nil"/>
              <w:left w:val="nil"/>
              <w:bottom w:val="single" w:sz="4" w:space="0" w:color="auto"/>
              <w:right w:val="nil"/>
            </w:tcBorders>
          </w:tcPr>
          <w:p w14:paraId="3A212D2F" w14:textId="77777777" w:rsidR="001B1EAA" w:rsidRPr="006B5786" w:rsidRDefault="001B1EAA" w:rsidP="001B1EAA">
            <w:pPr>
              <w:spacing w:after="0"/>
              <w:rPr>
                <w:rFonts w:ascii="Times New Roman" w:eastAsia="Times New Roman" w:hAnsi="Times New Roman"/>
                <w:sz w:val="20"/>
                <w:szCs w:val="20"/>
              </w:rPr>
            </w:pPr>
            <w:r>
              <w:rPr>
                <w:rFonts w:ascii="Times New Roman" w:eastAsia="Times New Roman" w:hAnsi="Times New Roman"/>
                <w:sz w:val="20"/>
                <w:szCs w:val="20"/>
              </w:rPr>
              <w:t>702</w:t>
            </w:r>
          </w:p>
        </w:tc>
        <w:tc>
          <w:tcPr>
            <w:tcW w:w="236" w:type="dxa"/>
            <w:tcBorders>
              <w:top w:val="nil"/>
              <w:left w:val="nil"/>
              <w:bottom w:val="single" w:sz="4" w:space="0" w:color="auto"/>
              <w:right w:val="nil"/>
            </w:tcBorders>
          </w:tcPr>
          <w:p w14:paraId="25CF3D2A" w14:textId="77777777" w:rsidR="001B1EAA" w:rsidRPr="006B5786" w:rsidRDefault="001B1EAA" w:rsidP="001B1EAA">
            <w:pPr>
              <w:spacing w:after="0"/>
              <w:rPr>
                <w:rFonts w:ascii="Times New Roman" w:eastAsia="Times New Roman" w:hAnsi="Times New Roman"/>
                <w:sz w:val="20"/>
                <w:szCs w:val="20"/>
              </w:rPr>
            </w:pPr>
          </w:p>
        </w:tc>
        <w:tc>
          <w:tcPr>
            <w:tcW w:w="1044" w:type="dxa"/>
            <w:tcBorders>
              <w:top w:val="nil"/>
              <w:left w:val="nil"/>
              <w:bottom w:val="single" w:sz="4" w:space="0" w:color="auto"/>
              <w:right w:val="nil"/>
            </w:tcBorders>
          </w:tcPr>
          <w:p w14:paraId="1A6A4CFA" w14:textId="77777777" w:rsidR="001B1EAA" w:rsidRPr="006B5786" w:rsidRDefault="001B1EAA" w:rsidP="001B1EAA">
            <w:pPr>
              <w:spacing w:after="0"/>
              <w:rPr>
                <w:rFonts w:ascii="Times New Roman" w:eastAsia="Times New Roman" w:hAnsi="Times New Roman"/>
                <w:sz w:val="20"/>
                <w:szCs w:val="20"/>
              </w:rPr>
            </w:pPr>
            <w:r w:rsidRPr="006B5786">
              <w:rPr>
                <w:rFonts w:ascii="Times New Roman" w:eastAsia="Times New Roman" w:hAnsi="Times New Roman"/>
                <w:sz w:val="20"/>
                <w:szCs w:val="20"/>
              </w:rPr>
              <w:t>702</w:t>
            </w:r>
          </w:p>
        </w:tc>
        <w:tc>
          <w:tcPr>
            <w:tcW w:w="1133" w:type="dxa"/>
            <w:tcBorders>
              <w:top w:val="nil"/>
              <w:left w:val="nil"/>
              <w:bottom w:val="single" w:sz="4" w:space="0" w:color="auto"/>
              <w:right w:val="nil"/>
            </w:tcBorders>
          </w:tcPr>
          <w:p w14:paraId="7B17C8B1" w14:textId="77777777" w:rsidR="001B1EAA" w:rsidRPr="006B5786" w:rsidRDefault="001B1EAA" w:rsidP="001B1EAA">
            <w:pPr>
              <w:spacing w:after="0"/>
              <w:rPr>
                <w:rFonts w:ascii="Times New Roman" w:eastAsia="Times New Roman" w:hAnsi="Times New Roman"/>
                <w:sz w:val="20"/>
                <w:szCs w:val="20"/>
              </w:rPr>
            </w:pPr>
            <w:r w:rsidRPr="006B5786">
              <w:rPr>
                <w:rFonts w:ascii="Times New Roman" w:eastAsia="Times New Roman" w:hAnsi="Times New Roman"/>
                <w:sz w:val="20"/>
                <w:szCs w:val="20"/>
              </w:rPr>
              <w:t>702</w:t>
            </w:r>
          </w:p>
        </w:tc>
        <w:tc>
          <w:tcPr>
            <w:tcW w:w="995" w:type="dxa"/>
            <w:tcBorders>
              <w:top w:val="nil"/>
              <w:left w:val="nil"/>
              <w:bottom w:val="single" w:sz="4" w:space="0" w:color="auto"/>
              <w:right w:val="nil"/>
            </w:tcBorders>
          </w:tcPr>
          <w:p w14:paraId="5A7B1F24" w14:textId="77777777" w:rsidR="001B1EAA" w:rsidRPr="006B5786" w:rsidRDefault="001B1EAA" w:rsidP="001B1EAA">
            <w:pPr>
              <w:spacing w:after="0"/>
              <w:rPr>
                <w:rFonts w:ascii="Times New Roman" w:eastAsia="Times New Roman" w:hAnsi="Times New Roman"/>
                <w:sz w:val="20"/>
                <w:szCs w:val="20"/>
              </w:rPr>
            </w:pPr>
            <w:r>
              <w:rPr>
                <w:rFonts w:ascii="Times New Roman" w:eastAsia="Times New Roman" w:hAnsi="Times New Roman"/>
                <w:sz w:val="20"/>
                <w:szCs w:val="20"/>
              </w:rPr>
              <w:t>702</w:t>
            </w:r>
          </w:p>
        </w:tc>
      </w:tr>
      <w:tr w:rsidR="001B1EAA" w:rsidRPr="006B5786" w14:paraId="6FAD8655" w14:textId="77777777" w:rsidTr="00D94751">
        <w:tc>
          <w:tcPr>
            <w:tcW w:w="9924" w:type="dxa"/>
            <w:gridSpan w:val="8"/>
            <w:tcBorders>
              <w:top w:val="single" w:sz="4" w:space="0" w:color="auto"/>
              <w:left w:val="nil"/>
              <w:right w:val="nil"/>
            </w:tcBorders>
          </w:tcPr>
          <w:p w14:paraId="3AC34151" w14:textId="5C71045E" w:rsidR="001B1EAA" w:rsidRPr="00B40B21" w:rsidRDefault="001B1EAA" w:rsidP="001B1EAA">
            <w:pPr>
              <w:spacing w:after="0"/>
              <w:rPr>
                <w:rFonts w:ascii="Times New Roman" w:hAnsi="Times New Roman"/>
                <w:sz w:val="16"/>
                <w:szCs w:val="16"/>
                <w:lang w:val="en-US"/>
              </w:rPr>
            </w:pPr>
            <w:r w:rsidRPr="006B5786">
              <w:rPr>
                <w:rFonts w:ascii="Times New Roman" w:eastAsia="Times New Roman" w:hAnsi="Times New Roman"/>
                <w:color w:val="000000"/>
                <w:sz w:val="20"/>
                <w:szCs w:val="20"/>
                <w:lang w:val="en-US" w:eastAsia="en-GB"/>
              </w:rPr>
              <w:t xml:space="preserve">Please </w:t>
            </w:r>
            <w:r w:rsidR="00E56A18">
              <w:rPr>
                <w:rFonts w:ascii="Times New Roman" w:eastAsia="Times New Roman" w:hAnsi="Times New Roman"/>
                <w:color w:val="000000"/>
                <w:sz w:val="20"/>
                <w:szCs w:val="20"/>
                <w:lang w:val="en-US" w:eastAsia="en-GB"/>
              </w:rPr>
              <w:t>refer to the</w:t>
            </w:r>
            <w:r w:rsidRPr="006B5786">
              <w:rPr>
                <w:rFonts w:ascii="Times New Roman" w:eastAsia="Times New Roman" w:hAnsi="Times New Roman"/>
                <w:color w:val="000000"/>
                <w:sz w:val="20"/>
                <w:szCs w:val="20"/>
                <w:lang w:val="en-US" w:eastAsia="en-GB"/>
              </w:rPr>
              <w:t xml:space="preserve"> </w:t>
            </w:r>
            <w:r w:rsidRPr="008113B5">
              <w:rPr>
                <w:rFonts w:ascii="Times New Roman" w:eastAsia="Times New Roman" w:hAnsi="Times New Roman"/>
                <w:b/>
                <w:bCs/>
                <w:i/>
                <w:iCs/>
                <w:color w:val="000000"/>
                <w:sz w:val="20"/>
                <w:szCs w:val="20"/>
                <w:lang w:val="en-US" w:eastAsia="en-GB"/>
              </w:rPr>
              <w:t>online Appendix 1</w:t>
            </w:r>
            <w:r w:rsidRPr="006B5786">
              <w:rPr>
                <w:rFonts w:ascii="Times New Roman" w:eastAsia="Times New Roman" w:hAnsi="Times New Roman"/>
                <w:color w:val="000000"/>
                <w:sz w:val="20"/>
                <w:szCs w:val="20"/>
                <w:lang w:val="en-US" w:eastAsia="en-GB"/>
              </w:rPr>
              <w:t xml:space="preserve"> for variable definitions.</w:t>
            </w:r>
            <w:r>
              <w:rPr>
                <w:rFonts w:ascii="Times New Roman" w:eastAsia="Times New Roman" w:hAnsi="Times New Roman"/>
                <w:color w:val="000000"/>
                <w:sz w:val="20"/>
                <w:szCs w:val="20"/>
                <w:lang w:val="en-US" w:eastAsia="en-GB"/>
              </w:rPr>
              <w:t xml:space="preserve"> </w:t>
            </w:r>
            <w:r w:rsidRPr="00B40B21">
              <w:rPr>
                <w:rFonts w:ascii="Times New Roman" w:hAnsi="Times New Roman"/>
                <w:sz w:val="20"/>
                <w:szCs w:val="20"/>
                <w:lang w:val="en-US"/>
              </w:rPr>
              <w:t>*** Significance at the 1% level (p&lt;0.01)</w:t>
            </w:r>
            <w:r>
              <w:rPr>
                <w:rFonts w:ascii="Times New Roman" w:hAnsi="Times New Roman"/>
                <w:sz w:val="20"/>
                <w:szCs w:val="20"/>
                <w:lang w:val="en-US"/>
              </w:rPr>
              <w:t xml:space="preserve">, </w:t>
            </w:r>
            <w:r w:rsidRPr="00B40B21">
              <w:rPr>
                <w:rFonts w:ascii="Times New Roman" w:hAnsi="Times New Roman"/>
                <w:sz w:val="20"/>
                <w:szCs w:val="20"/>
                <w:lang w:val="en-US"/>
              </w:rPr>
              <w:t>** Significance at the 5% level (p&lt;0.05)</w:t>
            </w:r>
            <w:r>
              <w:rPr>
                <w:rFonts w:ascii="Times New Roman" w:hAnsi="Times New Roman"/>
                <w:sz w:val="20"/>
                <w:szCs w:val="20"/>
                <w:lang w:val="en-US"/>
              </w:rPr>
              <w:t xml:space="preserve"> and </w:t>
            </w:r>
            <w:r w:rsidRPr="00B40B21">
              <w:rPr>
                <w:rFonts w:ascii="Times New Roman" w:hAnsi="Times New Roman"/>
                <w:sz w:val="20"/>
                <w:szCs w:val="20"/>
                <w:lang w:val="en-US"/>
              </w:rPr>
              <w:t>* Significance at the 10% level (p&lt;0.10).</w:t>
            </w:r>
          </w:p>
        </w:tc>
      </w:tr>
    </w:tbl>
    <w:p w14:paraId="62A31B7F" w14:textId="77777777" w:rsidR="00F8030B" w:rsidRDefault="00F8030B" w:rsidP="00855220"/>
    <w:p w14:paraId="3365B5E8" w14:textId="77777777" w:rsidR="00F8030B" w:rsidRDefault="00F8030B" w:rsidP="00855220"/>
    <w:p w14:paraId="0862448B" w14:textId="77777777" w:rsidR="00F8030B" w:rsidRDefault="00F8030B" w:rsidP="00855220"/>
    <w:p w14:paraId="4C9A9E94" w14:textId="77777777" w:rsidR="00F8030B" w:rsidRDefault="00F8030B" w:rsidP="00855220"/>
    <w:p w14:paraId="1F3B63D1" w14:textId="77777777" w:rsidR="00F8030B" w:rsidRDefault="00F8030B" w:rsidP="00855220"/>
    <w:p w14:paraId="6780E60D" w14:textId="77777777" w:rsidR="00FF46C2" w:rsidRDefault="00FF46C2" w:rsidP="00855220">
      <w:pPr>
        <w:sectPr w:rsidR="00FF46C2" w:rsidSect="00F8030B">
          <w:pgSz w:w="11906" w:h="16838"/>
          <w:pgMar w:top="1440" w:right="1440" w:bottom="1440" w:left="1440" w:header="720" w:footer="720" w:gutter="0"/>
          <w:cols w:space="720"/>
          <w:docGrid w:linePitch="299"/>
        </w:sectPr>
      </w:pPr>
    </w:p>
    <w:tbl>
      <w:tblPr>
        <w:tblpPr w:leftFromText="180" w:rightFromText="180" w:vertAnchor="page" w:horzAnchor="margin" w:tblpY="2497"/>
        <w:tblW w:w="9364" w:type="dxa"/>
        <w:tblLayout w:type="fixed"/>
        <w:tblLook w:val="04A0" w:firstRow="1" w:lastRow="0" w:firstColumn="1" w:lastColumn="0" w:noHBand="0" w:noVBand="1"/>
      </w:tblPr>
      <w:tblGrid>
        <w:gridCol w:w="3261"/>
        <w:gridCol w:w="1701"/>
        <w:gridCol w:w="1275"/>
        <w:gridCol w:w="284"/>
        <w:gridCol w:w="1418"/>
        <w:gridCol w:w="1425"/>
      </w:tblGrid>
      <w:tr w:rsidR="008E418C" w:rsidRPr="00821532" w14:paraId="79734438" w14:textId="77777777" w:rsidTr="00D31048">
        <w:tc>
          <w:tcPr>
            <w:tcW w:w="9364" w:type="dxa"/>
            <w:gridSpan w:val="6"/>
            <w:tcBorders>
              <w:left w:val="nil"/>
              <w:bottom w:val="single" w:sz="12" w:space="0" w:color="auto"/>
              <w:right w:val="nil"/>
            </w:tcBorders>
          </w:tcPr>
          <w:p w14:paraId="1E95F20B" w14:textId="6305A327" w:rsidR="008E418C" w:rsidRPr="00821532" w:rsidRDefault="008E418C" w:rsidP="00D31048">
            <w:pPr>
              <w:spacing w:after="0"/>
              <w:rPr>
                <w:rFonts w:ascii="Times New Roman" w:eastAsia="Calibri" w:hAnsi="Times New Roman" w:cs="Arial"/>
                <w:sz w:val="20"/>
                <w:szCs w:val="20"/>
                <w:lang w:val="en-US" w:eastAsia="zh-CN"/>
              </w:rPr>
            </w:pPr>
            <w:r w:rsidRPr="00821532">
              <w:rPr>
                <w:rFonts w:ascii="Times New Roman" w:eastAsia="Times New Roman" w:hAnsi="Times New Roman" w:cs="Times New Roman"/>
                <w:b/>
                <w:bCs/>
                <w:sz w:val="20"/>
                <w:szCs w:val="20"/>
                <w:lang w:val="en-US" w:eastAsia="zh-CN"/>
              </w:rPr>
              <w:lastRenderedPageBreak/>
              <w:t xml:space="preserve">Table </w:t>
            </w:r>
            <w:r>
              <w:rPr>
                <w:rFonts w:ascii="Times New Roman" w:eastAsia="Times New Roman" w:hAnsi="Times New Roman" w:cs="Times New Roman"/>
                <w:b/>
                <w:bCs/>
                <w:sz w:val="20"/>
                <w:szCs w:val="20"/>
                <w:lang w:val="en-US" w:eastAsia="zh-CN"/>
              </w:rPr>
              <w:t>3</w:t>
            </w:r>
            <w:r w:rsidRPr="00821532">
              <w:rPr>
                <w:rFonts w:ascii="Times New Roman" w:eastAsia="Times New Roman" w:hAnsi="Times New Roman" w:cs="Times New Roman"/>
                <w:b/>
                <w:bCs/>
                <w:sz w:val="20"/>
                <w:szCs w:val="20"/>
                <w:lang w:val="en-US" w:eastAsia="zh-CN"/>
              </w:rPr>
              <w:t xml:space="preserve">. </w:t>
            </w:r>
            <w:r w:rsidRPr="00821532">
              <w:rPr>
                <w:rFonts w:ascii="Times New Roman" w:eastAsia="Times New Roman" w:hAnsi="Times New Roman" w:cs="Times New Roman"/>
                <w:bCs/>
                <w:sz w:val="20"/>
                <w:szCs w:val="20"/>
                <w:lang w:val="en-US" w:eastAsia="zh-CN"/>
              </w:rPr>
              <w:t>The moderation effect of VC characteristics on the performance–pay nexus</w:t>
            </w:r>
          </w:p>
        </w:tc>
      </w:tr>
      <w:tr w:rsidR="008E418C" w:rsidRPr="00821532" w14:paraId="6E53CE8F" w14:textId="77777777" w:rsidTr="00D31048">
        <w:tc>
          <w:tcPr>
            <w:tcW w:w="3261" w:type="dxa"/>
            <w:vMerge w:val="restart"/>
            <w:tcBorders>
              <w:top w:val="single" w:sz="12" w:space="0" w:color="auto"/>
              <w:left w:val="nil"/>
              <w:bottom w:val="single" w:sz="2" w:space="0" w:color="auto"/>
              <w:right w:val="nil"/>
            </w:tcBorders>
          </w:tcPr>
          <w:p w14:paraId="560D0956" w14:textId="77777777" w:rsidR="008E418C" w:rsidRPr="00821532" w:rsidRDefault="008E418C" w:rsidP="00D31048">
            <w:pPr>
              <w:spacing w:after="0"/>
              <w:rPr>
                <w:rFonts w:ascii="Times New Roman" w:eastAsia="Times New Roman" w:hAnsi="Times New Roman" w:cs="Times New Roman"/>
                <w:sz w:val="20"/>
                <w:szCs w:val="20"/>
              </w:rPr>
            </w:pPr>
            <w:r w:rsidRPr="00821532">
              <w:rPr>
                <w:rFonts w:ascii="Times New Roman" w:eastAsia="Times New Roman" w:hAnsi="Times New Roman" w:cs="Times New Roman"/>
                <w:sz w:val="20"/>
                <w:szCs w:val="20"/>
              </w:rPr>
              <w:t>Dep. Variable</w:t>
            </w:r>
          </w:p>
          <w:p w14:paraId="4D2BFEC9" w14:textId="77777777" w:rsidR="008E418C" w:rsidRDefault="008E418C" w:rsidP="00D31048">
            <w:pPr>
              <w:spacing w:after="0"/>
              <w:rPr>
                <w:rFonts w:ascii="Times New Roman" w:eastAsia="Times New Roman" w:hAnsi="Times New Roman" w:cs="Times New Roman"/>
                <w:sz w:val="20"/>
                <w:szCs w:val="20"/>
              </w:rPr>
            </w:pPr>
          </w:p>
          <w:p w14:paraId="2BDA36FE" w14:textId="77777777" w:rsidR="008E418C" w:rsidRDefault="008E418C" w:rsidP="00D31048">
            <w:pPr>
              <w:spacing w:after="0"/>
              <w:rPr>
                <w:rFonts w:ascii="Times New Roman" w:eastAsia="Times New Roman" w:hAnsi="Times New Roman" w:cs="Times New Roman"/>
                <w:sz w:val="20"/>
                <w:szCs w:val="20"/>
              </w:rPr>
            </w:pPr>
          </w:p>
          <w:p w14:paraId="6D7C7D2C" w14:textId="77777777" w:rsidR="008E418C" w:rsidRPr="00821532" w:rsidRDefault="008E418C" w:rsidP="00D31048">
            <w:pPr>
              <w:spacing w:after="0"/>
              <w:rPr>
                <w:rFonts w:ascii="Times New Roman" w:eastAsia="Times New Roman" w:hAnsi="Times New Roman" w:cs="Times New Roman"/>
                <w:sz w:val="20"/>
                <w:szCs w:val="20"/>
              </w:rPr>
            </w:pPr>
          </w:p>
          <w:p w14:paraId="79DE4281" w14:textId="77777777" w:rsidR="001B3ADF" w:rsidRDefault="001B3ADF" w:rsidP="00D31048">
            <w:pPr>
              <w:spacing w:after="0"/>
              <w:rPr>
                <w:rFonts w:ascii="Times New Roman" w:eastAsia="Times New Roman" w:hAnsi="Times New Roman" w:cs="Times New Roman"/>
                <w:sz w:val="20"/>
                <w:szCs w:val="20"/>
              </w:rPr>
            </w:pPr>
          </w:p>
          <w:p w14:paraId="5BDAE516" w14:textId="642851FD" w:rsidR="008E418C" w:rsidRPr="00821532" w:rsidRDefault="008E418C" w:rsidP="00D31048">
            <w:pPr>
              <w:spacing w:after="0"/>
              <w:rPr>
                <w:rFonts w:ascii="Times New Roman" w:eastAsia="Times New Roman" w:hAnsi="Times New Roman" w:cs="Arial"/>
                <w:sz w:val="20"/>
                <w:szCs w:val="20"/>
              </w:rPr>
            </w:pPr>
            <w:r w:rsidRPr="00821532">
              <w:rPr>
                <w:rFonts w:ascii="Times New Roman" w:eastAsia="Times New Roman" w:hAnsi="Times New Roman" w:cs="Times New Roman"/>
                <w:sz w:val="20"/>
                <w:szCs w:val="20"/>
              </w:rPr>
              <w:t>(</w:t>
            </w:r>
            <w:r w:rsidRPr="00821532">
              <w:rPr>
                <w:rFonts w:ascii="Times New Roman" w:eastAsia="Times New Roman" w:hAnsi="Times New Roman" w:cs="Times New Roman"/>
                <w:i/>
                <w:iCs/>
                <w:sz w:val="20"/>
                <w:szCs w:val="20"/>
              </w:rPr>
              <w:t>Model</w:t>
            </w:r>
            <w:r w:rsidRPr="00821532">
              <w:rPr>
                <w:rFonts w:ascii="Times New Roman" w:eastAsia="Times New Roman" w:hAnsi="Times New Roman" w:cs="Times New Roman"/>
                <w:sz w:val="20"/>
                <w:szCs w:val="20"/>
              </w:rPr>
              <w:t>)</w:t>
            </w:r>
          </w:p>
        </w:tc>
        <w:tc>
          <w:tcPr>
            <w:tcW w:w="6103" w:type="dxa"/>
            <w:gridSpan w:val="5"/>
            <w:tcBorders>
              <w:top w:val="single" w:sz="12" w:space="0" w:color="auto"/>
              <w:left w:val="nil"/>
              <w:bottom w:val="single" w:sz="2" w:space="0" w:color="auto"/>
              <w:right w:val="nil"/>
            </w:tcBorders>
          </w:tcPr>
          <w:p w14:paraId="7793709A" w14:textId="77777777" w:rsidR="008E418C" w:rsidRPr="00821532" w:rsidRDefault="008E418C" w:rsidP="00D31048">
            <w:pPr>
              <w:spacing w:after="0"/>
              <w:jc w:val="center"/>
              <w:rPr>
                <w:rFonts w:ascii="Times New Roman" w:eastAsia="Calibri" w:hAnsi="Times New Roman" w:cs="Arial"/>
                <w:sz w:val="20"/>
                <w:szCs w:val="20"/>
                <w:lang w:val="en-US" w:eastAsia="zh-CN"/>
              </w:rPr>
            </w:pPr>
            <w:r w:rsidRPr="00821532">
              <w:rPr>
                <w:rFonts w:ascii="Times New Roman" w:eastAsia="Calibri" w:hAnsi="Times New Roman" w:cs="Arial"/>
                <w:sz w:val="20"/>
                <w:szCs w:val="20"/>
                <w:lang w:val="en-US" w:eastAsia="zh-CN"/>
              </w:rPr>
              <w:t>VC Total Pay</w:t>
            </w:r>
          </w:p>
        </w:tc>
      </w:tr>
      <w:tr w:rsidR="008E418C" w:rsidRPr="00821532" w14:paraId="5CDCC71E" w14:textId="77777777" w:rsidTr="00D31048">
        <w:tc>
          <w:tcPr>
            <w:tcW w:w="3261" w:type="dxa"/>
            <w:vMerge/>
            <w:tcBorders>
              <w:left w:val="nil"/>
              <w:bottom w:val="single" w:sz="4" w:space="0" w:color="auto"/>
              <w:right w:val="nil"/>
            </w:tcBorders>
          </w:tcPr>
          <w:p w14:paraId="202845A7" w14:textId="77777777" w:rsidR="008E418C" w:rsidRPr="00821532" w:rsidRDefault="008E418C" w:rsidP="00D31048">
            <w:pPr>
              <w:spacing w:after="0"/>
              <w:rPr>
                <w:rFonts w:ascii="Times New Roman" w:eastAsia="Times New Roman" w:hAnsi="Times New Roman" w:cs="Arial"/>
                <w:sz w:val="20"/>
                <w:szCs w:val="20"/>
              </w:rPr>
            </w:pPr>
          </w:p>
        </w:tc>
        <w:tc>
          <w:tcPr>
            <w:tcW w:w="2976" w:type="dxa"/>
            <w:gridSpan w:val="2"/>
            <w:tcBorders>
              <w:top w:val="single" w:sz="4" w:space="0" w:color="auto"/>
              <w:left w:val="nil"/>
              <w:bottom w:val="single" w:sz="4" w:space="0" w:color="auto"/>
              <w:right w:val="nil"/>
            </w:tcBorders>
          </w:tcPr>
          <w:p w14:paraId="4404DB54" w14:textId="77777777" w:rsidR="008E418C" w:rsidRPr="00821532" w:rsidRDefault="008E418C" w:rsidP="00D31048">
            <w:pPr>
              <w:spacing w:after="0"/>
              <w:jc w:val="center"/>
              <w:rPr>
                <w:rFonts w:ascii="Times New Roman" w:eastAsia="Calibri" w:hAnsi="Times New Roman" w:cs="Arial"/>
                <w:iCs/>
                <w:sz w:val="20"/>
                <w:szCs w:val="20"/>
              </w:rPr>
            </w:pPr>
            <w:r>
              <w:rPr>
                <w:rFonts w:ascii="Times New Roman" w:eastAsia="Calibri" w:hAnsi="Times New Roman" w:cs="Arial"/>
                <w:iCs/>
                <w:sz w:val="20"/>
                <w:szCs w:val="20"/>
              </w:rPr>
              <w:t>HEIs’ long-term performance</w:t>
            </w:r>
          </w:p>
        </w:tc>
        <w:tc>
          <w:tcPr>
            <w:tcW w:w="284" w:type="dxa"/>
            <w:tcBorders>
              <w:top w:val="single" w:sz="4" w:space="0" w:color="auto"/>
              <w:left w:val="nil"/>
              <w:right w:val="nil"/>
            </w:tcBorders>
          </w:tcPr>
          <w:p w14:paraId="095F002F" w14:textId="77777777" w:rsidR="008E418C" w:rsidRDefault="008E418C" w:rsidP="00D31048">
            <w:pPr>
              <w:spacing w:after="0"/>
              <w:jc w:val="center"/>
              <w:rPr>
                <w:rFonts w:ascii="Times New Roman" w:eastAsia="Calibri" w:hAnsi="Times New Roman" w:cs="Arial"/>
                <w:iCs/>
                <w:sz w:val="20"/>
                <w:szCs w:val="20"/>
              </w:rPr>
            </w:pPr>
          </w:p>
        </w:tc>
        <w:tc>
          <w:tcPr>
            <w:tcW w:w="2843" w:type="dxa"/>
            <w:gridSpan w:val="2"/>
            <w:tcBorders>
              <w:top w:val="single" w:sz="4" w:space="0" w:color="auto"/>
              <w:left w:val="nil"/>
              <w:bottom w:val="single" w:sz="2" w:space="0" w:color="auto"/>
              <w:right w:val="nil"/>
            </w:tcBorders>
          </w:tcPr>
          <w:p w14:paraId="1C96B64F" w14:textId="77777777" w:rsidR="008E418C" w:rsidRPr="00821532" w:rsidRDefault="008E418C" w:rsidP="00D31048">
            <w:pPr>
              <w:spacing w:after="0"/>
              <w:jc w:val="center"/>
              <w:rPr>
                <w:rFonts w:ascii="Times New Roman" w:eastAsia="Calibri" w:hAnsi="Times New Roman" w:cs="Arial"/>
                <w:sz w:val="20"/>
                <w:szCs w:val="20"/>
                <w:lang w:val="en-US" w:eastAsia="zh-CN"/>
              </w:rPr>
            </w:pPr>
            <w:r>
              <w:rPr>
                <w:rFonts w:ascii="Times New Roman" w:eastAsia="Calibri" w:hAnsi="Times New Roman" w:cs="Arial"/>
                <w:iCs/>
                <w:sz w:val="20"/>
                <w:szCs w:val="20"/>
              </w:rPr>
              <w:t>HEIs’ short-term performance</w:t>
            </w:r>
          </w:p>
        </w:tc>
      </w:tr>
      <w:tr w:rsidR="008E418C" w:rsidRPr="00821532" w14:paraId="2AEAE50E" w14:textId="77777777" w:rsidTr="00D31048">
        <w:tc>
          <w:tcPr>
            <w:tcW w:w="3261" w:type="dxa"/>
            <w:vMerge/>
            <w:tcBorders>
              <w:left w:val="nil"/>
              <w:bottom w:val="single" w:sz="4" w:space="0" w:color="auto"/>
              <w:right w:val="nil"/>
            </w:tcBorders>
          </w:tcPr>
          <w:p w14:paraId="1CCFC29C" w14:textId="77777777" w:rsidR="008E418C" w:rsidRPr="00821532" w:rsidRDefault="008E418C" w:rsidP="00D31048">
            <w:pPr>
              <w:spacing w:after="0"/>
              <w:rPr>
                <w:rFonts w:ascii="Times New Roman" w:eastAsia="Times New Roman" w:hAnsi="Times New Roman" w:cs="Arial"/>
                <w:sz w:val="20"/>
                <w:szCs w:val="20"/>
              </w:rPr>
            </w:pPr>
          </w:p>
        </w:tc>
        <w:tc>
          <w:tcPr>
            <w:tcW w:w="1701" w:type="dxa"/>
            <w:tcBorders>
              <w:top w:val="single" w:sz="4" w:space="0" w:color="auto"/>
              <w:left w:val="nil"/>
              <w:bottom w:val="single" w:sz="4" w:space="0" w:color="auto"/>
              <w:right w:val="nil"/>
            </w:tcBorders>
          </w:tcPr>
          <w:p w14:paraId="6969A60C" w14:textId="77777777" w:rsidR="008E418C" w:rsidRPr="00821532" w:rsidRDefault="008E418C" w:rsidP="00D31048">
            <w:pPr>
              <w:spacing w:after="0"/>
              <w:rPr>
                <w:rFonts w:ascii="Times New Roman" w:eastAsia="Times New Roman" w:hAnsi="Times New Roman" w:cs="Arial"/>
                <w:sz w:val="20"/>
                <w:szCs w:val="20"/>
                <w:lang w:val="en-US" w:eastAsia="zh-CN"/>
              </w:rPr>
            </w:pPr>
            <w:r w:rsidRPr="00821532">
              <w:rPr>
                <w:rFonts w:ascii="Times New Roman" w:eastAsia="Times New Roman" w:hAnsi="Times New Roman" w:cs="Arial"/>
                <w:sz w:val="20"/>
                <w:szCs w:val="20"/>
                <w:lang w:val="en-US" w:eastAsia="zh-CN"/>
              </w:rPr>
              <w:t>Non-continuation in HE</w:t>
            </w:r>
          </w:p>
          <w:p w14:paraId="2B3FCD00" w14:textId="77777777" w:rsidR="008460D7" w:rsidRDefault="008460D7" w:rsidP="00D31048">
            <w:pPr>
              <w:spacing w:after="0"/>
              <w:rPr>
                <w:rFonts w:ascii="Times New Roman" w:eastAsia="Times New Roman" w:hAnsi="Times New Roman" w:cs="Arial"/>
                <w:sz w:val="20"/>
                <w:szCs w:val="20"/>
                <w:lang w:val="en-US" w:eastAsia="zh-CN"/>
              </w:rPr>
            </w:pPr>
          </w:p>
          <w:p w14:paraId="15141039" w14:textId="40B2ED20" w:rsidR="008E418C" w:rsidRPr="00821532" w:rsidRDefault="008E418C"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lang w:val="en-US" w:eastAsia="zh-CN"/>
              </w:rPr>
              <w:t>(1)</w:t>
            </w:r>
          </w:p>
        </w:tc>
        <w:tc>
          <w:tcPr>
            <w:tcW w:w="1275" w:type="dxa"/>
            <w:tcBorders>
              <w:top w:val="single" w:sz="4" w:space="0" w:color="auto"/>
              <w:left w:val="nil"/>
              <w:bottom w:val="single" w:sz="4" w:space="0" w:color="auto"/>
              <w:right w:val="nil"/>
            </w:tcBorders>
          </w:tcPr>
          <w:p w14:paraId="3DBF29D5" w14:textId="77777777" w:rsidR="008E418C" w:rsidRDefault="008E418C" w:rsidP="00D31048">
            <w:pPr>
              <w:spacing w:after="0"/>
              <w:rPr>
                <w:rFonts w:ascii="Times New Roman" w:eastAsia="Calibri" w:hAnsi="Times New Roman" w:cs="Arial"/>
                <w:iCs/>
                <w:sz w:val="20"/>
                <w:szCs w:val="20"/>
              </w:rPr>
            </w:pPr>
            <w:r w:rsidRPr="00821532">
              <w:rPr>
                <w:rFonts w:ascii="Times New Roman" w:eastAsia="Calibri" w:hAnsi="Times New Roman" w:cs="Arial"/>
                <w:iCs/>
                <w:sz w:val="20"/>
                <w:szCs w:val="20"/>
              </w:rPr>
              <w:t xml:space="preserve">Community Contribution Index </w:t>
            </w:r>
          </w:p>
          <w:p w14:paraId="69B4A306" w14:textId="77777777" w:rsidR="008E418C" w:rsidRPr="00821532" w:rsidRDefault="008E418C" w:rsidP="00D31048">
            <w:pPr>
              <w:spacing w:after="0"/>
              <w:rPr>
                <w:rFonts w:ascii="Times New Roman" w:eastAsia="Calibri" w:hAnsi="Times New Roman" w:cs="Arial"/>
                <w:iCs/>
                <w:sz w:val="20"/>
                <w:szCs w:val="20"/>
              </w:rPr>
            </w:pPr>
            <w:r w:rsidRPr="00821532">
              <w:rPr>
                <w:rFonts w:ascii="Times New Roman" w:eastAsia="Calibri" w:hAnsi="Times New Roman" w:cs="Arial"/>
                <w:iCs/>
                <w:sz w:val="20"/>
                <w:szCs w:val="20"/>
              </w:rPr>
              <w:t>(2)</w:t>
            </w:r>
          </w:p>
        </w:tc>
        <w:tc>
          <w:tcPr>
            <w:tcW w:w="284" w:type="dxa"/>
            <w:tcBorders>
              <w:left w:val="nil"/>
              <w:bottom w:val="single" w:sz="2" w:space="0" w:color="auto"/>
              <w:right w:val="nil"/>
            </w:tcBorders>
          </w:tcPr>
          <w:p w14:paraId="51DF046E" w14:textId="77777777" w:rsidR="008E418C" w:rsidRPr="00821532" w:rsidRDefault="008E418C" w:rsidP="00D31048">
            <w:pPr>
              <w:spacing w:after="0"/>
              <w:rPr>
                <w:rFonts w:ascii="Times New Roman" w:eastAsia="Times New Roman" w:hAnsi="Times New Roman" w:cs="Arial"/>
                <w:sz w:val="20"/>
                <w:szCs w:val="20"/>
                <w:lang w:val="en-US" w:eastAsia="zh-CN"/>
              </w:rPr>
            </w:pPr>
          </w:p>
        </w:tc>
        <w:tc>
          <w:tcPr>
            <w:tcW w:w="1418" w:type="dxa"/>
            <w:tcBorders>
              <w:top w:val="single" w:sz="4" w:space="0" w:color="auto"/>
              <w:left w:val="nil"/>
              <w:bottom w:val="single" w:sz="2" w:space="0" w:color="auto"/>
              <w:right w:val="nil"/>
            </w:tcBorders>
          </w:tcPr>
          <w:p w14:paraId="73B9D556" w14:textId="77777777" w:rsidR="008E418C" w:rsidRPr="00821532" w:rsidRDefault="008E418C" w:rsidP="00D31048">
            <w:pPr>
              <w:spacing w:after="0"/>
              <w:rPr>
                <w:rFonts w:ascii="Times New Roman" w:eastAsia="Times New Roman" w:hAnsi="Times New Roman" w:cs="Arial"/>
                <w:sz w:val="20"/>
                <w:szCs w:val="20"/>
                <w:lang w:val="en-US" w:eastAsia="zh-CN"/>
              </w:rPr>
            </w:pPr>
            <w:r w:rsidRPr="00821532">
              <w:rPr>
                <w:rFonts w:ascii="Times New Roman" w:eastAsia="Times New Roman" w:hAnsi="Times New Roman" w:cs="Arial"/>
                <w:sz w:val="20"/>
                <w:szCs w:val="20"/>
                <w:lang w:val="en-US" w:eastAsia="zh-CN"/>
              </w:rPr>
              <w:t>QS Ranking</w:t>
            </w:r>
          </w:p>
          <w:p w14:paraId="3B3A3B3B" w14:textId="77777777" w:rsidR="008E418C" w:rsidRDefault="008E418C" w:rsidP="00D31048">
            <w:pPr>
              <w:spacing w:after="0"/>
              <w:rPr>
                <w:rFonts w:ascii="Times New Roman" w:eastAsia="Times New Roman" w:hAnsi="Times New Roman" w:cs="Arial"/>
                <w:sz w:val="20"/>
                <w:szCs w:val="20"/>
                <w:lang w:val="en-US" w:eastAsia="zh-CN"/>
              </w:rPr>
            </w:pPr>
          </w:p>
          <w:p w14:paraId="59A43218" w14:textId="77777777" w:rsidR="008460D7" w:rsidRDefault="008460D7" w:rsidP="00D31048">
            <w:pPr>
              <w:spacing w:after="0"/>
              <w:rPr>
                <w:rFonts w:ascii="Times New Roman" w:eastAsia="Times New Roman" w:hAnsi="Times New Roman" w:cs="Arial"/>
                <w:sz w:val="20"/>
                <w:szCs w:val="20"/>
                <w:lang w:val="en-US" w:eastAsia="zh-CN"/>
              </w:rPr>
            </w:pPr>
          </w:p>
          <w:p w14:paraId="43FF0AFE" w14:textId="49A853D0" w:rsidR="008E418C" w:rsidRPr="00821532" w:rsidRDefault="008E418C" w:rsidP="00D31048">
            <w:pPr>
              <w:spacing w:after="0"/>
              <w:rPr>
                <w:rFonts w:ascii="Times New Roman" w:eastAsia="Calibri" w:hAnsi="Times New Roman" w:cs="Arial"/>
                <w:iCs/>
                <w:sz w:val="20"/>
                <w:szCs w:val="20"/>
              </w:rPr>
            </w:pPr>
            <w:r w:rsidRPr="00821532">
              <w:rPr>
                <w:rFonts w:ascii="Times New Roman" w:eastAsia="Times New Roman" w:hAnsi="Times New Roman" w:cs="Arial"/>
                <w:sz w:val="20"/>
                <w:szCs w:val="20"/>
                <w:lang w:val="en-US" w:eastAsia="zh-CN"/>
              </w:rPr>
              <w:t>(3)</w:t>
            </w:r>
          </w:p>
        </w:tc>
        <w:tc>
          <w:tcPr>
            <w:tcW w:w="1425" w:type="dxa"/>
            <w:tcBorders>
              <w:top w:val="single" w:sz="4" w:space="0" w:color="auto"/>
              <w:left w:val="nil"/>
              <w:bottom w:val="single" w:sz="2" w:space="0" w:color="auto"/>
              <w:right w:val="nil"/>
            </w:tcBorders>
          </w:tcPr>
          <w:p w14:paraId="2A5593D5" w14:textId="77777777" w:rsidR="008E418C" w:rsidRPr="00821532" w:rsidRDefault="008E418C" w:rsidP="00D31048">
            <w:pPr>
              <w:spacing w:after="0"/>
              <w:rPr>
                <w:rFonts w:ascii="Times New Roman" w:eastAsia="Times New Roman" w:hAnsi="Times New Roman" w:cs="Arial"/>
                <w:sz w:val="20"/>
                <w:szCs w:val="20"/>
                <w:lang w:val="en-US" w:eastAsia="zh-CN"/>
              </w:rPr>
            </w:pPr>
            <w:r w:rsidRPr="00821532">
              <w:rPr>
                <w:rFonts w:ascii="Times New Roman" w:eastAsia="Calibri" w:hAnsi="Times New Roman" w:cs="Arial"/>
                <w:sz w:val="20"/>
                <w:szCs w:val="20"/>
                <w:lang w:val="en-US" w:eastAsia="zh-CN"/>
              </w:rPr>
              <w:t>THE Ranking</w:t>
            </w:r>
          </w:p>
          <w:p w14:paraId="301518E3" w14:textId="77777777" w:rsidR="008E418C" w:rsidRDefault="008E418C" w:rsidP="00D31048">
            <w:pPr>
              <w:spacing w:after="0"/>
              <w:rPr>
                <w:rFonts w:ascii="Times New Roman" w:eastAsia="Times New Roman" w:hAnsi="Times New Roman" w:cs="Arial"/>
                <w:sz w:val="20"/>
                <w:szCs w:val="20"/>
                <w:lang w:val="en-US" w:eastAsia="zh-CN"/>
              </w:rPr>
            </w:pPr>
          </w:p>
          <w:p w14:paraId="4D43E46F" w14:textId="77777777" w:rsidR="008460D7" w:rsidRDefault="008460D7" w:rsidP="00D31048">
            <w:pPr>
              <w:spacing w:after="0"/>
              <w:rPr>
                <w:rFonts w:ascii="Times New Roman" w:eastAsia="Times New Roman" w:hAnsi="Times New Roman" w:cs="Arial"/>
                <w:sz w:val="20"/>
                <w:szCs w:val="20"/>
                <w:lang w:val="en-US" w:eastAsia="zh-CN"/>
              </w:rPr>
            </w:pPr>
          </w:p>
          <w:p w14:paraId="34689362" w14:textId="0B22B344" w:rsidR="008E418C" w:rsidRPr="00821532" w:rsidRDefault="008E418C" w:rsidP="00D31048">
            <w:pPr>
              <w:spacing w:after="0"/>
              <w:rPr>
                <w:rFonts w:ascii="Times New Roman" w:eastAsia="Calibri" w:hAnsi="Times New Roman" w:cs="Arial"/>
                <w:iCs/>
                <w:sz w:val="20"/>
                <w:szCs w:val="20"/>
              </w:rPr>
            </w:pPr>
            <w:r w:rsidRPr="00821532">
              <w:rPr>
                <w:rFonts w:ascii="Times New Roman" w:eastAsia="Times New Roman" w:hAnsi="Times New Roman" w:cs="Arial"/>
                <w:sz w:val="20"/>
                <w:szCs w:val="20"/>
                <w:lang w:val="en-US" w:eastAsia="zh-CN"/>
              </w:rPr>
              <w:t>(4)</w:t>
            </w:r>
          </w:p>
        </w:tc>
      </w:tr>
      <w:tr w:rsidR="008E418C" w:rsidRPr="00821532" w14:paraId="3C6F96FD" w14:textId="77777777" w:rsidTr="00D31048">
        <w:trPr>
          <w:trHeight w:val="127"/>
        </w:trPr>
        <w:tc>
          <w:tcPr>
            <w:tcW w:w="9364" w:type="dxa"/>
            <w:gridSpan w:val="6"/>
            <w:tcBorders>
              <w:top w:val="nil"/>
              <w:left w:val="nil"/>
              <w:bottom w:val="nil"/>
              <w:right w:val="nil"/>
            </w:tcBorders>
          </w:tcPr>
          <w:p w14:paraId="10620462" w14:textId="77777777" w:rsidR="008E418C" w:rsidRPr="00470A96" w:rsidRDefault="008E418C" w:rsidP="00D31048">
            <w:pPr>
              <w:spacing w:after="0"/>
              <w:ind w:right="-111"/>
              <w:rPr>
                <w:rFonts w:ascii="Times New Roman" w:eastAsia="Times New Roman" w:hAnsi="Times New Roman" w:cs="Arial"/>
                <w:i/>
                <w:iCs/>
                <w:sz w:val="10"/>
                <w:szCs w:val="10"/>
              </w:rPr>
            </w:pPr>
          </w:p>
          <w:p w14:paraId="1B4EE338" w14:textId="77777777" w:rsidR="008E418C" w:rsidRPr="00821532" w:rsidRDefault="008E418C" w:rsidP="00D31048">
            <w:pPr>
              <w:spacing w:after="0"/>
              <w:ind w:right="-111"/>
              <w:rPr>
                <w:rFonts w:ascii="Times New Roman" w:eastAsia="Times New Roman" w:hAnsi="Times New Roman" w:cs="Arial"/>
                <w:sz w:val="20"/>
                <w:szCs w:val="20"/>
              </w:rPr>
            </w:pPr>
            <w:r w:rsidRPr="00821532">
              <w:rPr>
                <w:rFonts w:ascii="Times New Roman" w:eastAsia="Times New Roman" w:hAnsi="Times New Roman" w:cs="Arial"/>
                <w:i/>
                <w:iCs/>
                <w:sz w:val="20"/>
                <w:szCs w:val="20"/>
              </w:rPr>
              <w:t>Explanatory variables (HEI performance)</w:t>
            </w:r>
          </w:p>
        </w:tc>
      </w:tr>
      <w:tr w:rsidR="008E418C" w:rsidRPr="00821532" w14:paraId="3CD65367" w14:textId="77777777" w:rsidTr="00D31048">
        <w:trPr>
          <w:trHeight w:val="127"/>
        </w:trPr>
        <w:tc>
          <w:tcPr>
            <w:tcW w:w="3261" w:type="dxa"/>
            <w:tcBorders>
              <w:top w:val="nil"/>
              <w:left w:val="nil"/>
              <w:bottom w:val="nil"/>
              <w:right w:val="nil"/>
            </w:tcBorders>
          </w:tcPr>
          <w:p w14:paraId="200031DE" w14:textId="10EED07D" w:rsidR="008E418C" w:rsidRPr="00821532" w:rsidRDefault="00D94751" w:rsidP="00D31048">
            <w:pPr>
              <w:spacing w:after="0" w:line="240" w:lineRule="auto"/>
              <w:rPr>
                <w:rFonts w:ascii="Times New Roman" w:eastAsia="Times New Roman" w:hAnsi="Times New Roman" w:cs="Arial"/>
                <w:iCs/>
                <w:color w:val="000000"/>
                <w:sz w:val="20"/>
                <w:szCs w:val="20"/>
                <w:lang w:val="en-US"/>
              </w:rPr>
            </w:pPr>
            <w:r>
              <w:rPr>
                <w:rFonts w:ascii="Times New Roman" w:eastAsia="Times New Roman" w:hAnsi="Times New Roman" w:cs="Arial"/>
                <w:iCs/>
                <w:color w:val="000000"/>
                <w:sz w:val="20"/>
                <w:szCs w:val="20"/>
                <w:lang w:val="en-US"/>
              </w:rPr>
              <w:t xml:space="preserve">    HEI Performance</w:t>
            </w:r>
          </w:p>
        </w:tc>
        <w:tc>
          <w:tcPr>
            <w:tcW w:w="1701" w:type="dxa"/>
            <w:tcBorders>
              <w:top w:val="nil"/>
              <w:left w:val="nil"/>
              <w:bottom w:val="nil"/>
              <w:right w:val="nil"/>
            </w:tcBorders>
          </w:tcPr>
          <w:p w14:paraId="60979F68" w14:textId="7CDCD821" w:rsidR="00D94751" w:rsidRDefault="008E418C"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w:t>
            </w:r>
            <w:r w:rsidR="00120296">
              <w:rPr>
                <w:rFonts w:ascii="Times New Roman" w:eastAsia="Times New Roman" w:hAnsi="Times New Roman" w:cs="Arial"/>
                <w:sz w:val="20"/>
                <w:szCs w:val="20"/>
              </w:rPr>
              <w:t>0.711</w:t>
            </w:r>
            <w:r w:rsidR="00E822AF" w:rsidRPr="00E822AF">
              <w:rPr>
                <w:rFonts w:ascii="Times New Roman" w:eastAsia="Times New Roman" w:hAnsi="Times New Roman" w:cs="Arial"/>
                <w:sz w:val="20"/>
                <w:szCs w:val="20"/>
                <w:vertAlign w:val="superscript"/>
              </w:rPr>
              <w:t>**</w:t>
            </w:r>
          </w:p>
          <w:p w14:paraId="4285CFD7" w14:textId="57516C53" w:rsidR="008E418C" w:rsidRPr="00821532" w:rsidRDefault="008E418C" w:rsidP="00D31048">
            <w:pPr>
              <w:spacing w:after="0"/>
              <w:rPr>
                <w:rFonts w:ascii="Times New Roman" w:eastAsia="Times New Roman" w:hAnsi="Times New Roman" w:cs="Arial"/>
                <w:sz w:val="20"/>
                <w:szCs w:val="20"/>
                <w:vertAlign w:val="superscript"/>
              </w:rPr>
            </w:pPr>
            <w:r w:rsidRPr="00821532">
              <w:rPr>
                <w:rFonts w:ascii="Times New Roman" w:eastAsia="Times New Roman" w:hAnsi="Times New Roman" w:cs="Arial"/>
                <w:sz w:val="20"/>
                <w:szCs w:val="20"/>
              </w:rPr>
              <w:t>(.0</w:t>
            </w:r>
            <w:r w:rsidR="00120296">
              <w:rPr>
                <w:rFonts w:ascii="Times New Roman" w:eastAsia="Times New Roman" w:hAnsi="Times New Roman" w:cs="Arial"/>
                <w:sz w:val="20"/>
                <w:szCs w:val="20"/>
              </w:rPr>
              <w:t>31</w:t>
            </w:r>
            <w:r w:rsidRPr="00821532">
              <w:rPr>
                <w:rFonts w:ascii="Times New Roman" w:eastAsia="Times New Roman" w:hAnsi="Times New Roman" w:cs="Arial"/>
                <w:sz w:val="20"/>
                <w:szCs w:val="20"/>
              </w:rPr>
              <w:t>)</w:t>
            </w:r>
          </w:p>
        </w:tc>
        <w:tc>
          <w:tcPr>
            <w:tcW w:w="1275" w:type="dxa"/>
            <w:tcBorders>
              <w:top w:val="nil"/>
              <w:left w:val="nil"/>
              <w:bottom w:val="nil"/>
              <w:right w:val="nil"/>
            </w:tcBorders>
          </w:tcPr>
          <w:p w14:paraId="1EEE1D16" w14:textId="0237AC1E" w:rsidR="00D94751" w:rsidRDefault="001034B5"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-0.291</w:t>
            </w:r>
          </w:p>
          <w:p w14:paraId="22833BCE" w14:textId="46B0F844" w:rsidR="008E418C" w:rsidRPr="00821532" w:rsidRDefault="008E418C" w:rsidP="00D31048">
            <w:pPr>
              <w:spacing w:after="0"/>
              <w:ind w:right="-111"/>
              <w:rPr>
                <w:rFonts w:ascii="Times New Roman" w:eastAsia="Times New Roman" w:hAnsi="Times New Roman" w:cs="Arial"/>
                <w:sz w:val="20"/>
                <w:szCs w:val="20"/>
              </w:rPr>
            </w:pPr>
            <w:r w:rsidRPr="00821532">
              <w:rPr>
                <w:rFonts w:ascii="Times New Roman" w:eastAsia="Times New Roman" w:hAnsi="Times New Roman" w:cs="Arial"/>
                <w:sz w:val="20"/>
                <w:szCs w:val="20"/>
              </w:rPr>
              <w:t>(.</w:t>
            </w:r>
            <w:r w:rsidR="001034B5">
              <w:rPr>
                <w:rFonts w:ascii="Times New Roman" w:eastAsia="Times New Roman" w:hAnsi="Times New Roman" w:cs="Arial"/>
                <w:sz w:val="20"/>
                <w:szCs w:val="20"/>
              </w:rPr>
              <w:t>370</w:t>
            </w:r>
            <w:r w:rsidRPr="00821532">
              <w:rPr>
                <w:rFonts w:ascii="Times New Roman" w:eastAsia="Times New Roman" w:hAnsi="Times New Roman" w:cs="Arial"/>
                <w:sz w:val="20"/>
                <w:szCs w:val="20"/>
              </w:rPr>
              <w:t>)</w:t>
            </w:r>
          </w:p>
        </w:tc>
        <w:tc>
          <w:tcPr>
            <w:tcW w:w="284" w:type="dxa"/>
            <w:tcBorders>
              <w:top w:val="nil"/>
              <w:left w:val="nil"/>
              <w:bottom w:val="nil"/>
              <w:right w:val="nil"/>
            </w:tcBorders>
          </w:tcPr>
          <w:p w14:paraId="1F9A195E" w14:textId="77777777" w:rsidR="008E418C" w:rsidRPr="00821532" w:rsidRDefault="008E418C"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099E98D1" w14:textId="0F85B8C1" w:rsidR="00D94751"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-0.294</w:t>
            </w:r>
            <w:r w:rsidR="00E822AF" w:rsidRPr="00E822AF">
              <w:rPr>
                <w:rFonts w:ascii="Times New Roman" w:eastAsia="Times New Roman" w:hAnsi="Times New Roman" w:cs="Arial"/>
                <w:sz w:val="20"/>
                <w:szCs w:val="20"/>
                <w:vertAlign w:val="superscript"/>
              </w:rPr>
              <w:t>*</w:t>
            </w:r>
          </w:p>
          <w:p w14:paraId="75CBE238" w14:textId="180D88D3" w:rsidR="008E418C" w:rsidRPr="008460D7" w:rsidRDefault="008E418C" w:rsidP="00D31048">
            <w:pPr>
              <w:spacing w:after="0"/>
              <w:ind w:right="-111"/>
              <w:rPr>
                <w:rFonts w:ascii="Times New Roman" w:eastAsia="Times New Roman" w:hAnsi="Times New Roman" w:cs="Arial"/>
                <w:sz w:val="20"/>
                <w:szCs w:val="20"/>
                <w:vertAlign w:val="superscript"/>
              </w:rPr>
            </w:pPr>
            <w:r w:rsidRPr="00821532">
              <w:rPr>
                <w:rFonts w:ascii="Times New Roman" w:eastAsia="Times New Roman" w:hAnsi="Times New Roman" w:cs="Arial"/>
                <w:sz w:val="20"/>
                <w:szCs w:val="20"/>
              </w:rPr>
              <w:t>(.</w:t>
            </w:r>
            <w:r w:rsidR="008460D7">
              <w:rPr>
                <w:rFonts w:ascii="Times New Roman" w:eastAsia="Times New Roman" w:hAnsi="Times New Roman" w:cs="Arial"/>
                <w:sz w:val="20"/>
                <w:szCs w:val="20"/>
              </w:rPr>
              <w:t>068</w:t>
            </w:r>
            <w:r w:rsidRPr="00821532">
              <w:rPr>
                <w:rFonts w:ascii="Times New Roman" w:eastAsia="Times New Roman" w:hAnsi="Times New Roman" w:cs="Arial"/>
                <w:sz w:val="20"/>
                <w:szCs w:val="20"/>
              </w:rPr>
              <w:t>)</w:t>
            </w:r>
          </w:p>
        </w:tc>
        <w:tc>
          <w:tcPr>
            <w:tcW w:w="1425" w:type="dxa"/>
            <w:tcBorders>
              <w:top w:val="nil"/>
              <w:left w:val="nil"/>
              <w:bottom w:val="nil"/>
              <w:right w:val="nil"/>
            </w:tcBorders>
          </w:tcPr>
          <w:p w14:paraId="10A0928E" w14:textId="3128AC5B" w:rsidR="00D94751"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-0.326</w:t>
            </w:r>
            <w:r w:rsidR="00E822AF" w:rsidRPr="00E822AF">
              <w:rPr>
                <w:rFonts w:ascii="Times New Roman" w:eastAsia="Times New Roman" w:hAnsi="Times New Roman" w:cs="Arial"/>
                <w:sz w:val="20"/>
                <w:szCs w:val="20"/>
                <w:vertAlign w:val="superscript"/>
              </w:rPr>
              <w:t>*</w:t>
            </w:r>
          </w:p>
          <w:p w14:paraId="29B26B97" w14:textId="0068E964" w:rsidR="008E418C" w:rsidRPr="00442D22" w:rsidRDefault="008E418C" w:rsidP="00D31048">
            <w:pPr>
              <w:spacing w:after="0"/>
              <w:ind w:right="-111"/>
              <w:rPr>
                <w:rFonts w:ascii="Times New Roman" w:eastAsia="Times New Roman" w:hAnsi="Times New Roman" w:cs="Arial"/>
                <w:sz w:val="20"/>
                <w:szCs w:val="20"/>
                <w:vertAlign w:val="superscript"/>
              </w:rPr>
            </w:pPr>
            <w:r w:rsidRPr="00821532">
              <w:rPr>
                <w:rFonts w:ascii="Times New Roman" w:eastAsia="Times New Roman" w:hAnsi="Times New Roman" w:cs="Arial"/>
                <w:sz w:val="20"/>
                <w:szCs w:val="20"/>
              </w:rPr>
              <w:t>(.</w:t>
            </w:r>
            <w:r w:rsidR="00442D22">
              <w:rPr>
                <w:rFonts w:ascii="Times New Roman" w:eastAsia="Times New Roman" w:hAnsi="Times New Roman" w:cs="Arial"/>
                <w:sz w:val="20"/>
                <w:szCs w:val="20"/>
              </w:rPr>
              <w:t>056</w:t>
            </w:r>
            <w:r w:rsidRPr="00821532">
              <w:rPr>
                <w:rFonts w:ascii="Times New Roman" w:eastAsia="Times New Roman" w:hAnsi="Times New Roman" w:cs="Arial"/>
                <w:sz w:val="20"/>
                <w:szCs w:val="20"/>
              </w:rPr>
              <w:t>)</w:t>
            </w:r>
          </w:p>
        </w:tc>
      </w:tr>
      <w:tr w:rsidR="008E418C" w:rsidRPr="00821532" w14:paraId="2D1BBB0C" w14:textId="77777777" w:rsidTr="00D31048">
        <w:trPr>
          <w:trHeight w:val="127"/>
        </w:trPr>
        <w:tc>
          <w:tcPr>
            <w:tcW w:w="9364" w:type="dxa"/>
            <w:gridSpan w:val="6"/>
            <w:tcBorders>
              <w:top w:val="nil"/>
              <w:left w:val="nil"/>
              <w:bottom w:val="nil"/>
              <w:right w:val="nil"/>
            </w:tcBorders>
          </w:tcPr>
          <w:p w14:paraId="054A5E34" w14:textId="77777777" w:rsidR="008E418C" w:rsidRPr="00470A96" w:rsidRDefault="008E418C" w:rsidP="00D31048">
            <w:pPr>
              <w:spacing w:after="0"/>
              <w:ind w:right="-111"/>
              <w:rPr>
                <w:rFonts w:ascii="Times New Roman" w:eastAsia="Times New Roman" w:hAnsi="Times New Roman" w:cs="Arial"/>
                <w:i/>
                <w:iCs/>
                <w:sz w:val="10"/>
                <w:szCs w:val="10"/>
              </w:rPr>
            </w:pPr>
          </w:p>
          <w:p w14:paraId="110CA4D2" w14:textId="3AFDF781" w:rsidR="008E418C" w:rsidRPr="00821532" w:rsidRDefault="008E418C" w:rsidP="00D31048">
            <w:pPr>
              <w:spacing w:after="0"/>
              <w:ind w:right="-111"/>
              <w:rPr>
                <w:rFonts w:ascii="Times New Roman" w:eastAsia="Times New Roman" w:hAnsi="Times New Roman" w:cs="Arial"/>
                <w:sz w:val="20"/>
                <w:szCs w:val="20"/>
              </w:rPr>
            </w:pPr>
            <w:r w:rsidRPr="00821532">
              <w:rPr>
                <w:rFonts w:ascii="Times New Roman" w:eastAsia="Times New Roman" w:hAnsi="Times New Roman" w:cs="Arial"/>
                <w:i/>
                <w:iCs/>
                <w:sz w:val="20"/>
                <w:szCs w:val="20"/>
              </w:rPr>
              <w:t>Interaction variables (VC characteristics*performance)</w:t>
            </w:r>
          </w:p>
        </w:tc>
      </w:tr>
      <w:tr w:rsidR="00D94751" w:rsidRPr="00821532" w14:paraId="529E1F99" w14:textId="77777777" w:rsidTr="00D31048">
        <w:trPr>
          <w:trHeight w:val="127"/>
        </w:trPr>
        <w:tc>
          <w:tcPr>
            <w:tcW w:w="3261" w:type="dxa"/>
            <w:tcBorders>
              <w:top w:val="nil"/>
              <w:left w:val="nil"/>
              <w:bottom w:val="nil"/>
              <w:right w:val="nil"/>
            </w:tcBorders>
          </w:tcPr>
          <w:p w14:paraId="1BE37C06" w14:textId="3150649C" w:rsidR="00D94751" w:rsidRPr="00821532" w:rsidRDefault="00D94751" w:rsidP="00D31048">
            <w:pPr>
              <w:spacing w:after="0" w:line="240" w:lineRule="auto"/>
              <w:ind w:right="-150"/>
              <w:rPr>
                <w:rFonts w:ascii="Times New Roman" w:eastAsia="Times New Roman" w:hAnsi="Times New Roman" w:cs="Arial"/>
                <w:iCs/>
                <w:color w:val="000000"/>
                <w:sz w:val="20"/>
                <w:szCs w:val="20"/>
              </w:rPr>
            </w:pPr>
            <w:r w:rsidRPr="00821532">
              <w:rPr>
                <w:rFonts w:ascii="Times New Roman" w:eastAsia="Times New Roman" w:hAnsi="Times New Roman" w:cs="Arial"/>
                <w:iCs/>
                <w:color w:val="000000"/>
                <w:sz w:val="20"/>
                <w:szCs w:val="20"/>
              </w:rPr>
              <w:t xml:space="preserve">    </w:t>
            </w:r>
            <w:r>
              <w:rPr>
                <w:rFonts w:ascii="Times New Roman" w:eastAsia="Times New Roman" w:hAnsi="Times New Roman" w:cs="Arial"/>
                <w:iCs/>
                <w:color w:val="000000"/>
                <w:sz w:val="20"/>
                <w:szCs w:val="20"/>
              </w:rPr>
              <w:t>VC Damehood</w:t>
            </w:r>
            <w:r w:rsidRPr="00821532">
              <w:rPr>
                <w:rFonts w:ascii="Times New Roman" w:eastAsia="Times New Roman" w:hAnsi="Times New Roman" w:cs="Arial"/>
                <w:iCs/>
                <w:color w:val="000000"/>
                <w:sz w:val="20"/>
                <w:szCs w:val="20"/>
              </w:rPr>
              <w:t>*HEI</w:t>
            </w:r>
            <w:r>
              <w:rPr>
                <w:rFonts w:ascii="Times New Roman" w:eastAsia="Times New Roman" w:hAnsi="Times New Roman" w:cs="Arial"/>
                <w:iCs/>
                <w:color w:val="000000"/>
                <w:sz w:val="20"/>
                <w:szCs w:val="20"/>
              </w:rPr>
              <w:t xml:space="preserve"> </w:t>
            </w:r>
            <w:r w:rsidRPr="00821532">
              <w:rPr>
                <w:rFonts w:ascii="Times New Roman" w:eastAsia="Times New Roman" w:hAnsi="Times New Roman" w:cs="Arial"/>
                <w:iCs/>
                <w:color w:val="000000"/>
                <w:sz w:val="20"/>
                <w:szCs w:val="20"/>
              </w:rPr>
              <w:t>P</w:t>
            </w:r>
            <w:r>
              <w:rPr>
                <w:rFonts w:ascii="Times New Roman" w:eastAsia="Times New Roman" w:hAnsi="Times New Roman" w:cs="Arial"/>
                <w:iCs/>
                <w:color w:val="000000"/>
                <w:sz w:val="20"/>
                <w:szCs w:val="20"/>
              </w:rPr>
              <w:t>erformance</w:t>
            </w:r>
          </w:p>
        </w:tc>
        <w:tc>
          <w:tcPr>
            <w:tcW w:w="1701" w:type="dxa"/>
            <w:tcBorders>
              <w:top w:val="nil"/>
              <w:left w:val="nil"/>
              <w:bottom w:val="nil"/>
              <w:right w:val="nil"/>
            </w:tcBorders>
          </w:tcPr>
          <w:p w14:paraId="528D2F65" w14:textId="77777777" w:rsidR="00D94751"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0.005</w:t>
            </w:r>
          </w:p>
          <w:p w14:paraId="0119C2A8" w14:textId="6E891FD0" w:rsidR="00120296" w:rsidRP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(0.799)</w:t>
            </w:r>
          </w:p>
        </w:tc>
        <w:tc>
          <w:tcPr>
            <w:tcW w:w="1275" w:type="dxa"/>
            <w:tcBorders>
              <w:top w:val="nil"/>
              <w:left w:val="nil"/>
              <w:bottom w:val="nil"/>
              <w:right w:val="nil"/>
            </w:tcBorders>
          </w:tcPr>
          <w:p w14:paraId="09DE5D0E" w14:textId="77777777" w:rsidR="00073372"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0.000</w:t>
            </w:r>
          </w:p>
          <w:p w14:paraId="544D5DA7" w14:textId="32A4878D" w:rsidR="00D94751" w:rsidRPr="001034B5"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(.982)</w:t>
            </w:r>
          </w:p>
        </w:tc>
        <w:tc>
          <w:tcPr>
            <w:tcW w:w="284" w:type="dxa"/>
            <w:tcBorders>
              <w:top w:val="nil"/>
              <w:left w:val="nil"/>
              <w:bottom w:val="nil"/>
              <w:right w:val="nil"/>
            </w:tcBorders>
          </w:tcPr>
          <w:p w14:paraId="370EB978" w14:textId="77777777" w:rsidR="00D94751" w:rsidRPr="00821532" w:rsidRDefault="00D94751"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2C670296" w14:textId="77777777" w:rsidR="00D94751"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0.012</w:t>
            </w:r>
          </w:p>
          <w:p w14:paraId="4AEE01D1" w14:textId="0391C359" w:rsidR="008460D7" w:rsidRPr="008460D7"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(.319)</w:t>
            </w:r>
          </w:p>
        </w:tc>
        <w:tc>
          <w:tcPr>
            <w:tcW w:w="1425" w:type="dxa"/>
            <w:tcBorders>
              <w:top w:val="nil"/>
              <w:left w:val="nil"/>
              <w:bottom w:val="nil"/>
              <w:right w:val="nil"/>
            </w:tcBorders>
          </w:tcPr>
          <w:p w14:paraId="34030669" w14:textId="77777777" w:rsidR="00442D22"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0.006</w:t>
            </w:r>
          </w:p>
          <w:p w14:paraId="27C884DF" w14:textId="7319A6AF" w:rsidR="00442D22" w:rsidRPr="00442D22"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(.635)</w:t>
            </w:r>
          </w:p>
        </w:tc>
      </w:tr>
      <w:tr w:rsidR="00D94751" w:rsidRPr="00821532" w14:paraId="7BD65A12" w14:textId="77777777" w:rsidTr="00D31048">
        <w:trPr>
          <w:trHeight w:val="127"/>
        </w:trPr>
        <w:tc>
          <w:tcPr>
            <w:tcW w:w="3261" w:type="dxa"/>
            <w:tcBorders>
              <w:top w:val="nil"/>
              <w:left w:val="nil"/>
              <w:bottom w:val="nil"/>
              <w:right w:val="nil"/>
            </w:tcBorders>
          </w:tcPr>
          <w:p w14:paraId="172F2074" w14:textId="2C730364" w:rsidR="00D94751" w:rsidRPr="00821532" w:rsidRDefault="00D94751" w:rsidP="00D31048">
            <w:pPr>
              <w:spacing w:after="0" w:line="240" w:lineRule="auto"/>
              <w:ind w:right="-150"/>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 xml:space="preserve">VC </w:t>
            </w:r>
            <w:r w:rsidRPr="00821532">
              <w:rPr>
                <w:rFonts w:ascii="Times New Roman" w:eastAsia="Times New Roman" w:hAnsi="Times New Roman" w:cs="Arial"/>
                <w:iCs/>
                <w:color w:val="000000"/>
                <w:sz w:val="20"/>
                <w:szCs w:val="20"/>
                <w:lang w:val="en-US"/>
              </w:rPr>
              <w:t>A</w:t>
            </w:r>
            <w:r>
              <w:rPr>
                <w:rFonts w:ascii="Times New Roman" w:eastAsia="Times New Roman" w:hAnsi="Times New Roman" w:cs="Arial"/>
                <w:iCs/>
                <w:color w:val="000000"/>
                <w:sz w:val="20"/>
                <w:szCs w:val="20"/>
                <w:lang w:val="en-US"/>
              </w:rPr>
              <w:t>ge</w:t>
            </w:r>
            <w:r w:rsidRPr="00821532">
              <w:rPr>
                <w:rFonts w:ascii="Times New Roman" w:eastAsia="Times New Roman" w:hAnsi="Times New Roman" w:cs="Arial"/>
                <w:iCs/>
                <w:color w:val="000000"/>
                <w:sz w:val="20"/>
                <w:szCs w:val="20"/>
                <w:lang w:val="en-US"/>
              </w:rPr>
              <w:t>*HEI</w:t>
            </w:r>
            <w:r>
              <w:rPr>
                <w:rFonts w:ascii="Times New Roman" w:eastAsia="Times New Roman" w:hAnsi="Times New Roman" w:cs="Arial"/>
                <w:iCs/>
                <w:color w:val="000000"/>
                <w:sz w:val="20"/>
                <w:szCs w:val="20"/>
                <w:lang w:val="en-US"/>
              </w:rPr>
              <w:t xml:space="preserve"> Performance</w:t>
            </w:r>
          </w:p>
        </w:tc>
        <w:tc>
          <w:tcPr>
            <w:tcW w:w="1701" w:type="dxa"/>
            <w:tcBorders>
              <w:top w:val="nil"/>
              <w:left w:val="nil"/>
              <w:bottom w:val="nil"/>
              <w:right w:val="nil"/>
            </w:tcBorders>
          </w:tcPr>
          <w:p w14:paraId="5BA15EFC" w14:textId="10D24388" w:rsidR="00D94751" w:rsidRPr="00080ABF" w:rsidRDefault="00442D22"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w:t>
            </w:r>
            <w:r w:rsidR="00120296">
              <w:rPr>
                <w:rFonts w:ascii="Times New Roman" w:eastAsia="Times New Roman" w:hAnsi="Times New Roman" w:cs="Arial"/>
                <w:sz w:val="20"/>
                <w:szCs w:val="20"/>
              </w:rPr>
              <w:t>0.164</w:t>
            </w:r>
            <w:r w:rsidR="00080ABF">
              <w:rPr>
                <w:rFonts w:ascii="Times New Roman" w:eastAsia="Times New Roman" w:hAnsi="Times New Roman" w:cs="Arial"/>
                <w:sz w:val="20"/>
                <w:szCs w:val="20"/>
                <w:vertAlign w:val="superscript"/>
              </w:rPr>
              <w:t>*</w:t>
            </w:r>
          </w:p>
          <w:p w14:paraId="05FCBCE3" w14:textId="6D758056" w:rsidR="00120296" w:rsidRPr="00120296" w:rsidRDefault="00120296"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(.051)</w:t>
            </w:r>
          </w:p>
        </w:tc>
        <w:tc>
          <w:tcPr>
            <w:tcW w:w="1275" w:type="dxa"/>
            <w:tcBorders>
              <w:top w:val="nil"/>
              <w:left w:val="nil"/>
              <w:bottom w:val="nil"/>
              <w:right w:val="nil"/>
            </w:tcBorders>
          </w:tcPr>
          <w:p w14:paraId="5FB2908A" w14:textId="77777777" w:rsidR="00D94751"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0.053</w:t>
            </w:r>
          </w:p>
          <w:p w14:paraId="4BE71386" w14:textId="2CF54E45" w:rsidR="00073372" w:rsidRPr="001034B5"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(.521)</w:t>
            </w:r>
          </w:p>
        </w:tc>
        <w:tc>
          <w:tcPr>
            <w:tcW w:w="284" w:type="dxa"/>
            <w:tcBorders>
              <w:top w:val="nil"/>
              <w:left w:val="nil"/>
              <w:bottom w:val="nil"/>
              <w:right w:val="nil"/>
            </w:tcBorders>
          </w:tcPr>
          <w:p w14:paraId="7AE4EB52" w14:textId="77777777" w:rsidR="00D94751" w:rsidRPr="00821532" w:rsidRDefault="00D94751"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7D1B06C4" w14:textId="7805CE41" w:rsidR="00D94751"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0.081</w:t>
            </w:r>
            <w:r w:rsidR="00E822AF" w:rsidRPr="00E822AF">
              <w:rPr>
                <w:rFonts w:ascii="Times New Roman" w:eastAsia="Times New Roman" w:hAnsi="Times New Roman" w:cs="Arial"/>
                <w:sz w:val="20"/>
                <w:szCs w:val="20"/>
                <w:vertAlign w:val="superscript"/>
              </w:rPr>
              <w:t>**</w:t>
            </w:r>
          </w:p>
          <w:p w14:paraId="3B249B5B" w14:textId="0B40FDBE" w:rsidR="008460D7" w:rsidRPr="008460D7" w:rsidRDefault="008460D7" w:rsidP="00D31048">
            <w:pPr>
              <w:spacing w:after="0"/>
              <w:ind w:right="-111"/>
              <w:rPr>
                <w:rFonts w:ascii="Times New Roman" w:eastAsia="Times New Roman" w:hAnsi="Times New Roman" w:cs="Arial"/>
                <w:sz w:val="20"/>
                <w:szCs w:val="20"/>
                <w:vertAlign w:val="superscript"/>
              </w:rPr>
            </w:pPr>
            <w:r>
              <w:rPr>
                <w:rFonts w:ascii="Times New Roman" w:eastAsia="Times New Roman" w:hAnsi="Times New Roman" w:cs="Arial"/>
                <w:sz w:val="20"/>
                <w:szCs w:val="20"/>
              </w:rPr>
              <w:t>(.044)</w:t>
            </w:r>
          </w:p>
        </w:tc>
        <w:tc>
          <w:tcPr>
            <w:tcW w:w="1425" w:type="dxa"/>
            <w:tcBorders>
              <w:top w:val="nil"/>
              <w:left w:val="nil"/>
              <w:bottom w:val="nil"/>
              <w:right w:val="nil"/>
            </w:tcBorders>
          </w:tcPr>
          <w:p w14:paraId="3851F577" w14:textId="03F70577" w:rsidR="00442D22" w:rsidRPr="00442D22" w:rsidRDefault="00442D22" w:rsidP="00D31048">
            <w:pPr>
              <w:spacing w:after="0"/>
              <w:ind w:right="-111"/>
              <w:rPr>
                <w:rFonts w:ascii="Times New Roman" w:eastAsia="Times New Roman" w:hAnsi="Times New Roman" w:cs="Arial"/>
                <w:sz w:val="20"/>
                <w:szCs w:val="20"/>
                <w:vertAlign w:val="superscript"/>
              </w:rPr>
            </w:pPr>
            <w:r>
              <w:rPr>
                <w:rFonts w:ascii="Times New Roman" w:eastAsia="Times New Roman" w:hAnsi="Times New Roman" w:cs="Arial"/>
                <w:sz w:val="20"/>
                <w:szCs w:val="20"/>
              </w:rPr>
              <w:t>0.082</w:t>
            </w:r>
            <w:r>
              <w:rPr>
                <w:rFonts w:ascii="Times New Roman" w:eastAsia="Times New Roman" w:hAnsi="Times New Roman" w:cs="Arial"/>
                <w:sz w:val="20"/>
                <w:szCs w:val="20"/>
                <w:vertAlign w:val="superscript"/>
              </w:rPr>
              <w:t>*</w:t>
            </w:r>
          </w:p>
          <w:p w14:paraId="0668C190" w14:textId="54816B1C" w:rsidR="00442D22" w:rsidRPr="00442D22"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(.054)</w:t>
            </w:r>
          </w:p>
        </w:tc>
      </w:tr>
      <w:tr w:rsidR="00D94751" w:rsidRPr="00821532" w14:paraId="338BDCC5" w14:textId="77777777" w:rsidTr="00D31048">
        <w:trPr>
          <w:trHeight w:val="127"/>
        </w:trPr>
        <w:tc>
          <w:tcPr>
            <w:tcW w:w="3261" w:type="dxa"/>
            <w:tcBorders>
              <w:top w:val="nil"/>
              <w:left w:val="nil"/>
              <w:bottom w:val="nil"/>
              <w:right w:val="nil"/>
            </w:tcBorders>
          </w:tcPr>
          <w:p w14:paraId="694A5D8C" w14:textId="2B4BB88D" w:rsidR="00D94751" w:rsidRPr="00821532" w:rsidRDefault="00D94751" w:rsidP="00D31048">
            <w:pPr>
              <w:spacing w:after="0" w:line="240" w:lineRule="auto"/>
              <w:ind w:right="-150"/>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VC Gender</w:t>
            </w:r>
            <w:r w:rsidRPr="00821532">
              <w:rPr>
                <w:rFonts w:ascii="Times New Roman" w:eastAsia="Times New Roman" w:hAnsi="Times New Roman" w:cs="Arial"/>
                <w:iCs/>
                <w:color w:val="000000"/>
                <w:sz w:val="20"/>
                <w:szCs w:val="20"/>
                <w:lang w:val="en-US"/>
              </w:rPr>
              <w:t>*HEI</w:t>
            </w:r>
            <w:r>
              <w:rPr>
                <w:rFonts w:ascii="Times New Roman" w:eastAsia="Times New Roman" w:hAnsi="Times New Roman" w:cs="Arial"/>
                <w:iCs/>
                <w:color w:val="000000"/>
                <w:sz w:val="20"/>
                <w:szCs w:val="20"/>
                <w:lang w:val="en-US"/>
              </w:rPr>
              <w:t xml:space="preserve"> </w:t>
            </w:r>
            <w:r w:rsidRPr="00821532">
              <w:rPr>
                <w:rFonts w:ascii="Times New Roman" w:eastAsia="Times New Roman" w:hAnsi="Times New Roman" w:cs="Arial"/>
                <w:iCs/>
                <w:color w:val="000000"/>
                <w:sz w:val="20"/>
                <w:szCs w:val="20"/>
                <w:lang w:val="en-US"/>
              </w:rPr>
              <w:t>P</w:t>
            </w:r>
            <w:r>
              <w:rPr>
                <w:rFonts w:ascii="Times New Roman" w:eastAsia="Times New Roman" w:hAnsi="Times New Roman" w:cs="Arial"/>
                <w:iCs/>
                <w:color w:val="000000"/>
                <w:sz w:val="20"/>
                <w:szCs w:val="20"/>
                <w:lang w:val="en-US"/>
              </w:rPr>
              <w:t>erformance</w:t>
            </w:r>
          </w:p>
        </w:tc>
        <w:tc>
          <w:tcPr>
            <w:tcW w:w="1701" w:type="dxa"/>
            <w:tcBorders>
              <w:top w:val="nil"/>
              <w:left w:val="nil"/>
              <w:bottom w:val="nil"/>
              <w:right w:val="nil"/>
            </w:tcBorders>
          </w:tcPr>
          <w:p w14:paraId="27AD0876" w14:textId="77777777" w:rsidR="00D94751"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0.008</w:t>
            </w:r>
          </w:p>
          <w:p w14:paraId="64F3AB2F" w14:textId="1547455E" w:rsidR="00120296" w:rsidRP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(.567)</w:t>
            </w:r>
          </w:p>
        </w:tc>
        <w:tc>
          <w:tcPr>
            <w:tcW w:w="1275" w:type="dxa"/>
            <w:tcBorders>
              <w:top w:val="nil"/>
              <w:left w:val="nil"/>
              <w:bottom w:val="nil"/>
              <w:right w:val="nil"/>
            </w:tcBorders>
          </w:tcPr>
          <w:p w14:paraId="4D565CC8" w14:textId="77777777" w:rsidR="00D94751"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0.022</w:t>
            </w:r>
          </w:p>
          <w:p w14:paraId="72FB166B" w14:textId="226E5C40" w:rsidR="00073372" w:rsidRPr="001034B5"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(.190)</w:t>
            </w:r>
          </w:p>
        </w:tc>
        <w:tc>
          <w:tcPr>
            <w:tcW w:w="284" w:type="dxa"/>
            <w:tcBorders>
              <w:top w:val="nil"/>
              <w:left w:val="nil"/>
              <w:bottom w:val="nil"/>
              <w:right w:val="nil"/>
            </w:tcBorders>
          </w:tcPr>
          <w:p w14:paraId="2597F9BD" w14:textId="77777777" w:rsidR="00D94751" w:rsidRPr="00821532" w:rsidRDefault="00D94751"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5F811497" w14:textId="7E614381" w:rsidR="00D94751"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-0.018</w:t>
            </w:r>
            <w:r w:rsidR="00E822AF" w:rsidRPr="00E822AF">
              <w:rPr>
                <w:rFonts w:ascii="Times New Roman" w:eastAsia="Times New Roman" w:hAnsi="Times New Roman" w:cs="Arial"/>
                <w:sz w:val="20"/>
                <w:szCs w:val="20"/>
                <w:vertAlign w:val="superscript"/>
              </w:rPr>
              <w:t>**</w:t>
            </w:r>
          </w:p>
          <w:p w14:paraId="52548CAB" w14:textId="458C192A" w:rsidR="008460D7" w:rsidRPr="008460D7" w:rsidRDefault="008460D7" w:rsidP="00D31048">
            <w:pPr>
              <w:spacing w:after="0"/>
              <w:ind w:right="-111"/>
              <w:rPr>
                <w:rFonts w:ascii="Times New Roman" w:eastAsia="Times New Roman" w:hAnsi="Times New Roman" w:cs="Arial"/>
                <w:sz w:val="20"/>
                <w:szCs w:val="20"/>
                <w:vertAlign w:val="superscript"/>
              </w:rPr>
            </w:pPr>
            <w:r>
              <w:rPr>
                <w:rFonts w:ascii="Times New Roman" w:eastAsia="Times New Roman" w:hAnsi="Times New Roman" w:cs="Arial"/>
                <w:sz w:val="20"/>
                <w:szCs w:val="20"/>
              </w:rPr>
              <w:t>(.030)</w:t>
            </w:r>
          </w:p>
        </w:tc>
        <w:tc>
          <w:tcPr>
            <w:tcW w:w="1425" w:type="dxa"/>
            <w:tcBorders>
              <w:top w:val="nil"/>
              <w:left w:val="nil"/>
              <w:bottom w:val="nil"/>
              <w:right w:val="nil"/>
            </w:tcBorders>
          </w:tcPr>
          <w:p w14:paraId="1068700A" w14:textId="77777777" w:rsidR="00442D22"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-0.002</w:t>
            </w:r>
          </w:p>
          <w:p w14:paraId="10A56121" w14:textId="1A1B005E" w:rsidR="00442D22" w:rsidRPr="00442D22"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(.765)</w:t>
            </w:r>
          </w:p>
        </w:tc>
      </w:tr>
      <w:tr w:rsidR="00D94751" w:rsidRPr="00821532" w14:paraId="41252416" w14:textId="77777777" w:rsidTr="00D31048">
        <w:trPr>
          <w:trHeight w:val="127"/>
        </w:trPr>
        <w:tc>
          <w:tcPr>
            <w:tcW w:w="3261" w:type="dxa"/>
            <w:tcBorders>
              <w:top w:val="nil"/>
              <w:left w:val="nil"/>
              <w:bottom w:val="nil"/>
              <w:right w:val="nil"/>
            </w:tcBorders>
          </w:tcPr>
          <w:p w14:paraId="17A14ABC" w14:textId="514E8831" w:rsidR="00D94751" w:rsidRPr="00821532" w:rsidRDefault="00D94751" w:rsidP="00D31048">
            <w:pPr>
              <w:spacing w:after="0" w:line="240" w:lineRule="auto"/>
              <w:ind w:right="-150"/>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VC Education</w:t>
            </w:r>
            <w:r w:rsidRPr="00821532">
              <w:rPr>
                <w:rFonts w:ascii="Times New Roman" w:eastAsia="Times New Roman" w:hAnsi="Times New Roman" w:cs="Arial"/>
                <w:iCs/>
                <w:color w:val="000000"/>
                <w:sz w:val="20"/>
                <w:szCs w:val="20"/>
                <w:lang w:val="en-US"/>
              </w:rPr>
              <w:t>*HEI</w:t>
            </w:r>
            <w:r>
              <w:rPr>
                <w:rFonts w:ascii="Times New Roman" w:eastAsia="Times New Roman" w:hAnsi="Times New Roman" w:cs="Arial"/>
                <w:iCs/>
                <w:color w:val="000000"/>
                <w:sz w:val="20"/>
                <w:szCs w:val="20"/>
                <w:lang w:val="en-US"/>
              </w:rPr>
              <w:t xml:space="preserve"> </w:t>
            </w:r>
            <w:r w:rsidRPr="00821532">
              <w:rPr>
                <w:rFonts w:ascii="Times New Roman" w:eastAsia="Times New Roman" w:hAnsi="Times New Roman" w:cs="Arial"/>
                <w:iCs/>
                <w:color w:val="000000"/>
                <w:sz w:val="20"/>
                <w:szCs w:val="20"/>
                <w:lang w:val="en-US"/>
              </w:rPr>
              <w:t>P</w:t>
            </w:r>
            <w:r>
              <w:rPr>
                <w:rFonts w:ascii="Times New Roman" w:eastAsia="Times New Roman" w:hAnsi="Times New Roman" w:cs="Arial"/>
                <w:iCs/>
                <w:color w:val="000000"/>
                <w:sz w:val="20"/>
                <w:szCs w:val="20"/>
                <w:lang w:val="en-US"/>
              </w:rPr>
              <w:t>erformance</w:t>
            </w:r>
          </w:p>
        </w:tc>
        <w:tc>
          <w:tcPr>
            <w:tcW w:w="1701" w:type="dxa"/>
            <w:tcBorders>
              <w:top w:val="nil"/>
              <w:left w:val="nil"/>
              <w:bottom w:val="nil"/>
              <w:right w:val="nil"/>
            </w:tcBorders>
          </w:tcPr>
          <w:p w14:paraId="1C28B967" w14:textId="77777777" w:rsidR="00D94751"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0.015</w:t>
            </w:r>
          </w:p>
          <w:p w14:paraId="21BCC79F" w14:textId="7E38A22F" w:rsidR="00120296" w:rsidRP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(.290)</w:t>
            </w:r>
          </w:p>
        </w:tc>
        <w:tc>
          <w:tcPr>
            <w:tcW w:w="1275" w:type="dxa"/>
            <w:tcBorders>
              <w:top w:val="nil"/>
              <w:left w:val="nil"/>
              <w:bottom w:val="nil"/>
              <w:right w:val="nil"/>
            </w:tcBorders>
          </w:tcPr>
          <w:p w14:paraId="4338B159" w14:textId="77777777" w:rsidR="00D94751"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0.002</w:t>
            </w:r>
          </w:p>
          <w:p w14:paraId="6242D083" w14:textId="6297CC68" w:rsidR="00073372" w:rsidRPr="001034B5"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(.839)</w:t>
            </w:r>
          </w:p>
        </w:tc>
        <w:tc>
          <w:tcPr>
            <w:tcW w:w="284" w:type="dxa"/>
            <w:tcBorders>
              <w:top w:val="nil"/>
              <w:left w:val="nil"/>
              <w:bottom w:val="nil"/>
              <w:right w:val="nil"/>
            </w:tcBorders>
          </w:tcPr>
          <w:p w14:paraId="384622CF" w14:textId="77777777" w:rsidR="00D94751" w:rsidRPr="00821532" w:rsidRDefault="00D94751"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51BC393F" w14:textId="77777777" w:rsidR="00D94751"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-0.001</w:t>
            </w:r>
          </w:p>
          <w:p w14:paraId="75B22448" w14:textId="6C4A7292" w:rsidR="008460D7" w:rsidRPr="008460D7"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(.906)</w:t>
            </w:r>
          </w:p>
        </w:tc>
        <w:tc>
          <w:tcPr>
            <w:tcW w:w="1425" w:type="dxa"/>
            <w:tcBorders>
              <w:top w:val="nil"/>
              <w:left w:val="nil"/>
              <w:bottom w:val="nil"/>
              <w:right w:val="nil"/>
            </w:tcBorders>
          </w:tcPr>
          <w:p w14:paraId="13F1EF70" w14:textId="77777777" w:rsidR="00442D22" w:rsidRPr="00442D22" w:rsidRDefault="00442D22" w:rsidP="00D31048">
            <w:pPr>
              <w:spacing w:after="0"/>
              <w:ind w:right="-111"/>
              <w:rPr>
                <w:rFonts w:ascii="Times New Roman" w:eastAsia="Times New Roman" w:hAnsi="Times New Roman" w:cs="Arial"/>
                <w:sz w:val="20"/>
                <w:szCs w:val="20"/>
              </w:rPr>
            </w:pPr>
            <w:r w:rsidRPr="00442D22">
              <w:rPr>
                <w:rFonts w:ascii="Times New Roman" w:eastAsia="Times New Roman" w:hAnsi="Times New Roman" w:cs="Arial"/>
                <w:sz w:val="20"/>
                <w:szCs w:val="20"/>
              </w:rPr>
              <w:t>-0.008</w:t>
            </w:r>
          </w:p>
          <w:p w14:paraId="4E26CA21" w14:textId="437B52E9" w:rsidR="00D94751" w:rsidRPr="00442D22" w:rsidRDefault="00442D22" w:rsidP="00D31048">
            <w:pPr>
              <w:spacing w:after="0"/>
              <w:ind w:right="-111"/>
              <w:rPr>
                <w:rFonts w:ascii="Times New Roman" w:eastAsia="Times New Roman" w:hAnsi="Times New Roman" w:cs="Arial"/>
                <w:sz w:val="20"/>
                <w:szCs w:val="20"/>
              </w:rPr>
            </w:pPr>
            <w:r w:rsidRPr="00442D22">
              <w:rPr>
                <w:rFonts w:ascii="Times New Roman" w:eastAsia="Times New Roman" w:hAnsi="Times New Roman" w:cs="Arial"/>
                <w:sz w:val="20"/>
                <w:szCs w:val="20"/>
              </w:rPr>
              <w:t>(.229)</w:t>
            </w:r>
          </w:p>
        </w:tc>
      </w:tr>
      <w:tr w:rsidR="00D94751" w:rsidRPr="00821532" w14:paraId="6B2B8BCA" w14:textId="77777777" w:rsidTr="00D31048">
        <w:trPr>
          <w:trHeight w:val="127"/>
        </w:trPr>
        <w:tc>
          <w:tcPr>
            <w:tcW w:w="3261" w:type="dxa"/>
            <w:tcBorders>
              <w:top w:val="nil"/>
              <w:left w:val="nil"/>
              <w:bottom w:val="nil"/>
              <w:right w:val="nil"/>
            </w:tcBorders>
          </w:tcPr>
          <w:p w14:paraId="48E64080" w14:textId="129648A1" w:rsidR="00D94751" w:rsidRPr="00821532" w:rsidRDefault="00D94751" w:rsidP="00D31048">
            <w:pPr>
              <w:spacing w:after="0" w:line="240" w:lineRule="auto"/>
              <w:ind w:right="-150"/>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VC Tenure</w:t>
            </w:r>
            <w:r w:rsidRPr="00821532">
              <w:rPr>
                <w:rFonts w:ascii="Times New Roman" w:eastAsia="Times New Roman" w:hAnsi="Times New Roman" w:cs="Arial"/>
                <w:iCs/>
                <w:color w:val="000000"/>
                <w:sz w:val="20"/>
                <w:szCs w:val="20"/>
                <w:lang w:val="en-US"/>
              </w:rPr>
              <w:t>*HEI</w:t>
            </w:r>
            <w:r>
              <w:rPr>
                <w:rFonts w:ascii="Times New Roman" w:eastAsia="Times New Roman" w:hAnsi="Times New Roman" w:cs="Arial"/>
                <w:iCs/>
                <w:color w:val="000000"/>
                <w:sz w:val="20"/>
                <w:szCs w:val="20"/>
                <w:lang w:val="en-US"/>
              </w:rPr>
              <w:t xml:space="preserve"> </w:t>
            </w:r>
            <w:r w:rsidRPr="00821532">
              <w:rPr>
                <w:rFonts w:ascii="Times New Roman" w:eastAsia="Times New Roman" w:hAnsi="Times New Roman" w:cs="Arial"/>
                <w:iCs/>
                <w:color w:val="000000"/>
                <w:sz w:val="20"/>
                <w:szCs w:val="20"/>
                <w:lang w:val="en-US"/>
              </w:rPr>
              <w:t>P</w:t>
            </w:r>
            <w:r>
              <w:rPr>
                <w:rFonts w:ascii="Times New Roman" w:eastAsia="Times New Roman" w:hAnsi="Times New Roman" w:cs="Arial"/>
                <w:iCs/>
                <w:color w:val="000000"/>
                <w:sz w:val="20"/>
                <w:szCs w:val="20"/>
                <w:lang w:val="en-US"/>
              </w:rPr>
              <w:t>erformance</w:t>
            </w:r>
          </w:p>
        </w:tc>
        <w:tc>
          <w:tcPr>
            <w:tcW w:w="1701" w:type="dxa"/>
            <w:tcBorders>
              <w:top w:val="nil"/>
              <w:left w:val="nil"/>
              <w:bottom w:val="nil"/>
              <w:right w:val="nil"/>
            </w:tcBorders>
          </w:tcPr>
          <w:p w14:paraId="6D0D0DF8" w14:textId="77777777" w:rsidR="00D94751"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0.001</w:t>
            </w:r>
          </w:p>
          <w:p w14:paraId="4445468A" w14:textId="03ACA745" w:rsidR="00120296" w:rsidRP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(.949)</w:t>
            </w:r>
          </w:p>
        </w:tc>
        <w:tc>
          <w:tcPr>
            <w:tcW w:w="1275" w:type="dxa"/>
            <w:tcBorders>
              <w:top w:val="nil"/>
              <w:left w:val="nil"/>
              <w:bottom w:val="nil"/>
              <w:right w:val="nil"/>
            </w:tcBorders>
          </w:tcPr>
          <w:p w14:paraId="10429DE7" w14:textId="2261681F" w:rsidR="00D94751" w:rsidRDefault="0007337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0.025</w:t>
            </w:r>
            <w:r w:rsidR="00E822AF" w:rsidRPr="00E822AF">
              <w:rPr>
                <w:rFonts w:ascii="Times New Roman" w:eastAsia="Times New Roman" w:hAnsi="Times New Roman" w:cs="Arial"/>
                <w:sz w:val="20"/>
                <w:szCs w:val="20"/>
                <w:vertAlign w:val="superscript"/>
              </w:rPr>
              <w:t>*</w:t>
            </w:r>
            <w:r w:rsidR="00E822AF">
              <w:rPr>
                <w:rFonts w:ascii="Times New Roman" w:eastAsia="Times New Roman" w:hAnsi="Times New Roman" w:cs="Arial"/>
                <w:sz w:val="20"/>
                <w:szCs w:val="20"/>
                <w:vertAlign w:val="superscript"/>
              </w:rPr>
              <w:t>*</w:t>
            </w:r>
          </w:p>
          <w:p w14:paraId="30B00662" w14:textId="291EEC71" w:rsidR="00073372" w:rsidRPr="00073372" w:rsidRDefault="00073372" w:rsidP="00D31048">
            <w:pPr>
              <w:spacing w:after="0"/>
              <w:ind w:right="-111"/>
              <w:rPr>
                <w:rFonts w:ascii="Times New Roman" w:eastAsia="Times New Roman" w:hAnsi="Times New Roman" w:cs="Arial"/>
                <w:sz w:val="20"/>
                <w:szCs w:val="20"/>
                <w:vertAlign w:val="superscript"/>
              </w:rPr>
            </w:pPr>
            <w:r>
              <w:rPr>
                <w:rFonts w:ascii="Times New Roman" w:eastAsia="Times New Roman" w:hAnsi="Times New Roman" w:cs="Arial"/>
                <w:sz w:val="20"/>
                <w:szCs w:val="20"/>
              </w:rPr>
              <w:t>(.043)</w:t>
            </w:r>
          </w:p>
        </w:tc>
        <w:tc>
          <w:tcPr>
            <w:tcW w:w="284" w:type="dxa"/>
            <w:tcBorders>
              <w:top w:val="nil"/>
              <w:left w:val="nil"/>
              <w:bottom w:val="nil"/>
              <w:right w:val="nil"/>
            </w:tcBorders>
          </w:tcPr>
          <w:p w14:paraId="6BF1A6CE" w14:textId="77777777" w:rsidR="00D94751" w:rsidRPr="00821532" w:rsidRDefault="00D94751"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210E7B9F" w14:textId="77777777" w:rsidR="00D94751"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-0.001</w:t>
            </w:r>
          </w:p>
          <w:p w14:paraId="3099186F" w14:textId="5131CE44" w:rsidR="008460D7" w:rsidRPr="008460D7" w:rsidRDefault="008460D7"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(.746)</w:t>
            </w:r>
          </w:p>
        </w:tc>
        <w:tc>
          <w:tcPr>
            <w:tcW w:w="1425" w:type="dxa"/>
            <w:tcBorders>
              <w:top w:val="nil"/>
              <w:left w:val="nil"/>
              <w:bottom w:val="nil"/>
              <w:right w:val="nil"/>
            </w:tcBorders>
          </w:tcPr>
          <w:p w14:paraId="2A515ADB" w14:textId="77777777" w:rsidR="00D94751"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-0.003</w:t>
            </w:r>
          </w:p>
          <w:p w14:paraId="7C4B2DDE" w14:textId="634BD178" w:rsidR="00442D22" w:rsidRPr="00442D22" w:rsidRDefault="00442D22"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(.380)</w:t>
            </w:r>
          </w:p>
        </w:tc>
      </w:tr>
      <w:tr w:rsidR="008E418C" w:rsidRPr="00821532" w14:paraId="15BFD3A6" w14:textId="77777777" w:rsidTr="00D31048">
        <w:trPr>
          <w:trHeight w:val="127"/>
        </w:trPr>
        <w:tc>
          <w:tcPr>
            <w:tcW w:w="9364" w:type="dxa"/>
            <w:gridSpan w:val="6"/>
            <w:tcBorders>
              <w:top w:val="nil"/>
              <w:left w:val="nil"/>
              <w:bottom w:val="nil"/>
              <w:right w:val="nil"/>
            </w:tcBorders>
          </w:tcPr>
          <w:p w14:paraId="009EC530" w14:textId="77777777" w:rsidR="008E418C" w:rsidRPr="00470A96" w:rsidRDefault="008E418C" w:rsidP="00D31048">
            <w:pPr>
              <w:spacing w:after="0"/>
              <w:ind w:right="-111"/>
              <w:rPr>
                <w:rFonts w:ascii="Times New Roman" w:eastAsia="Times New Roman" w:hAnsi="Times New Roman" w:cs="Arial"/>
                <w:i/>
                <w:iCs/>
                <w:sz w:val="10"/>
                <w:szCs w:val="10"/>
              </w:rPr>
            </w:pPr>
          </w:p>
          <w:p w14:paraId="65FF7F34" w14:textId="6DD85B9E" w:rsidR="008E418C" w:rsidRPr="00821532" w:rsidRDefault="008E418C" w:rsidP="00D31048">
            <w:pPr>
              <w:spacing w:after="0"/>
              <w:ind w:right="-111"/>
              <w:rPr>
                <w:rFonts w:ascii="Times New Roman" w:eastAsia="Times New Roman" w:hAnsi="Times New Roman" w:cs="Arial"/>
                <w:sz w:val="20"/>
                <w:szCs w:val="20"/>
              </w:rPr>
            </w:pPr>
            <w:r w:rsidRPr="00821532">
              <w:rPr>
                <w:rFonts w:ascii="Times New Roman" w:eastAsia="Times New Roman" w:hAnsi="Times New Roman" w:cs="Arial"/>
                <w:i/>
                <w:iCs/>
                <w:sz w:val="20"/>
                <w:szCs w:val="20"/>
              </w:rPr>
              <w:t>VC characteristics</w:t>
            </w:r>
          </w:p>
        </w:tc>
      </w:tr>
      <w:tr w:rsidR="00120296" w:rsidRPr="00821532" w14:paraId="56953A77" w14:textId="77777777" w:rsidTr="00D31048">
        <w:trPr>
          <w:trHeight w:val="127"/>
        </w:trPr>
        <w:tc>
          <w:tcPr>
            <w:tcW w:w="3261" w:type="dxa"/>
            <w:tcBorders>
              <w:top w:val="nil"/>
              <w:left w:val="nil"/>
              <w:bottom w:val="nil"/>
              <w:right w:val="nil"/>
            </w:tcBorders>
          </w:tcPr>
          <w:p w14:paraId="7B273981" w14:textId="25949E41" w:rsidR="00120296" w:rsidRPr="00821532" w:rsidRDefault="00120296" w:rsidP="00D31048">
            <w:pPr>
              <w:spacing w:after="0" w:line="240" w:lineRule="auto"/>
              <w:rPr>
                <w:rFonts w:ascii="Times New Roman" w:eastAsia="Times New Roman" w:hAnsi="Times New Roman" w:cs="Arial"/>
                <w:iCs/>
                <w:color w:val="000000"/>
                <w:sz w:val="20"/>
                <w:szCs w:val="20"/>
                <w:lang w:val="en-US"/>
              </w:rPr>
            </w:pPr>
            <w:r>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rPr>
              <w:t>VC Damehood</w:t>
            </w:r>
          </w:p>
        </w:tc>
        <w:tc>
          <w:tcPr>
            <w:tcW w:w="1701" w:type="dxa"/>
            <w:tcBorders>
              <w:top w:val="nil"/>
              <w:left w:val="nil"/>
              <w:bottom w:val="nil"/>
              <w:right w:val="nil"/>
            </w:tcBorders>
          </w:tcPr>
          <w:p w14:paraId="2E0E1767" w14:textId="77777777" w:rsid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-0.069</w:t>
            </w:r>
          </w:p>
          <w:p w14:paraId="2AD5FE87" w14:textId="6DA49079" w:rsidR="00120296" w:rsidRPr="00821532" w:rsidRDefault="00120296"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w:t>
            </w:r>
            <w:r>
              <w:rPr>
                <w:rFonts w:ascii="Times New Roman" w:eastAsia="Times New Roman" w:hAnsi="Times New Roman" w:cs="Arial"/>
                <w:sz w:val="20"/>
                <w:szCs w:val="20"/>
              </w:rPr>
              <w:t>488</w:t>
            </w:r>
            <w:r w:rsidRPr="00821532">
              <w:rPr>
                <w:rFonts w:ascii="Times New Roman" w:eastAsia="Times New Roman" w:hAnsi="Times New Roman" w:cs="Arial"/>
                <w:sz w:val="20"/>
                <w:szCs w:val="20"/>
              </w:rPr>
              <w:t>)</w:t>
            </w:r>
          </w:p>
        </w:tc>
        <w:tc>
          <w:tcPr>
            <w:tcW w:w="1275" w:type="dxa"/>
            <w:tcBorders>
              <w:top w:val="nil"/>
              <w:left w:val="nil"/>
              <w:bottom w:val="nil"/>
              <w:right w:val="nil"/>
            </w:tcBorders>
          </w:tcPr>
          <w:p w14:paraId="14A8BF8E" w14:textId="77777777" w:rsidR="00073372"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-0.038</w:t>
            </w:r>
          </w:p>
          <w:p w14:paraId="6E9253D6" w14:textId="449AC440" w:rsidR="00D2007B" w:rsidRPr="001034B5"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(.325)</w:t>
            </w:r>
          </w:p>
        </w:tc>
        <w:tc>
          <w:tcPr>
            <w:tcW w:w="284" w:type="dxa"/>
            <w:tcBorders>
              <w:top w:val="nil"/>
              <w:left w:val="nil"/>
              <w:bottom w:val="nil"/>
              <w:right w:val="nil"/>
            </w:tcBorders>
          </w:tcPr>
          <w:p w14:paraId="7EA72DED" w14:textId="77777777" w:rsidR="00120296" w:rsidRPr="00821532" w:rsidRDefault="00120296"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4F854ACB" w14:textId="77777777" w:rsidR="00120296"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-0.095</w:t>
            </w:r>
          </w:p>
          <w:p w14:paraId="6E99E098" w14:textId="241BFD54" w:rsidR="0023241B" w:rsidRPr="008460D7"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(.103)</w:t>
            </w:r>
          </w:p>
        </w:tc>
        <w:tc>
          <w:tcPr>
            <w:tcW w:w="1425" w:type="dxa"/>
            <w:tcBorders>
              <w:top w:val="nil"/>
              <w:left w:val="nil"/>
              <w:bottom w:val="nil"/>
              <w:right w:val="nil"/>
            </w:tcBorders>
          </w:tcPr>
          <w:p w14:paraId="6F367CBF" w14:textId="77777777" w:rsidR="00120296" w:rsidRDefault="00555C2A"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-0.082</w:t>
            </w:r>
          </w:p>
          <w:p w14:paraId="204A1F08" w14:textId="52B3D704" w:rsidR="00555C2A" w:rsidRPr="00442D22" w:rsidRDefault="00555C2A"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(.191)</w:t>
            </w:r>
          </w:p>
        </w:tc>
      </w:tr>
      <w:tr w:rsidR="00120296" w:rsidRPr="00821532" w14:paraId="38E7D2EA" w14:textId="77777777" w:rsidTr="00D31048">
        <w:trPr>
          <w:trHeight w:val="127"/>
        </w:trPr>
        <w:tc>
          <w:tcPr>
            <w:tcW w:w="3261" w:type="dxa"/>
            <w:tcBorders>
              <w:top w:val="nil"/>
              <w:left w:val="nil"/>
              <w:bottom w:val="nil"/>
              <w:right w:val="nil"/>
            </w:tcBorders>
          </w:tcPr>
          <w:p w14:paraId="35F0C8CA" w14:textId="40F3D7F8" w:rsidR="00120296" w:rsidRPr="00821532" w:rsidRDefault="00120296" w:rsidP="00D31048">
            <w:pPr>
              <w:spacing w:after="0" w:line="240" w:lineRule="auto"/>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VC Age</w:t>
            </w:r>
          </w:p>
        </w:tc>
        <w:tc>
          <w:tcPr>
            <w:tcW w:w="1701" w:type="dxa"/>
            <w:tcBorders>
              <w:top w:val="nil"/>
              <w:left w:val="nil"/>
              <w:bottom w:val="nil"/>
              <w:right w:val="nil"/>
            </w:tcBorders>
          </w:tcPr>
          <w:p w14:paraId="17FF0BB6" w14:textId="77777777" w:rsid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-0.581</w:t>
            </w:r>
          </w:p>
          <w:p w14:paraId="7153B3E3" w14:textId="2E710B1A" w:rsidR="00120296" w:rsidRPr="00821532" w:rsidRDefault="00120296"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w:t>
            </w:r>
            <w:r>
              <w:rPr>
                <w:rFonts w:ascii="Times New Roman" w:eastAsia="Times New Roman" w:hAnsi="Times New Roman" w:cs="Arial"/>
                <w:sz w:val="20"/>
                <w:szCs w:val="20"/>
              </w:rPr>
              <w:t>171</w:t>
            </w:r>
            <w:r w:rsidRPr="00821532">
              <w:rPr>
                <w:rFonts w:ascii="Times New Roman" w:eastAsia="Times New Roman" w:hAnsi="Times New Roman" w:cs="Arial"/>
                <w:sz w:val="20"/>
                <w:szCs w:val="20"/>
              </w:rPr>
              <w:t>)</w:t>
            </w:r>
          </w:p>
        </w:tc>
        <w:tc>
          <w:tcPr>
            <w:tcW w:w="1275" w:type="dxa"/>
            <w:tcBorders>
              <w:top w:val="nil"/>
              <w:left w:val="nil"/>
              <w:bottom w:val="nil"/>
              <w:right w:val="nil"/>
            </w:tcBorders>
          </w:tcPr>
          <w:p w14:paraId="2C09669E" w14:textId="0DE4222A" w:rsidR="00120296"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0.299</w:t>
            </w:r>
            <w:r w:rsidR="00E822AF" w:rsidRPr="00E822AF">
              <w:rPr>
                <w:rFonts w:ascii="Times New Roman" w:eastAsia="Times New Roman" w:hAnsi="Times New Roman" w:cs="Arial"/>
                <w:sz w:val="20"/>
                <w:szCs w:val="20"/>
                <w:vertAlign w:val="superscript"/>
              </w:rPr>
              <w:t>***</w:t>
            </w:r>
          </w:p>
          <w:p w14:paraId="332908BF" w14:textId="6CCF1015" w:rsidR="00D2007B" w:rsidRPr="00D2007B" w:rsidRDefault="00D2007B" w:rsidP="00D31048">
            <w:pPr>
              <w:spacing w:after="0"/>
              <w:ind w:right="-111"/>
              <w:rPr>
                <w:rFonts w:ascii="Times New Roman" w:eastAsia="Times New Roman" w:hAnsi="Times New Roman" w:cs="Arial"/>
                <w:sz w:val="20"/>
                <w:szCs w:val="20"/>
                <w:vertAlign w:val="superscript"/>
              </w:rPr>
            </w:pPr>
            <w:r>
              <w:rPr>
                <w:rFonts w:ascii="Times New Roman" w:eastAsia="Times New Roman" w:hAnsi="Times New Roman" w:cs="Arial"/>
                <w:sz w:val="20"/>
                <w:szCs w:val="20"/>
              </w:rPr>
              <w:t>(.004</w:t>
            </w:r>
            <w:r w:rsidR="00E822AF">
              <w:rPr>
                <w:rFonts w:ascii="Times New Roman" w:eastAsia="Times New Roman" w:hAnsi="Times New Roman" w:cs="Arial"/>
                <w:sz w:val="20"/>
                <w:szCs w:val="20"/>
              </w:rPr>
              <w:t>)</w:t>
            </w:r>
          </w:p>
        </w:tc>
        <w:tc>
          <w:tcPr>
            <w:tcW w:w="284" w:type="dxa"/>
            <w:tcBorders>
              <w:top w:val="nil"/>
              <w:left w:val="nil"/>
              <w:bottom w:val="nil"/>
              <w:right w:val="nil"/>
            </w:tcBorders>
          </w:tcPr>
          <w:p w14:paraId="484155D6" w14:textId="77777777" w:rsidR="00120296" w:rsidRPr="00821532" w:rsidRDefault="00120296"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59B71DA2" w14:textId="77777777" w:rsidR="00120296"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-0.204</w:t>
            </w:r>
          </w:p>
          <w:p w14:paraId="0D86D367" w14:textId="76FB2652" w:rsidR="0023241B" w:rsidRPr="008460D7"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(.398)</w:t>
            </w:r>
          </w:p>
        </w:tc>
        <w:tc>
          <w:tcPr>
            <w:tcW w:w="1425" w:type="dxa"/>
            <w:tcBorders>
              <w:top w:val="nil"/>
              <w:left w:val="nil"/>
              <w:bottom w:val="nil"/>
              <w:right w:val="nil"/>
            </w:tcBorders>
          </w:tcPr>
          <w:p w14:paraId="08F53023" w14:textId="3CDC7E80" w:rsidR="00120296" w:rsidRDefault="00555C2A"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-0.551</w:t>
            </w:r>
            <w:r w:rsidR="00E822AF" w:rsidRPr="00E822AF">
              <w:rPr>
                <w:rFonts w:ascii="Times New Roman" w:eastAsia="Times New Roman" w:hAnsi="Times New Roman" w:cs="Arial"/>
                <w:sz w:val="20"/>
                <w:szCs w:val="20"/>
                <w:vertAlign w:val="superscript"/>
              </w:rPr>
              <w:t>**</w:t>
            </w:r>
          </w:p>
          <w:p w14:paraId="0868D609" w14:textId="4AD833DD" w:rsidR="00555C2A" w:rsidRPr="00555C2A" w:rsidRDefault="00555C2A" w:rsidP="00D31048">
            <w:pPr>
              <w:spacing w:after="0"/>
              <w:ind w:right="-111"/>
              <w:rPr>
                <w:rFonts w:ascii="Times New Roman" w:eastAsia="Times New Roman" w:hAnsi="Times New Roman" w:cs="Arial"/>
                <w:sz w:val="20"/>
                <w:szCs w:val="20"/>
                <w:vertAlign w:val="superscript"/>
              </w:rPr>
            </w:pPr>
            <w:r>
              <w:rPr>
                <w:rFonts w:ascii="Times New Roman" w:eastAsia="Times New Roman" w:hAnsi="Times New Roman" w:cs="Arial"/>
                <w:sz w:val="20"/>
                <w:szCs w:val="20"/>
              </w:rPr>
              <w:t>(.036</w:t>
            </w:r>
            <w:r w:rsidR="00E822AF">
              <w:rPr>
                <w:rFonts w:ascii="Times New Roman" w:eastAsia="Times New Roman" w:hAnsi="Times New Roman" w:cs="Arial"/>
                <w:sz w:val="20"/>
                <w:szCs w:val="20"/>
              </w:rPr>
              <w:t>)</w:t>
            </w:r>
          </w:p>
        </w:tc>
      </w:tr>
      <w:tr w:rsidR="00120296" w:rsidRPr="00821532" w14:paraId="7AC528C3" w14:textId="77777777" w:rsidTr="00D31048">
        <w:trPr>
          <w:trHeight w:val="127"/>
        </w:trPr>
        <w:tc>
          <w:tcPr>
            <w:tcW w:w="3261" w:type="dxa"/>
            <w:tcBorders>
              <w:top w:val="nil"/>
              <w:left w:val="nil"/>
              <w:bottom w:val="nil"/>
              <w:right w:val="nil"/>
            </w:tcBorders>
          </w:tcPr>
          <w:p w14:paraId="309324F7" w14:textId="66C6703E" w:rsidR="00120296" w:rsidRPr="00821532" w:rsidRDefault="00120296" w:rsidP="00D31048">
            <w:pPr>
              <w:spacing w:after="0" w:line="240" w:lineRule="auto"/>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VC Gender</w:t>
            </w:r>
          </w:p>
        </w:tc>
        <w:tc>
          <w:tcPr>
            <w:tcW w:w="1701" w:type="dxa"/>
            <w:tcBorders>
              <w:top w:val="nil"/>
              <w:left w:val="nil"/>
              <w:bottom w:val="nil"/>
              <w:right w:val="nil"/>
            </w:tcBorders>
          </w:tcPr>
          <w:p w14:paraId="0B681F37" w14:textId="77777777" w:rsid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-0.044</w:t>
            </w:r>
          </w:p>
          <w:p w14:paraId="17FDD5EC" w14:textId="348238A7" w:rsidR="00120296" w:rsidRPr="00821532" w:rsidRDefault="00120296"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w:t>
            </w:r>
            <w:r>
              <w:rPr>
                <w:rFonts w:ascii="Times New Roman" w:eastAsia="Times New Roman" w:hAnsi="Times New Roman" w:cs="Arial"/>
                <w:sz w:val="20"/>
                <w:szCs w:val="20"/>
              </w:rPr>
              <w:t>538</w:t>
            </w:r>
            <w:r w:rsidRPr="00821532">
              <w:rPr>
                <w:rFonts w:ascii="Times New Roman" w:eastAsia="Times New Roman" w:hAnsi="Times New Roman" w:cs="Arial"/>
                <w:sz w:val="20"/>
                <w:szCs w:val="20"/>
              </w:rPr>
              <w:t>)</w:t>
            </w:r>
          </w:p>
        </w:tc>
        <w:tc>
          <w:tcPr>
            <w:tcW w:w="1275" w:type="dxa"/>
            <w:tcBorders>
              <w:top w:val="nil"/>
              <w:left w:val="nil"/>
              <w:bottom w:val="nil"/>
              <w:right w:val="nil"/>
            </w:tcBorders>
          </w:tcPr>
          <w:p w14:paraId="582AEF00" w14:textId="7652C14F" w:rsidR="00120296"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-0.007</w:t>
            </w:r>
          </w:p>
          <w:p w14:paraId="00048F70" w14:textId="1735643A" w:rsidR="00D2007B" w:rsidRPr="001034B5"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(.742)</w:t>
            </w:r>
          </w:p>
        </w:tc>
        <w:tc>
          <w:tcPr>
            <w:tcW w:w="284" w:type="dxa"/>
            <w:tcBorders>
              <w:top w:val="nil"/>
              <w:left w:val="nil"/>
              <w:bottom w:val="nil"/>
              <w:right w:val="nil"/>
            </w:tcBorders>
          </w:tcPr>
          <w:p w14:paraId="49FF60DA" w14:textId="77777777" w:rsidR="00120296" w:rsidRPr="00821532" w:rsidRDefault="00120296"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7F8123CF" w14:textId="586B94E7" w:rsidR="00120296"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0.109</w:t>
            </w:r>
            <w:r w:rsidR="00E822AF" w:rsidRPr="00E822AF">
              <w:rPr>
                <w:rFonts w:ascii="Times New Roman" w:eastAsia="Times New Roman" w:hAnsi="Times New Roman" w:cs="Arial"/>
                <w:sz w:val="20"/>
                <w:szCs w:val="20"/>
                <w:vertAlign w:val="superscript"/>
              </w:rPr>
              <w:t>**</w:t>
            </w:r>
          </w:p>
          <w:p w14:paraId="653368A1" w14:textId="70752078" w:rsidR="0023241B" w:rsidRPr="0023241B" w:rsidRDefault="0023241B" w:rsidP="00D31048">
            <w:pPr>
              <w:spacing w:after="0"/>
              <w:ind w:right="-111"/>
              <w:rPr>
                <w:rFonts w:ascii="Times New Roman" w:eastAsia="Times New Roman" w:hAnsi="Times New Roman" w:cs="Arial"/>
                <w:sz w:val="20"/>
                <w:szCs w:val="20"/>
                <w:vertAlign w:val="superscript"/>
              </w:rPr>
            </w:pPr>
            <w:r>
              <w:rPr>
                <w:rFonts w:ascii="Times New Roman" w:eastAsia="Times New Roman" w:hAnsi="Times New Roman" w:cs="Arial"/>
                <w:sz w:val="20"/>
                <w:szCs w:val="20"/>
              </w:rPr>
              <w:t>(.029</w:t>
            </w:r>
            <w:r w:rsidR="00E822AF">
              <w:rPr>
                <w:rFonts w:ascii="Times New Roman" w:eastAsia="Times New Roman" w:hAnsi="Times New Roman" w:cs="Arial"/>
                <w:sz w:val="20"/>
                <w:szCs w:val="20"/>
              </w:rPr>
              <w:t>)</w:t>
            </w:r>
          </w:p>
        </w:tc>
        <w:tc>
          <w:tcPr>
            <w:tcW w:w="1425" w:type="dxa"/>
            <w:tcBorders>
              <w:top w:val="nil"/>
              <w:left w:val="nil"/>
              <w:bottom w:val="nil"/>
              <w:right w:val="nil"/>
            </w:tcBorders>
          </w:tcPr>
          <w:p w14:paraId="38CE2229" w14:textId="77777777" w:rsidR="00120296" w:rsidRDefault="00555C2A"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0.003</w:t>
            </w:r>
          </w:p>
          <w:p w14:paraId="0041E39A" w14:textId="5784ABDE" w:rsidR="00555C2A" w:rsidRPr="00442D22" w:rsidRDefault="00555C2A"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(.946)</w:t>
            </w:r>
          </w:p>
        </w:tc>
      </w:tr>
      <w:tr w:rsidR="00120296" w:rsidRPr="00821532" w14:paraId="2B68C8CE" w14:textId="77777777" w:rsidTr="00D31048">
        <w:trPr>
          <w:trHeight w:val="127"/>
        </w:trPr>
        <w:tc>
          <w:tcPr>
            <w:tcW w:w="3261" w:type="dxa"/>
            <w:tcBorders>
              <w:top w:val="nil"/>
              <w:left w:val="nil"/>
              <w:bottom w:val="nil"/>
              <w:right w:val="nil"/>
            </w:tcBorders>
          </w:tcPr>
          <w:p w14:paraId="78B9CC48" w14:textId="0908576E" w:rsidR="00120296" w:rsidRPr="00821532" w:rsidRDefault="00120296" w:rsidP="00D31048">
            <w:pPr>
              <w:spacing w:after="0" w:line="240" w:lineRule="auto"/>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VC Education</w:t>
            </w:r>
          </w:p>
        </w:tc>
        <w:tc>
          <w:tcPr>
            <w:tcW w:w="1701" w:type="dxa"/>
            <w:tcBorders>
              <w:top w:val="nil"/>
              <w:left w:val="nil"/>
              <w:bottom w:val="nil"/>
              <w:right w:val="nil"/>
            </w:tcBorders>
          </w:tcPr>
          <w:p w14:paraId="3C7C479D" w14:textId="77777777" w:rsid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-0.098</w:t>
            </w:r>
          </w:p>
          <w:p w14:paraId="0ADECFBC" w14:textId="06D4353F" w:rsidR="00120296" w:rsidRPr="00821532" w:rsidRDefault="00120296" w:rsidP="00D31048">
            <w:pPr>
              <w:spacing w:after="0"/>
              <w:rPr>
                <w:rFonts w:ascii="Times New Roman" w:eastAsia="Times New Roman" w:hAnsi="Times New Roman" w:cs="Arial"/>
                <w:sz w:val="20"/>
                <w:szCs w:val="20"/>
                <w:vertAlign w:val="superscript"/>
              </w:rPr>
            </w:pPr>
            <w:r w:rsidRPr="00821532">
              <w:rPr>
                <w:rFonts w:ascii="Times New Roman" w:eastAsia="Times New Roman" w:hAnsi="Times New Roman" w:cs="Arial"/>
                <w:sz w:val="20"/>
                <w:szCs w:val="20"/>
              </w:rPr>
              <w:t>(.</w:t>
            </w:r>
            <w:r>
              <w:rPr>
                <w:rFonts w:ascii="Times New Roman" w:eastAsia="Times New Roman" w:hAnsi="Times New Roman" w:cs="Arial"/>
                <w:sz w:val="20"/>
                <w:szCs w:val="20"/>
              </w:rPr>
              <w:t>198</w:t>
            </w:r>
            <w:r w:rsidRPr="00821532">
              <w:rPr>
                <w:rFonts w:ascii="Times New Roman" w:eastAsia="Times New Roman" w:hAnsi="Times New Roman" w:cs="Arial"/>
                <w:sz w:val="20"/>
                <w:szCs w:val="20"/>
              </w:rPr>
              <w:t>)</w:t>
            </w:r>
          </w:p>
        </w:tc>
        <w:tc>
          <w:tcPr>
            <w:tcW w:w="1275" w:type="dxa"/>
            <w:tcBorders>
              <w:top w:val="nil"/>
              <w:left w:val="nil"/>
              <w:bottom w:val="nil"/>
              <w:right w:val="nil"/>
            </w:tcBorders>
          </w:tcPr>
          <w:p w14:paraId="4F8F7510" w14:textId="77777777" w:rsidR="00120296"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-0.025</w:t>
            </w:r>
          </w:p>
          <w:p w14:paraId="20D4103A" w14:textId="5F6C6A04" w:rsidR="00D2007B" w:rsidRPr="001034B5"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(.323)</w:t>
            </w:r>
          </w:p>
        </w:tc>
        <w:tc>
          <w:tcPr>
            <w:tcW w:w="284" w:type="dxa"/>
            <w:tcBorders>
              <w:top w:val="nil"/>
              <w:left w:val="nil"/>
              <w:bottom w:val="nil"/>
              <w:right w:val="nil"/>
            </w:tcBorders>
          </w:tcPr>
          <w:p w14:paraId="027F4C01" w14:textId="77777777" w:rsidR="00120296" w:rsidRPr="00821532" w:rsidRDefault="00120296"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3DF7E9DB" w14:textId="77777777" w:rsidR="00120296"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-0.006</w:t>
            </w:r>
          </w:p>
          <w:p w14:paraId="6893680D" w14:textId="0304975B" w:rsidR="0023241B" w:rsidRPr="008460D7"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(.832)</w:t>
            </w:r>
          </w:p>
        </w:tc>
        <w:tc>
          <w:tcPr>
            <w:tcW w:w="1425" w:type="dxa"/>
            <w:tcBorders>
              <w:top w:val="nil"/>
              <w:left w:val="nil"/>
              <w:bottom w:val="nil"/>
              <w:right w:val="nil"/>
            </w:tcBorders>
          </w:tcPr>
          <w:p w14:paraId="33E0C80C" w14:textId="77777777" w:rsidR="00120296" w:rsidRDefault="00555C2A"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-0.053</w:t>
            </w:r>
          </w:p>
          <w:p w14:paraId="7A0BA293" w14:textId="1925678C" w:rsidR="00555C2A" w:rsidRPr="00442D22" w:rsidRDefault="00555C2A"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(.174)</w:t>
            </w:r>
          </w:p>
        </w:tc>
      </w:tr>
      <w:tr w:rsidR="00120296" w:rsidRPr="00821532" w14:paraId="67A69D4F" w14:textId="77777777" w:rsidTr="00D31048">
        <w:trPr>
          <w:trHeight w:val="127"/>
        </w:trPr>
        <w:tc>
          <w:tcPr>
            <w:tcW w:w="3261" w:type="dxa"/>
            <w:tcBorders>
              <w:top w:val="nil"/>
              <w:left w:val="nil"/>
              <w:bottom w:val="nil"/>
              <w:right w:val="nil"/>
            </w:tcBorders>
          </w:tcPr>
          <w:p w14:paraId="6DEC53C9" w14:textId="52DFFD8C" w:rsidR="00120296" w:rsidRPr="00821532" w:rsidRDefault="00120296" w:rsidP="00D31048">
            <w:pPr>
              <w:spacing w:after="0" w:line="240" w:lineRule="auto"/>
              <w:rPr>
                <w:rFonts w:ascii="Times New Roman" w:eastAsia="Times New Roman" w:hAnsi="Times New Roman" w:cs="Arial"/>
                <w:iCs/>
                <w:color w:val="000000"/>
                <w:sz w:val="20"/>
                <w:szCs w:val="20"/>
                <w:lang w:val="en-US"/>
              </w:rPr>
            </w:pPr>
            <w:r w:rsidRPr="00821532">
              <w:rPr>
                <w:rFonts w:ascii="Times New Roman" w:eastAsia="Times New Roman" w:hAnsi="Times New Roman" w:cs="Arial"/>
                <w:iCs/>
                <w:color w:val="000000"/>
                <w:sz w:val="20"/>
                <w:szCs w:val="20"/>
                <w:lang w:val="en-US"/>
              </w:rPr>
              <w:t xml:space="preserve">    </w:t>
            </w:r>
            <w:r>
              <w:rPr>
                <w:rFonts w:ascii="Times New Roman" w:eastAsia="Times New Roman" w:hAnsi="Times New Roman" w:cs="Arial"/>
                <w:iCs/>
                <w:color w:val="000000"/>
                <w:sz w:val="20"/>
                <w:szCs w:val="20"/>
                <w:lang w:val="en-US"/>
              </w:rPr>
              <w:t>VC Tenure</w:t>
            </w:r>
          </w:p>
        </w:tc>
        <w:tc>
          <w:tcPr>
            <w:tcW w:w="1701" w:type="dxa"/>
            <w:tcBorders>
              <w:top w:val="nil"/>
              <w:left w:val="nil"/>
              <w:bottom w:val="nil"/>
              <w:right w:val="nil"/>
            </w:tcBorders>
          </w:tcPr>
          <w:p w14:paraId="4EC38C61" w14:textId="77777777" w:rsid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-0.010</w:t>
            </w:r>
          </w:p>
          <w:p w14:paraId="1E5734C4" w14:textId="3EED3CC1" w:rsidR="00120296" w:rsidRPr="00821532" w:rsidRDefault="00120296" w:rsidP="00D31048">
            <w:pPr>
              <w:spacing w:after="0"/>
              <w:rPr>
                <w:rFonts w:ascii="Times New Roman" w:eastAsia="Times New Roman" w:hAnsi="Times New Roman" w:cs="Arial"/>
                <w:sz w:val="20"/>
                <w:szCs w:val="20"/>
                <w:vertAlign w:val="superscript"/>
              </w:rPr>
            </w:pPr>
            <w:r w:rsidRPr="00821532">
              <w:rPr>
                <w:rFonts w:ascii="Times New Roman" w:eastAsia="Times New Roman" w:hAnsi="Times New Roman" w:cs="Arial"/>
                <w:sz w:val="20"/>
                <w:szCs w:val="20"/>
              </w:rPr>
              <w:t>(.</w:t>
            </w:r>
            <w:r>
              <w:rPr>
                <w:rFonts w:ascii="Times New Roman" w:eastAsia="Times New Roman" w:hAnsi="Times New Roman" w:cs="Arial"/>
                <w:sz w:val="20"/>
                <w:szCs w:val="20"/>
              </w:rPr>
              <w:t>823</w:t>
            </w:r>
            <w:r w:rsidRPr="00821532">
              <w:rPr>
                <w:rFonts w:ascii="Times New Roman" w:eastAsia="Times New Roman" w:hAnsi="Times New Roman" w:cs="Arial"/>
                <w:sz w:val="20"/>
                <w:szCs w:val="20"/>
              </w:rPr>
              <w:t>)</w:t>
            </w:r>
          </w:p>
        </w:tc>
        <w:tc>
          <w:tcPr>
            <w:tcW w:w="1275" w:type="dxa"/>
            <w:tcBorders>
              <w:top w:val="nil"/>
              <w:left w:val="nil"/>
              <w:bottom w:val="nil"/>
              <w:right w:val="nil"/>
            </w:tcBorders>
          </w:tcPr>
          <w:p w14:paraId="58B62360" w14:textId="77777777" w:rsidR="00120296"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-0.008</w:t>
            </w:r>
          </w:p>
          <w:p w14:paraId="129008AA" w14:textId="44C5C4E4" w:rsidR="00D2007B" w:rsidRPr="001034B5" w:rsidRDefault="00D2007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(.610)</w:t>
            </w:r>
          </w:p>
        </w:tc>
        <w:tc>
          <w:tcPr>
            <w:tcW w:w="284" w:type="dxa"/>
            <w:tcBorders>
              <w:top w:val="nil"/>
              <w:left w:val="nil"/>
              <w:bottom w:val="nil"/>
              <w:right w:val="nil"/>
            </w:tcBorders>
          </w:tcPr>
          <w:p w14:paraId="3AA923D8" w14:textId="77777777" w:rsidR="00120296" w:rsidRPr="00821532" w:rsidRDefault="00120296" w:rsidP="00D31048">
            <w:pPr>
              <w:spacing w:after="0"/>
              <w:ind w:right="-111"/>
              <w:rPr>
                <w:rFonts w:ascii="Times New Roman" w:eastAsia="Times New Roman" w:hAnsi="Times New Roman" w:cs="Arial"/>
                <w:sz w:val="20"/>
                <w:szCs w:val="20"/>
              </w:rPr>
            </w:pPr>
          </w:p>
        </w:tc>
        <w:tc>
          <w:tcPr>
            <w:tcW w:w="1418" w:type="dxa"/>
            <w:tcBorders>
              <w:top w:val="nil"/>
              <w:left w:val="nil"/>
              <w:bottom w:val="nil"/>
              <w:right w:val="nil"/>
            </w:tcBorders>
          </w:tcPr>
          <w:p w14:paraId="09092858" w14:textId="77777777" w:rsidR="00120296"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-0.011</w:t>
            </w:r>
          </w:p>
          <w:p w14:paraId="05D0F741" w14:textId="42C53F8F" w:rsidR="0023241B" w:rsidRPr="008460D7" w:rsidRDefault="0023241B"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(.537)</w:t>
            </w:r>
          </w:p>
        </w:tc>
        <w:tc>
          <w:tcPr>
            <w:tcW w:w="1425" w:type="dxa"/>
            <w:tcBorders>
              <w:top w:val="nil"/>
              <w:left w:val="nil"/>
              <w:bottom w:val="nil"/>
              <w:right w:val="nil"/>
            </w:tcBorders>
          </w:tcPr>
          <w:p w14:paraId="3CFC4BB8" w14:textId="77777777" w:rsidR="00120296" w:rsidRDefault="001B3ADF"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0.015</w:t>
            </w:r>
          </w:p>
          <w:p w14:paraId="3CAA2DAA" w14:textId="6F6AD90B" w:rsidR="001B3ADF" w:rsidRPr="00442D22" w:rsidRDefault="001B3ADF" w:rsidP="00D31048">
            <w:pPr>
              <w:spacing w:after="0"/>
              <w:ind w:right="-111"/>
              <w:rPr>
                <w:rFonts w:ascii="Times New Roman" w:eastAsia="Times New Roman" w:hAnsi="Times New Roman" w:cs="Arial"/>
                <w:sz w:val="20"/>
                <w:szCs w:val="20"/>
              </w:rPr>
            </w:pPr>
            <w:r>
              <w:rPr>
                <w:rFonts w:ascii="Times New Roman" w:eastAsia="Times New Roman" w:hAnsi="Times New Roman" w:cs="Arial"/>
                <w:sz w:val="20"/>
                <w:szCs w:val="20"/>
              </w:rPr>
              <w:t>(.455)</w:t>
            </w:r>
          </w:p>
        </w:tc>
      </w:tr>
      <w:tr w:rsidR="008E418C" w:rsidRPr="00821532" w14:paraId="7DD21042" w14:textId="77777777" w:rsidTr="00D31048">
        <w:trPr>
          <w:trHeight w:val="173"/>
        </w:trPr>
        <w:tc>
          <w:tcPr>
            <w:tcW w:w="3261" w:type="dxa"/>
            <w:tcBorders>
              <w:top w:val="nil"/>
              <w:left w:val="nil"/>
              <w:bottom w:val="nil"/>
              <w:right w:val="nil"/>
            </w:tcBorders>
          </w:tcPr>
          <w:p w14:paraId="3E500734" w14:textId="487AF90C" w:rsidR="008E418C" w:rsidRPr="00120296" w:rsidRDefault="00120296" w:rsidP="00D31048">
            <w:pPr>
              <w:spacing w:after="0" w:line="240" w:lineRule="auto"/>
              <w:rPr>
                <w:rFonts w:ascii="Times New Roman" w:eastAsia="Times New Roman" w:hAnsi="Times New Roman" w:cs="Arial"/>
                <w:color w:val="000000"/>
                <w:sz w:val="20"/>
                <w:szCs w:val="20"/>
                <w:lang w:val="en-US"/>
              </w:rPr>
            </w:pPr>
            <w:r w:rsidRPr="00120296">
              <w:rPr>
                <w:rFonts w:ascii="Times New Roman" w:eastAsia="Times New Roman" w:hAnsi="Times New Roman" w:cs="Arial"/>
                <w:sz w:val="20"/>
                <w:szCs w:val="20"/>
              </w:rPr>
              <w:t>Controls (governance mechanisms)</w:t>
            </w:r>
          </w:p>
        </w:tc>
        <w:tc>
          <w:tcPr>
            <w:tcW w:w="1701" w:type="dxa"/>
            <w:tcBorders>
              <w:top w:val="nil"/>
              <w:left w:val="nil"/>
              <w:bottom w:val="nil"/>
              <w:right w:val="nil"/>
            </w:tcBorders>
          </w:tcPr>
          <w:p w14:paraId="1F3133A1" w14:textId="393A4E61" w:rsidR="008E418C" w:rsidRPr="00120296" w:rsidRDefault="00120296" w:rsidP="00D31048">
            <w:pPr>
              <w:spacing w:after="0"/>
              <w:rPr>
                <w:rFonts w:ascii="Times New Roman" w:eastAsia="Times New Roman" w:hAnsi="Times New Roman" w:cs="Arial"/>
                <w:sz w:val="20"/>
                <w:szCs w:val="20"/>
              </w:rPr>
            </w:pPr>
            <w:r w:rsidRPr="00120296">
              <w:rPr>
                <w:rFonts w:ascii="Times New Roman" w:eastAsia="Times New Roman" w:hAnsi="Times New Roman" w:cs="Arial"/>
                <w:sz w:val="20"/>
                <w:szCs w:val="20"/>
              </w:rPr>
              <w:t>YES</w:t>
            </w:r>
          </w:p>
        </w:tc>
        <w:tc>
          <w:tcPr>
            <w:tcW w:w="1275" w:type="dxa"/>
            <w:tcBorders>
              <w:top w:val="nil"/>
              <w:left w:val="nil"/>
              <w:bottom w:val="nil"/>
              <w:right w:val="nil"/>
            </w:tcBorders>
          </w:tcPr>
          <w:p w14:paraId="3D9663E2" w14:textId="2722342D" w:rsidR="008E418C" w:rsidRP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YES</w:t>
            </w:r>
          </w:p>
        </w:tc>
        <w:tc>
          <w:tcPr>
            <w:tcW w:w="284" w:type="dxa"/>
            <w:tcBorders>
              <w:top w:val="nil"/>
              <w:left w:val="nil"/>
              <w:bottom w:val="nil"/>
              <w:right w:val="nil"/>
            </w:tcBorders>
          </w:tcPr>
          <w:p w14:paraId="4D829803" w14:textId="77777777" w:rsidR="008E418C" w:rsidRPr="00120296" w:rsidRDefault="008E418C" w:rsidP="00D31048">
            <w:pPr>
              <w:spacing w:after="0"/>
              <w:rPr>
                <w:rFonts w:ascii="Times New Roman" w:eastAsia="Times New Roman" w:hAnsi="Times New Roman" w:cs="Arial"/>
                <w:sz w:val="20"/>
                <w:szCs w:val="20"/>
              </w:rPr>
            </w:pPr>
          </w:p>
        </w:tc>
        <w:tc>
          <w:tcPr>
            <w:tcW w:w="1418" w:type="dxa"/>
            <w:tcBorders>
              <w:top w:val="nil"/>
              <w:left w:val="nil"/>
              <w:bottom w:val="nil"/>
              <w:right w:val="nil"/>
            </w:tcBorders>
          </w:tcPr>
          <w:p w14:paraId="260E8CCC" w14:textId="0436E87C" w:rsidR="008E418C" w:rsidRP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 xml:space="preserve">YES </w:t>
            </w:r>
          </w:p>
        </w:tc>
        <w:tc>
          <w:tcPr>
            <w:tcW w:w="1425" w:type="dxa"/>
            <w:tcBorders>
              <w:top w:val="nil"/>
              <w:left w:val="nil"/>
              <w:bottom w:val="nil"/>
              <w:right w:val="nil"/>
            </w:tcBorders>
          </w:tcPr>
          <w:p w14:paraId="173C428E" w14:textId="5EF84453" w:rsidR="008E418C" w:rsidRPr="00120296" w:rsidRDefault="00120296"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YES</w:t>
            </w:r>
          </w:p>
        </w:tc>
      </w:tr>
      <w:tr w:rsidR="00120296" w:rsidRPr="00821532" w14:paraId="49CD6661" w14:textId="77777777" w:rsidTr="00D31048">
        <w:trPr>
          <w:trHeight w:val="164"/>
        </w:trPr>
        <w:tc>
          <w:tcPr>
            <w:tcW w:w="3261" w:type="dxa"/>
            <w:tcBorders>
              <w:top w:val="nil"/>
              <w:left w:val="nil"/>
              <w:bottom w:val="nil"/>
              <w:right w:val="nil"/>
            </w:tcBorders>
          </w:tcPr>
          <w:p w14:paraId="414873A9" w14:textId="4B200BAB" w:rsidR="00120296" w:rsidRPr="00120296" w:rsidRDefault="00120296" w:rsidP="00D31048">
            <w:pPr>
              <w:spacing w:after="0" w:line="240" w:lineRule="auto"/>
              <w:ind w:right="-105"/>
              <w:rPr>
                <w:rFonts w:ascii="Times New Roman" w:eastAsia="Times New Roman" w:hAnsi="Times New Roman" w:cs="Arial"/>
                <w:color w:val="000000"/>
                <w:sz w:val="20"/>
                <w:szCs w:val="20"/>
                <w:lang w:val="en-US"/>
              </w:rPr>
            </w:pPr>
            <w:r w:rsidRPr="00120296">
              <w:rPr>
                <w:rFonts w:ascii="Times New Roman" w:eastAsia="Times New Roman" w:hAnsi="Times New Roman" w:cs="Times New Roman"/>
                <w:color w:val="000000"/>
                <w:sz w:val="20"/>
                <w:szCs w:val="20"/>
              </w:rPr>
              <w:t>Controls (general HEI characteristics)</w:t>
            </w:r>
          </w:p>
        </w:tc>
        <w:tc>
          <w:tcPr>
            <w:tcW w:w="1701" w:type="dxa"/>
            <w:tcBorders>
              <w:top w:val="nil"/>
              <w:left w:val="nil"/>
              <w:bottom w:val="nil"/>
              <w:right w:val="nil"/>
            </w:tcBorders>
          </w:tcPr>
          <w:p w14:paraId="1389F609" w14:textId="7C61BAAC" w:rsidR="00120296" w:rsidRPr="00120296" w:rsidRDefault="00120296" w:rsidP="00D31048">
            <w:pPr>
              <w:spacing w:after="0"/>
              <w:rPr>
                <w:rFonts w:ascii="Times New Roman" w:eastAsia="Times New Roman" w:hAnsi="Times New Roman" w:cs="Arial"/>
                <w:sz w:val="20"/>
                <w:szCs w:val="20"/>
                <w:vertAlign w:val="superscript"/>
              </w:rPr>
            </w:pPr>
            <w:r w:rsidRPr="00120296">
              <w:rPr>
                <w:rFonts w:ascii="Times New Roman" w:eastAsia="Times New Roman" w:hAnsi="Times New Roman" w:cs="Arial"/>
                <w:sz w:val="20"/>
                <w:szCs w:val="20"/>
              </w:rPr>
              <w:t>YES</w:t>
            </w:r>
          </w:p>
        </w:tc>
        <w:tc>
          <w:tcPr>
            <w:tcW w:w="1275" w:type="dxa"/>
            <w:tcBorders>
              <w:top w:val="nil"/>
              <w:left w:val="nil"/>
              <w:bottom w:val="nil"/>
              <w:right w:val="nil"/>
            </w:tcBorders>
          </w:tcPr>
          <w:p w14:paraId="2EB0705E" w14:textId="4B445100" w:rsidR="00120296" w:rsidRPr="00821532" w:rsidRDefault="00120296"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YES</w:t>
            </w:r>
          </w:p>
        </w:tc>
        <w:tc>
          <w:tcPr>
            <w:tcW w:w="284" w:type="dxa"/>
            <w:tcBorders>
              <w:top w:val="nil"/>
              <w:left w:val="nil"/>
              <w:bottom w:val="nil"/>
              <w:right w:val="nil"/>
            </w:tcBorders>
          </w:tcPr>
          <w:p w14:paraId="41D3895C" w14:textId="77777777" w:rsidR="00120296" w:rsidRPr="00821532" w:rsidRDefault="00120296" w:rsidP="00D31048">
            <w:pPr>
              <w:spacing w:after="0"/>
              <w:rPr>
                <w:rFonts w:ascii="Times New Roman" w:eastAsia="Times New Roman" w:hAnsi="Times New Roman" w:cs="Arial"/>
                <w:sz w:val="20"/>
                <w:szCs w:val="20"/>
              </w:rPr>
            </w:pPr>
          </w:p>
        </w:tc>
        <w:tc>
          <w:tcPr>
            <w:tcW w:w="1418" w:type="dxa"/>
            <w:tcBorders>
              <w:top w:val="nil"/>
              <w:left w:val="nil"/>
              <w:bottom w:val="nil"/>
              <w:right w:val="nil"/>
            </w:tcBorders>
          </w:tcPr>
          <w:p w14:paraId="6B4965A3" w14:textId="4D7EA349" w:rsidR="00120296" w:rsidRPr="00821532" w:rsidRDefault="00120296"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 xml:space="preserve">YES </w:t>
            </w:r>
          </w:p>
        </w:tc>
        <w:tc>
          <w:tcPr>
            <w:tcW w:w="1425" w:type="dxa"/>
            <w:tcBorders>
              <w:top w:val="nil"/>
              <w:left w:val="nil"/>
              <w:bottom w:val="nil"/>
              <w:right w:val="nil"/>
            </w:tcBorders>
          </w:tcPr>
          <w:p w14:paraId="79CD0889" w14:textId="71A7B3C0" w:rsidR="00120296" w:rsidRPr="00821532" w:rsidRDefault="00120296"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YES</w:t>
            </w:r>
          </w:p>
        </w:tc>
      </w:tr>
      <w:tr w:rsidR="008E418C" w:rsidRPr="00821532" w14:paraId="769BB67B" w14:textId="77777777" w:rsidTr="00D31048">
        <w:trPr>
          <w:trHeight w:val="87"/>
        </w:trPr>
        <w:tc>
          <w:tcPr>
            <w:tcW w:w="3261" w:type="dxa"/>
            <w:tcBorders>
              <w:top w:val="nil"/>
              <w:left w:val="nil"/>
              <w:bottom w:val="nil"/>
              <w:right w:val="nil"/>
            </w:tcBorders>
          </w:tcPr>
          <w:p w14:paraId="08B5B362" w14:textId="77777777" w:rsidR="008E418C" w:rsidRPr="00821532" w:rsidRDefault="008E418C" w:rsidP="00D31048">
            <w:pPr>
              <w:spacing w:after="0" w:line="240" w:lineRule="auto"/>
              <w:rPr>
                <w:rFonts w:ascii="Times New Roman" w:eastAsia="Times New Roman" w:hAnsi="Times New Roman" w:cs="Arial"/>
                <w:color w:val="000000"/>
                <w:sz w:val="20"/>
                <w:szCs w:val="20"/>
                <w:lang w:val="en-US"/>
              </w:rPr>
            </w:pPr>
            <w:r w:rsidRPr="00821532">
              <w:rPr>
                <w:rFonts w:ascii="Times New Roman" w:eastAsia="SimSun" w:hAnsi="Times New Roman" w:cs="Arial"/>
                <w:color w:val="000000"/>
                <w:sz w:val="20"/>
                <w:szCs w:val="20"/>
                <w:lang w:val="en-US"/>
              </w:rPr>
              <w:t>Constant</w:t>
            </w:r>
          </w:p>
        </w:tc>
        <w:tc>
          <w:tcPr>
            <w:tcW w:w="1701" w:type="dxa"/>
            <w:tcBorders>
              <w:top w:val="nil"/>
              <w:left w:val="nil"/>
              <w:bottom w:val="nil"/>
              <w:right w:val="nil"/>
            </w:tcBorders>
          </w:tcPr>
          <w:p w14:paraId="3DAF6FC6" w14:textId="35144BE2" w:rsidR="008E418C" w:rsidRPr="00821532" w:rsidRDefault="00120296"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3.783</w:t>
            </w:r>
            <w:r w:rsidR="008E418C" w:rsidRPr="00821532">
              <w:rPr>
                <w:rFonts w:ascii="Times New Roman" w:eastAsia="Times New Roman" w:hAnsi="Times New Roman" w:cs="Arial"/>
                <w:sz w:val="20"/>
                <w:szCs w:val="20"/>
                <w:vertAlign w:val="superscript"/>
              </w:rPr>
              <w:t>**</w:t>
            </w:r>
          </w:p>
        </w:tc>
        <w:tc>
          <w:tcPr>
            <w:tcW w:w="1275" w:type="dxa"/>
            <w:tcBorders>
              <w:top w:val="nil"/>
              <w:left w:val="nil"/>
              <w:bottom w:val="nil"/>
              <w:right w:val="nil"/>
            </w:tcBorders>
          </w:tcPr>
          <w:p w14:paraId="0E5FC91D" w14:textId="3C63D3D7" w:rsidR="008E418C" w:rsidRPr="00821532" w:rsidRDefault="00D2007B"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0.040</w:t>
            </w:r>
          </w:p>
        </w:tc>
        <w:tc>
          <w:tcPr>
            <w:tcW w:w="284" w:type="dxa"/>
            <w:tcBorders>
              <w:top w:val="nil"/>
              <w:left w:val="nil"/>
              <w:bottom w:val="nil"/>
              <w:right w:val="nil"/>
            </w:tcBorders>
          </w:tcPr>
          <w:p w14:paraId="0BB30A45" w14:textId="77777777" w:rsidR="008E418C" w:rsidRPr="00821532" w:rsidRDefault="008E418C" w:rsidP="00D31048">
            <w:pPr>
              <w:spacing w:after="0"/>
              <w:rPr>
                <w:rFonts w:ascii="Times New Roman" w:eastAsia="Times New Roman" w:hAnsi="Times New Roman" w:cs="Arial"/>
                <w:sz w:val="20"/>
                <w:szCs w:val="20"/>
              </w:rPr>
            </w:pPr>
          </w:p>
        </w:tc>
        <w:tc>
          <w:tcPr>
            <w:tcW w:w="1418" w:type="dxa"/>
            <w:tcBorders>
              <w:top w:val="nil"/>
              <w:left w:val="nil"/>
              <w:bottom w:val="nil"/>
              <w:right w:val="nil"/>
            </w:tcBorders>
          </w:tcPr>
          <w:p w14:paraId="6E9DBD66" w14:textId="7AACD304" w:rsidR="008E418C" w:rsidRPr="00821532" w:rsidRDefault="00442D22" w:rsidP="00D31048">
            <w:pPr>
              <w:spacing w:after="0"/>
              <w:rPr>
                <w:rFonts w:ascii="Times New Roman" w:eastAsia="Times New Roman" w:hAnsi="Times New Roman" w:cs="Arial"/>
                <w:sz w:val="20"/>
                <w:szCs w:val="20"/>
              </w:rPr>
            </w:pPr>
            <w:r>
              <w:rPr>
                <w:rFonts w:ascii="Times New Roman" w:eastAsia="Times New Roman" w:hAnsi="Times New Roman" w:cs="Arial"/>
                <w:sz w:val="20"/>
                <w:szCs w:val="20"/>
              </w:rPr>
              <w:t>-1.112</w:t>
            </w:r>
          </w:p>
        </w:tc>
        <w:tc>
          <w:tcPr>
            <w:tcW w:w="1425" w:type="dxa"/>
            <w:tcBorders>
              <w:top w:val="nil"/>
              <w:left w:val="nil"/>
              <w:bottom w:val="nil"/>
              <w:right w:val="nil"/>
            </w:tcBorders>
          </w:tcPr>
          <w:p w14:paraId="3477E512" w14:textId="340A8551" w:rsidR="008E418C" w:rsidRPr="001B3ADF" w:rsidRDefault="001B3ADF" w:rsidP="00D31048">
            <w:pPr>
              <w:spacing w:after="0"/>
              <w:rPr>
                <w:rFonts w:ascii="Times New Roman" w:eastAsia="Times New Roman" w:hAnsi="Times New Roman" w:cs="Arial"/>
                <w:sz w:val="20"/>
                <w:szCs w:val="20"/>
                <w:vertAlign w:val="superscript"/>
              </w:rPr>
            </w:pPr>
            <w:r>
              <w:rPr>
                <w:rFonts w:ascii="Times New Roman" w:eastAsia="Times New Roman" w:hAnsi="Times New Roman" w:cs="Arial"/>
                <w:sz w:val="20"/>
                <w:szCs w:val="20"/>
              </w:rPr>
              <w:t>2.680</w:t>
            </w:r>
            <w:r>
              <w:rPr>
                <w:rFonts w:ascii="Times New Roman" w:eastAsia="Times New Roman" w:hAnsi="Times New Roman" w:cs="Arial"/>
                <w:sz w:val="20"/>
                <w:szCs w:val="20"/>
                <w:vertAlign w:val="superscript"/>
              </w:rPr>
              <w:t>**</w:t>
            </w:r>
          </w:p>
        </w:tc>
      </w:tr>
      <w:tr w:rsidR="00D94751" w:rsidRPr="00821532" w14:paraId="724331A3" w14:textId="77777777" w:rsidTr="00D31048">
        <w:trPr>
          <w:trHeight w:val="87"/>
        </w:trPr>
        <w:tc>
          <w:tcPr>
            <w:tcW w:w="3261" w:type="dxa"/>
            <w:tcBorders>
              <w:top w:val="nil"/>
              <w:left w:val="nil"/>
              <w:right w:val="nil"/>
            </w:tcBorders>
          </w:tcPr>
          <w:p w14:paraId="7DF979C5" w14:textId="41CD1505" w:rsidR="00D94751" w:rsidRPr="00821532" w:rsidRDefault="00D94751" w:rsidP="00D31048">
            <w:pPr>
              <w:spacing w:after="0" w:line="240" w:lineRule="auto"/>
              <w:rPr>
                <w:rFonts w:ascii="Times New Roman" w:eastAsia="Times New Roman" w:hAnsi="Times New Roman" w:cs="Arial"/>
                <w:color w:val="000000"/>
                <w:sz w:val="20"/>
                <w:szCs w:val="20"/>
                <w:lang w:val="en-US"/>
              </w:rPr>
            </w:pPr>
            <w:r w:rsidRPr="006B5786">
              <w:rPr>
                <w:rFonts w:ascii="Times New Roman" w:eastAsia="SimSun" w:hAnsi="Times New Roman"/>
                <w:i/>
                <w:sz w:val="20"/>
                <w:szCs w:val="20"/>
                <w:lang w:val="en-US"/>
              </w:rPr>
              <w:t>R</w:t>
            </w:r>
            <w:r>
              <w:rPr>
                <w:rFonts w:ascii="Times New Roman" w:eastAsia="SimSun" w:hAnsi="Times New Roman"/>
                <w:i/>
                <w:sz w:val="20"/>
                <w:szCs w:val="20"/>
                <w:lang w:val="en-US"/>
              </w:rPr>
              <w:t>-sq</w:t>
            </w:r>
          </w:p>
        </w:tc>
        <w:tc>
          <w:tcPr>
            <w:tcW w:w="1701" w:type="dxa"/>
            <w:tcBorders>
              <w:top w:val="nil"/>
              <w:left w:val="nil"/>
              <w:right w:val="nil"/>
            </w:tcBorders>
          </w:tcPr>
          <w:p w14:paraId="66C18688" w14:textId="65A44583"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0.</w:t>
            </w:r>
            <w:r w:rsidR="00120296">
              <w:rPr>
                <w:rFonts w:ascii="Times New Roman" w:eastAsia="Times New Roman" w:hAnsi="Times New Roman" w:cs="Arial"/>
                <w:sz w:val="20"/>
                <w:szCs w:val="20"/>
              </w:rPr>
              <w:t>549</w:t>
            </w:r>
          </w:p>
        </w:tc>
        <w:tc>
          <w:tcPr>
            <w:tcW w:w="1275" w:type="dxa"/>
            <w:tcBorders>
              <w:top w:val="nil"/>
              <w:left w:val="nil"/>
              <w:right w:val="nil"/>
            </w:tcBorders>
          </w:tcPr>
          <w:p w14:paraId="2952F4F0" w14:textId="039C0B3D"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0.</w:t>
            </w:r>
            <w:r w:rsidR="00D2007B">
              <w:rPr>
                <w:rFonts w:ascii="Times New Roman" w:eastAsia="Times New Roman" w:hAnsi="Times New Roman" w:cs="Arial"/>
                <w:sz w:val="20"/>
                <w:szCs w:val="20"/>
              </w:rPr>
              <w:t>430</w:t>
            </w:r>
          </w:p>
        </w:tc>
        <w:tc>
          <w:tcPr>
            <w:tcW w:w="284" w:type="dxa"/>
            <w:tcBorders>
              <w:top w:val="nil"/>
              <w:left w:val="nil"/>
              <w:right w:val="nil"/>
            </w:tcBorders>
          </w:tcPr>
          <w:p w14:paraId="6E8B5362" w14:textId="77777777" w:rsidR="00D94751" w:rsidRPr="00821532" w:rsidRDefault="00D94751" w:rsidP="00D31048">
            <w:pPr>
              <w:spacing w:after="0"/>
              <w:rPr>
                <w:rFonts w:ascii="Times New Roman" w:eastAsia="Times New Roman" w:hAnsi="Times New Roman" w:cs="Arial"/>
                <w:sz w:val="20"/>
                <w:szCs w:val="20"/>
              </w:rPr>
            </w:pPr>
          </w:p>
        </w:tc>
        <w:tc>
          <w:tcPr>
            <w:tcW w:w="1418" w:type="dxa"/>
            <w:tcBorders>
              <w:top w:val="nil"/>
              <w:left w:val="nil"/>
              <w:right w:val="nil"/>
            </w:tcBorders>
          </w:tcPr>
          <w:p w14:paraId="720AB948" w14:textId="53BCA4ED"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0.</w:t>
            </w:r>
            <w:r w:rsidR="00442D22">
              <w:rPr>
                <w:rFonts w:ascii="Times New Roman" w:eastAsia="Times New Roman" w:hAnsi="Times New Roman" w:cs="Arial"/>
                <w:sz w:val="20"/>
                <w:szCs w:val="20"/>
              </w:rPr>
              <w:t>449</w:t>
            </w:r>
          </w:p>
        </w:tc>
        <w:tc>
          <w:tcPr>
            <w:tcW w:w="1425" w:type="dxa"/>
            <w:tcBorders>
              <w:top w:val="nil"/>
              <w:left w:val="nil"/>
              <w:right w:val="nil"/>
            </w:tcBorders>
          </w:tcPr>
          <w:p w14:paraId="2072E18A" w14:textId="187E2B54"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0.</w:t>
            </w:r>
            <w:r w:rsidR="001B3ADF">
              <w:rPr>
                <w:rFonts w:ascii="Times New Roman" w:eastAsia="Times New Roman" w:hAnsi="Times New Roman" w:cs="Arial"/>
                <w:sz w:val="20"/>
                <w:szCs w:val="20"/>
              </w:rPr>
              <w:t>447</w:t>
            </w:r>
          </w:p>
        </w:tc>
      </w:tr>
      <w:tr w:rsidR="00D94751" w:rsidRPr="00821532" w14:paraId="337166AC" w14:textId="77777777" w:rsidTr="00D31048">
        <w:trPr>
          <w:trHeight w:val="87"/>
        </w:trPr>
        <w:tc>
          <w:tcPr>
            <w:tcW w:w="3261" w:type="dxa"/>
            <w:tcBorders>
              <w:top w:val="nil"/>
              <w:left w:val="nil"/>
              <w:bottom w:val="single" w:sz="2" w:space="0" w:color="auto"/>
              <w:right w:val="nil"/>
            </w:tcBorders>
          </w:tcPr>
          <w:p w14:paraId="16D4377F" w14:textId="303C3D40" w:rsidR="00D94751" w:rsidRPr="00821532" w:rsidRDefault="00D94751" w:rsidP="00D31048">
            <w:pPr>
              <w:spacing w:after="0" w:line="240" w:lineRule="auto"/>
              <w:rPr>
                <w:rFonts w:ascii="Times New Roman" w:eastAsia="Times New Roman" w:hAnsi="Times New Roman" w:cs="Arial"/>
                <w:color w:val="000000"/>
                <w:sz w:val="20"/>
                <w:szCs w:val="20"/>
                <w:lang w:val="en-US"/>
              </w:rPr>
            </w:pPr>
            <w:r w:rsidRPr="00F5674C">
              <w:rPr>
                <w:rFonts w:ascii="Times New Roman" w:eastAsia="SimSun" w:hAnsi="Times New Roman" w:cs="Times New Roman"/>
                <w:color w:val="000000"/>
                <w:sz w:val="20"/>
                <w:szCs w:val="20"/>
                <w:lang w:val="en-US"/>
              </w:rPr>
              <w:t>N</w:t>
            </w:r>
            <w:r>
              <w:rPr>
                <w:rFonts w:ascii="Times New Roman" w:eastAsia="SimSun" w:hAnsi="Times New Roman" w:cs="Times New Roman"/>
                <w:color w:val="000000"/>
                <w:sz w:val="20"/>
                <w:szCs w:val="20"/>
                <w:lang w:val="en-US"/>
              </w:rPr>
              <w:t>umber of observations</w:t>
            </w:r>
          </w:p>
        </w:tc>
        <w:tc>
          <w:tcPr>
            <w:tcW w:w="1701" w:type="dxa"/>
            <w:tcBorders>
              <w:top w:val="nil"/>
              <w:left w:val="nil"/>
              <w:bottom w:val="single" w:sz="2" w:space="0" w:color="auto"/>
              <w:right w:val="nil"/>
            </w:tcBorders>
          </w:tcPr>
          <w:p w14:paraId="6661D196" w14:textId="77777777"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702</w:t>
            </w:r>
          </w:p>
        </w:tc>
        <w:tc>
          <w:tcPr>
            <w:tcW w:w="1275" w:type="dxa"/>
            <w:tcBorders>
              <w:top w:val="nil"/>
              <w:left w:val="nil"/>
              <w:bottom w:val="single" w:sz="2" w:space="0" w:color="auto"/>
              <w:right w:val="nil"/>
            </w:tcBorders>
          </w:tcPr>
          <w:p w14:paraId="51B24826" w14:textId="77777777"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702</w:t>
            </w:r>
          </w:p>
        </w:tc>
        <w:tc>
          <w:tcPr>
            <w:tcW w:w="284" w:type="dxa"/>
            <w:tcBorders>
              <w:top w:val="nil"/>
              <w:left w:val="nil"/>
              <w:bottom w:val="single" w:sz="2" w:space="0" w:color="auto"/>
              <w:right w:val="nil"/>
            </w:tcBorders>
          </w:tcPr>
          <w:p w14:paraId="3F86BFC8" w14:textId="77777777" w:rsidR="00D94751" w:rsidRPr="00821532" w:rsidRDefault="00D94751" w:rsidP="00D31048">
            <w:pPr>
              <w:spacing w:after="0"/>
              <w:rPr>
                <w:rFonts w:ascii="Times New Roman" w:eastAsia="Times New Roman" w:hAnsi="Times New Roman" w:cs="Arial"/>
                <w:sz w:val="20"/>
                <w:szCs w:val="20"/>
              </w:rPr>
            </w:pPr>
          </w:p>
        </w:tc>
        <w:tc>
          <w:tcPr>
            <w:tcW w:w="1418" w:type="dxa"/>
            <w:tcBorders>
              <w:top w:val="nil"/>
              <w:left w:val="nil"/>
              <w:bottom w:val="single" w:sz="2" w:space="0" w:color="auto"/>
              <w:right w:val="nil"/>
            </w:tcBorders>
          </w:tcPr>
          <w:p w14:paraId="2F783DAA" w14:textId="77777777"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702</w:t>
            </w:r>
          </w:p>
        </w:tc>
        <w:tc>
          <w:tcPr>
            <w:tcW w:w="1425" w:type="dxa"/>
            <w:tcBorders>
              <w:top w:val="nil"/>
              <w:left w:val="nil"/>
              <w:bottom w:val="single" w:sz="2" w:space="0" w:color="auto"/>
              <w:right w:val="nil"/>
            </w:tcBorders>
          </w:tcPr>
          <w:p w14:paraId="32E26CB7" w14:textId="77777777" w:rsidR="00D94751" w:rsidRPr="00821532" w:rsidRDefault="00D94751" w:rsidP="00D31048">
            <w:pPr>
              <w:spacing w:after="0"/>
              <w:rPr>
                <w:rFonts w:ascii="Times New Roman" w:eastAsia="Times New Roman" w:hAnsi="Times New Roman" w:cs="Arial"/>
                <w:sz w:val="20"/>
                <w:szCs w:val="20"/>
              </w:rPr>
            </w:pPr>
            <w:r w:rsidRPr="00821532">
              <w:rPr>
                <w:rFonts w:ascii="Times New Roman" w:eastAsia="Times New Roman" w:hAnsi="Times New Roman" w:cs="Arial"/>
                <w:sz w:val="20"/>
                <w:szCs w:val="20"/>
              </w:rPr>
              <w:t>702</w:t>
            </w:r>
          </w:p>
        </w:tc>
      </w:tr>
      <w:tr w:rsidR="008E418C" w:rsidRPr="00821532" w14:paraId="68D9C79A" w14:textId="77777777" w:rsidTr="00D31048">
        <w:trPr>
          <w:trHeight w:val="87"/>
        </w:trPr>
        <w:tc>
          <w:tcPr>
            <w:tcW w:w="9364" w:type="dxa"/>
            <w:gridSpan w:val="6"/>
            <w:tcBorders>
              <w:top w:val="single" w:sz="2" w:space="0" w:color="auto"/>
              <w:left w:val="nil"/>
              <w:bottom w:val="nil"/>
              <w:right w:val="nil"/>
            </w:tcBorders>
          </w:tcPr>
          <w:p w14:paraId="207CA52F" w14:textId="76C18122" w:rsidR="008E418C" w:rsidRPr="00821532" w:rsidRDefault="008E418C" w:rsidP="00D31048">
            <w:pPr>
              <w:spacing w:after="0"/>
              <w:rPr>
                <w:rFonts w:ascii="Times New Roman" w:eastAsia="Times New Roman" w:hAnsi="Times New Roman" w:cs="Arial"/>
                <w:sz w:val="20"/>
                <w:szCs w:val="20"/>
              </w:rPr>
            </w:pPr>
            <w:r w:rsidRPr="00821532">
              <w:rPr>
                <w:rFonts w:ascii="Times New Roman" w:eastAsia="Times New Roman" w:hAnsi="Times New Roman" w:cs="Times New Roman"/>
                <w:color w:val="000000"/>
                <w:sz w:val="20"/>
                <w:szCs w:val="20"/>
                <w:lang w:val="en-US" w:eastAsia="en-GB"/>
              </w:rPr>
              <w:t xml:space="preserve">Please </w:t>
            </w:r>
            <w:r w:rsidR="00E56A18">
              <w:rPr>
                <w:rFonts w:ascii="Times New Roman" w:eastAsia="Times New Roman" w:hAnsi="Times New Roman" w:cs="Times New Roman"/>
                <w:b/>
                <w:bCs/>
                <w:i/>
                <w:iCs/>
                <w:color w:val="000000"/>
                <w:sz w:val="20"/>
                <w:szCs w:val="20"/>
                <w:lang w:val="en-US" w:eastAsia="en-GB"/>
              </w:rPr>
              <w:t>refer to the</w:t>
            </w:r>
            <w:r w:rsidRPr="008113B5">
              <w:rPr>
                <w:rFonts w:ascii="Times New Roman" w:eastAsia="Times New Roman" w:hAnsi="Times New Roman" w:cs="Times New Roman"/>
                <w:b/>
                <w:bCs/>
                <w:i/>
                <w:iCs/>
                <w:color w:val="000000"/>
                <w:sz w:val="20"/>
                <w:szCs w:val="20"/>
                <w:lang w:val="en-US" w:eastAsia="en-GB"/>
              </w:rPr>
              <w:t xml:space="preserve"> online Appendix 1</w:t>
            </w:r>
            <w:r w:rsidRPr="00821532">
              <w:rPr>
                <w:rFonts w:ascii="Times New Roman" w:eastAsia="Times New Roman" w:hAnsi="Times New Roman" w:cs="Times New Roman"/>
                <w:color w:val="000000"/>
                <w:sz w:val="20"/>
                <w:szCs w:val="20"/>
                <w:lang w:val="en-US" w:eastAsia="en-GB"/>
              </w:rPr>
              <w:t xml:space="preserve"> for variable definitions.</w:t>
            </w:r>
            <w:r>
              <w:rPr>
                <w:rFonts w:ascii="Times New Roman" w:eastAsia="Times New Roman" w:hAnsi="Times New Roman" w:cs="Times New Roman"/>
                <w:color w:val="000000"/>
                <w:sz w:val="20"/>
                <w:szCs w:val="20"/>
                <w:lang w:val="en-US" w:eastAsia="en-GB"/>
              </w:rPr>
              <w:t xml:space="preserve"> </w:t>
            </w:r>
            <w:r w:rsidRPr="00821532">
              <w:rPr>
                <w:rFonts w:ascii="Times New Roman" w:eastAsia="Calibri" w:hAnsi="Times New Roman" w:cs="Times New Roman"/>
                <w:sz w:val="20"/>
                <w:szCs w:val="20"/>
                <w:lang w:val="en-US"/>
              </w:rPr>
              <w:t>*** Significance at the 1% level (p&lt;0.01)</w:t>
            </w:r>
            <w:r>
              <w:rPr>
                <w:rFonts w:ascii="Times New Roman" w:eastAsia="Calibri" w:hAnsi="Times New Roman" w:cs="Times New Roman"/>
                <w:sz w:val="20"/>
                <w:szCs w:val="20"/>
                <w:lang w:val="en-US"/>
              </w:rPr>
              <w:t xml:space="preserve">, </w:t>
            </w:r>
            <w:r w:rsidRPr="00821532">
              <w:rPr>
                <w:rFonts w:ascii="Times New Roman" w:eastAsia="Calibri" w:hAnsi="Times New Roman" w:cs="Times New Roman"/>
                <w:sz w:val="20"/>
                <w:szCs w:val="20"/>
                <w:lang w:val="en-US"/>
              </w:rPr>
              <w:t>** Significance at the 5% level (p&lt;0.05)</w:t>
            </w:r>
            <w:r>
              <w:rPr>
                <w:rFonts w:ascii="Times New Roman" w:eastAsia="Calibri" w:hAnsi="Times New Roman" w:cs="Times New Roman"/>
                <w:sz w:val="20"/>
                <w:szCs w:val="20"/>
                <w:lang w:val="en-US"/>
              </w:rPr>
              <w:t xml:space="preserve"> and </w:t>
            </w:r>
            <w:r w:rsidRPr="00821532">
              <w:rPr>
                <w:rFonts w:ascii="Times New Roman" w:eastAsia="Calibri" w:hAnsi="Times New Roman" w:cs="Times New Roman"/>
                <w:sz w:val="20"/>
                <w:szCs w:val="20"/>
                <w:lang w:val="en-US"/>
              </w:rPr>
              <w:t>* Significance at the 10% level (p&lt;0.10).</w:t>
            </w:r>
          </w:p>
        </w:tc>
      </w:tr>
    </w:tbl>
    <w:p w14:paraId="4289B1FD" w14:textId="7CCC0885" w:rsidR="00F8030B" w:rsidRDefault="00F8030B" w:rsidP="00855220"/>
    <w:p w14:paraId="52000092" w14:textId="77777777" w:rsidR="00F8030B" w:rsidRDefault="00F8030B" w:rsidP="00855220"/>
    <w:p w14:paraId="1A0DA286" w14:textId="77777777" w:rsidR="00C72A71" w:rsidRDefault="00C72A71" w:rsidP="00855220"/>
    <w:p w14:paraId="21B0E8C1" w14:textId="0E7636F8" w:rsidR="00821532" w:rsidRDefault="00821532" w:rsidP="00855220">
      <w:pPr>
        <w:sectPr w:rsidR="00821532" w:rsidSect="00F8030B">
          <w:pgSz w:w="11906" w:h="16838"/>
          <w:pgMar w:top="1440" w:right="1440" w:bottom="1440" w:left="1440" w:header="720" w:footer="720" w:gutter="0"/>
          <w:cols w:space="720"/>
          <w:docGrid w:linePitch="299"/>
        </w:sectPr>
      </w:pPr>
    </w:p>
    <w:tbl>
      <w:tblPr>
        <w:tblpPr w:leftFromText="180" w:rightFromText="180" w:vertAnchor="page" w:horzAnchor="margin" w:tblpXSpec="center" w:tblpY="1357"/>
        <w:tblW w:w="12350" w:type="dxa"/>
        <w:tblLayout w:type="fixed"/>
        <w:tblLook w:val="04A0" w:firstRow="1" w:lastRow="0" w:firstColumn="1" w:lastColumn="0" w:noHBand="0" w:noVBand="1"/>
      </w:tblPr>
      <w:tblGrid>
        <w:gridCol w:w="3686"/>
        <w:gridCol w:w="1275"/>
        <w:gridCol w:w="1285"/>
        <w:gridCol w:w="314"/>
        <w:gridCol w:w="1392"/>
        <w:gridCol w:w="1137"/>
        <w:gridCol w:w="239"/>
        <w:gridCol w:w="1600"/>
        <w:gridCol w:w="1422"/>
      </w:tblGrid>
      <w:tr w:rsidR="00FF46C2" w:rsidRPr="00F613C9" w14:paraId="7A647443" w14:textId="77777777" w:rsidTr="00265BD1">
        <w:tc>
          <w:tcPr>
            <w:tcW w:w="12350" w:type="dxa"/>
            <w:gridSpan w:val="9"/>
            <w:tcBorders>
              <w:left w:val="nil"/>
              <w:bottom w:val="single" w:sz="12" w:space="0" w:color="auto"/>
              <w:right w:val="nil"/>
            </w:tcBorders>
          </w:tcPr>
          <w:p w14:paraId="7B294C63" w14:textId="478CA06F" w:rsidR="00FF46C2" w:rsidRPr="00F613C9" w:rsidRDefault="00FF46C2" w:rsidP="00FF46C2">
            <w:pPr>
              <w:spacing w:after="0"/>
              <w:rPr>
                <w:rFonts w:ascii="Times New Roman" w:eastAsia="Times New Roman" w:hAnsi="Times New Roman"/>
                <w:i/>
                <w:iCs/>
                <w:sz w:val="18"/>
                <w:szCs w:val="18"/>
                <w:lang w:val="en-US" w:eastAsia="zh-CN"/>
              </w:rPr>
            </w:pPr>
            <w:bookmarkStart w:id="21" w:name="_Hlk98235492"/>
            <w:r w:rsidRPr="00F613C9">
              <w:rPr>
                <w:rFonts w:ascii="Times New Roman" w:eastAsia="Times New Roman" w:hAnsi="Times New Roman"/>
                <w:b/>
                <w:bCs/>
                <w:sz w:val="18"/>
                <w:szCs w:val="18"/>
                <w:lang w:val="en-US" w:eastAsia="zh-CN"/>
              </w:rPr>
              <w:lastRenderedPageBreak/>
              <w:t xml:space="preserve">Table </w:t>
            </w:r>
            <w:r w:rsidR="00E96CFD">
              <w:rPr>
                <w:rFonts w:ascii="Times New Roman" w:eastAsia="Times New Roman" w:hAnsi="Times New Roman"/>
                <w:b/>
                <w:bCs/>
                <w:sz w:val="18"/>
                <w:szCs w:val="18"/>
                <w:lang w:val="en-US" w:eastAsia="zh-CN"/>
              </w:rPr>
              <w:t>4</w:t>
            </w:r>
            <w:r w:rsidRPr="00F613C9">
              <w:rPr>
                <w:rFonts w:ascii="Times New Roman" w:eastAsia="Times New Roman" w:hAnsi="Times New Roman"/>
                <w:b/>
                <w:bCs/>
                <w:sz w:val="18"/>
                <w:szCs w:val="18"/>
                <w:lang w:val="en-US" w:eastAsia="zh-CN"/>
              </w:rPr>
              <w:t xml:space="preserve">. </w:t>
            </w:r>
            <w:r w:rsidRPr="00F613C9">
              <w:rPr>
                <w:rFonts w:ascii="Times New Roman" w:eastAsia="Times New Roman" w:hAnsi="Times New Roman"/>
                <w:bCs/>
                <w:sz w:val="18"/>
                <w:szCs w:val="18"/>
                <w:lang w:val="en-US" w:eastAsia="zh-CN"/>
              </w:rPr>
              <w:t>Robustness tests for the link between HEIs’ long-term performance and VC pay</w:t>
            </w:r>
          </w:p>
        </w:tc>
      </w:tr>
      <w:tr w:rsidR="00FF46C2" w:rsidRPr="00F613C9" w14:paraId="6676BC90" w14:textId="77777777" w:rsidTr="00265BD1">
        <w:tc>
          <w:tcPr>
            <w:tcW w:w="3686" w:type="dxa"/>
            <w:vMerge w:val="restart"/>
            <w:tcBorders>
              <w:top w:val="single" w:sz="12" w:space="0" w:color="auto"/>
              <w:left w:val="nil"/>
              <w:right w:val="nil"/>
            </w:tcBorders>
          </w:tcPr>
          <w:p w14:paraId="7ACD29BE" w14:textId="77777777" w:rsidR="00FF46C2" w:rsidRPr="00F613C9" w:rsidRDefault="00FF46C2" w:rsidP="00FF46C2">
            <w:pPr>
              <w:spacing w:after="0"/>
              <w:rPr>
                <w:rFonts w:ascii="Times New Roman" w:eastAsia="Times New Roman" w:hAnsi="Times New Roman"/>
                <w:sz w:val="18"/>
                <w:szCs w:val="18"/>
              </w:rPr>
            </w:pPr>
          </w:p>
          <w:p w14:paraId="2BC76485"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Dep. Variable</w:t>
            </w:r>
          </w:p>
          <w:p w14:paraId="1B681DF5" w14:textId="77777777" w:rsidR="00FF46C2" w:rsidRPr="00F613C9" w:rsidRDefault="00FF46C2" w:rsidP="00FF46C2">
            <w:pPr>
              <w:spacing w:after="0"/>
              <w:rPr>
                <w:rFonts w:ascii="Times New Roman" w:eastAsia="Times New Roman" w:hAnsi="Times New Roman"/>
                <w:sz w:val="18"/>
                <w:szCs w:val="18"/>
              </w:rPr>
            </w:pPr>
          </w:p>
          <w:p w14:paraId="0451F91A" w14:textId="77777777" w:rsidR="00FF46C2" w:rsidRPr="00F613C9" w:rsidRDefault="00FF46C2" w:rsidP="00FF46C2">
            <w:pPr>
              <w:spacing w:after="0"/>
              <w:rPr>
                <w:rFonts w:ascii="Times New Roman" w:eastAsia="Times New Roman" w:hAnsi="Times New Roman"/>
                <w:sz w:val="18"/>
                <w:szCs w:val="18"/>
              </w:rPr>
            </w:pPr>
          </w:p>
          <w:p w14:paraId="7F7E33E3" w14:textId="77777777" w:rsidR="00394410" w:rsidRDefault="00394410" w:rsidP="00FF46C2">
            <w:pPr>
              <w:spacing w:after="0"/>
              <w:rPr>
                <w:rFonts w:ascii="Times New Roman" w:eastAsia="Times New Roman" w:hAnsi="Times New Roman"/>
                <w:sz w:val="18"/>
                <w:szCs w:val="18"/>
              </w:rPr>
            </w:pPr>
          </w:p>
          <w:p w14:paraId="57CE1DA8" w14:textId="344CC068"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r w:rsidRPr="00F613C9">
              <w:rPr>
                <w:rFonts w:ascii="Times New Roman" w:eastAsia="Times New Roman" w:hAnsi="Times New Roman"/>
                <w:i/>
                <w:iCs/>
                <w:sz w:val="18"/>
                <w:szCs w:val="18"/>
              </w:rPr>
              <w:t>Model</w:t>
            </w:r>
            <w:r w:rsidRPr="00F613C9">
              <w:rPr>
                <w:rFonts w:ascii="Times New Roman" w:eastAsia="Times New Roman" w:hAnsi="Times New Roman"/>
                <w:sz w:val="18"/>
                <w:szCs w:val="18"/>
              </w:rPr>
              <w:t>)</w:t>
            </w:r>
          </w:p>
        </w:tc>
        <w:tc>
          <w:tcPr>
            <w:tcW w:w="2560" w:type="dxa"/>
            <w:gridSpan w:val="2"/>
            <w:tcBorders>
              <w:top w:val="single" w:sz="12" w:space="0" w:color="auto"/>
              <w:left w:val="nil"/>
              <w:bottom w:val="single" w:sz="2" w:space="0" w:color="auto"/>
              <w:right w:val="nil"/>
            </w:tcBorders>
          </w:tcPr>
          <w:p w14:paraId="19548D40" w14:textId="0E235517" w:rsidR="00FF46C2" w:rsidRPr="00F613C9" w:rsidRDefault="001B3ADF" w:rsidP="00FF46C2">
            <w:pPr>
              <w:spacing w:after="0"/>
              <w:jc w:val="center"/>
              <w:rPr>
                <w:rFonts w:ascii="Times New Roman" w:eastAsia="Times New Roman" w:hAnsi="Times New Roman" w:cs="Arial"/>
                <w:i/>
                <w:iCs/>
                <w:sz w:val="18"/>
                <w:szCs w:val="18"/>
                <w:lang w:val="en-US" w:eastAsia="zh-CN"/>
              </w:rPr>
            </w:pPr>
            <w:r>
              <w:rPr>
                <w:rFonts w:ascii="Times New Roman" w:eastAsia="Times New Roman" w:hAnsi="Times New Roman" w:cs="Arial"/>
                <w:i/>
                <w:iCs/>
                <w:sz w:val="18"/>
                <w:szCs w:val="18"/>
                <w:lang w:val="en-US" w:eastAsia="zh-CN"/>
              </w:rPr>
              <w:t>ALTERNATIVE PROXIES</w:t>
            </w:r>
          </w:p>
          <w:p w14:paraId="5BBB9435" w14:textId="77777777" w:rsidR="00FF46C2" w:rsidRPr="00F613C9" w:rsidRDefault="00FF46C2" w:rsidP="00FF46C2">
            <w:pPr>
              <w:spacing w:after="0"/>
              <w:jc w:val="center"/>
              <w:rPr>
                <w:rFonts w:ascii="Times New Roman" w:hAnsi="Times New Roman"/>
                <w:iCs/>
                <w:sz w:val="18"/>
                <w:szCs w:val="18"/>
              </w:rPr>
            </w:pPr>
            <w:r w:rsidRPr="00F613C9">
              <w:rPr>
                <w:rFonts w:ascii="Times New Roman" w:eastAsia="Times New Roman" w:hAnsi="Times New Roman" w:cs="Arial"/>
                <w:sz w:val="18"/>
                <w:szCs w:val="18"/>
                <w:lang w:val="en-US" w:eastAsia="zh-CN"/>
              </w:rPr>
              <w:t>VC Total Pay</w:t>
            </w:r>
          </w:p>
        </w:tc>
        <w:tc>
          <w:tcPr>
            <w:tcW w:w="314" w:type="dxa"/>
            <w:tcBorders>
              <w:top w:val="single" w:sz="12" w:space="0" w:color="auto"/>
              <w:left w:val="nil"/>
              <w:right w:val="nil"/>
            </w:tcBorders>
          </w:tcPr>
          <w:p w14:paraId="4631ABCA" w14:textId="77777777" w:rsidR="00FF46C2" w:rsidRPr="00F613C9" w:rsidRDefault="00FF46C2" w:rsidP="00FF46C2">
            <w:pPr>
              <w:spacing w:after="0"/>
              <w:rPr>
                <w:rFonts w:ascii="Times New Roman" w:eastAsia="Times New Roman" w:hAnsi="Times New Roman"/>
                <w:sz w:val="18"/>
                <w:szCs w:val="18"/>
                <w:lang w:val="en-US" w:eastAsia="zh-CN"/>
              </w:rPr>
            </w:pPr>
          </w:p>
        </w:tc>
        <w:tc>
          <w:tcPr>
            <w:tcW w:w="2529" w:type="dxa"/>
            <w:gridSpan w:val="2"/>
            <w:tcBorders>
              <w:top w:val="single" w:sz="12" w:space="0" w:color="auto"/>
              <w:left w:val="nil"/>
              <w:bottom w:val="single" w:sz="2" w:space="0" w:color="auto"/>
              <w:right w:val="nil"/>
            </w:tcBorders>
          </w:tcPr>
          <w:p w14:paraId="7A984BDB" w14:textId="2D3735D5" w:rsidR="00FF46C2" w:rsidRPr="00F613C9" w:rsidRDefault="001B3ADF" w:rsidP="00FF46C2">
            <w:pPr>
              <w:spacing w:after="0"/>
              <w:jc w:val="center"/>
              <w:rPr>
                <w:rFonts w:ascii="Times New Roman" w:eastAsia="Times New Roman" w:hAnsi="Times New Roman" w:cs="Arial"/>
                <w:i/>
                <w:iCs/>
                <w:sz w:val="18"/>
                <w:szCs w:val="18"/>
                <w:lang w:val="en-US" w:eastAsia="zh-CN"/>
              </w:rPr>
            </w:pPr>
            <w:r>
              <w:rPr>
                <w:rFonts w:ascii="Times New Roman" w:eastAsia="Times New Roman" w:hAnsi="Times New Roman" w:cs="Arial"/>
                <w:i/>
                <w:iCs/>
                <w:sz w:val="18"/>
                <w:szCs w:val="18"/>
                <w:lang w:val="en-US" w:eastAsia="zh-CN"/>
              </w:rPr>
              <w:t>LAGGED</w:t>
            </w:r>
            <w:r w:rsidR="00FF46C2" w:rsidRPr="00F613C9">
              <w:rPr>
                <w:rFonts w:ascii="Times New Roman" w:eastAsia="Times New Roman" w:hAnsi="Times New Roman" w:cs="Arial"/>
                <w:i/>
                <w:iCs/>
                <w:sz w:val="18"/>
                <w:szCs w:val="18"/>
                <w:lang w:val="en-US" w:eastAsia="zh-CN"/>
              </w:rPr>
              <w:t>-EFFECTS</w:t>
            </w:r>
          </w:p>
          <w:p w14:paraId="3FA30AD8" w14:textId="77777777" w:rsidR="00FF46C2" w:rsidRPr="00F613C9" w:rsidRDefault="00FF46C2" w:rsidP="00FF46C2">
            <w:pPr>
              <w:spacing w:after="0"/>
              <w:jc w:val="center"/>
              <w:rPr>
                <w:rFonts w:ascii="Times New Roman" w:hAnsi="Times New Roman"/>
                <w:iCs/>
                <w:sz w:val="18"/>
                <w:szCs w:val="18"/>
              </w:rPr>
            </w:pPr>
            <w:r w:rsidRPr="00F613C9">
              <w:rPr>
                <w:rFonts w:ascii="Times New Roman" w:eastAsia="Times New Roman" w:hAnsi="Times New Roman" w:cs="Arial"/>
                <w:sz w:val="18"/>
                <w:szCs w:val="18"/>
                <w:lang w:val="en-US" w:eastAsia="zh-CN"/>
              </w:rPr>
              <w:t>VC Total Pay</w:t>
            </w:r>
          </w:p>
        </w:tc>
        <w:tc>
          <w:tcPr>
            <w:tcW w:w="239" w:type="dxa"/>
            <w:tcBorders>
              <w:top w:val="single" w:sz="12" w:space="0" w:color="auto"/>
              <w:left w:val="nil"/>
              <w:right w:val="nil"/>
            </w:tcBorders>
          </w:tcPr>
          <w:p w14:paraId="6CE3C4BA" w14:textId="77777777" w:rsidR="00FF46C2" w:rsidRPr="00F613C9" w:rsidRDefault="00FF46C2" w:rsidP="00FF46C2">
            <w:pPr>
              <w:spacing w:after="0"/>
              <w:rPr>
                <w:rFonts w:ascii="Times New Roman" w:eastAsia="Times New Roman" w:hAnsi="Times New Roman"/>
                <w:sz w:val="18"/>
                <w:szCs w:val="18"/>
              </w:rPr>
            </w:pPr>
          </w:p>
        </w:tc>
        <w:tc>
          <w:tcPr>
            <w:tcW w:w="3022" w:type="dxa"/>
            <w:gridSpan w:val="2"/>
            <w:tcBorders>
              <w:top w:val="single" w:sz="12" w:space="0" w:color="auto"/>
              <w:left w:val="nil"/>
              <w:bottom w:val="single" w:sz="2" w:space="0" w:color="auto"/>
              <w:right w:val="nil"/>
            </w:tcBorders>
          </w:tcPr>
          <w:p w14:paraId="78FEFF9D" w14:textId="77777777" w:rsidR="00FF46C2" w:rsidRPr="00F613C9" w:rsidRDefault="00FF46C2" w:rsidP="00FF46C2">
            <w:pPr>
              <w:spacing w:after="0"/>
              <w:jc w:val="center"/>
              <w:rPr>
                <w:rFonts w:ascii="Times New Roman" w:eastAsia="Times New Roman" w:hAnsi="Times New Roman"/>
                <w:i/>
                <w:iCs/>
                <w:sz w:val="18"/>
                <w:szCs w:val="18"/>
                <w:lang w:val="en-US" w:eastAsia="zh-CN"/>
              </w:rPr>
            </w:pPr>
            <w:r w:rsidRPr="00F613C9">
              <w:rPr>
                <w:rFonts w:ascii="Times New Roman" w:eastAsia="Times New Roman" w:hAnsi="Times New Roman"/>
                <w:i/>
                <w:iCs/>
                <w:sz w:val="18"/>
                <w:szCs w:val="18"/>
                <w:lang w:val="en-US" w:eastAsia="zh-CN"/>
              </w:rPr>
              <w:t>SYSTEM-GMM</w:t>
            </w:r>
          </w:p>
          <w:p w14:paraId="69A1278A" w14:textId="77777777" w:rsidR="00FF46C2" w:rsidRPr="00F613C9" w:rsidRDefault="00FF46C2" w:rsidP="00FF46C2">
            <w:pPr>
              <w:spacing w:after="0"/>
              <w:jc w:val="center"/>
              <w:rPr>
                <w:rFonts w:ascii="Times New Roman" w:hAnsi="Times New Roman"/>
                <w:iCs/>
                <w:sz w:val="18"/>
                <w:szCs w:val="18"/>
              </w:rPr>
            </w:pPr>
            <w:r w:rsidRPr="00F613C9">
              <w:rPr>
                <w:rFonts w:ascii="Times New Roman" w:eastAsia="Times New Roman" w:hAnsi="Times New Roman"/>
                <w:sz w:val="18"/>
                <w:szCs w:val="18"/>
                <w:lang w:val="en-US" w:eastAsia="zh-CN"/>
              </w:rPr>
              <w:t>VC Total Pay</w:t>
            </w:r>
          </w:p>
        </w:tc>
      </w:tr>
      <w:tr w:rsidR="00FF46C2" w:rsidRPr="00F613C9" w14:paraId="0FEBF8E4" w14:textId="77777777" w:rsidTr="00265BD1">
        <w:tc>
          <w:tcPr>
            <w:tcW w:w="3686" w:type="dxa"/>
            <w:vMerge/>
            <w:tcBorders>
              <w:top w:val="single" w:sz="2" w:space="0" w:color="auto"/>
              <w:left w:val="nil"/>
              <w:bottom w:val="single" w:sz="2" w:space="0" w:color="auto"/>
              <w:right w:val="nil"/>
            </w:tcBorders>
          </w:tcPr>
          <w:p w14:paraId="742CBB93" w14:textId="77777777" w:rsidR="00FF46C2" w:rsidRPr="00F613C9" w:rsidRDefault="00FF46C2" w:rsidP="00FF46C2">
            <w:pPr>
              <w:spacing w:after="0"/>
              <w:rPr>
                <w:rFonts w:ascii="Times New Roman" w:eastAsia="Times New Roman" w:hAnsi="Times New Roman"/>
                <w:sz w:val="18"/>
                <w:szCs w:val="18"/>
              </w:rPr>
            </w:pPr>
          </w:p>
        </w:tc>
        <w:tc>
          <w:tcPr>
            <w:tcW w:w="1275" w:type="dxa"/>
            <w:tcBorders>
              <w:top w:val="single" w:sz="2" w:space="0" w:color="auto"/>
              <w:left w:val="nil"/>
              <w:bottom w:val="single" w:sz="2" w:space="0" w:color="auto"/>
              <w:right w:val="nil"/>
            </w:tcBorders>
          </w:tcPr>
          <w:p w14:paraId="7324D961" w14:textId="675CA700" w:rsidR="00FF46C2" w:rsidRPr="00F613C9" w:rsidRDefault="001B3ADF" w:rsidP="00FF46C2">
            <w:pPr>
              <w:spacing w:after="0"/>
              <w:rPr>
                <w:rFonts w:ascii="Times New Roman" w:hAnsi="Times New Roman"/>
                <w:iCs/>
                <w:sz w:val="18"/>
                <w:szCs w:val="18"/>
              </w:rPr>
            </w:pPr>
            <w:r>
              <w:rPr>
                <w:rFonts w:ascii="Times New Roman" w:hAnsi="Times New Roman"/>
                <w:iCs/>
                <w:sz w:val="18"/>
                <w:szCs w:val="18"/>
              </w:rPr>
              <w:t>Gender Pay Gap</w:t>
            </w:r>
          </w:p>
          <w:p w14:paraId="20186D5D" w14:textId="77777777" w:rsidR="001B3ADF" w:rsidRDefault="001B3ADF" w:rsidP="00FF46C2">
            <w:pPr>
              <w:spacing w:after="0"/>
              <w:rPr>
                <w:rFonts w:ascii="Times New Roman" w:eastAsia="Times New Roman" w:hAnsi="Times New Roman"/>
                <w:sz w:val="18"/>
                <w:szCs w:val="18"/>
                <w:lang w:val="en-US" w:eastAsia="zh-CN"/>
              </w:rPr>
            </w:pPr>
          </w:p>
          <w:p w14:paraId="67B45C7E" w14:textId="3C65952B"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(1)</w:t>
            </w:r>
          </w:p>
        </w:tc>
        <w:tc>
          <w:tcPr>
            <w:tcW w:w="1285" w:type="dxa"/>
            <w:tcBorders>
              <w:top w:val="single" w:sz="2" w:space="0" w:color="auto"/>
              <w:left w:val="nil"/>
              <w:bottom w:val="single" w:sz="2" w:space="0" w:color="auto"/>
              <w:right w:val="nil"/>
            </w:tcBorders>
          </w:tcPr>
          <w:p w14:paraId="7A22B77D" w14:textId="77777777" w:rsidR="001B3ADF" w:rsidRDefault="001B3ADF" w:rsidP="00FF46C2">
            <w:pPr>
              <w:spacing w:after="0"/>
              <w:rPr>
                <w:rFonts w:ascii="Times New Roman" w:hAnsi="Times New Roman"/>
                <w:iCs/>
                <w:sz w:val="18"/>
                <w:szCs w:val="18"/>
                <w:lang w:val="en-US"/>
              </w:rPr>
            </w:pPr>
            <w:r w:rsidRPr="001B3ADF">
              <w:rPr>
                <w:rFonts w:ascii="Times New Roman" w:hAnsi="Times New Roman"/>
                <w:iCs/>
                <w:sz w:val="18"/>
                <w:szCs w:val="18"/>
              </w:rPr>
              <w:t>Percentage of Young Staff</w:t>
            </w:r>
            <w:r w:rsidRPr="001B3ADF">
              <w:rPr>
                <w:rFonts w:ascii="Times New Roman" w:hAnsi="Times New Roman"/>
                <w:iCs/>
                <w:sz w:val="18"/>
                <w:szCs w:val="18"/>
                <w:lang w:val="en-US"/>
              </w:rPr>
              <w:t xml:space="preserve"> </w:t>
            </w:r>
          </w:p>
          <w:p w14:paraId="4EA0CE92" w14:textId="77777777" w:rsidR="00394410" w:rsidRDefault="00394410" w:rsidP="00FF46C2">
            <w:pPr>
              <w:spacing w:after="0"/>
              <w:rPr>
                <w:rFonts w:ascii="Times New Roman" w:eastAsia="Times New Roman" w:hAnsi="Times New Roman"/>
                <w:sz w:val="18"/>
                <w:szCs w:val="18"/>
                <w:lang w:val="en-US" w:eastAsia="zh-CN"/>
              </w:rPr>
            </w:pPr>
          </w:p>
          <w:p w14:paraId="64573F4F" w14:textId="0B120D9C"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(2)</w:t>
            </w:r>
          </w:p>
        </w:tc>
        <w:tc>
          <w:tcPr>
            <w:tcW w:w="314" w:type="dxa"/>
            <w:tcBorders>
              <w:top w:val="single" w:sz="2" w:space="0" w:color="auto"/>
              <w:left w:val="nil"/>
              <w:bottom w:val="single" w:sz="2" w:space="0" w:color="auto"/>
              <w:right w:val="nil"/>
            </w:tcBorders>
          </w:tcPr>
          <w:p w14:paraId="0224A06E" w14:textId="77777777" w:rsidR="00FF46C2" w:rsidRPr="00F613C9" w:rsidRDefault="00FF46C2" w:rsidP="00FF46C2">
            <w:pPr>
              <w:spacing w:after="0"/>
              <w:rPr>
                <w:rFonts w:ascii="Times New Roman" w:eastAsia="Times New Roman" w:hAnsi="Times New Roman"/>
                <w:sz w:val="18"/>
                <w:szCs w:val="18"/>
                <w:lang w:val="en-US" w:eastAsia="zh-CN"/>
              </w:rPr>
            </w:pPr>
          </w:p>
        </w:tc>
        <w:tc>
          <w:tcPr>
            <w:tcW w:w="1392" w:type="dxa"/>
            <w:tcBorders>
              <w:top w:val="single" w:sz="2" w:space="0" w:color="auto"/>
              <w:left w:val="nil"/>
              <w:bottom w:val="single" w:sz="2" w:space="0" w:color="auto"/>
              <w:right w:val="nil"/>
            </w:tcBorders>
          </w:tcPr>
          <w:p w14:paraId="522B508F" w14:textId="77777777" w:rsidR="00FF46C2" w:rsidRPr="00F613C9" w:rsidRDefault="00FF46C2" w:rsidP="00394410">
            <w:pPr>
              <w:spacing w:after="0"/>
              <w:ind w:right="-108"/>
              <w:rPr>
                <w:rFonts w:ascii="Times New Roman" w:eastAsia="Times New Roman" w:hAnsi="Times New Roman"/>
                <w:iCs/>
                <w:sz w:val="18"/>
                <w:szCs w:val="18"/>
                <w:lang w:eastAsia="zh-CN"/>
              </w:rPr>
            </w:pPr>
            <w:r w:rsidRPr="00F613C9">
              <w:rPr>
                <w:rFonts w:ascii="Times New Roman" w:eastAsia="Times New Roman" w:hAnsi="Times New Roman"/>
                <w:iCs/>
                <w:sz w:val="18"/>
                <w:szCs w:val="18"/>
                <w:lang w:eastAsia="zh-CN"/>
              </w:rPr>
              <w:t xml:space="preserve">Non-continuation in HE </w:t>
            </w:r>
          </w:p>
          <w:p w14:paraId="461E89A2" w14:textId="77777777" w:rsidR="00394410" w:rsidRDefault="00394410" w:rsidP="00FF46C2">
            <w:pPr>
              <w:spacing w:after="0"/>
              <w:rPr>
                <w:rFonts w:ascii="Times New Roman" w:eastAsia="Times New Roman" w:hAnsi="Times New Roman"/>
                <w:sz w:val="18"/>
                <w:szCs w:val="18"/>
                <w:lang w:val="en-US" w:eastAsia="zh-CN"/>
              </w:rPr>
            </w:pPr>
          </w:p>
          <w:p w14:paraId="62BE6B6C" w14:textId="0A219A06"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(3)</w:t>
            </w:r>
          </w:p>
        </w:tc>
        <w:tc>
          <w:tcPr>
            <w:tcW w:w="1137" w:type="dxa"/>
            <w:tcBorders>
              <w:top w:val="single" w:sz="2" w:space="0" w:color="auto"/>
              <w:left w:val="nil"/>
              <w:bottom w:val="single" w:sz="2" w:space="0" w:color="auto"/>
              <w:right w:val="nil"/>
            </w:tcBorders>
          </w:tcPr>
          <w:p w14:paraId="3E2BE72D" w14:textId="77777777" w:rsidR="00FF46C2" w:rsidRPr="00F613C9" w:rsidRDefault="00FF46C2" w:rsidP="00FF46C2">
            <w:pPr>
              <w:spacing w:after="0"/>
              <w:rPr>
                <w:rFonts w:ascii="Times New Roman" w:eastAsia="Times New Roman" w:hAnsi="Times New Roman"/>
                <w:sz w:val="18"/>
                <w:szCs w:val="18"/>
                <w:lang w:val="en-US" w:eastAsia="zh-CN"/>
              </w:rPr>
            </w:pPr>
            <w:r w:rsidRPr="00F613C9">
              <w:rPr>
                <w:rFonts w:ascii="Times New Roman" w:hAnsi="Times New Roman"/>
                <w:iCs/>
                <w:sz w:val="18"/>
                <w:szCs w:val="18"/>
              </w:rPr>
              <w:t>Community Contribution Index</w:t>
            </w:r>
          </w:p>
          <w:p w14:paraId="35507421"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(4)</w:t>
            </w:r>
          </w:p>
        </w:tc>
        <w:tc>
          <w:tcPr>
            <w:tcW w:w="239" w:type="dxa"/>
            <w:tcBorders>
              <w:top w:val="single" w:sz="2" w:space="0" w:color="auto"/>
              <w:left w:val="nil"/>
              <w:bottom w:val="single" w:sz="2" w:space="0" w:color="auto"/>
              <w:right w:val="nil"/>
            </w:tcBorders>
          </w:tcPr>
          <w:p w14:paraId="6A83D41A" w14:textId="77777777" w:rsidR="00FF46C2" w:rsidRPr="00F613C9" w:rsidRDefault="00FF46C2" w:rsidP="00FF46C2">
            <w:pPr>
              <w:spacing w:after="0"/>
              <w:rPr>
                <w:rFonts w:ascii="Times New Roman" w:eastAsia="Times New Roman" w:hAnsi="Times New Roman"/>
                <w:sz w:val="18"/>
                <w:szCs w:val="18"/>
              </w:rPr>
            </w:pPr>
          </w:p>
        </w:tc>
        <w:tc>
          <w:tcPr>
            <w:tcW w:w="1600" w:type="dxa"/>
            <w:tcBorders>
              <w:top w:val="single" w:sz="2" w:space="0" w:color="auto"/>
              <w:left w:val="nil"/>
              <w:bottom w:val="single" w:sz="2" w:space="0" w:color="auto"/>
              <w:right w:val="nil"/>
            </w:tcBorders>
          </w:tcPr>
          <w:p w14:paraId="5E6CD989" w14:textId="77777777" w:rsidR="00FF46C2" w:rsidRPr="00F613C9" w:rsidRDefault="00FF46C2" w:rsidP="00FF46C2">
            <w:pPr>
              <w:spacing w:after="0"/>
              <w:rPr>
                <w:rFonts w:ascii="Times New Roman" w:hAnsi="Times New Roman"/>
                <w:iCs/>
                <w:sz w:val="18"/>
                <w:szCs w:val="18"/>
              </w:rPr>
            </w:pPr>
            <w:r w:rsidRPr="00F613C9">
              <w:rPr>
                <w:rFonts w:ascii="Times New Roman" w:hAnsi="Times New Roman"/>
                <w:iCs/>
                <w:sz w:val="18"/>
                <w:szCs w:val="18"/>
              </w:rPr>
              <w:t xml:space="preserve">Non-continuation in HE </w:t>
            </w:r>
          </w:p>
          <w:p w14:paraId="49D610BB" w14:textId="77777777" w:rsidR="00394410" w:rsidRDefault="00394410" w:rsidP="00FF46C2">
            <w:pPr>
              <w:spacing w:after="0"/>
              <w:rPr>
                <w:rFonts w:ascii="Times New Roman" w:eastAsia="Times New Roman" w:hAnsi="Times New Roman"/>
                <w:sz w:val="18"/>
                <w:szCs w:val="18"/>
                <w:lang w:val="en-US" w:eastAsia="zh-CN"/>
              </w:rPr>
            </w:pPr>
          </w:p>
          <w:p w14:paraId="10E252C9" w14:textId="1C92E133"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(5)</w:t>
            </w:r>
          </w:p>
        </w:tc>
        <w:tc>
          <w:tcPr>
            <w:tcW w:w="1422" w:type="dxa"/>
            <w:tcBorders>
              <w:top w:val="single" w:sz="2" w:space="0" w:color="auto"/>
              <w:left w:val="nil"/>
              <w:bottom w:val="single" w:sz="2" w:space="0" w:color="auto"/>
              <w:right w:val="nil"/>
            </w:tcBorders>
          </w:tcPr>
          <w:p w14:paraId="558E9FB7" w14:textId="77777777" w:rsidR="00FF46C2" w:rsidRPr="00F613C9" w:rsidRDefault="00FF46C2" w:rsidP="00FF46C2">
            <w:pPr>
              <w:spacing w:after="0"/>
              <w:rPr>
                <w:rFonts w:ascii="Times New Roman" w:eastAsia="Times New Roman" w:hAnsi="Times New Roman"/>
                <w:sz w:val="18"/>
                <w:szCs w:val="18"/>
                <w:lang w:val="en-US" w:eastAsia="zh-CN"/>
              </w:rPr>
            </w:pPr>
            <w:r w:rsidRPr="00F613C9">
              <w:rPr>
                <w:rFonts w:ascii="Times New Roman" w:hAnsi="Times New Roman"/>
                <w:iCs/>
                <w:sz w:val="18"/>
                <w:szCs w:val="18"/>
              </w:rPr>
              <w:t>Community Contribution Index</w:t>
            </w:r>
          </w:p>
          <w:p w14:paraId="5B92203F"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(6)</w:t>
            </w:r>
          </w:p>
        </w:tc>
      </w:tr>
      <w:tr w:rsidR="00FF46C2" w:rsidRPr="00F613C9" w14:paraId="13CF578F" w14:textId="77777777" w:rsidTr="00265BD1">
        <w:trPr>
          <w:trHeight w:val="127"/>
        </w:trPr>
        <w:tc>
          <w:tcPr>
            <w:tcW w:w="12350" w:type="dxa"/>
            <w:gridSpan w:val="9"/>
            <w:tcBorders>
              <w:top w:val="single" w:sz="2" w:space="0" w:color="auto"/>
              <w:left w:val="nil"/>
              <w:bottom w:val="nil"/>
              <w:right w:val="nil"/>
            </w:tcBorders>
          </w:tcPr>
          <w:p w14:paraId="6AB7FACC" w14:textId="77777777" w:rsidR="00FF46C2" w:rsidRPr="00F613C9" w:rsidRDefault="00FF46C2" w:rsidP="00FF46C2">
            <w:pPr>
              <w:spacing w:after="0"/>
              <w:rPr>
                <w:rFonts w:ascii="Times New Roman" w:eastAsia="Times New Roman" w:hAnsi="Times New Roman"/>
                <w:i/>
                <w:iCs/>
                <w:sz w:val="18"/>
                <w:szCs w:val="18"/>
              </w:rPr>
            </w:pPr>
          </w:p>
          <w:p w14:paraId="2F1D5840"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i/>
                <w:iCs/>
                <w:sz w:val="18"/>
                <w:szCs w:val="18"/>
              </w:rPr>
              <w:t>Explanatory variables (HEI performance)</w:t>
            </w:r>
          </w:p>
        </w:tc>
      </w:tr>
      <w:tr w:rsidR="00FF46C2" w:rsidRPr="00F613C9" w14:paraId="279521D1" w14:textId="77777777" w:rsidTr="00265BD1">
        <w:trPr>
          <w:trHeight w:val="127"/>
        </w:trPr>
        <w:tc>
          <w:tcPr>
            <w:tcW w:w="3686" w:type="dxa"/>
            <w:tcBorders>
              <w:top w:val="nil"/>
              <w:left w:val="nil"/>
              <w:bottom w:val="nil"/>
              <w:right w:val="nil"/>
            </w:tcBorders>
          </w:tcPr>
          <w:p w14:paraId="145EC74B" w14:textId="796BDCA9" w:rsidR="00FF46C2" w:rsidRPr="00F613C9" w:rsidRDefault="00FF46C2" w:rsidP="00FF46C2">
            <w:pPr>
              <w:spacing w:after="0" w:line="240" w:lineRule="auto"/>
              <w:rPr>
                <w:rFonts w:ascii="Times New Roman" w:eastAsia="Times New Roman" w:hAnsi="Times New Roman"/>
                <w:iCs/>
                <w:color w:val="000000"/>
                <w:sz w:val="18"/>
                <w:szCs w:val="18"/>
                <w:lang w:val="en-US"/>
              </w:rPr>
            </w:pPr>
            <w:r w:rsidRPr="00F613C9">
              <w:rPr>
                <w:rFonts w:ascii="Times New Roman" w:eastAsia="Times New Roman" w:hAnsi="Times New Roman"/>
                <w:iCs/>
                <w:color w:val="000000"/>
                <w:sz w:val="18"/>
                <w:szCs w:val="18"/>
                <w:lang w:val="en-US"/>
              </w:rPr>
              <w:t xml:space="preserve">    HE</w:t>
            </w:r>
            <w:r w:rsidR="00394410">
              <w:rPr>
                <w:rFonts w:ascii="Times New Roman" w:eastAsia="Times New Roman" w:hAnsi="Times New Roman"/>
                <w:iCs/>
                <w:color w:val="000000"/>
                <w:sz w:val="18"/>
                <w:szCs w:val="18"/>
                <w:lang w:val="en-US"/>
              </w:rPr>
              <w:t>I Performance</w:t>
            </w:r>
          </w:p>
        </w:tc>
        <w:tc>
          <w:tcPr>
            <w:tcW w:w="1275" w:type="dxa"/>
            <w:tcBorders>
              <w:top w:val="nil"/>
              <w:left w:val="nil"/>
              <w:bottom w:val="nil"/>
              <w:right w:val="nil"/>
            </w:tcBorders>
          </w:tcPr>
          <w:p w14:paraId="13961205" w14:textId="698C518B" w:rsidR="00FF46C2" w:rsidRDefault="00394410" w:rsidP="00FF46C2">
            <w:pPr>
              <w:spacing w:after="0"/>
              <w:rPr>
                <w:rFonts w:ascii="Times New Roman" w:eastAsia="Times New Roman" w:hAnsi="Times New Roman"/>
                <w:sz w:val="18"/>
                <w:szCs w:val="18"/>
              </w:rPr>
            </w:pPr>
            <w:r>
              <w:rPr>
                <w:rFonts w:ascii="Times New Roman" w:eastAsia="Times New Roman" w:hAnsi="Times New Roman"/>
                <w:sz w:val="18"/>
                <w:szCs w:val="18"/>
              </w:rPr>
              <w:t>-0.389</w:t>
            </w:r>
            <w:r w:rsidRPr="00394410">
              <w:rPr>
                <w:rFonts w:ascii="Times New Roman" w:eastAsia="Times New Roman" w:hAnsi="Times New Roman"/>
                <w:sz w:val="18"/>
                <w:szCs w:val="18"/>
                <w:vertAlign w:val="superscript"/>
              </w:rPr>
              <w:t>***</w:t>
            </w:r>
          </w:p>
          <w:p w14:paraId="13104085" w14:textId="62C2E306" w:rsidR="00394410" w:rsidRPr="00394410" w:rsidRDefault="00394410"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(.002)</w:t>
            </w:r>
          </w:p>
        </w:tc>
        <w:tc>
          <w:tcPr>
            <w:tcW w:w="1285" w:type="dxa"/>
            <w:tcBorders>
              <w:top w:val="nil"/>
              <w:left w:val="nil"/>
              <w:bottom w:val="nil"/>
              <w:right w:val="nil"/>
            </w:tcBorders>
          </w:tcPr>
          <w:p w14:paraId="6E39AA40" w14:textId="63EDA83F" w:rsidR="00FF46C2" w:rsidRDefault="00D83743" w:rsidP="00394410">
            <w:pPr>
              <w:spacing w:after="0"/>
              <w:ind w:right="-33"/>
              <w:rPr>
                <w:rFonts w:ascii="Times New Roman" w:eastAsia="Times New Roman" w:hAnsi="Times New Roman"/>
                <w:sz w:val="18"/>
                <w:szCs w:val="18"/>
              </w:rPr>
            </w:pPr>
            <w:r>
              <w:rPr>
                <w:rFonts w:ascii="Times New Roman" w:eastAsia="Times New Roman" w:hAnsi="Times New Roman"/>
                <w:sz w:val="18"/>
                <w:szCs w:val="18"/>
              </w:rPr>
              <w:t>-0.370</w:t>
            </w:r>
            <w:r w:rsidRPr="00394410">
              <w:rPr>
                <w:rFonts w:ascii="Times New Roman" w:eastAsia="Times New Roman" w:hAnsi="Times New Roman"/>
                <w:sz w:val="18"/>
                <w:szCs w:val="18"/>
                <w:vertAlign w:val="superscript"/>
              </w:rPr>
              <w:t>***</w:t>
            </w:r>
          </w:p>
          <w:p w14:paraId="7187F199" w14:textId="4F157C15" w:rsidR="00D83743" w:rsidRPr="00394410" w:rsidRDefault="00D83743" w:rsidP="00394410">
            <w:pPr>
              <w:spacing w:after="0"/>
              <w:ind w:right="-33"/>
              <w:rPr>
                <w:rFonts w:ascii="Times New Roman" w:eastAsia="Times New Roman" w:hAnsi="Times New Roman"/>
                <w:sz w:val="18"/>
                <w:szCs w:val="18"/>
              </w:rPr>
            </w:pPr>
            <w:r>
              <w:rPr>
                <w:rFonts w:ascii="Times New Roman" w:eastAsia="Times New Roman" w:hAnsi="Times New Roman"/>
                <w:sz w:val="18"/>
                <w:szCs w:val="18"/>
              </w:rPr>
              <w:t>(.000)</w:t>
            </w:r>
          </w:p>
        </w:tc>
        <w:tc>
          <w:tcPr>
            <w:tcW w:w="314" w:type="dxa"/>
            <w:tcBorders>
              <w:top w:val="nil"/>
              <w:left w:val="nil"/>
              <w:bottom w:val="nil"/>
              <w:right w:val="nil"/>
            </w:tcBorders>
          </w:tcPr>
          <w:p w14:paraId="074C7F22" w14:textId="77777777" w:rsidR="00FF46C2" w:rsidRPr="00F613C9" w:rsidRDefault="00FF46C2" w:rsidP="00FF46C2">
            <w:pPr>
              <w:spacing w:after="0"/>
              <w:rPr>
                <w:rFonts w:ascii="Times New Roman" w:eastAsia="Times New Roman" w:hAnsi="Times New Roman"/>
                <w:sz w:val="18"/>
                <w:szCs w:val="18"/>
              </w:rPr>
            </w:pPr>
          </w:p>
        </w:tc>
        <w:tc>
          <w:tcPr>
            <w:tcW w:w="1392" w:type="dxa"/>
            <w:tcBorders>
              <w:top w:val="nil"/>
              <w:left w:val="nil"/>
              <w:bottom w:val="nil"/>
              <w:right w:val="nil"/>
            </w:tcBorders>
          </w:tcPr>
          <w:p w14:paraId="6CE36841" w14:textId="77777777" w:rsidR="00FF46C2" w:rsidRDefault="00B141A9"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-0.066</w:t>
            </w:r>
            <w:r w:rsidRPr="002D00B2">
              <w:rPr>
                <w:rFonts w:ascii="Times New Roman" w:eastAsia="Times New Roman" w:hAnsi="Times New Roman"/>
                <w:sz w:val="18"/>
                <w:szCs w:val="18"/>
                <w:vertAlign w:val="superscript"/>
              </w:rPr>
              <w:t>***</w:t>
            </w:r>
          </w:p>
          <w:p w14:paraId="1CB5FB45" w14:textId="244A7259" w:rsidR="00B141A9" w:rsidRPr="00B141A9" w:rsidRDefault="00B141A9" w:rsidP="00FF46C2">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1137" w:type="dxa"/>
            <w:tcBorders>
              <w:top w:val="nil"/>
              <w:left w:val="nil"/>
              <w:bottom w:val="nil"/>
              <w:right w:val="nil"/>
            </w:tcBorders>
          </w:tcPr>
          <w:p w14:paraId="282A8368" w14:textId="77777777" w:rsidR="00FF46C2" w:rsidRDefault="00B141A9"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-0.039</w:t>
            </w:r>
            <w:r w:rsidRPr="002D00B2">
              <w:rPr>
                <w:rFonts w:ascii="Times New Roman" w:eastAsia="Times New Roman" w:hAnsi="Times New Roman"/>
                <w:sz w:val="18"/>
                <w:szCs w:val="18"/>
                <w:vertAlign w:val="superscript"/>
              </w:rPr>
              <w:t>***</w:t>
            </w:r>
          </w:p>
          <w:p w14:paraId="0C753739" w14:textId="115B93BC" w:rsidR="00B141A9" w:rsidRPr="00B141A9" w:rsidRDefault="00B141A9" w:rsidP="00FF46C2">
            <w:pPr>
              <w:spacing w:after="0"/>
              <w:rPr>
                <w:rFonts w:ascii="Times New Roman" w:eastAsia="Times New Roman" w:hAnsi="Times New Roman"/>
                <w:sz w:val="18"/>
                <w:szCs w:val="18"/>
              </w:rPr>
            </w:pPr>
            <w:r>
              <w:rPr>
                <w:rFonts w:ascii="Times New Roman" w:eastAsia="Times New Roman" w:hAnsi="Times New Roman"/>
                <w:sz w:val="18"/>
                <w:szCs w:val="18"/>
              </w:rPr>
              <w:t>(.005)</w:t>
            </w:r>
          </w:p>
        </w:tc>
        <w:tc>
          <w:tcPr>
            <w:tcW w:w="239" w:type="dxa"/>
            <w:tcBorders>
              <w:top w:val="nil"/>
              <w:left w:val="nil"/>
              <w:bottom w:val="nil"/>
              <w:right w:val="nil"/>
            </w:tcBorders>
          </w:tcPr>
          <w:p w14:paraId="07D43F2E" w14:textId="77777777" w:rsidR="00FF46C2" w:rsidRPr="00B141A9" w:rsidRDefault="00FF46C2" w:rsidP="00FF46C2">
            <w:pPr>
              <w:spacing w:after="0"/>
              <w:rPr>
                <w:rFonts w:ascii="Times New Roman" w:eastAsia="Times New Roman" w:hAnsi="Times New Roman"/>
                <w:sz w:val="18"/>
                <w:szCs w:val="18"/>
              </w:rPr>
            </w:pPr>
          </w:p>
        </w:tc>
        <w:tc>
          <w:tcPr>
            <w:tcW w:w="1600" w:type="dxa"/>
            <w:tcBorders>
              <w:top w:val="nil"/>
              <w:left w:val="nil"/>
              <w:bottom w:val="nil"/>
              <w:right w:val="nil"/>
            </w:tcBorders>
          </w:tcPr>
          <w:p w14:paraId="352031F8" w14:textId="77777777" w:rsidR="003F5030" w:rsidRDefault="003F5030"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-0.022</w:t>
            </w:r>
            <w:r w:rsidRPr="002D00B2">
              <w:rPr>
                <w:rFonts w:ascii="Times New Roman" w:eastAsia="Times New Roman" w:hAnsi="Times New Roman"/>
                <w:sz w:val="18"/>
                <w:szCs w:val="18"/>
                <w:vertAlign w:val="superscript"/>
              </w:rPr>
              <w:t>***</w:t>
            </w:r>
          </w:p>
          <w:p w14:paraId="74888766" w14:textId="162F432E" w:rsidR="003F5030" w:rsidRPr="003F5030" w:rsidRDefault="003F5030" w:rsidP="00FF46C2">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1422" w:type="dxa"/>
            <w:tcBorders>
              <w:top w:val="nil"/>
              <w:left w:val="nil"/>
              <w:bottom w:val="nil"/>
              <w:right w:val="nil"/>
            </w:tcBorders>
          </w:tcPr>
          <w:p w14:paraId="01CC0243" w14:textId="77777777" w:rsidR="00FF46C2" w:rsidRDefault="0055283F"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-0.006</w:t>
            </w:r>
            <w:r w:rsidRPr="002D00B2">
              <w:rPr>
                <w:rFonts w:ascii="Times New Roman" w:eastAsia="Times New Roman" w:hAnsi="Times New Roman"/>
                <w:sz w:val="18"/>
                <w:szCs w:val="18"/>
                <w:vertAlign w:val="superscript"/>
              </w:rPr>
              <w:t>***</w:t>
            </w:r>
          </w:p>
          <w:p w14:paraId="34BF3D08" w14:textId="211FFF76" w:rsidR="0055283F" w:rsidRPr="0055283F" w:rsidRDefault="0055283F" w:rsidP="00FF46C2">
            <w:pPr>
              <w:spacing w:after="0"/>
              <w:rPr>
                <w:rFonts w:ascii="Times New Roman" w:eastAsia="Times New Roman" w:hAnsi="Times New Roman"/>
                <w:sz w:val="18"/>
                <w:szCs w:val="18"/>
              </w:rPr>
            </w:pPr>
            <w:r>
              <w:rPr>
                <w:rFonts w:ascii="Times New Roman" w:eastAsia="Times New Roman" w:hAnsi="Times New Roman"/>
                <w:sz w:val="18"/>
                <w:szCs w:val="18"/>
              </w:rPr>
              <w:t>(.004)</w:t>
            </w:r>
          </w:p>
        </w:tc>
      </w:tr>
      <w:tr w:rsidR="00FF46C2" w:rsidRPr="00F613C9" w14:paraId="01362A66" w14:textId="77777777" w:rsidTr="00265BD1">
        <w:trPr>
          <w:trHeight w:val="173"/>
        </w:trPr>
        <w:tc>
          <w:tcPr>
            <w:tcW w:w="12350" w:type="dxa"/>
            <w:gridSpan w:val="9"/>
            <w:tcBorders>
              <w:top w:val="nil"/>
              <w:left w:val="nil"/>
              <w:bottom w:val="nil"/>
              <w:right w:val="nil"/>
            </w:tcBorders>
          </w:tcPr>
          <w:p w14:paraId="1F3F1476" w14:textId="77777777" w:rsidR="00FF46C2" w:rsidRPr="00F613C9" w:rsidRDefault="00FF46C2" w:rsidP="00FF46C2">
            <w:pPr>
              <w:spacing w:after="0"/>
              <w:rPr>
                <w:rFonts w:ascii="Times New Roman" w:eastAsia="Times New Roman" w:hAnsi="Times New Roman"/>
                <w:i/>
                <w:iCs/>
                <w:sz w:val="18"/>
                <w:szCs w:val="18"/>
              </w:rPr>
            </w:pPr>
          </w:p>
          <w:p w14:paraId="5200BBEC"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i/>
                <w:iCs/>
                <w:sz w:val="18"/>
                <w:szCs w:val="18"/>
              </w:rPr>
              <w:t>Controls (governance mechanisms)</w:t>
            </w:r>
          </w:p>
        </w:tc>
      </w:tr>
      <w:tr w:rsidR="00265BD1" w:rsidRPr="00F613C9" w14:paraId="5CD90B47" w14:textId="77777777" w:rsidTr="00265BD1">
        <w:trPr>
          <w:trHeight w:val="173"/>
        </w:trPr>
        <w:tc>
          <w:tcPr>
            <w:tcW w:w="3686" w:type="dxa"/>
            <w:tcBorders>
              <w:top w:val="nil"/>
              <w:left w:val="nil"/>
              <w:bottom w:val="nil"/>
              <w:right w:val="nil"/>
            </w:tcBorders>
          </w:tcPr>
          <w:p w14:paraId="1605407B" w14:textId="47B96A74" w:rsidR="00265BD1" w:rsidRPr="00F613C9" w:rsidRDefault="00265BD1" w:rsidP="00265BD1">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P</w:t>
            </w:r>
            <w:r>
              <w:rPr>
                <w:rFonts w:ascii="Times New Roman" w:eastAsia="Times New Roman" w:hAnsi="Times New Roman" w:cs="Times New Roman"/>
                <w:iCs/>
                <w:color w:val="000000"/>
                <w:sz w:val="20"/>
                <w:szCs w:val="20"/>
                <w:lang w:val="en-US"/>
              </w:rPr>
              <w:t>resence of Remuneration Committee</w:t>
            </w:r>
          </w:p>
        </w:tc>
        <w:tc>
          <w:tcPr>
            <w:tcW w:w="1275" w:type="dxa"/>
            <w:tcBorders>
              <w:top w:val="nil"/>
              <w:left w:val="nil"/>
              <w:bottom w:val="nil"/>
              <w:right w:val="nil"/>
            </w:tcBorders>
          </w:tcPr>
          <w:p w14:paraId="5B40B26B" w14:textId="747F9F4E" w:rsidR="00265BD1"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-0.098</w:t>
            </w:r>
            <w:r w:rsidRPr="00F5674C">
              <w:rPr>
                <w:rFonts w:ascii="Times New Roman" w:eastAsia="Times New Roman" w:hAnsi="Times New Roman" w:cs="Times New Roman"/>
                <w:sz w:val="20"/>
                <w:szCs w:val="20"/>
                <w:vertAlign w:val="superscript"/>
              </w:rPr>
              <w:t>***</w:t>
            </w:r>
          </w:p>
          <w:p w14:paraId="628775B7" w14:textId="17C4D081" w:rsidR="00265BD1" w:rsidRPr="00394410"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(.002)</w:t>
            </w:r>
          </w:p>
        </w:tc>
        <w:tc>
          <w:tcPr>
            <w:tcW w:w="1285" w:type="dxa"/>
            <w:tcBorders>
              <w:top w:val="nil"/>
              <w:left w:val="nil"/>
              <w:bottom w:val="nil"/>
              <w:right w:val="nil"/>
            </w:tcBorders>
          </w:tcPr>
          <w:p w14:paraId="64F48523" w14:textId="77777777" w:rsidR="00265BD1" w:rsidRDefault="00D83743"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-0.100</w:t>
            </w:r>
            <w:r w:rsidRPr="00394410">
              <w:rPr>
                <w:rFonts w:ascii="Times New Roman" w:eastAsia="Times New Roman" w:hAnsi="Times New Roman"/>
                <w:sz w:val="18"/>
                <w:szCs w:val="18"/>
                <w:vertAlign w:val="superscript"/>
              </w:rPr>
              <w:t>***</w:t>
            </w:r>
          </w:p>
          <w:p w14:paraId="01BBDA51" w14:textId="432ADD0C" w:rsidR="00D83743" w:rsidRPr="00D83743"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(.001)</w:t>
            </w:r>
          </w:p>
        </w:tc>
        <w:tc>
          <w:tcPr>
            <w:tcW w:w="314" w:type="dxa"/>
            <w:tcBorders>
              <w:top w:val="nil"/>
              <w:left w:val="nil"/>
              <w:bottom w:val="nil"/>
              <w:right w:val="nil"/>
            </w:tcBorders>
          </w:tcPr>
          <w:p w14:paraId="1EB315B7" w14:textId="77777777" w:rsidR="00265BD1" w:rsidRPr="00F613C9" w:rsidRDefault="00265BD1" w:rsidP="00265BD1">
            <w:pPr>
              <w:spacing w:after="0"/>
              <w:rPr>
                <w:rFonts w:ascii="Times New Roman" w:eastAsia="Times New Roman" w:hAnsi="Times New Roman"/>
                <w:sz w:val="18"/>
                <w:szCs w:val="18"/>
              </w:rPr>
            </w:pPr>
          </w:p>
        </w:tc>
        <w:tc>
          <w:tcPr>
            <w:tcW w:w="1392" w:type="dxa"/>
            <w:tcBorders>
              <w:top w:val="nil"/>
              <w:left w:val="nil"/>
              <w:bottom w:val="nil"/>
              <w:right w:val="nil"/>
            </w:tcBorders>
          </w:tcPr>
          <w:p w14:paraId="157C7279"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-0.047</w:t>
            </w:r>
          </w:p>
          <w:p w14:paraId="5754E17A" w14:textId="5B1AB009"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(.115)</w:t>
            </w:r>
          </w:p>
        </w:tc>
        <w:tc>
          <w:tcPr>
            <w:tcW w:w="1137" w:type="dxa"/>
            <w:tcBorders>
              <w:top w:val="nil"/>
              <w:left w:val="nil"/>
              <w:bottom w:val="nil"/>
              <w:right w:val="nil"/>
            </w:tcBorders>
          </w:tcPr>
          <w:p w14:paraId="049BBB12" w14:textId="77777777" w:rsidR="00265BD1" w:rsidRDefault="00B141A9"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-0.114</w:t>
            </w:r>
            <w:r w:rsidRPr="002D00B2">
              <w:rPr>
                <w:rFonts w:ascii="Times New Roman" w:eastAsia="Times New Roman" w:hAnsi="Times New Roman"/>
                <w:sz w:val="18"/>
                <w:szCs w:val="18"/>
                <w:vertAlign w:val="superscript"/>
              </w:rPr>
              <w:t>***</w:t>
            </w:r>
          </w:p>
          <w:p w14:paraId="6E5AE78C" w14:textId="2120CAD4"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(.001)</w:t>
            </w:r>
          </w:p>
        </w:tc>
        <w:tc>
          <w:tcPr>
            <w:tcW w:w="239" w:type="dxa"/>
            <w:tcBorders>
              <w:top w:val="nil"/>
              <w:left w:val="nil"/>
              <w:bottom w:val="nil"/>
              <w:right w:val="nil"/>
            </w:tcBorders>
          </w:tcPr>
          <w:p w14:paraId="3071EB15" w14:textId="77777777" w:rsidR="00265BD1" w:rsidRPr="00F613C9" w:rsidRDefault="00265BD1" w:rsidP="00265BD1">
            <w:pPr>
              <w:spacing w:after="0"/>
              <w:rPr>
                <w:rFonts w:ascii="Times New Roman" w:eastAsia="Times New Roman" w:hAnsi="Times New Roman"/>
                <w:sz w:val="18"/>
                <w:szCs w:val="18"/>
              </w:rPr>
            </w:pPr>
          </w:p>
        </w:tc>
        <w:tc>
          <w:tcPr>
            <w:tcW w:w="1600" w:type="dxa"/>
            <w:tcBorders>
              <w:top w:val="nil"/>
              <w:left w:val="nil"/>
              <w:bottom w:val="nil"/>
              <w:right w:val="nil"/>
            </w:tcBorders>
          </w:tcPr>
          <w:p w14:paraId="036FD80A" w14:textId="77777777" w:rsidR="00B141A9"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-0.000</w:t>
            </w:r>
          </w:p>
          <w:p w14:paraId="1D545CF9" w14:textId="77983161" w:rsidR="003F5030" w:rsidRPr="00B141A9"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(.992)</w:t>
            </w:r>
          </w:p>
        </w:tc>
        <w:tc>
          <w:tcPr>
            <w:tcW w:w="1422" w:type="dxa"/>
            <w:tcBorders>
              <w:top w:val="nil"/>
              <w:left w:val="nil"/>
              <w:bottom w:val="nil"/>
              <w:right w:val="nil"/>
            </w:tcBorders>
          </w:tcPr>
          <w:p w14:paraId="4FE8D20A" w14:textId="77777777" w:rsidR="00265BD1" w:rsidRDefault="0055283F"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-0.033</w:t>
            </w:r>
            <w:r w:rsidRPr="002D00B2">
              <w:rPr>
                <w:rFonts w:ascii="Times New Roman" w:eastAsia="Times New Roman" w:hAnsi="Times New Roman"/>
                <w:sz w:val="18"/>
                <w:szCs w:val="18"/>
                <w:vertAlign w:val="superscript"/>
              </w:rPr>
              <w:t>***</w:t>
            </w:r>
          </w:p>
          <w:p w14:paraId="487F75DA" w14:textId="2EA14E38" w:rsidR="0055283F" w:rsidRPr="0055283F" w:rsidRDefault="0055283F" w:rsidP="00265BD1">
            <w:pPr>
              <w:spacing w:after="0"/>
              <w:rPr>
                <w:rFonts w:ascii="Times New Roman" w:eastAsia="Times New Roman" w:hAnsi="Times New Roman"/>
                <w:sz w:val="18"/>
                <w:szCs w:val="18"/>
              </w:rPr>
            </w:pPr>
            <w:r>
              <w:rPr>
                <w:rFonts w:ascii="Times New Roman" w:eastAsia="Times New Roman" w:hAnsi="Times New Roman"/>
                <w:sz w:val="18"/>
                <w:szCs w:val="18"/>
              </w:rPr>
              <w:t>(.000)</w:t>
            </w:r>
          </w:p>
        </w:tc>
      </w:tr>
      <w:tr w:rsidR="00265BD1" w:rsidRPr="00F613C9" w14:paraId="7729E8DC" w14:textId="77777777" w:rsidTr="00265BD1">
        <w:trPr>
          <w:trHeight w:val="91"/>
        </w:trPr>
        <w:tc>
          <w:tcPr>
            <w:tcW w:w="3686" w:type="dxa"/>
            <w:tcBorders>
              <w:top w:val="nil"/>
              <w:left w:val="nil"/>
              <w:bottom w:val="nil"/>
              <w:right w:val="nil"/>
            </w:tcBorders>
          </w:tcPr>
          <w:p w14:paraId="0D928FE4" w14:textId="39D7AE1A" w:rsidR="00265BD1" w:rsidRPr="00F613C9" w:rsidRDefault="00265BD1" w:rsidP="00265BD1">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Presence of Governance Committee</w:t>
            </w:r>
          </w:p>
        </w:tc>
        <w:tc>
          <w:tcPr>
            <w:tcW w:w="1275" w:type="dxa"/>
            <w:tcBorders>
              <w:top w:val="nil"/>
              <w:left w:val="nil"/>
              <w:bottom w:val="nil"/>
              <w:right w:val="nil"/>
            </w:tcBorders>
          </w:tcPr>
          <w:p w14:paraId="3B987501" w14:textId="77777777" w:rsidR="00265BD1"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-0.003</w:t>
            </w:r>
          </w:p>
          <w:p w14:paraId="4AA6E349" w14:textId="1A497F7A" w:rsidR="00265BD1" w:rsidRPr="00394410"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(.831)</w:t>
            </w:r>
          </w:p>
        </w:tc>
        <w:tc>
          <w:tcPr>
            <w:tcW w:w="1285" w:type="dxa"/>
            <w:tcBorders>
              <w:top w:val="nil"/>
              <w:left w:val="nil"/>
              <w:bottom w:val="nil"/>
              <w:right w:val="nil"/>
            </w:tcBorders>
          </w:tcPr>
          <w:p w14:paraId="7A7D7140" w14:textId="77777777" w:rsidR="00265BD1"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-0.008</w:t>
            </w:r>
          </w:p>
          <w:p w14:paraId="7F6A4FF7" w14:textId="36192497" w:rsidR="00D83743" w:rsidRPr="00394410"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(.577)</w:t>
            </w:r>
          </w:p>
        </w:tc>
        <w:tc>
          <w:tcPr>
            <w:tcW w:w="314" w:type="dxa"/>
            <w:tcBorders>
              <w:top w:val="nil"/>
              <w:left w:val="nil"/>
              <w:bottom w:val="nil"/>
              <w:right w:val="nil"/>
            </w:tcBorders>
          </w:tcPr>
          <w:p w14:paraId="2C8ABEE0" w14:textId="77777777" w:rsidR="00265BD1" w:rsidRPr="00F613C9" w:rsidRDefault="00265BD1" w:rsidP="00265BD1">
            <w:pPr>
              <w:spacing w:after="0"/>
              <w:rPr>
                <w:rFonts w:ascii="Times New Roman" w:eastAsia="Times New Roman" w:hAnsi="Times New Roman"/>
                <w:sz w:val="18"/>
                <w:szCs w:val="18"/>
              </w:rPr>
            </w:pPr>
          </w:p>
        </w:tc>
        <w:tc>
          <w:tcPr>
            <w:tcW w:w="1392" w:type="dxa"/>
            <w:tcBorders>
              <w:top w:val="nil"/>
              <w:left w:val="nil"/>
              <w:bottom w:val="nil"/>
              <w:right w:val="nil"/>
            </w:tcBorders>
          </w:tcPr>
          <w:p w14:paraId="5BCE24DE"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-0.002</w:t>
            </w:r>
          </w:p>
          <w:p w14:paraId="61C972DC" w14:textId="56F1A01B"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(.909)</w:t>
            </w:r>
          </w:p>
        </w:tc>
        <w:tc>
          <w:tcPr>
            <w:tcW w:w="1137" w:type="dxa"/>
            <w:tcBorders>
              <w:top w:val="nil"/>
              <w:left w:val="nil"/>
              <w:bottom w:val="nil"/>
              <w:right w:val="nil"/>
            </w:tcBorders>
          </w:tcPr>
          <w:p w14:paraId="5F4E3B48"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-0.003</w:t>
            </w:r>
          </w:p>
          <w:p w14:paraId="084859D0" w14:textId="3E7125B1"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(.873)</w:t>
            </w:r>
          </w:p>
        </w:tc>
        <w:tc>
          <w:tcPr>
            <w:tcW w:w="239" w:type="dxa"/>
            <w:tcBorders>
              <w:top w:val="nil"/>
              <w:left w:val="nil"/>
              <w:bottom w:val="nil"/>
              <w:right w:val="nil"/>
            </w:tcBorders>
          </w:tcPr>
          <w:p w14:paraId="5AAA25A7" w14:textId="77777777" w:rsidR="00265BD1" w:rsidRPr="00F613C9" w:rsidRDefault="00265BD1" w:rsidP="00265BD1">
            <w:pPr>
              <w:spacing w:after="0"/>
              <w:rPr>
                <w:rFonts w:ascii="Times New Roman" w:eastAsia="Times New Roman" w:hAnsi="Times New Roman"/>
                <w:sz w:val="18"/>
                <w:szCs w:val="18"/>
              </w:rPr>
            </w:pPr>
          </w:p>
        </w:tc>
        <w:tc>
          <w:tcPr>
            <w:tcW w:w="1600" w:type="dxa"/>
            <w:tcBorders>
              <w:top w:val="nil"/>
              <w:left w:val="nil"/>
              <w:bottom w:val="nil"/>
              <w:right w:val="nil"/>
            </w:tcBorders>
          </w:tcPr>
          <w:p w14:paraId="3DA5E341" w14:textId="77777777" w:rsidR="00265BD1" w:rsidRDefault="003F5030"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0.034</w:t>
            </w:r>
            <w:r w:rsidRPr="002D00B2">
              <w:rPr>
                <w:rFonts w:ascii="Times New Roman" w:eastAsia="Times New Roman" w:hAnsi="Times New Roman"/>
                <w:sz w:val="18"/>
                <w:szCs w:val="18"/>
                <w:vertAlign w:val="superscript"/>
              </w:rPr>
              <w:t>***</w:t>
            </w:r>
          </w:p>
          <w:p w14:paraId="4C734E23" w14:textId="26B2402D" w:rsidR="003F5030" w:rsidRPr="003F5030"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1422" w:type="dxa"/>
            <w:tcBorders>
              <w:top w:val="nil"/>
              <w:left w:val="nil"/>
              <w:bottom w:val="nil"/>
              <w:right w:val="nil"/>
            </w:tcBorders>
          </w:tcPr>
          <w:p w14:paraId="494E7447" w14:textId="77777777" w:rsidR="00265BD1" w:rsidRDefault="0055283F"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0.055</w:t>
            </w:r>
            <w:r w:rsidRPr="002D00B2">
              <w:rPr>
                <w:rFonts w:ascii="Times New Roman" w:eastAsia="Times New Roman" w:hAnsi="Times New Roman"/>
                <w:sz w:val="18"/>
                <w:szCs w:val="18"/>
                <w:vertAlign w:val="superscript"/>
              </w:rPr>
              <w:t>***</w:t>
            </w:r>
          </w:p>
          <w:p w14:paraId="7E895FB7" w14:textId="231C334E" w:rsidR="0055283F" w:rsidRPr="0055283F" w:rsidRDefault="0055283F" w:rsidP="00265BD1">
            <w:pPr>
              <w:spacing w:after="0"/>
              <w:rPr>
                <w:rFonts w:ascii="Times New Roman" w:eastAsia="Times New Roman" w:hAnsi="Times New Roman"/>
                <w:sz w:val="18"/>
                <w:szCs w:val="18"/>
              </w:rPr>
            </w:pPr>
            <w:r>
              <w:rPr>
                <w:rFonts w:ascii="Times New Roman" w:eastAsia="Times New Roman" w:hAnsi="Times New Roman"/>
                <w:sz w:val="18"/>
                <w:szCs w:val="18"/>
              </w:rPr>
              <w:t>(.000)</w:t>
            </w:r>
          </w:p>
        </w:tc>
      </w:tr>
      <w:tr w:rsidR="00265BD1" w:rsidRPr="00F613C9" w14:paraId="10403F23" w14:textId="77777777" w:rsidTr="00265BD1">
        <w:trPr>
          <w:trHeight w:val="87"/>
        </w:trPr>
        <w:tc>
          <w:tcPr>
            <w:tcW w:w="3686" w:type="dxa"/>
            <w:tcBorders>
              <w:top w:val="nil"/>
              <w:left w:val="nil"/>
              <w:bottom w:val="nil"/>
              <w:right w:val="nil"/>
            </w:tcBorders>
          </w:tcPr>
          <w:p w14:paraId="1DD74A04" w14:textId="614126A0" w:rsidR="00265BD1" w:rsidRPr="00F613C9" w:rsidRDefault="00265BD1" w:rsidP="00265BD1">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Executive Management Team Size</w:t>
            </w:r>
          </w:p>
        </w:tc>
        <w:tc>
          <w:tcPr>
            <w:tcW w:w="1275" w:type="dxa"/>
            <w:tcBorders>
              <w:top w:val="nil"/>
              <w:left w:val="nil"/>
              <w:bottom w:val="nil"/>
              <w:right w:val="nil"/>
            </w:tcBorders>
          </w:tcPr>
          <w:p w14:paraId="72204B7B" w14:textId="77777777" w:rsidR="00265BD1" w:rsidRDefault="00265BD1" w:rsidP="00265BD1">
            <w:pPr>
              <w:spacing w:after="0"/>
              <w:rPr>
                <w:rFonts w:ascii="Times New Roman" w:eastAsia="Times New Roman" w:hAnsi="Times New Roman" w:cs="Times New Roman"/>
                <w:sz w:val="20"/>
                <w:szCs w:val="20"/>
                <w:vertAlign w:val="superscript"/>
              </w:rPr>
            </w:pPr>
            <w:r>
              <w:rPr>
                <w:rFonts w:ascii="Times New Roman" w:eastAsia="Times New Roman" w:hAnsi="Times New Roman"/>
                <w:sz w:val="18"/>
                <w:szCs w:val="18"/>
              </w:rPr>
              <w:t>-0.043</w:t>
            </w:r>
            <w:r w:rsidRPr="00F5674C">
              <w:rPr>
                <w:rFonts w:ascii="Times New Roman" w:eastAsia="Times New Roman" w:hAnsi="Times New Roman" w:cs="Times New Roman"/>
                <w:sz w:val="20"/>
                <w:szCs w:val="20"/>
                <w:vertAlign w:val="superscript"/>
              </w:rPr>
              <w:t>***</w:t>
            </w:r>
          </w:p>
          <w:p w14:paraId="673F4C4C" w14:textId="4E824920" w:rsidR="00265BD1" w:rsidRPr="00C87A87" w:rsidRDefault="00265BD1" w:rsidP="00265BD1">
            <w:pPr>
              <w:spacing w:after="0"/>
              <w:rPr>
                <w:rFonts w:ascii="Times New Roman" w:eastAsia="Times New Roman" w:hAnsi="Times New Roman"/>
                <w:sz w:val="18"/>
                <w:szCs w:val="18"/>
              </w:rPr>
            </w:pPr>
            <w:r>
              <w:rPr>
                <w:rFonts w:ascii="Times New Roman" w:eastAsia="Times New Roman" w:hAnsi="Times New Roman" w:cs="Times New Roman"/>
                <w:sz w:val="20"/>
                <w:szCs w:val="20"/>
              </w:rPr>
              <w:t>(.001)</w:t>
            </w:r>
          </w:p>
        </w:tc>
        <w:tc>
          <w:tcPr>
            <w:tcW w:w="1285" w:type="dxa"/>
            <w:tcBorders>
              <w:top w:val="nil"/>
              <w:left w:val="nil"/>
              <w:bottom w:val="nil"/>
              <w:right w:val="nil"/>
            </w:tcBorders>
          </w:tcPr>
          <w:p w14:paraId="0E733D35" w14:textId="7379DF23" w:rsidR="00265BD1"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-0.047</w:t>
            </w:r>
            <w:r w:rsidRPr="00D83743">
              <w:rPr>
                <w:rFonts w:ascii="Times New Roman" w:eastAsia="Times New Roman" w:hAnsi="Times New Roman"/>
                <w:sz w:val="18"/>
                <w:szCs w:val="18"/>
                <w:vertAlign w:val="superscript"/>
              </w:rPr>
              <w:t>***</w:t>
            </w:r>
          </w:p>
          <w:p w14:paraId="025EFF71" w14:textId="6204F6B8" w:rsidR="00D83743" w:rsidRPr="00394410"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314" w:type="dxa"/>
            <w:tcBorders>
              <w:top w:val="nil"/>
              <w:left w:val="nil"/>
              <w:bottom w:val="nil"/>
              <w:right w:val="nil"/>
            </w:tcBorders>
          </w:tcPr>
          <w:p w14:paraId="117A40E2" w14:textId="77777777" w:rsidR="00265BD1" w:rsidRPr="00F613C9" w:rsidRDefault="00265BD1" w:rsidP="00265BD1">
            <w:pPr>
              <w:spacing w:after="0"/>
              <w:rPr>
                <w:rFonts w:ascii="Times New Roman" w:eastAsia="Times New Roman" w:hAnsi="Times New Roman"/>
                <w:sz w:val="18"/>
                <w:szCs w:val="18"/>
              </w:rPr>
            </w:pPr>
          </w:p>
        </w:tc>
        <w:tc>
          <w:tcPr>
            <w:tcW w:w="1392" w:type="dxa"/>
            <w:tcBorders>
              <w:top w:val="nil"/>
              <w:left w:val="nil"/>
              <w:bottom w:val="nil"/>
              <w:right w:val="nil"/>
            </w:tcBorders>
          </w:tcPr>
          <w:p w14:paraId="3E0DDD45" w14:textId="4C9E1576"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-0.037</w:t>
            </w:r>
            <w:r w:rsidRPr="00B141A9">
              <w:rPr>
                <w:rFonts w:ascii="Times New Roman" w:eastAsia="Times New Roman" w:hAnsi="Times New Roman"/>
                <w:sz w:val="18"/>
                <w:szCs w:val="18"/>
                <w:vertAlign w:val="superscript"/>
              </w:rPr>
              <w:t>***</w:t>
            </w:r>
          </w:p>
          <w:p w14:paraId="1A17E5BD" w14:textId="0FC67C60"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(.002)</w:t>
            </w:r>
          </w:p>
        </w:tc>
        <w:tc>
          <w:tcPr>
            <w:tcW w:w="1137" w:type="dxa"/>
            <w:tcBorders>
              <w:top w:val="nil"/>
              <w:left w:val="nil"/>
              <w:bottom w:val="nil"/>
              <w:right w:val="nil"/>
            </w:tcBorders>
          </w:tcPr>
          <w:p w14:paraId="35BC88B8" w14:textId="40A490CC"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-0.057</w:t>
            </w:r>
            <w:r w:rsidRPr="002D00B2">
              <w:rPr>
                <w:rFonts w:ascii="Times New Roman" w:eastAsia="Times New Roman" w:hAnsi="Times New Roman"/>
                <w:sz w:val="18"/>
                <w:szCs w:val="18"/>
                <w:vertAlign w:val="superscript"/>
              </w:rPr>
              <w:t>***</w:t>
            </w:r>
          </w:p>
          <w:p w14:paraId="21D540A7" w14:textId="37C94D3B"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239" w:type="dxa"/>
            <w:tcBorders>
              <w:top w:val="nil"/>
              <w:left w:val="nil"/>
              <w:bottom w:val="nil"/>
              <w:right w:val="nil"/>
            </w:tcBorders>
          </w:tcPr>
          <w:p w14:paraId="0D1E1AF7" w14:textId="77777777" w:rsidR="00265BD1" w:rsidRPr="00F613C9" w:rsidRDefault="00265BD1" w:rsidP="00265BD1">
            <w:pPr>
              <w:spacing w:after="0"/>
              <w:rPr>
                <w:rFonts w:ascii="Times New Roman" w:eastAsia="Times New Roman" w:hAnsi="Times New Roman"/>
                <w:sz w:val="18"/>
                <w:szCs w:val="18"/>
              </w:rPr>
            </w:pPr>
          </w:p>
        </w:tc>
        <w:tc>
          <w:tcPr>
            <w:tcW w:w="1600" w:type="dxa"/>
            <w:tcBorders>
              <w:top w:val="nil"/>
              <w:left w:val="nil"/>
              <w:bottom w:val="nil"/>
              <w:right w:val="nil"/>
            </w:tcBorders>
          </w:tcPr>
          <w:p w14:paraId="137D060B" w14:textId="77777777" w:rsidR="00265BD1"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0.002</w:t>
            </w:r>
          </w:p>
          <w:p w14:paraId="56FD3678" w14:textId="654E2F5D" w:rsidR="003F5030" w:rsidRPr="00B141A9"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(.814)</w:t>
            </w:r>
          </w:p>
        </w:tc>
        <w:tc>
          <w:tcPr>
            <w:tcW w:w="1422" w:type="dxa"/>
            <w:tcBorders>
              <w:top w:val="nil"/>
              <w:left w:val="nil"/>
              <w:bottom w:val="nil"/>
              <w:right w:val="nil"/>
            </w:tcBorders>
          </w:tcPr>
          <w:p w14:paraId="77EBBF55" w14:textId="77777777" w:rsidR="00265BD1" w:rsidRDefault="0055283F"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0.023</w:t>
            </w:r>
            <w:r w:rsidRPr="002D00B2">
              <w:rPr>
                <w:rFonts w:ascii="Times New Roman" w:eastAsia="Times New Roman" w:hAnsi="Times New Roman"/>
                <w:sz w:val="18"/>
                <w:szCs w:val="18"/>
                <w:vertAlign w:val="superscript"/>
              </w:rPr>
              <w:t>***</w:t>
            </w:r>
          </w:p>
          <w:p w14:paraId="4B1F7109" w14:textId="05749D6C" w:rsidR="0055283F" w:rsidRPr="0055283F" w:rsidRDefault="0055283F" w:rsidP="00265BD1">
            <w:pPr>
              <w:spacing w:after="0"/>
              <w:rPr>
                <w:rFonts w:ascii="Times New Roman" w:eastAsia="Times New Roman" w:hAnsi="Times New Roman"/>
                <w:sz w:val="18"/>
                <w:szCs w:val="18"/>
              </w:rPr>
            </w:pPr>
            <w:r>
              <w:rPr>
                <w:rFonts w:ascii="Times New Roman" w:eastAsia="Times New Roman" w:hAnsi="Times New Roman"/>
                <w:sz w:val="18"/>
                <w:szCs w:val="18"/>
              </w:rPr>
              <w:t>(.000)</w:t>
            </w:r>
          </w:p>
        </w:tc>
      </w:tr>
      <w:tr w:rsidR="00265BD1" w:rsidRPr="00F613C9" w14:paraId="1ADCA53E" w14:textId="77777777" w:rsidTr="00265BD1">
        <w:trPr>
          <w:trHeight w:val="87"/>
        </w:trPr>
        <w:tc>
          <w:tcPr>
            <w:tcW w:w="3686" w:type="dxa"/>
            <w:tcBorders>
              <w:top w:val="nil"/>
              <w:left w:val="nil"/>
              <w:bottom w:val="nil"/>
              <w:right w:val="nil"/>
            </w:tcBorders>
          </w:tcPr>
          <w:p w14:paraId="0BC2E587" w14:textId="40863678" w:rsidR="00265BD1" w:rsidRPr="00F613C9" w:rsidRDefault="00265BD1" w:rsidP="00265BD1">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Executive Management Team Diversity</w:t>
            </w:r>
          </w:p>
        </w:tc>
        <w:tc>
          <w:tcPr>
            <w:tcW w:w="1275" w:type="dxa"/>
            <w:tcBorders>
              <w:top w:val="nil"/>
              <w:left w:val="nil"/>
              <w:bottom w:val="nil"/>
              <w:right w:val="nil"/>
            </w:tcBorders>
          </w:tcPr>
          <w:p w14:paraId="1E1CF936" w14:textId="110B4450" w:rsidR="00265BD1"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-0.046</w:t>
            </w:r>
            <w:r w:rsidRPr="00F5674C">
              <w:rPr>
                <w:rFonts w:ascii="Times New Roman" w:eastAsia="Times New Roman" w:hAnsi="Times New Roman" w:cs="Times New Roman"/>
                <w:sz w:val="20"/>
                <w:szCs w:val="20"/>
                <w:vertAlign w:val="superscript"/>
              </w:rPr>
              <w:t>*</w:t>
            </w:r>
          </w:p>
          <w:p w14:paraId="4EEC2E47" w14:textId="6BD77608" w:rsidR="00265BD1" w:rsidRPr="00394410"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(.061)</w:t>
            </w:r>
          </w:p>
        </w:tc>
        <w:tc>
          <w:tcPr>
            <w:tcW w:w="1285" w:type="dxa"/>
            <w:tcBorders>
              <w:top w:val="nil"/>
              <w:left w:val="nil"/>
              <w:bottom w:val="nil"/>
              <w:right w:val="nil"/>
            </w:tcBorders>
          </w:tcPr>
          <w:p w14:paraId="192DAE94" w14:textId="1E0DEE94" w:rsidR="00265BD1"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-0.054</w:t>
            </w:r>
            <w:r w:rsidRPr="00D83743">
              <w:rPr>
                <w:rFonts w:ascii="Times New Roman" w:eastAsia="Times New Roman" w:hAnsi="Times New Roman"/>
                <w:sz w:val="18"/>
                <w:szCs w:val="18"/>
                <w:vertAlign w:val="superscript"/>
              </w:rPr>
              <w:t>**</w:t>
            </w:r>
          </w:p>
          <w:p w14:paraId="55B84983" w14:textId="50BFDEDA" w:rsidR="00D83743" w:rsidRPr="00394410"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(.028)</w:t>
            </w:r>
          </w:p>
        </w:tc>
        <w:tc>
          <w:tcPr>
            <w:tcW w:w="314" w:type="dxa"/>
            <w:tcBorders>
              <w:top w:val="nil"/>
              <w:left w:val="nil"/>
              <w:bottom w:val="nil"/>
              <w:right w:val="nil"/>
            </w:tcBorders>
          </w:tcPr>
          <w:p w14:paraId="19E8F9C3" w14:textId="77777777" w:rsidR="00265BD1" w:rsidRPr="00F613C9" w:rsidRDefault="00265BD1" w:rsidP="00265BD1">
            <w:pPr>
              <w:spacing w:after="0"/>
              <w:rPr>
                <w:rFonts w:ascii="Times New Roman" w:eastAsia="Times New Roman" w:hAnsi="Times New Roman"/>
                <w:sz w:val="18"/>
                <w:szCs w:val="18"/>
              </w:rPr>
            </w:pPr>
          </w:p>
        </w:tc>
        <w:tc>
          <w:tcPr>
            <w:tcW w:w="1392" w:type="dxa"/>
            <w:tcBorders>
              <w:top w:val="nil"/>
              <w:left w:val="nil"/>
              <w:bottom w:val="nil"/>
              <w:right w:val="nil"/>
            </w:tcBorders>
          </w:tcPr>
          <w:p w14:paraId="19B1A9BF"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-0.024</w:t>
            </w:r>
          </w:p>
          <w:p w14:paraId="19C27925" w14:textId="6A66E676"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(.312)</w:t>
            </w:r>
          </w:p>
        </w:tc>
        <w:tc>
          <w:tcPr>
            <w:tcW w:w="1137" w:type="dxa"/>
            <w:tcBorders>
              <w:top w:val="nil"/>
              <w:left w:val="nil"/>
              <w:bottom w:val="nil"/>
              <w:right w:val="nil"/>
            </w:tcBorders>
          </w:tcPr>
          <w:p w14:paraId="598BC721"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-0.038</w:t>
            </w:r>
          </w:p>
          <w:p w14:paraId="54AE48F9" w14:textId="1D7806DD"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(.169)</w:t>
            </w:r>
          </w:p>
        </w:tc>
        <w:tc>
          <w:tcPr>
            <w:tcW w:w="239" w:type="dxa"/>
            <w:tcBorders>
              <w:top w:val="nil"/>
              <w:left w:val="nil"/>
              <w:bottom w:val="nil"/>
              <w:right w:val="nil"/>
            </w:tcBorders>
          </w:tcPr>
          <w:p w14:paraId="3D324BB4" w14:textId="77777777" w:rsidR="00265BD1" w:rsidRPr="00F613C9" w:rsidRDefault="00265BD1" w:rsidP="00265BD1">
            <w:pPr>
              <w:spacing w:after="0"/>
              <w:rPr>
                <w:rFonts w:ascii="Times New Roman" w:eastAsia="Times New Roman" w:hAnsi="Times New Roman"/>
                <w:sz w:val="18"/>
                <w:szCs w:val="18"/>
              </w:rPr>
            </w:pPr>
          </w:p>
        </w:tc>
        <w:tc>
          <w:tcPr>
            <w:tcW w:w="1600" w:type="dxa"/>
            <w:tcBorders>
              <w:top w:val="nil"/>
              <w:left w:val="nil"/>
              <w:bottom w:val="nil"/>
              <w:right w:val="nil"/>
            </w:tcBorders>
          </w:tcPr>
          <w:p w14:paraId="1901501D" w14:textId="072FF2A2" w:rsidR="00265BD1" w:rsidRDefault="003F5030"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0.012</w:t>
            </w:r>
            <w:r w:rsidRPr="002D00B2">
              <w:rPr>
                <w:rFonts w:ascii="Times New Roman" w:eastAsia="Times New Roman" w:hAnsi="Times New Roman"/>
                <w:sz w:val="18"/>
                <w:szCs w:val="18"/>
                <w:vertAlign w:val="superscript"/>
              </w:rPr>
              <w:t>*</w:t>
            </w:r>
            <w:r>
              <w:rPr>
                <w:rFonts w:ascii="Times New Roman" w:eastAsia="Times New Roman" w:hAnsi="Times New Roman"/>
                <w:sz w:val="18"/>
                <w:szCs w:val="18"/>
                <w:vertAlign w:val="superscript"/>
              </w:rPr>
              <w:t>*</w:t>
            </w:r>
          </w:p>
          <w:p w14:paraId="4D8F0AA9" w14:textId="20B6282C" w:rsidR="003F5030" w:rsidRPr="003F5030"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(.047)</w:t>
            </w:r>
          </w:p>
        </w:tc>
        <w:tc>
          <w:tcPr>
            <w:tcW w:w="1422" w:type="dxa"/>
            <w:tcBorders>
              <w:top w:val="nil"/>
              <w:left w:val="nil"/>
              <w:bottom w:val="nil"/>
              <w:right w:val="nil"/>
            </w:tcBorders>
          </w:tcPr>
          <w:p w14:paraId="570432E0" w14:textId="77777777" w:rsidR="00265BD1" w:rsidRDefault="0055283F"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0.025</w:t>
            </w:r>
            <w:r w:rsidRPr="002D00B2">
              <w:rPr>
                <w:rFonts w:ascii="Times New Roman" w:eastAsia="Times New Roman" w:hAnsi="Times New Roman"/>
                <w:sz w:val="18"/>
                <w:szCs w:val="18"/>
                <w:vertAlign w:val="superscript"/>
              </w:rPr>
              <w:t>***</w:t>
            </w:r>
          </w:p>
          <w:p w14:paraId="0398E02C" w14:textId="2EC7051E" w:rsidR="0055283F" w:rsidRPr="0055283F" w:rsidRDefault="0055283F" w:rsidP="00265BD1">
            <w:pPr>
              <w:spacing w:after="0"/>
              <w:rPr>
                <w:rFonts w:ascii="Times New Roman" w:eastAsia="Times New Roman" w:hAnsi="Times New Roman"/>
                <w:sz w:val="18"/>
                <w:szCs w:val="18"/>
              </w:rPr>
            </w:pPr>
            <w:r>
              <w:rPr>
                <w:rFonts w:ascii="Times New Roman" w:eastAsia="Times New Roman" w:hAnsi="Times New Roman"/>
                <w:sz w:val="18"/>
                <w:szCs w:val="18"/>
              </w:rPr>
              <w:t>(.000)</w:t>
            </w:r>
          </w:p>
        </w:tc>
      </w:tr>
      <w:tr w:rsidR="00265BD1" w:rsidRPr="00F613C9" w14:paraId="50F47C0A" w14:textId="77777777" w:rsidTr="00265BD1">
        <w:trPr>
          <w:trHeight w:val="87"/>
        </w:trPr>
        <w:tc>
          <w:tcPr>
            <w:tcW w:w="3686" w:type="dxa"/>
            <w:tcBorders>
              <w:top w:val="nil"/>
              <w:left w:val="nil"/>
              <w:bottom w:val="nil"/>
              <w:right w:val="nil"/>
            </w:tcBorders>
          </w:tcPr>
          <w:p w14:paraId="1DBC0A47" w14:textId="10F1093A" w:rsidR="00265BD1" w:rsidRPr="00F613C9" w:rsidRDefault="00265BD1" w:rsidP="00265BD1">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Executive Management Team Meeting</w:t>
            </w:r>
          </w:p>
        </w:tc>
        <w:tc>
          <w:tcPr>
            <w:tcW w:w="1275" w:type="dxa"/>
            <w:tcBorders>
              <w:top w:val="nil"/>
              <w:left w:val="nil"/>
              <w:bottom w:val="nil"/>
              <w:right w:val="nil"/>
            </w:tcBorders>
          </w:tcPr>
          <w:p w14:paraId="24941622" w14:textId="77777777" w:rsidR="00265BD1"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-0.019</w:t>
            </w:r>
          </w:p>
          <w:p w14:paraId="51E2F599" w14:textId="77A1837F" w:rsidR="00265BD1" w:rsidRPr="00394410"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(.179)</w:t>
            </w:r>
          </w:p>
        </w:tc>
        <w:tc>
          <w:tcPr>
            <w:tcW w:w="1285" w:type="dxa"/>
            <w:tcBorders>
              <w:top w:val="nil"/>
              <w:left w:val="nil"/>
              <w:bottom w:val="nil"/>
              <w:right w:val="nil"/>
            </w:tcBorders>
          </w:tcPr>
          <w:p w14:paraId="37B7A21A" w14:textId="77777777" w:rsidR="00265BD1"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-0.017</w:t>
            </w:r>
          </w:p>
          <w:p w14:paraId="0AF4C414" w14:textId="04A2D95D" w:rsidR="00D83743" w:rsidRPr="00394410"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(.234)</w:t>
            </w:r>
          </w:p>
        </w:tc>
        <w:tc>
          <w:tcPr>
            <w:tcW w:w="314" w:type="dxa"/>
            <w:tcBorders>
              <w:top w:val="nil"/>
              <w:left w:val="nil"/>
              <w:bottom w:val="nil"/>
              <w:right w:val="nil"/>
            </w:tcBorders>
          </w:tcPr>
          <w:p w14:paraId="6B12F068" w14:textId="77777777" w:rsidR="00265BD1" w:rsidRPr="00F613C9" w:rsidRDefault="00265BD1" w:rsidP="00265BD1">
            <w:pPr>
              <w:spacing w:after="0"/>
              <w:rPr>
                <w:rFonts w:ascii="Times New Roman" w:eastAsia="Times New Roman" w:hAnsi="Times New Roman"/>
                <w:sz w:val="18"/>
                <w:szCs w:val="18"/>
              </w:rPr>
            </w:pPr>
          </w:p>
        </w:tc>
        <w:tc>
          <w:tcPr>
            <w:tcW w:w="1392" w:type="dxa"/>
            <w:tcBorders>
              <w:top w:val="nil"/>
              <w:left w:val="nil"/>
              <w:bottom w:val="nil"/>
              <w:right w:val="nil"/>
            </w:tcBorders>
          </w:tcPr>
          <w:p w14:paraId="5266167E" w14:textId="55F8EDB6"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-0.035</w:t>
            </w:r>
            <w:r w:rsidRPr="00B141A9">
              <w:rPr>
                <w:rFonts w:ascii="Times New Roman" w:eastAsia="Times New Roman" w:hAnsi="Times New Roman"/>
                <w:sz w:val="18"/>
                <w:szCs w:val="18"/>
                <w:vertAlign w:val="superscript"/>
              </w:rPr>
              <w:t>***</w:t>
            </w:r>
          </w:p>
          <w:p w14:paraId="509DA803" w14:textId="5E7BFF2B"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(.010)</w:t>
            </w:r>
          </w:p>
        </w:tc>
        <w:tc>
          <w:tcPr>
            <w:tcW w:w="1137" w:type="dxa"/>
            <w:tcBorders>
              <w:top w:val="nil"/>
              <w:left w:val="nil"/>
              <w:bottom w:val="nil"/>
              <w:right w:val="nil"/>
            </w:tcBorders>
          </w:tcPr>
          <w:p w14:paraId="34CDCB7B"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-0.014</w:t>
            </w:r>
          </w:p>
          <w:p w14:paraId="4B435A06" w14:textId="05F7BDF4"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(.359)</w:t>
            </w:r>
          </w:p>
        </w:tc>
        <w:tc>
          <w:tcPr>
            <w:tcW w:w="239" w:type="dxa"/>
            <w:tcBorders>
              <w:top w:val="nil"/>
              <w:left w:val="nil"/>
              <w:bottom w:val="nil"/>
              <w:right w:val="nil"/>
            </w:tcBorders>
          </w:tcPr>
          <w:p w14:paraId="71E17756" w14:textId="77777777" w:rsidR="00265BD1" w:rsidRPr="00F613C9" w:rsidRDefault="00265BD1" w:rsidP="00265BD1">
            <w:pPr>
              <w:spacing w:after="0"/>
              <w:rPr>
                <w:rFonts w:ascii="Times New Roman" w:eastAsia="Times New Roman" w:hAnsi="Times New Roman"/>
                <w:sz w:val="18"/>
                <w:szCs w:val="18"/>
              </w:rPr>
            </w:pPr>
          </w:p>
        </w:tc>
        <w:tc>
          <w:tcPr>
            <w:tcW w:w="1600" w:type="dxa"/>
            <w:tcBorders>
              <w:top w:val="nil"/>
              <w:left w:val="nil"/>
              <w:bottom w:val="nil"/>
              <w:right w:val="nil"/>
            </w:tcBorders>
          </w:tcPr>
          <w:p w14:paraId="32889D67" w14:textId="77777777" w:rsidR="00265BD1"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-0.011</w:t>
            </w:r>
          </w:p>
          <w:p w14:paraId="71AC124E" w14:textId="777CFCBC" w:rsidR="003F5030" w:rsidRPr="00B141A9"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(.282)</w:t>
            </w:r>
          </w:p>
        </w:tc>
        <w:tc>
          <w:tcPr>
            <w:tcW w:w="1422" w:type="dxa"/>
            <w:tcBorders>
              <w:top w:val="nil"/>
              <w:left w:val="nil"/>
              <w:bottom w:val="nil"/>
              <w:right w:val="nil"/>
            </w:tcBorders>
          </w:tcPr>
          <w:p w14:paraId="4B06D05B" w14:textId="77777777" w:rsidR="00265BD1" w:rsidRDefault="0055283F" w:rsidP="00265BD1">
            <w:pPr>
              <w:spacing w:after="0"/>
              <w:rPr>
                <w:rFonts w:ascii="Times New Roman" w:eastAsia="Times New Roman" w:hAnsi="Times New Roman"/>
                <w:sz w:val="18"/>
                <w:szCs w:val="18"/>
              </w:rPr>
            </w:pPr>
            <w:r>
              <w:rPr>
                <w:rFonts w:ascii="Times New Roman" w:eastAsia="Times New Roman" w:hAnsi="Times New Roman"/>
                <w:sz w:val="18"/>
                <w:szCs w:val="18"/>
              </w:rPr>
              <w:t>-0.014</w:t>
            </w:r>
            <w:r w:rsidRPr="002D00B2">
              <w:rPr>
                <w:rFonts w:ascii="Times New Roman" w:eastAsia="Times New Roman" w:hAnsi="Times New Roman"/>
                <w:sz w:val="18"/>
                <w:szCs w:val="18"/>
                <w:vertAlign w:val="superscript"/>
              </w:rPr>
              <w:t>*</w:t>
            </w:r>
          </w:p>
          <w:p w14:paraId="7147221C" w14:textId="69CD6606" w:rsidR="0055283F" w:rsidRPr="0055283F" w:rsidRDefault="0055283F" w:rsidP="00265BD1">
            <w:pPr>
              <w:spacing w:after="0"/>
              <w:rPr>
                <w:rFonts w:ascii="Times New Roman" w:eastAsia="Times New Roman" w:hAnsi="Times New Roman"/>
                <w:sz w:val="18"/>
                <w:szCs w:val="18"/>
              </w:rPr>
            </w:pPr>
            <w:r>
              <w:rPr>
                <w:rFonts w:ascii="Times New Roman" w:eastAsia="Times New Roman" w:hAnsi="Times New Roman"/>
                <w:sz w:val="18"/>
                <w:szCs w:val="18"/>
              </w:rPr>
              <w:t>(.081)</w:t>
            </w:r>
          </w:p>
        </w:tc>
      </w:tr>
      <w:tr w:rsidR="00265BD1" w:rsidRPr="00F613C9" w14:paraId="6D51FF58" w14:textId="77777777" w:rsidTr="00265BD1">
        <w:trPr>
          <w:trHeight w:val="87"/>
        </w:trPr>
        <w:tc>
          <w:tcPr>
            <w:tcW w:w="3686" w:type="dxa"/>
            <w:tcBorders>
              <w:top w:val="nil"/>
              <w:left w:val="nil"/>
              <w:bottom w:val="nil"/>
              <w:right w:val="nil"/>
            </w:tcBorders>
          </w:tcPr>
          <w:p w14:paraId="4E476CD0" w14:textId="1584BE77" w:rsidR="00265BD1" w:rsidRPr="00F613C9" w:rsidRDefault="00265BD1" w:rsidP="00265BD1">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VC Change</w:t>
            </w:r>
          </w:p>
        </w:tc>
        <w:tc>
          <w:tcPr>
            <w:tcW w:w="1275" w:type="dxa"/>
            <w:tcBorders>
              <w:top w:val="nil"/>
              <w:left w:val="nil"/>
              <w:bottom w:val="nil"/>
              <w:right w:val="nil"/>
            </w:tcBorders>
          </w:tcPr>
          <w:p w14:paraId="1E8FF3C7" w14:textId="77777777" w:rsidR="00265BD1"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-0.007</w:t>
            </w:r>
          </w:p>
          <w:p w14:paraId="252657F5" w14:textId="114CA490" w:rsidR="00265BD1" w:rsidRPr="00394410" w:rsidRDefault="00265BD1" w:rsidP="00265BD1">
            <w:pPr>
              <w:spacing w:after="0"/>
              <w:rPr>
                <w:rFonts w:ascii="Times New Roman" w:eastAsia="Times New Roman" w:hAnsi="Times New Roman"/>
                <w:sz w:val="18"/>
                <w:szCs w:val="18"/>
              </w:rPr>
            </w:pPr>
            <w:r>
              <w:rPr>
                <w:rFonts w:ascii="Times New Roman" w:eastAsia="Times New Roman" w:hAnsi="Times New Roman"/>
                <w:sz w:val="18"/>
                <w:szCs w:val="18"/>
              </w:rPr>
              <w:t>(.232)</w:t>
            </w:r>
          </w:p>
        </w:tc>
        <w:tc>
          <w:tcPr>
            <w:tcW w:w="1285" w:type="dxa"/>
            <w:tcBorders>
              <w:top w:val="nil"/>
              <w:left w:val="nil"/>
              <w:bottom w:val="nil"/>
              <w:right w:val="nil"/>
            </w:tcBorders>
          </w:tcPr>
          <w:p w14:paraId="09283058" w14:textId="77777777" w:rsidR="00265BD1"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-0.004</w:t>
            </w:r>
          </w:p>
          <w:p w14:paraId="4B09172A" w14:textId="0AFF3FF4" w:rsidR="00D83743" w:rsidRPr="00394410" w:rsidRDefault="00D83743" w:rsidP="00265BD1">
            <w:pPr>
              <w:spacing w:after="0"/>
              <w:rPr>
                <w:rFonts w:ascii="Times New Roman" w:eastAsia="Times New Roman" w:hAnsi="Times New Roman"/>
                <w:sz w:val="18"/>
                <w:szCs w:val="18"/>
              </w:rPr>
            </w:pPr>
            <w:r>
              <w:rPr>
                <w:rFonts w:ascii="Times New Roman" w:eastAsia="Times New Roman" w:hAnsi="Times New Roman"/>
                <w:sz w:val="18"/>
                <w:szCs w:val="18"/>
              </w:rPr>
              <w:t>(.498)</w:t>
            </w:r>
          </w:p>
        </w:tc>
        <w:tc>
          <w:tcPr>
            <w:tcW w:w="314" w:type="dxa"/>
            <w:tcBorders>
              <w:top w:val="nil"/>
              <w:left w:val="nil"/>
              <w:bottom w:val="nil"/>
              <w:right w:val="nil"/>
            </w:tcBorders>
          </w:tcPr>
          <w:p w14:paraId="36CA72D6" w14:textId="77777777" w:rsidR="00265BD1" w:rsidRPr="00F613C9" w:rsidRDefault="00265BD1" w:rsidP="00265BD1">
            <w:pPr>
              <w:spacing w:after="0"/>
              <w:rPr>
                <w:rFonts w:ascii="Times New Roman" w:eastAsia="Times New Roman" w:hAnsi="Times New Roman"/>
                <w:sz w:val="18"/>
                <w:szCs w:val="18"/>
              </w:rPr>
            </w:pPr>
          </w:p>
        </w:tc>
        <w:tc>
          <w:tcPr>
            <w:tcW w:w="1392" w:type="dxa"/>
            <w:tcBorders>
              <w:top w:val="nil"/>
              <w:left w:val="nil"/>
              <w:bottom w:val="nil"/>
              <w:right w:val="nil"/>
            </w:tcBorders>
          </w:tcPr>
          <w:p w14:paraId="73E08EC7"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0.001</w:t>
            </w:r>
          </w:p>
          <w:p w14:paraId="0FA447A6" w14:textId="3B6E4912"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(.925)</w:t>
            </w:r>
          </w:p>
        </w:tc>
        <w:tc>
          <w:tcPr>
            <w:tcW w:w="1137" w:type="dxa"/>
            <w:tcBorders>
              <w:top w:val="nil"/>
              <w:left w:val="nil"/>
              <w:bottom w:val="nil"/>
              <w:right w:val="nil"/>
            </w:tcBorders>
          </w:tcPr>
          <w:p w14:paraId="2A55C241" w14:textId="77777777" w:rsidR="00265BD1"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-0.000</w:t>
            </w:r>
          </w:p>
          <w:p w14:paraId="2C5D5EDB" w14:textId="23BC445F" w:rsidR="00B141A9" w:rsidRPr="00B141A9" w:rsidRDefault="00B141A9" w:rsidP="00265BD1">
            <w:pPr>
              <w:spacing w:after="0"/>
              <w:rPr>
                <w:rFonts w:ascii="Times New Roman" w:eastAsia="Times New Roman" w:hAnsi="Times New Roman"/>
                <w:sz w:val="18"/>
                <w:szCs w:val="18"/>
              </w:rPr>
            </w:pPr>
            <w:r>
              <w:rPr>
                <w:rFonts w:ascii="Times New Roman" w:eastAsia="Times New Roman" w:hAnsi="Times New Roman"/>
                <w:sz w:val="18"/>
                <w:szCs w:val="18"/>
              </w:rPr>
              <w:t>(.970)</w:t>
            </w:r>
          </w:p>
        </w:tc>
        <w:tc>
          <w:tcPr>
            <w:tcW w:w="239" w:type="dxa"/>
            <w:tcBorders>
              <w:top w:val="nil"/>
              <w:left w:val="nil"/>
              <w:bottom w:val="nil"/>
              <w:right w:val="nil"/>
            </w:tcBorders>
          </w:tcPr>
          <w:p w14:paraId="150CD034" w14:textId="77777777" w:rsidR="00265BD1" w:rsidRPr="00F613C9" w:rsidRDefault="00265BD1" w:rsidP="00265BD1">
            <w:pPr>
              <w:spacing w:after="0"/>
              <w:rPr>
                <w:rFonts w:ascii="Times New Roman" w:eastAsia="Times New Roman" w:hAnsi="Times New Roman"/>
                <w:sz w:val="18"/>
                <w:szCs w:val="18"/>
              </w:rPr>
            </w:pPr>
          </w:p>
        </w:tc>
        <w:tc>
          <w:tcPr>
            <w:tcW w:w="1600" w:type="dxa"/>
            <w:tcBorders>
              <w:top w:val="nil"/>
              <w:left w:val="nil"/>
              <w:bottom w:val="nil"/>
              <w:right w:val="nil"/>
            </w:tcBorders>
          </w:tcPr>
          <w:p w14:paraId="6E854C5D" w14:textId="77777777" w:rsidR="00265BD1"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-0.002</w:t>
            </w:r>
          </w:p>
          <w:p w14:paraId="279C09CC" w14:textId="721FD185" w:rsidR="003F5030" w:rsidRPr="00B141A9" w:rsidRDefault="003F5030" w:rsidP="00265BD1">
            <w:pPr>
              <w:spacing w:after="0"/>
              <w:rPr>
                <w:rFonts w:ascii="Times New Roman" w:eastAsia="Times New Roman" w:hAnsi="Times New Roman"/>
                <w:sz w:val="18"/>
                <w:szCs w:val="18"/>
              </w:rPr>
            </w:pPr>
            <w:r>
              <w:rPr>
                <w:rFonts w:ascii="Times New Roman" w:eastAsia="Times New Roman" w:hAnsi="Times New Roman"/>
                <w:sz w:val="18"/>
                <w:szCs w:val="18"/>
              </w:rPr>
              <w:t>(.112)</w:t>
            </w:r>
          </w:p>
        </w:tc>
        <w:tc>
          <w:tcPr>
            <w:tcW w:w="1422" w:type="dxa"/>
            <w:tcBorders>
              <w:top w:val="nil"/>
              <w:left w:val="nil"/>
              <w:bottom w:val="nil"/>
              <w:right w:val="nil"/>
            </w:tcBorders>
          </w:tcPr>
          <w:p w14:paraId="78D1AC6E" w14:textId="77777777" w:rsidR="00265BD1" w:rsidRDefault="0055283F" w:rsidP="00265BD1">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-0.004</w:t>
            </w:r>
            <w:r w:rsidRPr="002D00B2">
              <w:rPr>
                <w:rFonts w:ascii="Times New Roman" w:eastAsia="Times New Roman" w:hAnsi="Times New Roman"/>
                <w:sz w:val="18"/>
                <w:szCs w:val="18"/>
                <w:vertAlign w:val="superscript"/>
              </w:rPr>
              <w:t>***</w:t>
            </w:r>
          </w:p>
          <w:p w14:paraId="2830A5B6" w14:textId="74D3D49B" w:rsidR="0055283F" w:rsidRPr="0055283F" w:rsidRDefault="0055283F" w:rsidP="00265BD1">
            <w:pPr>
              <w:spacing w:after="0"/>
              <w:rPr>
                <w:rFonts w:ascii="Times New Roman" w:eastAsia="Times New Roman" w:hAnsi="Times New Roman"/>
                <w:sz w:val="18"/>
                <w:szCs w:val="18"/>
              </w:rPr>
            </w:pPr>
            <w:r>
              <w:rPr>
                <w:rFonts w:ascii="Times New Roman" w:eastAsia="Times New Roman" w:hAnsi="Times New Roman"/>
                <w:sz w:val="18"/>
                <w:szCs w:val="18"/>
              </w:rPr>
              <w:t>(.004)</w:t>
            </w:r>
          </w:p>
        </w:tc>
      </w:tr>
      <w:tr w:rsidR="00FF46C2" w:rsidRPr="00F613C9" w14:paraId="0FBA3260" w14:textId="77777777" w:rsidTr="00265BD1">
        <w:trPr>
          <w:trHeight w:val="164"/>
        </w:trPr>
        <w:tc>
          <w:tcPr>
            <w:tcW w:w="3686" w:type="dxa"/>
            <w:tcBorders>
              <w:top w:val="nil"/>
              <w:left w:val="nil"/>
              <w:bottom w:val="nil"/>
              <w:right w:val="nil"/>
            </w:tcBorders>
          </w:tcPr>
          <w:p w14:paraId="4EEA4FD7" w14:textId="3D8B6379" w:rsidR="00FF46C2" w:rsidRPr="00394410" w:rsidRDefault="00394410" w:rsidP="00394410">
            <w:pPr>
              <w:spacing w:after="0" w:line="240" w:lineRule="auto"/>
              <w:rPr>
                <w:rFonts w:ascii="Times New Roman" w:eastAsia="Times New Roman" w:hAnsi="Times New Roman" w:cs="Arial"/>
                <w:sz w:val="20"/>
                <w:szCs w:val="20"/>
              </w:rPr>
            </w:pPr>
            <w:r w:rsidRPr="00394410">
              <w:rPr>
                <w:rFonts w:ascii="Times New Roman" w:eastAsia="Times New Roman" w:hAnsi="Times New Roman" w:cs="Arial"/>
                <w:sz w:val="20"/>
                <w:szCs w:val="20"/>
              </w:rPr>
              <w:t>Controls (general HEI characteristics)</w:t>
            </w:r>
          </w:p>
        </w:tc>
        <w:tc>
          <w:tcPr>
            <w:tcW w:w="1275" w:type="dxa"/>
            <w:tcBorders>
              <w:top w:val="nil"/>
              <w:left w:val="nil"/>
              <w:bottom w:val="nil"/>
              <w:right w:val="nil"/>
            </w:tcBorders>
          </w:tcPr>
          <w:p w14:paraId="0E05C2C6" w14:textId="6AB53AC7" w:rsidR="00FF46C2" w:rsidRPr="00265BD1" w:rsidRDefault="00265BD1" w:rsidP="00FF46C2">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1285" w:type="dxa"/>
            <w:tcBorders>
              <w:top w:val="nil"/>
              <w:left w:val="nil"/>
              <w:bottom w:val="nil"/>
              <w:right w:val="nil"/>
            </w:tcBorders>
          </w:tcPr>
          <w:p w14:paraId="0E0DED57" w14:textId="6DEFE4FA" w:rsidR="00FF46C2" w:rsidRPr="00265BD1" w:rsidRDefault="00265BD1" w:rsidP="00FF46C2">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314" w:type="dxa"/>
            <w:tcBorders>
              <w:top w:val="nil"/>
              <w:left w:val="nil"/>
              <w:bottom w:val="nil"/>
              <w:right w:val="nil"/>
            </w:tcBorders>
          </w:tcPr>
          <w:p w14:paraId="4756DA0D" w14:textId="77777777" w:rsidR="00FF46C2" w:rsidRPr="00265BD1" w:rsidRDefault="00FF46C2" w:rsidP="00FF46C2">
            <w:pPr>
              <w:spacing w:after="0"/>
              <w:rPr>
                <w:rFonts w:ascii="Times New Roman" w:eastAsia="Times New Roman" w:hAnsi="Times New Roman"/>
                <w:sz w:val="18"/>
                <w:szCs w:val="18"/>
              </w:rPr>
            </w:pPr>
          </w:p>
        </w:tc>
        <w:tc>
          <w:tcPr>
            <w:tcW w:w="1392" w:type="dxa"/>
            <w:tcBorders>
              <w:top w:val="nil"/>
              <w:left w:val="nil"/>
              <w:bottom w:val="nil"/>
              <w:right w:val="nil"/>
            </w:tcBorders>
          </w:tcPr>
          <w:p w14:paraId="69F80E72" w14:textId="505B8859" w:rsidR="00FF46C2" w:rsidRPr="00265BD1" w:rsidRDefault="00265BD1" w:rsidP="00FF46C2">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1137" w:type="dxa"/>
            <w:tcBorders>
              <w:top w:val="nil"/>
              <w:left w:val="nil"/>
              <w:bottom w:val="nil"/>
              <w:right w:val="nil"/>
            </w:tcBorders>
          </w:tcPr>
          <w:p w14:paraId="6C4F1091" w14:textId="7B09A3EE" w:rsidR="00FF46C2" w:rsidRPr="00265BD1" w:rsidRDefault="00265BD1" w:rsidP="00FF46C2">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239" w:type="dxa"/>
            <w:tcBorders>
              <w:top w:val="nil"/>
              <w:left w:val="nil"/>
              <w:bottom w:val="nil"/>
              <w:right w:val="nil"/>
            </w:tcBorders>
          </w:tcPr>
          <w:p w14:paraId="303B6CC2" w14:textId="77777777" w:rsidR="00FF46C2" w:rsidRPr="00265BD1" w:rsidRDefault="00FF46C2" w:rsidP="00FF46C2">
            <w:pPr>
              <w:spacing w:after="0"/>
              <w:rPr>
                <w:rFonts w:ascii="Times New Roman" w:eastAsia="Times New Roman" w:hAnsi="Times New Roman"/>
                <w:sz w:val="18"/>
                <w:szCs w:val="18"/>
              </w:rPr>
            </w:pPr>
          </w:p>
        </w:tc>
        <w:tc>
          <w:tcPr>
            <w:tcW w:w="1600" w:type="dxa"/>
            <w:tcBorders>
              <w:top w:val="nil"/>
              <w:left w:val="nil"/>
              <w:bottom w:val="nil"/>
              <w:right w:val="nil"/>
            </w:tcBorders>
          </w:tcPr>
          <w:p w14:paraId="72C81F79" w14:textId="5AA7B48E" w:rsidR="00FF46C2" w:rsidRPr="00265BD1" w:rsidRDefault="00265BD1" w:rsidP="00FF46C2">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1422" w:type="dxa"/>
            <w:tcBorders>
              <w:top w:val="nil"/>
              <w:left w:val="nil"/>
              <w:bottom w:val="nil"/>
              <w:right w:val="nil"/>
            </w:tcBorders>
          </w:tcPr>
          <w:p w14:paraId="026C4C5D" w14:textId="4A6F384C" w:rsidR="00FF46C2" w:rsidRPr="00265BD1" w:rsidRDefault="00265BD1" w:rsidP="00FF46C2">
            <w:pPr>
              <w:spacing w:after="0"/>
              <w:rPr>
                <w:rFonts w:ascii="Times New Roman" w:eastAsia="Times New Roman" w:hAnsi="Times New Roman"/>
                <w:sz w:val="18"/>
                <w:szCs w:val="18"/>
              </w:rPr>
            </w:pPr>
            <w:r>
              <w:rPr>
                <w:rFonts w:ascii="Times New Roman" w:eastAsia="Times New Roman" w:hAnsi="Times New Roman"/>
                <w:sz w:val="18"/>
                <w:szCs w:val="18"/>
              </w:rPr>
              <w:t>YES</w:t>
            </w:r>
          </w:p>
        </w:tc>
      </w:tr>
      <w:tr w:rsidR="00FF46C2" w:rsidRPr="00F613C9" w14:paraId="361F91F3" w14:textId="77777777" w:rsidTr="00265BD1">
        <w:tc>
          <w:tcPr>
            <w:tcW w:w="3686" w:type="dxa"/>
            <w:tcBorders>
              <w:top w:val="nil"/>
              <w:left w:val="nil"/>
              <w:bottom w:val="nil"/>
              <w:right w:val="nil"/>
            </w:tcBorders>
          </w:tcPr>
          <w:p w14:paraId="1A1B101A" w14:textId="77777777" w:rsidR="00FF46C2" w:rsidRPr="00F613C9" w:rsidRDefault="00FF46C2" w:rsidP="00FF46C2">
            <w:pPr>
              <w:spacing w:after="0"/>
              <w:rPr>
                <w:rFonts w:ascii="Times New Roman" w:eastAsia="SimSun" w:hAnsi="Times New Roman"/>
                <w:color w:val="000000"/>
                <w:sz w:val="18"/>
                <w:szCs w:val="18"/>
                <w:lang w:val="en-US"/>
              </w:rPr>
            </w:pPr>
            <w:r w:rsidRPr="00F613C9">
              <w:rPr>
                <w:rFonts w:ascii="Times New Roman" w:eastAsia="SimSun" w:hAnsi="Times New Roman"/>
                <w:color w:val="000000"/>
                <w:sz w:val="18"/>
                <w:szCs w:val="18"/>
                <w:lang w:val="en-US"/>
              </w:rPr>
              <w:t>Lagged-VCTP</w:t>
            </w:r>
          </w:p>
        </w:tc>
        <w:tc>
          <w:tcPr>
            <w:tcW w:w="1275" w:type="dxa"/>
            <w:tcBorders>
              <w:top w:val="nil"/>
              <w:left w:val="nil"/>
              <w:bottom w:val="nil"/>
              <w:right w:val="nil"/>
            </w:tcBorders>
          </w:tcPr>
          <w:p w14:paraId="1B4578BC"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285" w:type="dxa"/>
            <w:tcBorders>
              <w:top w:val="nil"/>
              <w:left w:val="nil"/>
              <w:bottom w:val="nil"/>
              <w:right w:val="nil"/>
            </w:tcBorders>
          </w:tcPr>
          <w:p w14:paraId="53357C1E"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314" w:type="dxa"/>
            <w:tcBorders>
              <w:top w:val="nil"/>
              <w:left w:val="nil"/>
              <w:bottom w:val="nil"/>
              <w:right w:val="nil"/>
            </w:tcBorders>
          </w:tcPr>
          <w:p w14:paraId="45E7711A" w14:textId="77777777" w:rsidR="00FF46C2" w:rsidRPr="00F613C9" w:rsidRDefault="00FF46C2" w:rsidP="00FF46C2">
            <w:pPr>
              <w:spacing w:after="0"/>
              <w:rPr>
                <w:rFonts w:ascii="Times New Roman" w:eastAsia="Times New Roman" w:hAnsi="Times New Roman"/>
                <w:sz w:val="18"/>
                <w:szCs w:val="18"/>
              </w:rPr>
            </w:pPr>
          </w:p>
        </w:tc>
        <w:tc>
          <w:tcPr>
            <w:tcW w:w="1392" w:type="dxa"/>
            <w:tcBorders>
              <w:top w:val="nil"/>
              <w:left w:val="nil"/>
              <w:bottom w:val="nil"/>
              <w:right w:val="nil"/>
            </w:tcBorders>
          </w:tcPr>
          <w:p w14:paraId="5AEAC2FE" w14:textId="77777777" w:rsidR="00FF46C2" w:rsidRPr="00F613C9" w:rsidRDefault="00FF46C2" w:rsidP="00FF46C2">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7B476E39" w14:textId="77777777" w:rsidR="00FF46C2" w:rsidRPr="00F613C9" w:rsidRDefault="00FF46C2" w:rsidP="00FF46C2">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w:t>
            </w:r>
          </w:p>
        </w:tc>
        <w:tc>
          <w:tcPr>
            <w:tcW w:w="239" w:type="dxa"/>
            <w:tcBorders>
              <w:top w:val="nil"/>
              <w:left w:val="nil"/>
              <w:bottom w:val="nil"/>
              <w:right w:val="nil"/>
            </w:tcBorders>
          </w:tcPr>
          <w:p w14:paraId="7E5C8CBF" w14:textId="77777777" w:rsidR="00FF46C2" w:rsidRPr="00F613C9" w:rsidRDefault="00FF46C2" w:rsidP="00FF46C2">
            <w:pPr>
              <w:spacing w:after="0"/>
              <w:rPr>
                <w:rFonts w:ascii="Times New Roman" w:eastAsia="Times New Roman" w:hAnsi="Times New Roman"/>
                <w:sz w:val="18"/>
                <w:szCs w:val="18"/>
                <w:vertAlign w:val="superscript"/>
              </w:rPr>
            </w:pPr>
          </w:p>
        </w:tc>
        <w:tc>
          <w:tcPr>
            <w:tcW w:w="1600" w:type="dxa"/>
            <w:tcBorders>
              <w:top w:val="nil"/>
              <w:left w:val="nil"/>
              <w:bottom w:val="nil"/>
              <w:right w:val="nil"/>
            </w:tcBorders>
          </w:tcPr>
          <w:p w14:paraId="3F9067F5" w14:textId="234AD7C8" w:rsidR="00FF46C2" w:rsidRPr="003F5030" w:rsidRDefault="003F5030" w:rsidP="00FF46C2">
            <w:pPr>
              <w:spacing w:after="0"/>
              <w:rPr>
                <w:rFonts w:ascii="Times New Roman" w:eastAsia="Times New Roman" w:hAnsi="Times New Roman"/>
                <w:sz w:val="18"/>
                <w:szCs w:val="18"/>
              </w:rPr>
            </w:pPr>
            <w:r>
              <w:rPr>
                <w:rFonts w:ascii="Times New Roman" w:eastAsia="Times New Roman" w:hAnsi="Times New Roman"/>
                <w:sz w:val="18"/>
                <w:szCs w:val="18"/>
              </w:rPr>
              <w:t>0.690</w:t>
            </w:r>
            <w:r w:rsidRPr="002D00B2">
              <w:rPr>
                <w:rFonts w:ascii="Times New Roman" w:eastAsia="Times New Roman" w:hAnsi="Times New Roman"/>
                <w:sz w:val="18"/>
                <w:szCs w:val="18"/>
                <w:vertAlign w:val="superscript"/>
              </w:rPr>
              <w:t>***</w:t>
            </w:r>
          </w:p>
        </w:tc>
        <w:tc>
          <w:tcPr>
            <w:tcW w:w="1422" w:type="dxa"/>
            <w:tcBorders>
              <w:top w:val="nil"/>
              <w:left w:val="nil"/>
              <w:bottom w:val="nil"/>
              <w:right w:val="nil"/>
            </w:tcBorders>
          </w:tcPr>
          <w:p w14:paraId="21F1037D" w14:textId="43A9733F" w:rsidR="00FF46C2" w:rsidRPr="0055283F" w:rsidRDefault="0055283F"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0.580</w:t>
            </w:r>
            <w:r>
              <w:rPr>
                <w:rFonts w:ascii="Times New Roman" w:eastAsia="Times New Roman" w:hAnsi="Times New Roman"/>
                <w:sz w:val="18"/>
                <w:szCs w:val="18"/>
                <w:vertAlign w:val="superscript"/>
              </w:rPr>
              <w:t>***</w:t>
            </w:r>
          </w:p>
        </w:tc>
      </w:tr>
      <w:tr w:rsidR="00FF46C2" w:rsidRPr="00F613C9" w14:paraId="6B206BD1" w14:textId="77777777" w:rsidTr="00265BD1">
        <w:tc>
          <w:tcPr>
            <w:tcW w:w="3686" w:type="dxa"/>
            <w:tcBorders>
              <w:top w:val="nil"/>
              <w:left w:val="nil"/>
              <w:bottom w:val="nil"/>
              <w:right w:val="nil"/>
            </w:tcBorders>
          </w:tcPr>
          <w:p w14:paraId="742EF250" w14:textId="77777777" w:rsidR="00FF46C2" w:rsidRPr="00F613C9" w:rsidRDefault="00FF46C2" w:rsidP="00FF46C2">
            <w:pPr>
              <w:spacing w:after="0"/>
              <w:rPr>
                <w:rFonts w:ascii="Times New Roman" w:eastAsia="SimSun" w:hAnsi="Times New Roman"/>
                <w:i/>
                <w:iCs/>
                <w:color w:val="000000"/>
                <w:sz w:val="18"/>
                <w:szCs w:val="18"/>
                <w:lang w:val="en-US"/>
              </w:rPr>
            </w:pPr>
            <w:r w:rsidRPr="00F613C9">
              <w:rPr>
                <w:rFonts w:ascii="Times New Roman" w:eastAsia="SimSun" w:hAnsi="Times New Roman"/>
                <w:color w:val="000000"/>
                <w:sz w:val="18"/>
                <w:szCs w:val="18"/>
                <w:lang w:val="en-US"/>
              </w:rPr>
              <w:t>Constant</w:t>
            </w:r>
          </w:p>
        </w:tc>
        <w:tc>
          <w:tcPr>
            <w:tcW w:w="1275" w:type="dxa"/>
            <w:tcBorders>
              <w:top w:val="nil"/>
              <w:left w:val="nil"/>
              <w:bottom w:val="nil"/>
              <w:right w:val="nil"/>
            </w:tcBorders>
          </w:tcPr>
          <w:p w14:paraId="4812DB80" w14:textId="0ABFA77F" w:rsidR="00FF46C2" w:rsidRPr="00F613C9" w:rsidRDefault="00D83743"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1.779</w:t>
            </w:r>
            <w:r w:rsidR="00FF46C2" w:rsidRPr="00F613C9">
              <w:rPr>
                <w:rFonts w:ascii="Times New Roman" w:eastAsia="Times New Roman" w:hAnsi="Times New Roman"/>
                <w:sz w:val="18"/>
                <w:szCs w:val="18"/>
                <w:vertAlign w:val="superscript"/>
              </w:rPr>
              <w:t>***</w:t>
            </w:r>
          </w:p>
        </w:tc>
        <w:tc>
          <w:tcPr>
            <w:tcW w:w="1285" w:type="dxa"/>
            <w:tcBorders>
              <w:top w:val="nil"/>
              <w:left w:val="nil"/>
              <w:bottom w:val="nil"/>
              <w:right w:val="nil"/>
            </w:tcBorders>
          </w:tcPr>
          <w:p w14:paraId="167BA1D5" w14:textId="595A5D11" w:rsidR="00FF46C2" w:rsidRPr="00F613C9" w:rsidRDefault="00FF46C2" w:rsidP="00FF46C2">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1.</w:t>
            </w:r>
            <w:r w:rsidR="00D83743">
              <w:rPr>
                <w:rFonts w:ascii="Times New Roman" w:eastAsia="Times New Roman" w:hAnsi="Times New Roman"/>
                <w:sz w:val="18"/>
                <w:szCs w:val="18"/>
              </w:rPr>
              <w:t>783</w:t>
            </w:r>
            <w:r w:rsidRPr="00F613C9">
              <w:rPr>
                <w:rFonts w:ascii="Times New Roman" w:eastAsia="Times New Roman" w:hAnsi="Times New Roman"/>
                <w:sz w:val="18"/>
                <w:szCs w:val="18"/>
                <w:vertAlign w:val="superscript"/>
              </w:rPr>
              <w:t>***</w:t>
            </w:r>
          </w:p>
        </w:tc>
        <w:tc>
          <w:tcPr>
            <w:tcW w:w="314" w:type="dxa"/>
            <w:tcBorders>
              <w:top w:val="nil"/>
              <w:left w:val="nil"/>
              <w:bottom w:val="nil"/>
              <w:right w:val="nil"/>
            </w:tcBorders>
          </w:tcPr>
          <w:p w14:paraId="1FFC242D" w14:textId="77777777" w:rsidR="00FF46C2" w:rsidRPr="00F613C9" w:rsidRDefault="00FF46C2" w:rsidP="00FF46C2">
            <w:pPr>
              <w:spacing w:after="0"/>
              <w:rPr>
                <w:rFonts w:ascii="Times New Roman" w:eastAsia="Times New Roman" w:hAnsi="Times New Roman"/>
                <w:sz w:val="18"/>
                <w:szCs w:val="18"/>
              </w:rPr>
            </w:pPr>
          </w:p>
        </w:tc>
        <w:tc>
          <w:tcPr>
            <w:tcW w:w="1392" w:type="dxa"/>
            <w:tcBorders>
              <w:top w:val="nil"/>
              <w:left w:val="nil"/>
              <w:bottom w:val="nil"/>
              <w:right w:val="nil"/>
            </w:tcBorders>
          </w:tcPr>
          <w:p w14:paraId="270483E1" w14:textId="1107E831" w:rsidR="00FF46C2" w:rsidRPr="00F613C9" w:rsidRDefault="00FF46C2" w:rsidP="00FF46C2">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1.4</w:t>
            </w:r>
            <w:r w:rsidR="00B141A9">
              <w:rPr>
                <w:rFonts w:ascii="Times New Roman" w:eastAsia="Times New Roman" w:hAnsi="Times New Roman"/>
                <w:sz w:val="18"/>
                <w:szCs w:val="18"/>
              </w:rPr>
              <w:t>93</w:t>
            </w:r>
            <w:r w:rsidRPr="00F613C9">
              <w:rPr>
                <w:rFonts w:ascii="Times New Roman" w:eastAsia="Times New Roman" w:hAnsi="Times New Roman"/>
                <w:sz w:val="18"/>
                <w:szCs w:val="18"/>
                <w:vertAlign w:val="superscript"/>
              </w:rPr>
              <w:t>***</w:t>
            </w:r>
          </w:p>
        </w:tc>
        <w:tc>
          <w:tcPr>
            <w:tcW w:w="1137" w:type="dxa"/>
            <w:tcBorders>
              <w:top w:val="nil"/>
              <w:left w:val="nil"/>
              <w:bottom w:val="nil"/>
              <w:right w:val="nil"/>
            </w:tcBorders>
          </w:tcPr>
          <w:p w14:paraId="734404AF" w14:textId="04336307" w:rsidR="00FF46C2" w:rsidRPr="00F613C9" w:rsidRDefault="00FF46C2" w:rsidP="00FF46C2">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1.</w:t>
            </w:r>
            <w:r w:rsidR="00B141A9">
              <w:rPr>
                <w:rFonts w:ascii="Times New Roman" w:eastAsia="Times New Roman" w:hAnsi="Times New Roman"/>
                <w:sz w:val="18"/>
                <w:szCs w:val="18"/>
              </w:rPr>
              <w:t>636</w:t>
            </w:r>
            <w:r w:rsidRPr="00F613C9">
              <w:rPr>
                <w:rFonts w:ascii="Times New Roman" w:eastAsia="Times New Roman" w:hAnsi="Times New Roman"/>
                <w:sz w:val="18"/>
                <w:szCs w:val="18"/>
                <w:vertAlign w:val="superscript"/>
              </w:rPr>
              <w:t>***</w:t>
            </w:r>
          </w:p>
        </w:tc>
        <w:tc>
          <w:tcPr>
            <w:tcW w:w="239" w:type="dxa"/>
            <w:tcBorders>
              <w:top w:val="nil"/>
              <w:left w:val="nil"/>
              <w:bottom w:val="nil"/>
              <w:right w:val="nil"/>
            </w:tcBorders>
          </w:tcPr>
          <w:p w14:paraId="1374A563" w14:textId="77777777" w:rsidR="00FF46C2" w:rsidRPr="00F613C9" w:rsidRDefault="00FF46C2" w:rsidP="00FF46C2">
            <w:pPr>
              <w:spacing w:after="0"/>
              <w:rPr>
                <w:rFonts w:ascii="Times New Roman" w:eastAsia="Times New Roman" w:hAnsi="Times New Roman"/>
                <w:sz w:val="18"/>
                <w:szCs w:val="18"/>
              </w:rPr>
            </w:pPr>
          </w:p>
        </w:tc>
        <w:tc>
          <w:tcPr>
            <w:tcW w:w="1600" w:type="dxa"/>
            <w:tcBorders>
              <w:top w:val="nil"/>
              <w:left w:val="nil"/>
              <w:bottom w:val="nil"/>
              <w:right w:val="nil"/>
            </w:tcBorders>
          </w:tcPr>
          <w:p w14:paraId="7CF98B85" w14:textId="787807AD" w:rsidR="00FF46C2" w:rsidRPr="00F613C9" w:rsidRDefault="00FF46C2" w:rsidP="00FF46C2">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0.6</w:t>
            </w:r>
            <w:r w:rsidR="003F5030">
              <w:rPr>
                <w:rFonts w:ascii="Times New Roman" w:eastAsia="Times New Roman" w:hAnsi="Times New Roman"/>
                <w:sz w:val="18"/>
                <w:szCs w:val="18"/>
              </w:rPr>
              <w:t>01</w:t>
            </w:r>
            <w:r w:rsidRPr="00F613C9">
              <w:rPr>
                <w:rFonts w:ascii="Times New Roman" w:eastAsia="Times New Roman" w:hAnsi="Times New Roman"/>
                <w:sz w:val="18"/>
                <w:szCs w:val="18"/>
                <w:vertAlign w:val="superscript"/>
              </w:rPr>
              <w:t>***</w:t>
            </w:r>
          </w:p>
        </w:tc>
        <w:tc>
          <w:tcPr>
            <w:tcW w:w="1422" w:type="dxa"/>
            <w:tcBorders>
              <w:top w:val="nil"/>
              <w:left w:val="nil"/>
              <w:bottom w:val="nil"/>
              <w:right w:val="nil"/>
            </w:tcBorders>
          </w:tcPr>
          <w:p w14:paraId="0C6A753D" w14:textId="77777777" w:rsidR="00FF46C2" w:rsidRPr="00F613C9" w:rsidRDefault="00FF46C2" w:rsidP="00FF46C2">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0.476</w:t>
            </w:r>
            <w:r w:rsidRPr="00F613C9">
              <w:rPr>
                <w:rFonts w:ascii="Times New Roman" w:eastAsia="Times New Roman" w:hAnsi="Times New Roman"/>
                <w:sz w:val="18"/>
                <w:szCs w:val="18"/>
                <w:vertAlign w:val="superscript"/>
              </w:rPr>
              <w:t>***</w:t>
            </w:r>
          </w:p>
        </w:tc>
      </w:tr>
      <w:tr w:rsidR="00FF46C2" w:rsidRPr="00F613C9" w14:paraId="6771FFCA" w14:textId="77777777" w:rsidTr="00265BD1">
        <w:tc>
          <w:tcPr>
            <w:tcW w:w="3686" w:type="dxa"/>
            <w:tcBorders>
              <w:top w:val="nil"/>
              <w:left w:val="nil"/>
              <w:bottom w:val="nil"/>
              <w:right w:val="nil"/>
            </w:tcBorders>
          </w:tcPr>
          <w:p w14:paraId="55D515C7" w14:textId="26418701" w:rsidR="00FF46C2" w:rsidRPr="00F613C9" w:rsidRDefault="00FF46C2" w:rsidP="00FF46C2">
            <w:pPr>
              <w:spacing w:after="0"/>
              <w:rPr>
                <w:rFonts w:ascii="Times New Roman" w:eastAsia="SimSun" w:hAnsi="Times New Roman"/>
                <w:i/>
                <w:iCs/>
                <w:color w:val="000000"/>
                <w:sz w:val="18"/>
                <w:szCs w:val="18"/>
                <w:lang w:val="en-US"/>
              </w:rPr>
            </w:pPr>
            <w:r w:rsidRPr="00F613C9">
              <w:rPr>
                <w:rFonts w:ascii="Times New Roman" w:eastAsia="SimSun" w:hAnsi="Times New Roman"/>
                <w:color w:val="000000"/>
                <w:sz w:val="18"/>
                <w:szCs w:val="18"/>
                <w:lang w:val="en-US"/>
              </w:rPr>
              <w:t>AR (1) test</w:t>
            </w:r>
            <w:r w:rsidR="0055283F">
              <w:rPr>
                <w:rFonts w:ascii="Times New Roman" w:eastAsia="SimSun" w:hAnsi="Times New Roman"/>
                <w:color w:val="000000"/>
                <w:sz w:val="18"/>
                <w:szCs w:val="18"/>
                <w:lang w:val="en-US"/>
              </w:rPr>
              <w:t xml:space="preserve"> p-value</w:t>
            </w:r>
          </w:p>
        </w:tc>
        <w:tc>
          <w:tcPr>
            <w:tcW w:w="1275" w:type="dxa"/>
            <w:tcBorders>
              <w:top w:val="nil"/>
              <w:left w:val="nil"/>
              <w:bottom w:val="nil"/>
              <w:right w:val="nil"/>
            </w:tcBorders>
          </w:tcPr>
          <w:p w14:paraId="6AB16003"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285" w:type="dxa"/>
            <w:tcBorders>
              <w:top w:val="nil"/>
              <w:left w:val="nil"/>
              <w:bottom w:val="nil"/>
              <w:right w:val="nil"/>
            </w:tcBorders>
          </w:tcPr>
          <w:p w14:paraId="31BD426F"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314" w:type="dxa"/>
            <w:tcBorders>
              <w:top w:val="nil"/>
              <w:left w:val="nil"/>
              <w:bottom w:val="nil"/>
              <w:right w:val="nil"/>
            </w:tcBorders>
          </w:tcPr>
          <w:p w14:paraId="44AA7304" w14:textId="77777777" w:rsidR="00FF46C2" w:rsidRPr="00F613C9" w:rsidRDefault="00FF46C2" w:rsidP="00FF46C2">
            <w:pPr>
              <w:spacing w:after="0"/>
              <w:rPr>
                <w:rFonts w:ascii="Times New Roman" w:eastAsia="Times New Roman" w:hAnsi="Times New Roman"/>
                <w:sz w:val="18"/>
                <w:szCs w:val="18"/>
              </w:rPr>
            </w:pPr>
          </w:p>
        </w:tc>
        <w:tc>
          <w:tcPr>
            <w:tcW w:w="1392" w:type="dxa"/>
            <w:tcBorders>
              <w:top w:val="nil"/>
              <w:left w:val="nil"/>
              <w:bottom w:val="nil"/>
              <w:right w:val="nil"/>
            </w:tcBorders>
          </w:tcPr>
          <w:p w14:paraId="5A0B405C"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7CB0F670"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9" w:type="dxa"/>
            <w:tcBorders>
              <w:top w:val="nil"/>
              <w:left w:val="nil"/>
              <w:bottom w:val="nil"/>
              <w:right w:val="nil"/>
            </w:tcBorders>
          </w:tcPr>
          <w:p w14:paraId="2BEB31E8" w14:textId="77777777" w:rsidR="00FF46C2" w:rsidRPr="003F5030" w:rsidRDefault="00FF46C2" w:rsidP="00FF46C2">
            <w:pPr>
              <w:spacing w:after="0"/>
              <w:rPr>
                <w:rFonts w:ascii="Times New Roman" w:eastAsia="Times New Roman" w:hAnsi="Times New Roman"/>
                <w:sz w:val="18"/>
                <w:szCs w:val="18"/>
              </w:rPr>
            </w:pPr>
          </w:p>
        </w:tc>
        <w:tc>
          <w:tcPr>
            <w:tcW w:w="1600" w:type="dxa"/>
            <w:tcBorders>
              <w:top w:val="nil"/>
              <w:left w:val="nil"/>
              <w:bottom w:val="nil"/>
              <w:right w:val="nil"/>
            </w:tcBorders>
          </w:tcPr>
          <w:p w14:paraId="78E657A3" w14:textId="47A8BA2D" w:rsidR="00FF46C2" w:rsidRPr="003F5030" w:rsidRDefault="0055283F"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0.065</w:t>
            </w:r>
          </w:p>
        </w:tc>
        <w:tc>
          <w:tcPr>
            <w:tcW w:w="1422" w:type="dxa"/>
            <w:tcBorders>
              <w:top w:val="nil"/>
              <w:left w:val="nil"/>
              <w:bottom w:val="nil"/>
              <w:right w:val="nil"/>
            </w:tcBorders>
          </w:tcPr>
          <w:p w14:paraId="37BCF78F" w14:textId="5152E402" w:rsidR="00FF46C2" w:rsidRPr="00F613C9" w:rsidRDefault="0055283F" w:rsidP="00FF46C2">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0.060</w:t>
            </w:r>
          </w:p>
        </w:tc>
      </w:tr>
      <w:tr w:rsidR="00FF46C2" w:rsidRPr="00F613C9" w14:paraId="70F64571" w14:textId="77777777" w:rsidTr="00265BD1">
        <w:tc>
          <w:tcPr>
            <w:tcW w:w="3686" w:type="dxa"/>
            <w:tcBorders>
              <w:top w:val="nil"/>
              <w:left w:val="nil"/>
              <w:bottom w:val="nil"/>
              <w:right w:val="nil"/>
            </w:tcBorders>
          </w:tcPr>
          <w:p w14:paraId="1B6ED63B" w14:textId="0F9B136B" w:rsidR="00FF46C2" w:rsidRPr="00F613C9" w:rsidRDefault="00FF46C2" w:rsidP="00FF46C2">
            <w:pPr>
              <w:spacing w:after="0"/>
              <w:rPr>
                <w:rFonts w:ascii="Times New Roman" w:eastAsia="SimSun" w:hAnsi="Times New Roman"/>
                <w:i/>
                <w:iCs/>
                <w:color w:val="000000"/>
                <w:sz w:val="18"/>
                <w:szCs w:val="18"/>
                <w:lang w:val="en-US"/>
              </w:rPr>
            </w:pPr>
            <w:r w:rsidRPr="00F613C9">
              <w:rPr>
                <w:rFonts w:ascii="Times New Roman" w:eastAsia="SimSun" w:hAnsi="Times New Roman"/>
                <w:color w:val="000000"/>
                <w:sz w:val="18"/>
                <w:szCs w:val="18"/>
                <w:lang w:val="en-US"/>
              </w:rPr>
              <w:t>AR (2) test</w:t>
            </w:r>
            <w:r w:rsidR="0055283F">
              <w:rPr>
                <w:rFonts w:ascii="Times New Roman" w:eastAsia="SimSun" w:hAnsi="Times New Roman"/>
                <w:color w:val="000000"/>
                <w:sz w:val="18"/>
                <w:szCs w:val="18"/>
                <w:lang w:val="en-US"/>
              </w:rPr>
              <w:t xml:space="preserve"> p-value</w:t>
            </w:r>
          </w:p>
        </w:tc>
        <w:tc>
          <w:tcPr>
            <w:tcW w:w="1275" w:type="dxa"/>
            <w:tcBorders>
              <w:top w:val="nil"/>
              <w:left w:val="nil"/>
              <w:bottom w:val="nil"/>
              <w:right w:val="nil"/>
            </w:tcBorders>
          </w:tcPr>
          <w:p w14:paraId="061D53DA"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285" w:type="dxa"/>
            <w:tcBorders>
              <w:top w:val="nil"/>
              <w:left w:val="nil"/>
              <w:bottom w:val="nil"/>
              <w:right w:val="nil"/>
            </w:tcBorders>
          </w:tcPr>
          <w:p w14:paraId="2E269170"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314" w:type="dxa"/>
            <w:tcBorders>
              <w:top w:val="nil"/>
              <w:left w:val="nil"/>
              <w:bottom w:val="nil"/>
              <w:right w:val="nil"/>
            </w:tcBorders>
          </w:tcPr>
          <w:p w14:paraId="18A634DB" w14:textId="77777777" w:rsidR="00FF46C2" w:rsidRPr="00F613C9" w:rsidRDefault="00FF46C2" w:rsidP="00FF46C2">
            <w:pPr>
              <w:spacing w:after="0"/>
              <w:rPr>
                <w:rFonts w:ascii="Times New Roman" w:eastAsia="Times New Roman" w:hAnsi="Times New Roman"/>
                <w:sz w:val="18"/>
                <w:szCs w:val="18"/>
              </w:rPr>
            </w:pPr>
          </w:p>
        </w:tc>
        <w:tc>
          <w:tcPr>
            <w:tcW w:w="1392" w:type="dxa"/>
            <w:tcBorders>
              <w:top w:val="nil"/>
              <w:left w:val="nil"/>
              <w:bottom w:val="nil"/>
              <w:right w:val="nil"/>
            </w:tcBorders>
          </w:tcPr>
          <w:p w14:paraId="3B466DC1"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17ED67CC" w14:textId="77777777" w:rsidR="00FF46C2" w:rsidRPr="00F613C9" w:rsidRDefault="00FF46C2" w:rsidP="00FF46C2">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9" w:type="dxa"/>
            <w:tcBorders>
              <w:top w:val="nil"/>
              <w:left w:val="nil"/>
              <w:bottom w:val="nil"/>
              <w:right w:val="nil"/>
            </w:tcBorders>
          </w:tcPr>
          <w:p w14:paraId="09B3B90E" w14:textId="77777777" w:rsidR="00FF46C2" w:rsidRPr="00F613C9" w:rsidRDefault="00FF46C2" w:rsidP="00FF46C2">
            <w:pPr>
              <w:spacing w:after="0"/>
              <w:rPr>
                <w:rFonts w:ascii="Times New Roman" w:eastAsia="Times New Roman" w:hAnsi="Times New Roman"/>
                <w:sz w:val="18"/>
                <w:szCs w:val="18"/>
              </w:rPr>
            </w:pPr>
          </w:p>
        </w:tc>
        <w:tc>
          <w:tcPr>
            <w:tcW w:w="1600" w:type="dxa"/>
            <w:tcBorders>
              <w:top w:val="nil"/>
              <w:left w:val="nil"/>
              <w:bottom w:val="nil"/>
              <w:right w:val="nil"/>
            </w:tcBorders>
          </w:tcPr>
          <w:p w14:paraId="4ECF0D8D" w14:textId="12F549D2" w:rsidR="00FF46C2" w:rsidRPr="00F613C9" w:rsidRDefault="0055283F" w:rsidP="00FF46C2">
            <w:pPr>
              <w:spacing w:after="0"/>
              <w:rPr>
                <w:rFonts w:ascii="Times New Roman" w:eastAsia="Times New Roman" w:hAnsi="Times New Roman"/>
                <w:sz w:val="18"/>
                <w:szCs w:val="18"/>
              </w:rPr>
            </w:pPr>
            <w:r>
              <w:rPr>
                <w:rFonts w:ascii="Times New Roman" w:eastAsia="Times New Roman" w:hAnsi="Times New Roman"/>
                <w:sz w:val="18"/>
                <w:szCs w:val="18"/>
              </w:rPr>
              <w:t>0.487</w:t>
            </w:r>
          </w:p>
        </w:tc>
        <w:tc>
          <w:tcPr>
            <w:tcW w:w="1422" w:type="dxa"/>
            <w:tcBorders>
              <w:top w:val="nil"/>
              <w:left w:val="nil"/>
              <w:bottom w:val="nil"/>
              <w:right w:val="nil"/>
            </w:tcBorders>
          </w:tcPr>
          <w:p w14:paraId="7847AE4A" w14:textId="040821BE" w:rsidR="00FF46C2" w:rsidRPr="00F613C9" w:rsidRDefault="0055283F" w:rsidP="00FF46C2">
            <w:pPr>
              <w:spacing w:after="0"/>
              <w:rPr>
                <w:rFonts w:ascii="Times New Roman" w:eastAsia="Times New Roman" w:hAnsi="Times New Roman"/>
                <w:sz w:val="18"/>
                <w:szCs w:val="18"/>
              </w:rPr>
            </w:pPr>
            <w:r>
              <w:rPr>
                <w:rFonts w:ascii="Times New Roman" w:eastAsia="Times New Roman" w:hAnsi="Times New Roman"/>
                <w:sz w:val="18"/>
                <w:szCs w:val="18"/>
              </w:rPr>
              <w:t>0.537</w:t>
            </w:r>
          </w:p>
        </w:tc>
      </w:tr>
      <w:tr w:rsidR="001A6EC0" w:rsidRPr="00F613C9" w14:paraId="071FD6F5" w14:textId="77777777" w:rsidTr="004E5E6E">
        <w:trPr>
          <w:trHeight w:val="101"/>
        </w:trPr>
        <w:tc>
          <w:tcPr>
            <w:tcW w:w="3686" w:type="dxa"/>
            <w:tcBorders>
              <w:top w:val="nil"/>
              <w:left w:val="nil"/>
              <w:right w:val="nil"/>
            </w:tcBorders>
          </w:tcPr>
          <w:p w14:paraId="13F6A5BB" w14:textId="6910B3A6" w:rsidR="001A6EC0" w:rsidRPr="008D07AC" w:rsidRDefault="008D07AC" w:rsidP="001A6EC0">
            <w:pPr>
              <w:spacing w:after="0"/>
              <w:rPr>
                <w:rFonts w:ascii="Times New Roman" w:eastAsia="SimSun" w:hAnsi="Times New Roman"/>
                <w:color w:val="000000"/>
                <w:sz w:val="18"/>
                <w:szCs w:val="18"/>
                <w:lang w:val="en-US"/>
              </w:rPr>
            </w:pPr>
            <w:proofErr w:type="spellStart"/>
            <w:r w:rsidRPr="008D07AC">
              <w:rPr>
                <w:rFonts w:ascii="Times New Roman" w:eastAsia="SimSun" w:hAnsi="Times New Roman"/>
                <w:color w:val="000000"/>
                <w:sz w:val="18"/>
                <w:szCs w:val="18"/>
                <w:lang w:val="en-US"/>
              </w:rPr>
              <w:t>Sargan</w:t>
            </w:r>
            <w:proofErr w:type="spellEnd"/>
            <w:r w:rsidRPr="008D07AC">
              <w:rPr>
                <w:rFonts w:ascii="Times New Roman" w:eastAsia="SimSun" w:hAnsi="Times New Roman"/>
                <w:color w:val="000000"/>
                <w:sz w:val="18"/>
                <w:szCs w:val="18"/>
                <w:lang w:val="en-US"/>
              </w:rPr>
              <w:t xml:space="preserve"> </w:t>
            </w:r>
            <w:r>
              <w:rPr>
                <w:rFonts w:ascii="Times New Roman" w:eastAsia="SimSun" w:hAnsi="Times New Roman"/>
                <w:color w:val="000000"/>
                <w:sz w:val="18"/>
                <w:szCs w:val="18"/>
                <w:lang w:val="en-US"/>
              </w:rPr>
              <w:t>t</w:t>
            </w:r>
            <w:r w:rsidRPr="008D07AC">
              <w:rPr>
                <w:rFonts w:ascii="Times New Roman" w:eastAsia="SimSun" w:hAnsi="Times New Roman"/>
                <w:color w:val="000000"/>
                <w:sz w:val="18"/>
                <w:szCs w:val="18"/>
                <w:lang w:val="en-US"/>
              </w:rPr>
              <w:t>es</w:t>
            </w:r>
            <w:r>
              <w:rPr>
                <w:rFonts w:ascii="Times New Roman" w:eastAsia="SimSun" w:hAnsi="Times New Roman"/>
                <w:color w:val="000000"/>
                <w:sz w:val="18"/>
                <w:szCs w:val="18"/>
                <w:lang w:val="en-US"/>
              </w:rPr>
              <w:t>t</w:t>
            </w:r>
            <w:r w:rsidRPr="008D07AC">
              <w:rPr>
                <w:rFonts w:ascii="Times New Roman" w:eastAsia="SimSun" w:hAnsi="Times New Roman"/>
                <w:color w:val="000000"/>
                <w:sz w:val="18"/>
                <w:szCs w:val="18"/>
                <w:lang w:val="en-US"/>
              </w:rPr>
              <w:t xml:space="preserve"> p</w:t>
            </w:r>
            <w:r w:rsidR="001A6EC0" w:rsidRPr="008D07AC">
              <w:rPr>
                <w:rFonts w:ascii="Times New Roman" w:eastAsia="SimSun" w:hAnsi="Times New Roman"/>
                <w:color w:val="000000"/>
                <w:sz w:val="18"/>
                <w:szCs w:val="18"/>
                <w:lang w:val="en-US"/>
              </w:rPr>
              <w:t>-value</w:t>
            </w:r>
          </w:p>
        </w:tc>
        <w:tc>
          <w:tcPr>
            <w:tcW w:w="1275" w:type="dxa"/>
            <w:tcBorders>
              <w:top w:val="nil"/>
              <w:left w:val="nil"/>
              <w:bottom w:val="nil"/>
              <w:right w:val="nil"/>
            </w:tcBorders>
          </w:tcPr>
          <w:p w14:paraId="7840B6FF" w14:textId="651335A5" w:rsidR="001A6EC0" w:rsidRPr="00F613C9" w:rsidRDefault="001A6EC0" w:rsidP="001A6EC0">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285" w:type="dxa"/>
            <w:tcBorders>
              <w:top w:val="nil"/>
              <w:left w:val="nil"/>
              <w:bottom w:val="nil"/>
              <w:right w:val="nil"/>
            </w:tcBorders>
          </w:tcPr>
          <w:p w14:paraId="65B93A16" w14:textId="2CFDE7E3" w:rsidR="001A6EC0" w:rsidRPr="00F613C9" w:rsidRDefault="001A6EC0" w:rsidP="001A6EC0">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314" w:type="dxa"/>
            <w:tcBorders>
              <w:top w:val="nil"/>
              <w:left w:val="nil"/>
              <w:bottom w:val="nil"/>
              <w:right w:val="nil"/>
            </w:tcBorders>
          </w:tcPr>
          <w:p w14:paraId="0DF65C1A" w14:textId="77777777" w:rsidR="001A6EC0" w:rsidRPr="00F613C9" w:rsidRDefault="001A6EC0" w:rsidP="001A6EC0">
            <w:pPr>
              <w:spacing w:after="0"/>
              <w:rPr>
                <w:rFonts w:ascii="Times New Roman" w:eastAsia="Times New Roman" w:hAnsi="Times New Roman"/>
                <w:sz w:val="18"/>
                <w:szCs w:val="18"/>
              </w:rPr>
            </w:pPr>
          </w:p>
        </w:tc>
        <w:tc>
          <w:tcPr>
            <w:tcW w:w="1392" w:type="dxa"/>
            <w:tcBorders>
              <w:top w:val="nil"/>
              <w:left w:val="nil"/>
              <w:bottom w:val="nil"/>
              <w:right w:val="nil"/>
            </w:tcBorders>
          </w:tcPr>
          <w:p w14:paraId="3F37F975" w14:textId="23B5CD5A" w:rsidR="001A6EC0" w:rsidRDefault="001A6EC0" w:rsidP="001A6EC0">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6169D731" w14:textId="1093C007" w:rsidR="001A6EC0" w:rsidRDefault="001A6EC0" w:rsidP="001A6EC0">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9" w:type="dxa"/>
            <w:tcBorders>
              <w:top w:val="nil"/>
              <w:left w:val="nil"/>
              <w:right w:val="nil"/>
            </w:tcBorders>
          </w:tcPr>
          <w:p w14:paraId="34715CE6" w14:textId="77777777" w:rsidR="001A6EC0" w:rsidRPr="00F613C9" w:rsidRDefault="001A6EC0" w:rsidP="001A6EC0">
            <w:pPr>
              <w:spacing w:after="0"/>
              <w:rPr>
                <w:rFonts w:ascii="Times New Roman" w:eastAsia="Times New Roman" w:hAnsi="Times New Roman"/>
                <w:sz w:val="18"/>
                <w:szCs w:val="18"/>
              </w:rPr>
            </w:pPr>
          </w:p>
        </w:tc>
        <w:tc>
          <w:tcPr>
            <w:tcW w:w="1600" w:type="dxa"/>
            <w:tcBorders>
              <w:top w:val="nil"/>
              <w:left w:val="nil"/>
              <w:right w:val="nil"/>
            </w:tcBorders>
          </w:tcPr>
          <w:p w14:paraId="7C05C52F" w14:textId="015A1D1A" w:rsidR="001A6EC0" w:rsidRPr="00F613C9" w:rsidRDefault="002875A6" w:rsidP="001A6EC0">
            <w:pPr>
              <w:spacing w:after="0"/>
              <w:rPr>
                <w:rFonts w:ascii="Times New Roman" w:eastAsia="Times New Roman" w:hAnsi="Times New Roman"/>
                <w:sz w:val="18"/>
                <w:szCs w:val="18"/>
              </w:rPr>
            </w:pPr>
            <w:r>
              <w:rPr>
                <w:rFonts w:ascii="Times New Roman" w:eastAsia="Times New Roman" w:hAnsi="Times New Roman"/>
                <w:sz w:val="18"/>
                <w:szCs w:val="18"/>
              </w:rPr>
              <w:t>0.400</w:t>
            </w:r>
          </w:p>
        </w:tc>
        <w:tc>
          <w:tcPr>
            <w:tcW w:w="1422" w:type="dxa"/>
            <w:tcBorders>
              <w:top w:val="nil"/>
              <w:left w:val="nil"/>
              <w:right w:val="nil"/>
            </w:tcBorders>
          </w:tcPr>
          <w:p w14:paraId="046A8FEB" w14:textId="36B93B3E" w:rsidR="001A6EC0" w:rsidRPr="00F613C9" w:rsidRDefault="0055283F" w:rsidP="001A6EC0">
            <w:pPr>
              <w:spacing w:after="0"/>
              <w:rPr>
                <w:rFonts w:ascii="Times New Roman" w:eastAsia="Times New Roman" w:hAnsi="Times New Roman"/>
                <w:sz w:val="18"/>
                <w:szCs w:val="18"/>
              </w:rPr>
            </w:pPr>
            <w:r>
              <w:rPr>
                <w:rFonts w:ascii="Times New Roman" w:eastAsia="Times New Roman" w:hAnsi="Times New Roman"/>
                <w:sz w:val="18"/>
                <w:szCs w:val="18"/>
              </w:rPr>
              <w:t>0.349</w:t>
            </w:r>
          </w:p>
        </w:tc>
      </w:tr>
      <w:tr w:rsidR="008D07AC" w:rsidRPr="00F613C9" w14:paraId="0B541402" w14:textId="77777777" w:rsidTr="004E5E6E">
        <w:trPr>
          <w:trHeight w:val="101"/>
        </w:trPr>
        <w:tc>
          <w:tcPr>
            <w:tcW w:w="3686" w:type="dxa"/>
            <w:tcBorders>
              <w:top w:val="nil"/>
              <w:left w:val="nil"/>
              <w:right w:val="nil"/>
            </w:tcBorders>
          </w:tcPr>
          <w:p w14:paraId="1E7C2DCE" w14:textId="7C167FD6" w:rsidR="008D07AC" w:rsidRPr="008D07AC" w:rsidRDefault="008D07AC" w:rsidP="008D07AC">
            <w:pPr>
              <w:spacing w:after="0"/>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xml:space="preserve">Hansen </w:t>
            </w:r>
            <w:r w:rsidR="005D7079">
              <w:rPr>
                <w:rFonts w:ascii="Times New Roman" w:eastAsia="SimSun" w:hAnsi="Times New Roman"/>
                <w:color w:val="000000"/>
                <w:sz w:val="18"/>
                <w:szCs w:val="18"/>
                <w:lang w:val="en-US"/>
              </w:rPr>
              <w:t xml:space="preserve">(Diff) </w:t>
            </w:r>
            <w:r>
              <w:rPr>
                <w:rFonts w:ascii="Times New Roman" w:eastAsia="SimSun" w:hAnsi="Times New Roman"/>
                <w:color w:val="000000"/>
                <w:sz w:val="18"/>
                <w:szCs w:val="18"/>
                <w:lang w:val="en-US"/>
              </w:rPr>
              <w:t>p-value</w:t>
            </w:r>
          </w:p>
        </w:tc>
        <w:tc>
          <w:tcPr>
            <w:tcW w:w="1275" w:type="dxa"/>
            <w:tcBorders>
              <w:top w:val="nil"/>
              <w:left w:val="nil"/>
              <w:bottom w:val="nil"/>
              <w:right w:val="nil"/>
            </w:tcBorders>
          </w:tcPr>
          <w:p w14:paraId="1CF5FDBF" w14:textId="6A0C7D39"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285" w:type="dxa"/>
            <w:tcBorders>
              <w:top w:val="nil"/>
              <w:left w:val="nil"/>
              <w:bottom w:val="nil"/>
              <w:right w:val="nil"/>
            </w:tcBorders>
          </w:tcPr>
          <w:p w14:paraId="24144DEC" w14:textId="7C2CE61F"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314" w:type="dxa"/>
            <w:tcBorders>
              <w:top w:val="nil"/>
              <w:left w:val="nil"/>
              <w:bottom w:val="nil"/>
              <w:right w:val="nil"/>
            </w:tcBorders>
          </w:tcPr>
          <w:p w14:paraId="39FE1FCA" w14:textId="77777777" w:rsidR="008D07AC" w:rsidRPr="00F613C9" w:rsidRDefault="008D07AC" w:rsidP="008D07AC">
            <w:pPr>
              <w:spacing w:after="0"/>
              <w:rPr>
                <w:rFonts w:ascii="Times New Roman" w:eastAsia="Times New Roman" w:hAnsi="Times New Roman"/>
                <w:sz w:val="18"/>
                <w:szCs w:val="18"/>
              </w:rPr>
            </w:pPr>
          </w:p>
        </w:tc>
        <w:tc>
          <w:tcPr>
            <w:tcW w:w="1392" w:type="dxa"/>
            <w:tcBorders>
              <w:top w:val="nil"/>
              <w:left w:val="nil"/>
              <w:bottom w:val="nil"/>
              <w:right w:val="nil"/>
            </w:tcBorders>
          </w:tcPr>
          <w:p w14:paraId="6516660B" w14:textId="61851B1C"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27558FC9" w14:textId="4A6DF815"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9" w:type="dxa"/>
            <w:tcBorders>
              <w:top w:val="nil"/>
              <w:left w:val="nil"/>
              <w:right w:val="nil"/>
            </w:tcBorders>
          </w:tcPr>
          <w:p w14:paraId="1879D90E" w14:textId="77777777" w:rsidR="008D07AC" w:rsidRPr="00F613C9" w:rsidRDefault="008D07AC" w:rsidP="008D07AC">
            <w:pPr>
              <w:spacing w:after="0"/>
              <w:rPr>
                <w:rFonts w:ascii="Times New Roman" w:eastAsia="Times New Roman" w:hAnsi="Times New Roman"/>
                <w:sz w:val="18"/>
                <w:szCs w:val="18"/>
              </w:rPr>
            </w:pPr>
          </w:p>
        </w:tc>
        <w:tc>
          <w:tcPr>
            <w:tcW w:w="1600" w:type="dxa"/>
            <w:tcBorders>
              <w:top w:val="nil"/>
              <w:left w:val="nil"/>
              <w:right w:val="nil"/>
            </w:tcBorders>
          </w:tcPr>
          <w:p w14:paraId="1588A90F" w14:textId="450E1939" w:rsidR="008D07AC" w:rsidRDefault="008D07AC" w:rsidP="008D07AC">
            <w:pPr>
              <w:spacing w:after="0"/>
              <w:rPr>
                <w:rFonts w:ascii="Times New Roman" w:eastAsia="Times New Roman" w:hAnsi="Times New Roman"/>
                <w:sz w:val="18"/>
                <w:szCs w:val="18"/>
              </w:rPr>
            </w:pPr>
            <w:r>
              <w:rPr>
                <w:rFonts w:ascii="Times New Roman" w:eastAsia="Times New Roman" w:hAnsi="Times New Roman"/>
                <w:sz w:val="18"/>
                <w:szCs w:val="18"/>
              </w:rPr>
              <w:t>0.</w:t>
            </w:r>
            <w:r w:rsidR="00C44ECF">
              <w:rPr>
                <w:rFonts w:ascii="Times New Roman" w:eastAsia="Times New Roman" w:hAnsi="Times New Roman"/>
                <w:sz w:val="18"/>
                <w:szCs w:val="18"/>
              </w:rPr>
              <w:t>562</w:t>
            </w:r>
          </w:p>
        </w:tc>
        <w:tc>
          <w:tcPr>
            <w:tcW w:w="1422" w:type="dxa"/>
            <w:tcBorders>
              <w:top w:val="nil"/>
              <w:left w:val="nil"/>
              <w:right w:val="nil"/>
            </w:tcBorders>
          </w:tcPr>
          <w:p w14:paraId="36CA560D" w14:textId="692699AD" w:rsidR="008D07AC" w:rsidRPr="00F613C9" w:rsidRDefault="0055283F" w:rsidP="008D07AC">
            <w:pPr>
              <w:spacing w:after="0"/>
              <w:rPr>
                <w:rFonts w:ascii="Times New Roman" w:eastAsia="Times New Roman" w:hAnsi="Times New Roman"/>
                <w:sz w:val="18"/>
                <w:szCs w:val="18"/>
              </w:rPr>
            </w:pPr>
            <w:r>
              <w:rPr>
                <w:rFonts w:ascii="Times New Roman" w:eastAsia="Times New Roman" w:hAnsi="Times New Roman"/>
                <w:sz w:val="18"/>
                <w:szCs w:val="18"/>
              </w:rPr>
              <w:t>0.</w:t>
            </w:r>
            <w:r w:rsidR="00C44ECF">
              <w:rPr>
                <w:rFonts w:ascii="Times New Roman" w:eastAsia="Times New Roman" w:hAnsi="Times New Roman"/>
                <w:sz w:val="18"/>
                <w:szCs w:val="18"/>
              </w:rPr>
              <w:t>142</w:t>
            </w:r>
          </w:p>
        </w:tc>
      </w:tr>
      <w:tr w:rsidR="008D07AC" w:rsidRPr="00F613C9" w14:paraId="5FA22F2D" w14:textId="77777777" w:rsidTr="00265BD1">
        <w:trPr>
          <w:trHeight w:val="68"/>
        </w:trPr>
        <w:tc>
          <w:tcPr>
            <w:tcW w:w="3686" w:type="dxa"/>
            <w:tcBorders>
              <w:top w:val="nil"/>
              <w:left w:val="nil"/>
              <w:right w:val="nil"/>
            </w:tcBorders>
          </w:tcPr>
          <w:p w14:paraId="757BD5D4" w14:textId="465B928D" w:rsidR="008D07AC" w:rsidRPr="00F613C9" w:rsidRDefault="008D07AC" w:rsidP="008D07AC">
            <w:pPr>
              <w:spacing w:after="0"/>
              <w:rPr>
                <w:rFonts w:ascii="Times New Roman" w:eastAsia="SimSun" w:hAnsi="Times New Roman"/>
                <w:color w:val="000000"/>
                <w:sz w:val="18"/>
                <w:szCs w:val="18"/>
                <w:lang w:val="en-US"/>
              </w:rPr>
            </w:pPr>
            <w:r w:rsidRPr="006B5786">
              <w:rPr>
                <w:rFonts w:ascii="Times New Roman" w:eastAsia="SimSun" w:hAnsi="Times New Roman"/>
                <w:i/>
                <w:sz w:val="20"/>
                <w:szCs w:val="20"/>
                <w:lang w:val="en-US"/>
              </w:rPr>
              <w:t>R</w:t>
            </w:r>
            <w:r>
              <w:rPr>
                <w:rFonts w:ascii="Times New Roman" w:eastAsia="SimSun" w:hAnsi="Times New Roman"/>
                <w:i/>
                <w:sz w:val="20"/>
                <w:szCs w:val="20"/>
                <w:lang w:val="en-US"/>
              </w:rPr>
              <w:t>-sq</w:t>
            </w:r>
          </w:p>
        </w:tc>
        <w:tc>
          <w:tcPr>
            <w:tcW w:w="1275" w:type="dxa"/>
            <w:tcBorders>
              <w:top w:val="nil"/>
              <w:left w:val="nil"/>
              <w:right w:val="nil"/>
            </w:tcBorders>
          </w:tcPr>
          <w:p w14:paraId="2AC72A0A" w14:textId="5E92D2A9"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0.</w:t>
            </w:r>
            <w:r>
              <w:rPr>
                <w:rFonts w:ascii="Times New Roman" w:eastAsia="Times New Roman" w:hAnsi="Times New Roman"/>
                <w:sz w:val="18"/>
                <w:szCs w:val="18"/>
              </w:rPr>
              <w:t>447</w:t>
            </w:r>
          </w:p>
        </w:tc>
        <w:tc>
          <w:tcPr>
            <w:tcW w:w="1285" w:type="dxa"/>
            <w:tcBorders>
              <w:top w:val="nil"/>
              <w:left w:val="nil"/>
              <w:right w:val="nil"/>
            </w:tcBorders>
          </w:tcPr>
          <w:p w14:paraId="35A49D92" w14:textId="70617994"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0.4</w:t>
            </w:r>
            <w:r>
              <w:rPr>
                <w:rFonts w:ascii="Times New Roman" w:eastAsia="Times New Roman" w:hAnsi="Times New Roman"/>
                <w:sz w:val="18"/>
                <w:szCs w:val="18"/>
              </w:rPr>
              <w:t>84</w:t>
            </w:r>
          </w:p>
        </w:tc>
        <w:tc>
          <w:tcPr>
            <w:tcW w:w="314" w:type="dxa"/>
            <w:tcBorders>
              <w:top w:val="nil"/>
              <w:left w:val="nil"/>
              <w:right w:val="nil"/>
            </w:tcBorders>
          </w:tcPr>
          <w:p w14:paraId="073DBF03" w14:textId="77777777" w:rsidR="008D07AC" w:rsidRPr="00F613C9" w:rsidRDefault="008D07AC" w:rsidP="008D07AC">
            <w:pPr>
              <w:spacing w:after="0"/>
              <w:rPr>
                <w:rFonts w:ascii="Times New Roman" w:eastAsia="Times New Roman" w:hAnsi="Times New Roman"/>
                <w:sz w:val="18"/>
                <w:szCs w:val="18"/>
              </w:rPr>
            </w:pPr>
          </w:p>
        </w:tc>
        <w:tc>
          <w:tcPr>
            <w:tcW w:w="1392" w:type="dxa"/>
            <w:tcBorders>
              <w:top w:val="nil"/>
              <w:left w:val="nil"/>
              <w:right w:val="nil"/>
            </w:tcBorders>
          </w:tcPr>
          <w:p w14:paraId="66D588D0" w14:textId="270B89C9" w:rsidR="008D07AC" w:rsidRPr="00F613C9" w:rsidRDefault="008D07AC" w:rsidP="008D07AC">
            <w:pPr>
              <w:spacing w:after="0"/>
              <w:rPr>
                <w:rFonts w:ascii="Times New Roman" w:eastAsia="Times New Roman" w:hAnsi="Times New Roman"/>
                <w:sz w:val="18"/>
                <w:szCs w:val="18"/>
              </w:rPr>
            </w:pPr>
            <w:r>
              <w:rPr>
                <w:rFonts w:ascii="Times New Roman" w:eastAsia="Times New Roman" w:hAnsi="Times New Roman"/>
                <w:sz w:val="18"/>
                <w:szCs w:val="18"/>
              </w:rPr>
              <w:t>0.580</w:t>
            </w:r>
          </w:p>
        </w:tc>
        <w:tc>
          <w:tcPr>
            <w:tcW w:w="1137" w:type="dxa"/>
            <w:tcBorders>
              <w:top w:val="nil"/>
              <w:left w:val="nil"/>
              <w:right w:val="nil"/>
            </w:tcBorders>
          </w:tcPr>
          <w:p w14:paraId="28EE92A5" w14:textId="4EE04499" w:rsidR="008D07AC" w:rsidRPr="00F613C9" w:rsidRDefault="008D07AC" w:rsidP="008D07AC">
            <w:pPr>
              <w:spacing w:after="0"/>
              <w:rPr>
                <w:rFonts w:ascii="Times New Roman" w:eastAsia="Times New Roman" w:hAnsi="Times New Roman"/>
                <w:sz w:val="18"/>
                <w:szCs w:val="18"/>
              </w:rPr>
            </w:pPr>
            <w:r>
              <w:rPr>
                <w:rFonts w:ascii="Times New Roman" w:eastAsia="Times New Roman" w:hAnsi="Times New Roman"/>
                <w:sz w:val="18"/>
                <w:szCs w:val="18"/>
              </w:rPr>
              <w:t>0.488</w:t>
            </w:r>
          </w:p>
        </w:tc>
        <w:tc>
          <w:tcPr>
            <w:tcW w:w="239" w:type="dxa"/>
            <w:tcBorders>
              <w:top w:val="nil"/>
              <w:left w:val="nil"/>
              <w:right w:val="nil"/>
            </w:tcBorders>
          </w:tcPr>
          <w:p w14:paraId="637C79D0" w14:textId="77777777" w:rsidR="008D07AC" w:rsidRPr="00F613C9" w:rsidRDefault="008D07AC" w:rsidP="008D07AC">
            <w:pPr>
              <w:spacing w:after="0"/>
              <w:rPr>
                <w:rFonts w:ascii="Times New Roman" w:eastAsia="Times New Roman" w:hAnsi="Times New Roman"/>
                <w:sz w:val="18"/>
                <w:szCs w:val="18"/>
              </w:rPr>
            </w:pPr>
          </w:p>
        </w:tc>
        <w:tc>
          <w:tcPr>
            <w:tcW w:w="1600" w:type="dxa"/>
            <w:tcBorders>
              <w:top w:val="nil"/>
              <w:left w:val="nil"/>
              <w:right w:val="nil"/>
            </w:tcBorders>
          </w:tcPr>
          <w:p w14:paraId="395A1168" w14:textId="77777777"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422" w:type="dxa"/>
            <w:tcBorders>
              <w:top w:val="nil"/>
              <w:left w:val="nil"/>
              <w:right w:val="nil"/>
            </w:tcBorders>
          </w:tcPr>
          <w:p w14:paraId="4F5A8B63" w14:textId="77777777"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r>
      <w:tr w:rsidR="008D07AC" w:rsidRPr="00F613C9" w14:paraId="6F061E34" w14:textId="77777777" w:rsidTr="00265BD1">
        <w:tc>
          <w:tcPr>
            <w:tcW w:w="3686" w:type="dxa"/>
            <w:tcBorders>
              <w:top w:val="nil"/>
              <w:left w:val="nil"/>
              <w:bottom w:val="single" w:sz="2" w:space="0" w:color="auto"/>
              <w:right w:val="nil"/>
            </w:tcBorders>
          </w:tcPr>
          <w:p w14:paraId="6BF8C5DC" w14:textId="4A8C6F23" w:rsidR="008D07AC" w:rsidRPr="00F613C9" w:rsidRDefault="008D07AC" w:rsidP="008D07AC">
            <w:pPr>
              <w:spacing w:after="0"/>
              <w:rPr>
                <w:rFonts w:ascii="Times New Roman" w:eastAsia="SimSun" w:hAnsi="Times New Roman"/>
                <w:color w:val="000000"/>
                <w:sz w:val="18"/>
                <w:szCs w:val="18"/>
                <w:lang w:val="en-US"/>
              </w:rPr>
            </w:pPr>
            <w:r w:rsidRPr="00F5674C">
              <w:rPr>
                <w:rFonts w:ascii="Times New Roman" w:eastAsia="SimSun" w:hAnsi="Times New Roman" w:cs="Times New Roman"/>
                <w:color w:val="000000"/>
                <w:sz w:val="20"/>
                <w:szCs w:val="20"/>
                <w:lang w:val="en-US"/>
              </w:rPr>
              <w:t>N</w:t>
            </w:r>
            <w:r>
              <w:rPr>
                <w:rFonts w:ascii="Times New Roman" w:eastAsia="SimSun" w:hAnsi="Times New Roman" w:cs="Times New Roman"/>
                <w:color w:val="000000"/>
                <w:sz w:val="20"/>
                <w:szCs w:val="20"/>
                <w:lang w:val="en-US"/>
              </w:rPr>
              <w:t>umber of observations</w:t>
            </w:r>
          </w:p>
        </w:tc>
        <w:tc>
          <w:tcPr>
            <w:tcW w:w="1275" w:type="dxa"/>
            <w:tcBorders>
              <w:top w:val="nil"/>
              <w:left w:val="nil"/>
              <w:bottom w:val="single" w:sz="2" w:space="0" w:color="auto"/>
              <w:right w:val="nil"/>
            </w:tcBorders>
          </w:tcPr>
          <w:p w14:paraId="41CB7412" w14:textId="7B413D3B"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c>
          <w:tcPr>
            <w:tcW w:w="1285" w:type="dxa"/>
            <w:tcBorders>
              <w:top w:val="nil"/>
              <w:left w:val="nil"/>
              <w:bottom w:val="single" w:sz="2" w:space="0" w:color="auto"/>
              <w:right w:val="nil"/>
            </w:tcBorders>
          </w:tcPr>
          <w:p w14:paraId="3530A6CA" w14:textId="210438A0"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c>
          <w:tcPr>
            <w:tcW w:w="314" w:type="dxa"/>
            <w:tcBorders>
              <w:top w:val="nil"/>
              <w:left w:val="nil"/>
              <w:bottom w:val="single" w:sz="2" w:space="0" w:color="auto"/>
              <w:right w:val="nil"/>
            </w:tcBorders>
          </w:tcPr>
          <w:p w14:paraId="267B5B77" w14:textId="77777777" w:rsidR="008D07AC" w:rsidRPr="00F613C9" w:rsidRDefault="008D07AC" w:rsidP="008D07AC">
            <w:pPr>
              <w:spacing w:after="0"/>
              <w:rPr>
                <w:rFonts w:ascii="Times New Roman" w:eastAsia="Times New Roman" w:hAnsi="Times New Roman"/>
                <w:sz w:val="18"/>
                <w:szCs w:val="18"/>
              </w:rPr>
            </w:pPr>
          </w:p>
        </w:tc>
        <w:tc>
          <w:tcPr>
            <w:tcW w:w="1392" w:type="dxa"/>
            <w:tcBorders>
              <w:top w:val="nil"/>
              <w:left w:val="nil"/>
              <w:bottom w:val="single" w:sz="2" w:space="0" w:color="auto"/>
              <w:right w:val="nil"/>
            </w:tcBorders>
          </w:tcPr>
          <w:p w14:paraId="6570B407" w14:textId="68A81745"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585</w:t>
            </w:r>
          </w:p>
        </w:tc>
        <w:tc>
          <w:tcPr>
            <w:tcW w:w="1137" w:type="dxa"/>
            <w:tcBorders>
              <w:top w:val="nil"/>
              <w:left w:val="nil"/>
              <w:bottom w:val="single" w:sz="2" w:space="0" w:color="auto"/>
              <w:right w:val="nil"/>
            </w:tcBorders>
          </w:tcPr>
          <w:p w14:paraId="2FB75B8B" w14:textId="54D03100"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585</w:t>
            </w:r>
          </w:p>
        </w:tc>
        <w:tc>
          <w:tcPr>
            <w:tcW w:w="239" w:type="dxa"/>
            <w:tcBorders>
              <w:top w:val="nil"/>
              <w:left w:val="nil"/>
              <w:bottom w:val="single" w:sz="2" w:space="0" w:color="auto"/>
              <w:right w:val="nil"/>
            </w:tcBorders>
          </w:tcPr>
          <w:p w14:paraId="283FA5A9" w14:textId="77777777" w:rsidR="008D07AC" w:rsidRPr="00F613C9" w:rsidRDefault="008D07AC" w:rsidP="008D07AC">
            <w:pPr>
              <w:spacing w:after="0"/>
              <w:rPr>
                <w:rFonts w:ascii="Times New Roman" w:eastAsia="Times New Roman" w:hAnsi="Times New Roman"/>
                <w:sz w:val="18"/>
                <w:szCs w:val="18"/>
              </w:rPr>
            </w:pPr>
          </w:p>
        </w:tc>
        <w:tc>
          <w:tcPr>
            <w:tcW w:w="1600" w:type="dxa"/>
            <w:tcBorders>
              <w:top w:val="nil"/>
              <w:left w:val="nil"/>
              <w:bottom w:val="single" w:sz="2" w:space="0" w:color="auto"/>
              <w:right w:val="nil"/>
            </w:tcBorders>
          </w:tcPr>
          <w:p w14:paraId="2CC306C8" w14:textId="77777777"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c>
          <w:tcPr>
            <w:tcW w:w="1422" w:type="dxa"/>
            <w:tcBorders>
              <w:top w:val="nil"/>
              <w:left w:val="nil"/>
              <w:bottom w:val="single" w:sz="2" w:space="0" w:color="auto"/>
              <w:right w:val="nil"/>
            </w:tcBorders>
          </w:tcPr>
          <w:p w14:paraId="50E7FDF2" w14:textId="77777777" w:rsidR="008D07AC" w:rsidRPr="00F613C9" w:rsidRDefault="008D07AC" w:rsidP="008D07AC">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r>
      <w:tr w:rsidR="008D07AC" w:rsidRPr="00F613C9" w14:paraId="33680F9A" w14:textId="77777777" w:rsidTr="00265BD1">
        <w:tc>
          <w:tcPr>
            <w:tcW w:w="12350" w:type="dxa"/>
            <w:gridSpan w:val="9"/>
            <w:tcBorders>
              <w:top w:val="single" w:sz="2" w:space="0" w:color="auto"/>
              <w:left w:val="nil"/>
              <w:right w:val="nil"/>
            </w:tcBorders>
          </w:tcPr>
          <w:p w14:paraId="0A8535A7" w14:textId="7883E045" w:rsidR="008D07AC" w:rsidRPr="00F613C9" w:rsidRDefault="008D07AC" w:rsidP="008D07AC">
            <w:pPr>
              <w:spacing w:after="0"/>
              <w:rPr>
                <w:rFonts w:ascii="Times New Roman" w:eastAsia="Times New Roman" w:hAnsi="Times New Roman"/>
                <w:color w:val="000000"/>
                <w:sz w:val="18"/>
                <w:szCs w:val="18"/>
                <w:lang w:val="en-US" w:eastAsia="en-GB"/>
              </w:rPr>
            </w:pPr>
            <w:r w:rsidRPr="00F613C9">
              <w:rPr>
                <w:rFonts w:ascii="Times New Roman" w:eastAsia="Times New Roman" w:hAnsi="Times New Roman"/>
                <w:color w:val="000000"/>
                <w:sz w:val="18"/>
                <w:szCs w:val="18"/>
                <w:lang w:val="en-US" w:eastAsia="en-GB"/>
              </w:rPr>
              <w:t>Please</w:t>
            </w:r>
            <w:r w:rsidR="00E56A18">
              <w:rPr>
                <w:rFonts w:ascii="Times New Roman" w:eastAsia="Times New Roman" w:hAnsi="Times New Roman"/>
                <w:color w:val="000000"/>
                <w:sz w:val="18"/>
                <w:szCs w:val="18"/>
                <w:lang w:val="en-US" w:eastAsia="en-GB"/>
              </w:rPr>
              <w:t xml:space="preserve"> refer to the</w:t>
            </w:r>
            <w:r w:rsidRPr="00F613C9">
              <w:rPr>
                <w:rFonts w:ascii="Times New Roman" w:eastAsia="Times New Roman" w:hAnsi="Times New Roman"/>
                <w:color w:val="000000"/>
                <w:sz w:val="18"/>
                <w:szCs w:val="18"/>
                <w:lang w:val="en-US" w:eastAsia="en-GB"/>
              </w:rPr>
              <w:t xml:space="preserve"> </w:t>
            </w:r>
            <w:r w:rsidRPr="008113B5">
              <w:rPr>
                <w:rFonts w:ascii="Times New Roman" w:eastAsia="Times New Roman" w:hAnsi="Times New Roman"/>
                <w:b/>
                <w:bCs/>
                <w:i/>
                <w:iCs/>
                <w:color w:val="000000"/>
                <w:sz w:val="18"/>
                <w:szCs w:val="18"/>
                <w:lang w:val="en-US" w:eastAsia="en-GB"/>
              </w:rPr>
              <w:t>online Appendix 1</w:t>
            </w:r>
            <w:r w:rsidRPr="00F613C9">
              <w:rPr>
                <w:rFonts w:ascii="Times New Roman" w:eastAsia="Times New Roman" w:hAnsi="Times New Roman"/>
                <w:color w:val="000000"/>
                <w:sz w:val="18"/>
                <w:szCs w:val="18"/>
                <w:lang w:val="en-US" w:eastAsia="en-GB"/>
              </w:rPr>
              <w:t xml:space="preserve"> for variable definitions.</w:t>
            </w:r>
            <w:r>
              <w:rPr>
                <w:rFonts w:ascii="Times New Roman" w:eastAsia="Times New Roman" w:hAnsi="Times New Roman"/>
                <w:color w:val="000000"/>
                <w:sz w:val="18"/>
                <w:szCs w:val="18"/>
                <w:lang w:val="en-US" w:eastAsia="en-GB"/>
              </w:rPr>
              <w:t xml:space="preserve"> </w:t>
            </w:r>
            <w:r w:rsidRPr="00F613C9">
              <w:rPr>
                <w:rFonts w:ascii="Times New Roman" w:eastAsia="Calibri" w:hAnsi="Times New Roman" w:cs="Arial"/>
                <w:sz w:val="18"/>
                <w:szCs w:val="18"/>
                <w:lang w:val="en-US"/>
              </w:rPr>
              <w:t>*** Significance at the 1% level (p&lt;0.01)</w:t>
            </w:r>
            <w:r>
              <w:rPr>
                <w:rFonts w:ascii="Times New Roman" w:eastAsia="Calibri" w:hAnsi="Times New Roman" w:cs="Arial"/>
                <w:sz w:val="18"/>
                <w:szCs w:val="18"/>
                <w:lang w:val="en-US"/>
              </w:rPr>
              <w:t xml:space="preserve">, </w:t>
            </w:r>
            <w:r w:rsidRPr="00F613C9">
              <w:rPr>
                <w:rFonts w:ascii="Times New Roman" w:eastAsia="Calibri" w:hAnsi="Times New Roman" w:cs="Arial"/>
                <w:sz w:val="18"/>
                <w:szCs w:val="18"/>
                <w:lang w:val="en-US"/>
              </w:rPr>
              <w:t>** Significance at the 5% level (p&lt;0.05)</w:t>
            </w:r>
            <w:r>
              <w:rPr>
                <w:rFonts w:ascii="Times New Roman" w:eastAsia="Calibri" w:hAnsi="Times New Roman" w:cs="Arial"/>
                <w:sz w:val="18"/>
                <w:szCs w:val="18"/>
                <w:lang w:val="en-US"/>
              </w:rPr>
              <w:t xml:space="preserve"> and </w:t>
            </w:r>
            <w:r w:rsidRPr="00F613C9">
              <w:rPr>
                <w:rFonts w:ascii="Times New Roman" w:eastAsia="Calibri" w:hAnsi="Times New Roman" w:cs="Arial"/>
                <w:sz w:val="18"/>
                <w:szCs w:val="18"/>
                <w:lang w:val="en-US"/>
              </w:rPr>
              <w:t>* Significance at the 10% level (p&lt;0.10).</w:t>
            </w:r>
          </w:p>
        </w:tc>
      </w:tr>
      <w:bookmarkEnd w:id="21"/>
    </w:tbl>
    <w:p w14:paraId="19949DA7" w14:textId="50B9116E" w:rsidR="00B16C20" w:rsidRDefault="00B16C20" w:rsidP="00855220"/>
    <w:p w14:paraId="66DE8319" w14:textId="015843A2" w:rsidR="00D83743" w:rsidRDefault="00D83743" w:rsidP="00855220"/>
    <w:p w14:paraId="32274065" w14:textId="26DE326B" w:rsidR="00D83743" w:rsidRDefault="00D83743" w:rsidP="00855220"/>
    <w:p w14:paraId="3540FC0A" w14:textId="1911E091" w:rsidR="00D83743" w:rsidRDefault="00D83743" w:rsidP="00855220"/>
    <w:p w14:paraId="5DE0DD19" w14:textId="168EF60B" w:rsidR="00D83743" w:rsidRDefault="00D83743" w:rsidP="00855220"/>
    <w:p w14:paraId="0581B9A6" w14:textId="5CBBCAE1" w:rsidR="00D83743" w:rsidRDefault="00D83743" w:rsidP="00855220"/>
    <w:p w14:paraId="2B62EEB5" w14:textId="0D6C6ED9" w:rsidR="00D83743" w:rsidRDefault="00D83743" w:rsidP="00855220"/>
    <w:p w14:paraId="13E52D30" w14:textId="5A03404F" w:rsidR="00D83743" w:rsidRDefault="00D83743" w:rsidP="00855220"/>
    <w:p w14:paraId="49C7078A" w14:textId="73792819" w:rsidR="00D83743" w:rsidRDefault="00D83743" w:rsidP="00855220"/>
    <w:p w14:paraId="0A0447AA" w14:textId="613DEC8B" w:rsidR="00D83743" w:rsidRDefault="00D83743" w:rsidP="00855220"/>
    <w:p w14:paraId="1FA87BA5" w14:textId="1D9C390B" w:rsidR="00D83743" w:rsidRDefault="00D83743" w:rsidP="00855220"/>
    <w:p w14:paraId="0D451525" w14:textId="2E48DE1F" w:rsidR="00D83743" w:rsidRDefault="00D83743" w:rsidP="00855220"/>
    <w:p w14:paraId="3C7E0F26" w14:textId="4B17EE02" w:rsidR="00D83743" w:rsidRDefault="00D83743" w:rsidP="00855220"/>
    <w:p w14:paraId="7012AE52" w14:textId="17B679B3" w:rsidR="00D83743" w:rsidRDefault="00D83743" w:rsidP="00855220"/>
    <w:p w14:paraId="4E678FE2" w14:textId="7607B25B" w:rsidR="00D83743" w:rsidRDefault="00D83743" w:rsidP="00855220"/>
    <w:p w14:paraId="2052446C" w14:textId="0F17A45A" w:rsidR="00D83743" w:rsidRDefault="00D83743" w:rsidP="00855220"/>
    <w:p w14:paraId="1908BE41" w14:textId="77777777" w:rsidR="00D83743" w:rsidRDefault="00D83743" w:rsidP="00855220"/>
    <w:p w14:paraId="49E1996E" w14:textId="77777777" w:rsidR="00D83743" w:rsidRDefault="00D83743" w:rsidP="00855220"/>
    <w:p w14:paraId="3BB527B4" w14:textId="77777777" w:rsidR="00B27F2D" w:rsidRDefault="00B27F2D" w:rsidP="00855220">
      <w:pPr>
        <w:sectPr w:rsidR="00B27F2D" w:rsidSect="00855220">
          <w:pgSz w:w="16838" w:h="11906" w:orient="landscape"/>
          <w:pgMar w:top="1440" w:right="1440" w:bottom="1440" w:left="1440" w:header="708" w:footer="708" w:gutter="0"/>
          <w:cols w:space="708"/>
          <w:docGrid w:linePitch="360"/>
        </w:sectPr>
      </w:pPr>
    </w:p>
    <w:tbl>
      <w:tblPr>
        <w:tblpPr w:leftFromText="180" w:rightFromText="180" w:vertAnchor="page" w:horzAnchor="page" w:tblpX="1849" w:tblpY="2029"/>
        <w:tblW w:w="11853" w:type="dxa"/>
        <w:tblLayout w:type="fixed"/>
        <w:tblLook w:val="04A0" w:firstRow="1" w:lastRow="0" w:firstColumn="1" w:lastColumn="0" w:noHBand="0" w:noVBand="1"/>
      </w:tblPr>
      <w:tblGrid>
        <w:gridCol w:w="3685"/>
        <w:gridCol w:w="1135"/>
        <w:gridCol w:w="1417"/>
        <w:gridCol w:w="236"/>
        <w:gridCol w:w="1182"/>
        <w:gridCol w:w="1137"/>
        <w:gridCol w:w="6"/>
        <w:gridCol w:w="233"/>
        <w:gridCol w:w="6"/>
        <w:gridCol w:w="1383"/>
        <w:gridCol w:w="1422"/>
        <w:gridCol w:w="11"/>
      </w:tblGrid>
      <w:tr w:rsidR="00B27F2D" w:rsidRPr="00F613C9" w14:paraId="0382B793" w14:textId="77777777" w:rsidTr="00B27F2D">
        <w:trPr>
          <w:gridAfter w:val="1"/>
          <w:wAfter w:w="11" w:type="dxa"/>
        </w:trPr>
        <w:tc>
          <w:tcPr>
            <w:tcW w:w="11842" w:type="dxa"/>
            <w:gridSpan w:val="11"/>
            <w:tcBorders>
              <w:left w:val="nil"/>
              <w:bottom w:val="single" w:sz="12" w:space="0" w:color="auto"/>
              <w:right w:val="nil"/>
            </w:tcBorders>
          </w:tcPr>
          <w:p w14:paraId="69ABEBD2" w14:textId="77777777" w:rsidR="00B27F2D" w:rsidRPr="00F613C9" w:rsidRDefault="00B27F2D" w:rsidP="00B27F2D">
            <w:pPr>
              <w:spacing w:after="0"/>
              <w:rPr>
                <w:rFonts w:ascii="Times New Roman" w:eastAsia="Times New Roman" w:hAnsi="Times New Roman"/>
                <w:i/>
                <w:iCs/>
                <w:sz w:val="18"/>
                <w:szCs w:val="18"/>
                <w:lang w:val="en-US" w:eastAsia="zh-CN"/>
              </w:rPr>
            </w:pPr>
            <w:r w:rsidRPr="00F613C9">
              <w:rPr>
                <w:rFonts w:ascii="Times New Roman" w:eastAsia="Times New Roman" w:hAnsi="Times New Roman"/>
                <w:b/>
                <w:bCs/>
                <w:sz w:val="18"/>
                <w:szCs w:val="18"/>
                <w:lang w:val="en-US" w:eastAsia="zh-CN"/>
              </w:rPr>
              <w:lastRenderedPageBreak/>
              <w:t xml:space="preserve">Table </w:t>
            </w:r>
            <w:r>
              <w:rPr>
                <w:rFonts w:ascii="Times New Roman" w:eastAsia="Times New Roman" w:hAnsi="Times New Roman"/>
                <w:b/>
                <w:bCs/>
                <w:sz w:val="18"/>
                <w:szCs w:val="18"/>
                <w:lang w:val="en-US" w:eastAsia="zh-CN"/>
              </w:rPr>
              <w:t>4 (Continued)</w:t>
            </w:r>
            <w:r w:rsidRPr="00F613C9">
              <w:rPr>
                <w:rFonts w:ascii="Times New Roman" w:eastAsia="Times New Roman" w:hAnsi="Times New Roman"/>
                <w:b/>
                <w:bCs/>
                <w:sz w:val="18"/>
                <w:szCs w:val="18"/>
                <w:lang w:val="en-US" w:eastAsia="zh-CN"/>
              </w:rPr>
              <w:t xml:space="preserve">. </w:t>
            </w:r>
            <w:r w:rsidRPr="00F613C9">
              <w:rPr>
                <w:rFonts w:ascii="Times New Roman" w:eastAsia="Times New Roman" w:hAnsi="Times New Roman"/>
                <w:bCs/>
                <w:sz w:val="18"/>
                <w:szCs w:val="18"/>
                <w:lang w:val="en-US" w:eastAsia="zh-CN"/>
              </w:rPr>
              <w:t xml:space="preserve">Robustness tests for the link between HEIs’ </w:t>
            </w:r>
            <w:r>
              <w:rPr>
                <w:rFonts w:ascii="Times New Roman" w:eastAsia="Times New Roman" w:hAnsi="Times New Roman"/>
                <w:bCs/>
                <w:sz w:val="18"/>
                <w:szCs w:val="18"/>
                <w:lang w:val="en-US" w:eastAsia="zh-CN"/>
              </w:rPr>
              <w:t>short</w:t>
            </w:r>
            <w:r w:rsidRPr="00F613C9">
              <w:rPr>
                <w:rFonts w:ascii="Times New Roman" w:eastAsia="Times New Roman" w:hAnsi="Times New Roman"/>
                <w:bCs/>
                <w:sz w:val="18"/>
                <w:szCs w:val="18"/>
                <w:lang w:val="en-US" w:eastAsia="zh-CN"/>
              </w:rPr>
              <w:t>-term performance and VC pay</w:t>
            </w:r>
          </w:p>
        </w:tc>
      </w:tr>
      <w:tr w:rsidR="00B27F2D" w:rsidRPr="00F613C9" w14:paraId="7ED54CA6" w14:textId="77777777" w:rsidTr="00B27F2D">
        <w:tc>
          <w:tcPr>
            <w:tcW w:w="3685" w:type="dxa"/>
            <w:vMerge w:val="restart"/>
            <w:tcBorders>
              <w:top w:val="single" w:sz="12" w:space="0" w:color="auto"/>
              <w:left w:val="nil"/>
              <w:right w:val="nil"/>
            </w:tcBorders>
          </w:tcPr>
          <w:p w14:paraId="48C9458A" w14:textId="77777777" w:rsidR="00B27F2D" w:rsidRPr="00F613C9" w:rsidRDefault="00B27F2D" w:rsidP="00B27F2D">
            <w:pPr>
              <w:spacing w:after="0"/>
              <w:rPr>
                <w:rFonts w:ascii="Times New Roman" w:eastAsia="Times New Roman" w:hAnsi="Times New Roman"/>
                <w:sz w:val="18"/>
                <w:szCs w:val="18"/>
              </w:rPr>
            </w:pPr>
          </w:p>
          <w:p w14:paraId="6C7D8F61"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Dep. Variable</w:t>
            </w:r>
          </w:p>
          <w:p w14:paraId="27F26AAF" w14:textId="77777777" w:rsidR="00B27F2D" w:rsidRPr="00F613C9" w:rsidRDefault="00B27F2D" w:rsidP="00B27F2D">
            <w:pPr>
              <w:spacing w:after="0"/>
              <w:rPr>
                <w:rFonts w:ascii="Times New Roman" w:eastAsia="Times New Roman" w:hAnsi="Times New Roman"/>
                <w:sz w:val="18"/>
                <w:szCs w:val="18"/>
              </w:rPr>
            </w:pPr>
          </w:p>
          <w:p w14:paraId="19F38B86" w14:textId="77777777" w:rsidR="00B27F2D" w:rsidRPr="00F613C9" w:rsidRDefault="00B27F2D" w:rsidP="00B27F2D">
            <w:pPr>
              <w:spacing w:after="0"/>
              <w:rPr>
                <w:rFonts w:ascii="Times New Roman" w:eastAsia="Times New Roman" w:hAnsi="Times New Roman"/>
                <w:sz w:val="18"/>
                <w:szCs w:val="18"/>
              </w:rPr>
            </w:pPr>
          </w:p>
          <w:p w14:paraId="2F3C6641"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r w:rsidRPr="00F613C9">
              <w:rPr>
                <w:rFonts w:ascii="Times New Roman" w:eastAsia="Times New Roman" w:hAnsi="Times New Roman"/>
                <w:i/>
                <w:iCs/>
                <w:sz w:val="18"/>
                <w:szCs w:val="18"/>
              </w:rPr>
              <w:t>Model</w:t>
            </w:r>
            <w:r w:rsidRPr="00F613C9">
              <w:rPr>
                <w:rFonts w:ascii="Times New Roman" w:eastAsia="Times New Roman" w:hAnsi="Times New Roman"/>
                <w:sz w:val="18"/>
                <w:szCs w:val="18"/>
              </w:rPr>
              <w:t>)</w:t>
            </w:r>
          </w:p>
        </w:tc>
        <w:tc>
          <w:tcPr>
            <w:tcW w:w="2552" w:type="dxa"/>
            <w:gridSpan w:val="2"/>
            <w:tcBorders>
              <w:top w:val="single" w:sz="12" w:space="0" w:color="auto"/>
              <w:left w:val="nil"/>
              <w:bottom w:val="single" w:sz="2" w:space="0" w:color="auto"/>
              <w:right w:val="nil"/>
            </w:tcBorders>
          </w:tcPr>
          <w:p w14:paraId="3B2B8589" w14:textId="77777777" w:rsidR="00B27F2D" w:rsidRPr="00F613C9" w:rsidRDefault="00B27F2D" w:rsidP="00B27F2D">
            <w:pPr>
              <w:spacing w:after="0"/>
              <w:jc w:val="center"/>
              <w:rPr>
                <w:rFonts w:ascii="Times New Roman" w:eastAsia="Times New Roman" w:hAnsi="Times New Roman" w:cs="Arial"/>
                <w:i/>
                <w:iCs/>
                <w:sz w:val="18"/>
                <w:szCs w:val="18"/>
                <w:lang w:val="en-US" w:eastAsia="zh-CN"/>
              </w:rPr>
            </w:pPr>
            <w:r>
              <w:rPr>
                <w:rFonts w:ascii="Times New Roman" w:eastAsia="Times New Roman" w:hAnsi="Times New Roman" w:cs="Arial"/>
                <w:i/>
                <w:iCs/>
                <w:sz w:val="18"/>
                <w:szCs w:val="18"/>
                <w:lang w:val="en-US" w:eastAsia="zh-CN"/>
              </w:rPr>
              <w:t>ALTERNATIVE PROXIES</w:t>
            </w:r>
          </w:p>
          <w:p w14:paraId="0FAE9BE9" w14:textId="77777777" w:rsidR="00B27F2D" w:rsidRPr="00F613C9" w:rsidRDefault="00B27F2D" w:rsidP="00B27F2D">
            <w:pPr>
              <w:spacing w:after="0"/>
              <w:jc w:val="center"/>
              <w:rPr>
                <w:rFonts w:ascii="Times New Roman" w:hAnsi="Times New Roman"/>
                <w:iCs/>
                <w:sz w:val="18"/>
                <w:szCs w:val="18"/>
              </w:rPr>
            </w:pPr>
            <w:r w:rsidRPr="00F613C9">
              <w:rPr>
                <w:rFonts w:ascii="Times New Roman" w:eastAsia="Times New Roman" w:hAnsi="Times New Roman" w:cs="Arial"/>
                <w:sz w:val="18"/>
                <w:szCs w:val="18"/>
                <w:lang w:val="en-US" w:eastAsia="zh-CN"/>
              </w:rPr>
              <w:t>VC Total Pay</w:t>
            </w:r>
          </w:p>
        </w:tc>
        <w:tc>
          <w:tcPr>
            <w:tcW w:w="236" w:type="dxa"/>
            <w:tcBorders>
              <w:top w:val="single" w:sz="12" w:space="0" w:color="auto"/>
              <w:left w:val="nil"/>
              <w:right w:val="nil"/>
            </w:tcBorders>
          </w:tcPr>
          <w:p w14:paraId="389FE388" w14:textId="77777777" w:rsidR="00B27F2D" w:rsidRPr="00F613C9" w:rsidRDefault="00B27F2D" w:rsidP="00B27F2D">
            <w:pPr>
              <w:spacing w:after="0"/>
              <w:rPr>
                <w:rFonts w:ascii="Times New Roman" w:eastAsia="Times New Roman" w:hAnsi="Times New Roman"/>
                <w:sz w:val="18"/>
                <w:szCs w:val="18"/>
                <w:lang w:val="en-US" w:eastAsia="zh-CN"/>
              </w:rPr>
            </w:pPr>
          </w:p>
        </w:tc>
        <w:tc>
          <w:tcPr>
            <w:tcW w:w="2325" w:type="dxa"/>
            <w:gridSpan w:val="3"/>
            <w:tcBorders>
              <w:top w:val="single" w:sz="12" w:space="0" w:color="auto"/>
              <w:left w:val="nil"/>
              <w:bottom w:val="single" w:sz="2" w:space="0" w:color="auto"/>
              <w:right w:val="nil"/>
            </w:tcBorders>
          </w:tcPr>
          <w:p w14:paraId="68E8A07C" w14:textId="77777777" w:rsidR="00B27F2D" w:rsidRPr="00F613C9" w:rsidRDefault="00B27F2D" w:rsidP="00B27F2D">
            <w:pPr>
              <w:spacing w:after="0"/>
              <w:jc w:val="center"/>
              <w:rPr>
                <w:rFonts w:ascii="Times New Roman" w:eastAsia="Times New Roman" w:hAnsi="Times New Roman" w:cs="Arial"/>
                <w:i/>
                <w:iCs/>
                <w:sz w:val="18"/>
                <w:szCs w:val="18"/>
                <w:lang w:val="en-US" w:eastAsia="zh-CN"/>
              </w:rPr>
            </w:pPr>
            <w:r>
              <w:rPr>
                <w:rFonts w:ascii="Times New Roman" w:eastAsia="Times New Roman" w:hAnsi="Times New Roman" w:cs="Arial"/>
                <w:i/>
                <w:iCs/>
                <w:sz w:val="18"/>
                <w:szCs w:val="18"/>
                <w:lang w:val="en-US" w:eastAsia="zh-CN"/>
              </w:rPr>
              <w:t>LAGGED</w:t>
            </w:r>
            <w:r w:rsidRPr="00F613C9">
              <w:rPr>
                <w:rFonts w:ascii="Times New Roman" w:eastAsia="Times New Roman" w:hAnsi="Times New Roman" w:cs="Arial"/>
                <w:i/>
                <w:iCs/>
                <w:sz w:val="18"/>
                <w:szCs w:val="18"/>
                <w:lang w:val="en-US" w:eastAsia="zh-CN"/>
              </w:rPr>
              <w:t>-EFFECTS</w:t>
            </w:r>
          </w:p>
          <w:p w14:paraId="3F61AB36" w14:textId="77777777" w:rsidR="00B27F2D" w:rsidRPr="00F613C9" w:rsidRDefault="00B27F2D" w:rsidP="00B27F2D">
            <w:pPr>
              <w:spacing w:after="0"/>
              <w:jc w:val="center"/>
              <w:rPr>
                <w:rFonts w:ascii="Times New Roman" w:hAnsi="Times New Roman"/>
                <w:iCs/>
                <w:sz w:val="18"/>
                <w:szCs w:val="18"/>
              </w:rPr>
            </w:pPr>
            <w:r w:rsidRPr="00F613C9">
              <w:rPr>
                <w:rFonts w:ascii="Times New Roman" w:eastAsia="Times New Roman" w:hAnsi="Times New Roman" w:cs="Arial"/>
                <w:sz w:val="18"/>
                <w:szCs w:val="18"/>
                <w:lang w:val="en-US" w:eastAsia="zh-CN"/>
              </w:rPr>
              <w:t>VC Total Pay</w:t>
            </w:r>
          </w:p>
        </w:tc>
        <w:tc>
          <w:tcPr>
            <w:tcW w:w="239" w:type="dxa"/>
            <w:gridSpan w:val="2"/>
            <w:tcBorders>
              <w:top w:val="single" w:sz="12" w:space="0" w:color="auto"/>
              <w:left w:val="nil"/>
              <w:bottom w:val="single" w:sz="4" w:space="0" w:color="auto"/>
              <w:right w:val="nil"/>
            </w:tcBorders>
          </w:tcPr>
          <w:p w14:paraId="20F1FB41" w14:textId="77777777" w:rsidR="00B27F2D" w:rsidRPr="00F613C9" w:rsidRDefault="00B27F2D" w:rsidP="00B27F2D">
            <w:pPr>
              <w:spacing w:after="0"/>
              <w:rPr>
                <w:rFonts w:ascii="Times New Roman" w:eastAsia="Times New Roman" w:hAnsi="Times New Roman"/>
                <w:sz w:val="18"/>
                <w:szCs w:val="18"/>
              </w:rPr>
            </w:pPr>
          </w:p>
        </w:tc>
        <w:tc>
          <w:tcPr>
            <w:tcW w:w="2816" w:type="dxa"/>
            <w:gridSpan w:val="3"/>
            <w:tcBorders>
              <w:top w:val="single" w:sz="12" w:space="0" w:color="auto"/>
              <w:left w:val="nil"/>
              <w:bottom w:val="single" w:sz="2" w:space="0" w:color="auto"/>
              <w:right w:val="nil"/>
            </w:tcBorders>
          </w:tcPr>
          <w:p w14:paraId="7E40AEC6" w14:textId="77777777" w:rsidR="00B27F2D" w:rsidRPr="00F613C9" w:rsidRDefault="00B27F2D" w:rsidP="00B27F2D">
            <w:pPr>
              <w:spacing w:after="0"/>
              <w:jc w:val="center"/>
              <w:rPr>
                <w:rFonts w:ascii="Times New Roman" w:eastAsia="Times New Roman" w:hAnsi="Times New Roman"/>
                <w:i/>
                <w:iCs/>
                <w:sz w:val="18"/>
                <w:szCs w:val="18"/>
                <w:lang w:val="en-US" w:eastAsia="zh-CN"/>
              </w:rPr>
            </w:pPr>
            <w:r w:rsidRPr="00F613C9">
              <w:rPr>
                <w:rFonts w:ascii="Times New Roman" w:eastAsia="Times New Roman" w:hAnsi="Times New Roman"/>
                <w:i/>
                <w:iCs/>
                <w:sz w:val="18"/>
                <w:szCs w:val="18"/>
                <w:lang w:val="en-US" w:eastAsia="zh-CN"/>
              </w:rPr>
              <w:t>SYSTEM-GMM</w:t>
            </w:r>
          </w:p>
          <w:p w14:paraId="127DCAAF" w14:textId="77777777" w:rsidR="00B27F2D" w:rsidRPr="00F613C9" w:rsidRDefault="00B27F2D" w:rsidP="00B27F2D">
            <w:pPr>
              <w:spacing w:after="0"/>
              <w:jc w:val="center"/>
              <w:rPr>
                <w:rFonts w:ascii="Times New Roman" w:hAnsi="Times New Roman"/>
                <w:iCs/>
                <w:sz w:val="18"/>
                <w:szCs w:val="18"/>
              </w:rPr>
            </w:pPr>
            <w:r w:rsidRPr="00F613C9">
              <w:rPr>
                <w:rFonts w:ascii="Times New Roman" w:eastAsia="Times New Roman" w:hAnsi="Times New Roman"/>
                <w:sz w:val="18"/>
                <w:szCs w:val="18"/>
                <w:lang w:val="en-US" w:eastAsia="zh-CN"/>
              </w:rPr>
              <w:t>VC Total Pay</w:t>
            </w:r>
          </w:p>
        </w:tc>
      </w:tr>
      <w:tr w:rsidR="00B27F2D" w:rsidRPr="00F613C9" w14:paraId="7464E12D" w14:textId="77777777" w:rsidTr="00B27F2D">
        <w:trPr>
          <w:gridAfter w:val="1"/>
          <w:wAfter w:w="11" w:type="dxa"/>
        </w:trPr>
        <w:tc>
          <w:tcPr>
            <w:tcW w:w="3685" w:type="dxa"/>
            <w:vMerge/>
            <w:tcBorders>
              <w:top w:val="single" w:sz="4" w:space="0" w:color="auto"/>
              <w:left w:val="nil"/>
              <w:bottom w:val="single" w:sz="2" w:space="0" w:color="auto"/>
              <w:right w:val="nil"/>
            </w:tcBorders>
          </w:tcPr>
          <w:p w14:paraId="57EA7B88" w14:textId="77777777" w:rsidR="00B27F2D" w:rsidRPr="00F613C9" w:rsidRDefault="00B27F2D" w:rsidP="00B27F2D">
            <w:pPr>
              <w:spacing w:after="0"/>
              <w:rPr>
                <w:rFonts w:ascii="Times New Roman" w:eastAsia="Times New Roman" w:hAnsi="Times New Roman"/>
                <w:sz w:val="18"/>
                <w:szCs w:val="18"/>
              </w:rPr>
            </w:pPr>
          </w:p>
        </w:tc>
        <w:tc>
          <w:tcPr>
            <w:tcW w:w="1135" w:type="dxa"/>
            <w:tcBorders>
              <w:top w:val="single" w:sz="4" w:space="0" w:color="auto"/>
              <w:left w:val="nil"/>
              <w:bottom w:val="single" w:sz="2" w:space="0" w:color="auto"/>
              <w:right w:val="nil"/>
            </w:tcBorders>
          </w:tcPr>
          <w:p w14:paraId="5991FABA" w14:textId="77777777" w:rsidR="00B27F2D" w:rsidRPr="00531E6F" w:rsidRDefault="00B27F2D" w:rsidP="00B27F2D">
            <w:pPr>
              <w:spacing w:after="0"/>
              <w:rPr>
                <w:rFonts w:ascii="Times New Roman" w:hAnsi="Times New Roman"/>
                <w:iCs/>
                <w:sz w:val="18"/>
                <w:szCs w:val="18"/>
              </w:rPr>
            </w:pPr>
            <w:r>
              <w:rPr>
                <w:rFonts w:ascii="Times New Roman" w:hAnsi="Times New Roman"/>
                <w:iCs/>
                <w:sz w:val="18"/>
                <w:szCs w:val="18"/>
              </w:rPr>
              <w:t>Guardian Ranking</w:t>
            </w:r>
          </w:p>
          <w:p w14:paraId="504CA81B"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w:t>
            </w:r>
            <w:r>
              <w:rPr>
                <w:rFonts w:ascii="Times New Roman" w:eastAsia="Times New Roman" w:hAnsi="Times New Roman"/>
                <w:sz w:val="18"/>
                <w:szCs w:val="18"/>
                <w:lang w:val="en-US" w:eastAsia="zh-CN"/>
              </w:rPr>
              <w:t>7</w:t>
            </w:r>
            <w:r w:rsidRPr="00F613C9">
              <w:rPr>
                <w:rFonts w:ascii="Times New Roman" w:eastAsia="Times New Roman" w:hAnsi="Times New Roman"/>
                <w:sz w:val="18"/>
                <w:szCs w:val="18"/>
                <w:lang w:val="en-US" w:eastAsia="zh-CN"/>
              </w:rPr>
              <w:t>)</w:t>
            </w:r>
          </w:p>
        </w:tc>
        <w:tc>
          <w:tcPr>
            <w:tcW w:w="1417" w:type="dxa"/>
            <w:tcBorders>
              <w:top w:val="single" w:sz="4" w:space="0" w:color="auto"/>
              <w:left w:val="nil"/>
              <w:bottom w:val="single" w:sz="2" w:space="0" w:color="auto"/>
              <w:right w:val="nil"/>
            </w:tcBorders>
          </w:tcPr>
          <w:p w14:paraId="27D9FB49" w14:textId="77777777" w:rsidR="00B27F2D" w:rsidRPr="00531E6F" w:rsidRDefault="00B27F2D" w:rsidP="00B27F2D">
            <w:pPr>
              <w:spacing w:after="0"/>
              <w:ind w:right="-105"/>
              <w:rPr>
                <w:rFonts w:ascii="Times New Roman" w:hAnsi="Times New Roman"/>
                <w:iCs/>
                <w:sz w:val="18"/>
                <w:szCs w:val="18"/>
                <w:lang w:val="en-US"/>
              </w:rPr>
            </w:pPr>
            <w:r>
              <w:rPr>
                <w:rFonts w:ascii="Times New Roman" w:hAnsi="Times New Roman"/>
                <w:iCs/>
                <w:sz w:val="18"/>
                <w:szCs w:val="18"/>
              </w:rPr>
              <w:t>Complete University Guide</w:t>
            </w:r>
          </w:p>
          <w:p w14:paraId="7089F370"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lang w:val="en-US" w:eastAsia="zh-CN"/>
              </w:rPr>
              <w:t>(</w:t>
            </w:r>
            <w:r>
              <w:rPr>
                <w:rFonts w:ascii="Times New Roman" w:eastAsia="Times New Roman" w:hAnsi="Times New Roman"/>
                <w:sz w:val="18"/>
                <w:szCs w:val="18"/>
                <w:lang w:val="en-US" w:eastAsia="zh-CN"/>
              </w:rPr>
              <w:t>8</w:t>
            </w:r>
            <w:r w:rsidRPr="00F613C9">
              <w:rPr>
                <w:rFonts w:ascii="Times New Roman" w:eastAsia="Times New Roman" w:hAnsi="Times New Roman"/>
                <w:sz w:val="18"/>
                <w:szCs w:val="18"/>
                <w:lang w:val="en-US" w:eastAsia="zh-CN"/>
              </w:rPr>
              <w:t>)</w:t>
            </w:r>
          </w:p>
        </w:tc>
        <w:tc>
          <w:tcPr>
            <w:tcW w:w="236" w:type="dxa"/>
            <w:tcBorders>
              <w:top w:val="single" w:sz="4" w:space="0" w:color="auto"/>
              <w:left w:val="nil"/>
              <w:bottom w:val="single" w:sz="2" w:space="0" w:color="auto"/>
              <w:right w:val="nil"/>
            </w:tcBorders>
          </w:tcPr>
          <w:p w14:paraId="774CFA4F" w14:textId="77777777" w:rsidR="00B27F2D" w:rsidRPr="00F613C9" w:rsidRDefault="00B27F2D" w:rsidP="00B27F2D">
            <w:pPr>
              <w:spacing w:after="0"/>
              <w:rPr>
                <w:rFonts w:ascii="Times New Roman" w:eastAsia="Times New Roman" w:hAnsi="Times New Roman"/>
                <w:sz w:val="18"/>
                <w:szCs w:val="18"/>
                <w:lang w:val="en-US" w:eastAsia="zh-CN"/>
              </w:rPr>
            </w:pPr>
          </w:p>
        </w:tc>
        <w:tc>
          <w:tcPr>
            <w:tcW w:w="1182" w:type="dxa"/>
            <w:tcBorders>
              <w:top w:val="single" w:sz="4" w:space="0" w:color="auto"/>
              <w:bottom w:val="single" w:sz="2" w:space="0" w:color="auto"/>
            </w:tcBorders>
          </w:tcPr>
          <w:p w14:paraId="5F2B94D2" w14:textId="77777777" w:rsidR="00B27F2D" w:rsidRPr="00F613C9" w:rsidRDefault="00B27F2D" w:rsidP="00B27F2D">
            <w:pPr>
              <w:spacing w:after="0"/>
              <w:rPr>
                <w:rFonts w:ascii="Times New Roman" w:eastAsia="Times New Roman" w:hAnsi="Times New Roman" w:cs="Times New Roman"/>
                <w:sz w:val="18"/>
                <w:szCs w:val="18"/>
                <w:lang w:val="en-US" w:eastAsia="zh-CN"/>
              </w:rPr>
            </w:pPr>
            <w:r w:rsidRPr="00F613C9">
              <w:rPr>
                <w:rFonts w:ascii="Times New Roman" w:eastAsia="Times New Roman" w:hAnsi="Times New Roman" w:cs="Times New Roman"/>
                <w:sz w:val="18"/>
                <w:szCs w:val="18"/>
                <w:lang w:val="en-US" w:eastAsia="zh-CN"/>
              </w:rPr>
              <w:t>QS Ranking</w:t>
            </w:r>
          </w:p>
          <w:p w14:paraId="25F91A53" w14:textId="77777777" w:rsidR="00B27F2D" w:rsidRDefault="00B27F2D" w:rsidP="00B27F2D">
            <w:pPr>
              <w:spacing w:after="0"/>
              <w:rPr>
                <w:rFonts w:ascii="Times New Roman" w:eastAsia="Times New Roman" w:hAnsi="Times New Roman" w:cs="Times New Roman"/>
                <w:sz w:val="18"/>
                <w:szCs w:val="18"/>
                <w:lang w:val="en-US" w:eastAsia="zh-CN"/>
              </w:rPr>
            </w:pPr>
          </w:p>
          <w:p w14:paraId="6073BA6B"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cs="Times New Roman"/>
                <w:sz w:val="18"/>
                <w:szCs w:val="18"/>
                <w:lang w:val="en-US" w:eastAsia="zh-CN"/>
              </w:rPr>
              <w:t>(</w:t>
            </w:r>
            <w:r>
              <w:rPr>
                <w:rFonts w:ascii="Times New Roman" w:eastAsia="Times New Roman" w:hAnsi="Times New Roman" w:cs="Times New Roman"/>
                <w:sz w:val="18"/>
                <w:szCs w:val="18"/>
                <w:lang w:val="en-US" w:eastAsia="zh-CN"/>
              </w:rPr>
              <w:t>9</w:t>
            </w:r>
            <w:r w:rsidRPr="00F613C9">
              <w:rPr>
                <w:rFonts w:ascii="Times New Roman" w:eastAsia="Times New Roman" w:hAnsi="Times New Roman" w:cs="Times New Roman"/>
                <w:sz w:val="18"/>
                <w:szCs w:val="18"/>
                <w:lang w:val="en-US" w:eastAsia="zh-CN"/>
              </w:rPr>
              <w:t>)</w:t>
            </w:r>
          </w:p>
        </w:tc>
        <w:tc>
          <w:tcPr>
            <w:tcW w:w="1137" w:type="dxa"/>
            <w:tcBorders>
              <w:top w:val="single" w:sz="4" w:space="0" w:color="auto"/>
              <w:bottom w:val="single" w:sz="2" w:space="0" w:color="auto"/>
            </w:tcBorders>
          </w:tcPr>
          <w:p w14:paraId="52C373A9" w14:textId="77777777" w:rsidR="00B27F2D" w:rsidRPr="00F613C9" w:rsidRDefault="00B27F2D" w:rsidP="00B27F2D">
            <w:pPr>
              <w:spacing w:after="0"/>
              <w:ind w:right="-94"/>
              <w:rPr>
                <w:rFonts w:ascii="Times New Roman" w:eastAsia="Times New Roman" w:hAnsi="Times New Roman" w:cs="Times New Roman"/>
                <w:sz w:val="18"/>
                <w:szCs w:val="18"/>
                <w:lang w:val="en-US" w:eastAsia="zh-CN"/>
              </w:rPr>
            </w:pPr>
            <w:r w:rsidRPr="00F613C9">
              <w:rPr>
                <w:rFonts w:ascii="Times New Roman" w:eastAsia="Calibri" w:hAnsi="Times New Roman" w:cs="Times New Roman"/>
                <w:iCs/>
                <w:sz w:val="18"/>
                <w:szCs w:val="18"/>
              </w:rPr>
              <w:t>THE Ranking</w:t>
            </w:r>
          </w:p>
          <w:p w14:paraId="2F38FD9A" w14:textId="77777777" w:rsidR="00B27F2D" w:rsidRDefault="00B27F2D" w:rsidP="00B27F2D">
            <w:pPr>
              <w:spacing w:after="0"/>
              <w:rPr>
                <w:rFonts w:ascii="Times New Roman" w:eastAsia="Times New Roman" w:hAnsi="Times New Roman" w:cs="Times New Roman"/>
                <w:sz w:val="18"/>
                <w:szCs w:val="18"/>
                <w:lang w:val="en-US" w:eastAsia="zh-CN"/>
              </w:rPr>
            </w:pPr>
          </w:p>
          <w:p w14:paraId="3865C34E"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cs="Times New Roman"/>
                <w:sz w:val="18"/>
                <w:szCs w:val="18"/>
                <w:lang w:val="en-US" w:eastAsia="zh-CN"/>
              </w:rPr>
              <w:t>(1</w:t>
            </w:r>
            <w:r>
              <w:rPr>
                <w:rFonts w:ascii="Times New Roman" w:eastAsia="Times New Roman" w:hAnsi="Times New Roman" w:cs="Times New Roman"/>
                <w:sz w:val="18"/>
                <w:szCs w:val="18"/>
                <w:lang w:val="en-US" w:eastAsia="zh-CN"/>
              </w:rPr>
              <w:t>0</w:t>
            </w:r>
            <w:r w:rsidRPr="00F613C9">
              <w:rPr>
                <w:rFonts w:ascii="Times New Roman" w:eastAsia="Times New Roman" w:hAnsi="Times New Roman" w:cs="Times New Roman"/>
                <w:sz w:val="18"/>
                <w:szCs w:val="18"/>
                <w:lang w:val="en-US" w:eastAsia="zh-CN"/>
              </w:rPr>
              <w:t>)</w:t>
            </w:r>
          </w:p>
        </w:tc>
        <w:tc>
          <w:tcPr>
            <w:tcW w:w="239" w:type="dxa"/>
            <w:gridSpan w:val="2"/>
            <w:tcBorders>
              <w:top w:val="single" w:sz="4" w:space="0" w:color="auto"/>
              <w:bottom w:val="single" w:sz="2" w:space="0" w:color="auto"/>
            </w:tcBorders>
          </w:tcPr>
          <w:p w14:paraId="33025051" w14:textId="77777777" w:rsidR="00B27F2D" w:rsidRPr="00F613C9" w:rsidRDefault="00B27F2D" w:rsidP="00B27F2D">
            <w:pPr>
              <w:spacing w:after="0"/>
              <w:rPr>
                <w:rFonts w:ascii="Times New Roman" w:eastAsia="Times New Roman" w:hAnsi="Times New Roman"/>
                <w:sz w:val="18"/>
                <w:szCs w:val="18"/>
              </w:rPr>
            </w:pPr>
          </w:p>
        </w:tc>
        <w:tc>
          <w:tcPr>
            <w:tcW w:w="1389" w:type="dxa"/>
            <w:gridSpan w:val="2"/>
            <w:tcBorders>
              <w:top w:val="single" w:sz="2" w:space="0" w:color="auto"/>
              <w:bottom w:val="single" w:sz="2" w:space="0" w:color="auto"/>
            </w:tcBorders>
          </w:tcPr>
          <w:p w14:paraId="7AD00A1D" w14:textId="77777777" w:rsidR="00B27F2D" w:rsidRPr="00F613C9" w:rsidRDefault="00B27F2D" w:rsidP="00B27F2D">
            <w:pPr>
              <w:spacing w:after="0"/>
              <w:rPr>
                <w:rFonts w:ascii="Times New Roman" w:eastAsia="Times New Roman" w:hAnsi="Times New Roman" w:cs="Times New Roman"/>
                <w:sz w:val="18"/>
                <w:szCs w:val="18"/>
                <w:lang w:val="en-US" w:eastAsia="zh-CN"/>
              </w:rPr>
            </w:pPr>
            <w:r w:rsidRPr="00F613C9">
              <w:rPr>
                <w:rFonts w:ascii="Times New Roman" w:eastAsia="Times New Roman" w:hAnsi="Times New Roman" w:cs="Times New Roman"/>
                <w:sz w:val="18"/>
                <w:szCs w:val="18"/>
                <w:lang w:val="en-US" w:eastAsia="zh-CN"/>
              </w:rPr>
              <w:t>QS Ranking</w:t>
            </w:r>
          </w:p>
          <w:p w14:paraId="1A2100CF" w14:textId="77777777" w:rsidR="00B27F2D" w:rsidRDefault="00B27F2D" w:rsidP="00B27F2D">
            <w:pPr>
              <w:spacing w:after="0"/>
              <w:rPr>
                <w:rFonts w:ascii="Times New Roman" w:eastAsia="Times New Roman" w:hAnsi="Times New Roman" w:cs="Times New Roman"/>
                <w:sz w:val="18"/>
                <w:szCs w:val="18"/>
                <w:lang w:val="en-US" w:eastAsia="zh-CN"/>
              </w:rPr>
            </w:pPr>
          </w:p>
          <w:p w14:paraId="7F28CBDA"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cs="Times New Roman"/>
                <w:sz w:val="18"/>
                <w:szCs w:val="18"/>
                <w:lang w:val="en-US" w:eastAsia="zh-CN"/>
              </w:rPr>
              <w:t>(1</w:t>
            </w:r>
            <w:r>
              <w:rPr>
                <w:rFonts w:ascii="Times New Roman" w:eastAsia="Times New Roman" w:hAnsi="Times New Roman" w:cs="Times New Roman"/>
                <w:sz w:val="18"/>
                <w:szCs w:val="18"/>
                <w:lang w:val="en-US" w:eastAsia="zh-CN"/>
              </w:rPr>
              <w:t>1</w:t>
            </w:r>
            <w:r w:rsidRPr="00F613C9">
              <w:rPr>
                <w:rFonts w:ascii="Times New Roman" w:eastAsia="Times New Roman" w:hAnsi="Times New Roman" w:cs="Times New Roman"/>
                <w:sz w:val="18"/>
                <w:szCs w:val="18"/>
                <w:lang w:val="en-US" w:eastAsia="zh-CN"/>
              </w:rPr>
              <w:t>)</w:t>
            </w:r>
          </w:p>
        </w:tc>
        <w:tc>
          <w:tcPr>
            <w:tcW w:w="1422" w:type="dxa"/>
            <w:tcBorders>
              <w:top w:val="single" w:sz="2" w:space="0" w:color="auto"/>
              <w:bottom w:val="single" w:sz="2" w:space="0" w:color="auto"/>
            </w:tcBorders>
          </w:tcPr>
          <w:p w14:paraId="5B217569" w14:textId="77777777" w:rsidR="00B27F2D" w:rsidRPr="00F613C9" w:rsidRDefault="00B27F2D" w:rsidP="00B27F2D">
            <w:pPr>
              <w:spacing w:after="0"/>
              <w:rPr>
                <w:rFonts w:ascii="Times New Roman" w:eastAsia="Times New Roman" w:hAnsi="Times New Roman" w:cs="Times New Roman"/>
                <w:sz w:val="18"/>
                <w:szCs w:val="18"/>
                <w:lang w:val="en-US" w:eastAsia="zh-CN"/>
              </w:rPr>
            </w:pPr>
            <w:r w:rsidRPr="00F613C9">
              <w:rPr>
                <w:rFonts w:ascii="Times New Roman" w:eastAsia="Calibri" w:hAnsi="Times New Roman" w:cs="Times New Roman"/>
                <w:iCs/>
                <w:sz w:val="18"/>
                <w:szCs w:val="18"/>
              </w:rPr>
              <w:t>THE Ranking</w:t>
            </w:r>
          </w:p>
          <w:p w14:paraId="2DA229DE" w14:textId="77777777" w:rsidR="00B27F2D" w:rsidRDefault="00B27F2D" w:rsidP="00B27F2D">
            <w:pPr>
              <w:spacing w:after="0"/>
              <w:rPr>
                <w:rFonts w:ascii="Times New Roman" w:eastAsia="Times New Roman" w:hAnsi="Times New Roman" w:cs="Times New Roman"/>
                <w:sz w:val="18"/>
                <w:szCs w:val="18"/>
                <w:lang w:val="en-US" w:eastAsia="zh-CN"/>
              </w:rPr>
            </w:pPr>
          </w:p>
          <w:p w14:paraId="412CF2A1"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cs="Times New Roman"/>
                <w:sz w:val="18"/>
                <w:szCs w:val="18"/>
                <w:lang w:val="en-US" w:eastAsia="zh-CN"/>
              </w:rPr>
              <w:t>(1</w:t>
            </w:r>
            <w:r>
              <w:rPr>
                <w:rFonts w:ascii="Times New Roman" w:eastAsia="Times New Roman" w:hAnsi="Times New Roman" w:cs="Times New Roman"/>
                <w:sz w:val="18"/>
                <w:szCs w:val="18"/>
                <w:lang w:val="en-US" w:eastAsia="zh-CN"/>
              </w:rPr>
              <w:t>2</w:t>
            </w:r>
            <w:r w:rsidRPr="00F613C9">
              <w:rPr>
                <w:rFonts w:ascii="Times New Roman" w:eastAsia="Times New Roman" w:hAnsi="Times New Roman" w:cs="Times New Roman"/>
                <w:sz w:val="18"/>
                <w:szCs w:val="18"/>
                <w:lang w:val="en-US" w:eastAsia="zh-CN"/>
              </w:rPr>
              <w:t>)</w:t>
            </w:r>
          </w:p>
        </w:tc>
      </w:tr>
      <w:tr w:rsidR="00B27F2D" w:rsidRPr="00F613C9" w14:paraId="053E28BA" w14:textId="77777777" w:rsidTr="00B27F2D">
        <w:trPr>
          <w:gridAfter w:val="1"/>
          <w:wAfter w:w="11" w:type="dxa"/>
          <w:trHeight w:val="127"/>
        </w:trPr>
        <w:tc>
          <w:tcPr>
            <w:tcW w:w="11842" w:type="dxa"/>
            <w:gridSpan w:val="11"/>
            <w:tcBorders>
              <w:top w:val="single" w:sz="2" w:space="0" w:color="auto"/>
              <w:left w:val="nil"/>
              <w:bottom w:val="nil"/>
              <w:right w:val="nil"/>
            </w:tcBorders>
          </w:tcPr>
          <w:p w14:paraId="5D1F819E" w14:textId="77777777" w:rsidR="00B27F2D" w:rsidRPr="00F613C9" w:rsidRDefault="00B27F2D" w:rsidP="00B27F2D">
            <w:pPr>
              <w:spacing w:after="0"/>
              <w:rPr>
                <w:rFonts w:ascii="Times New Roman" w:eastAsia="Times New Roman" w:hAnsi="Times New Roman"/>
                <w:i/>
                <w:iCs/>
                <w:sz w:val="18"/>
                <w:szCs w:val="18"/>
              </w:rPr>
            </w:pPr>
          </w:p>
          <w:p w14:paraId="1CBC776C"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i/>
                <w:iCs/>
                <w:sz w:val="18"/>
                <w:szCs w:val="18"/>
              </w:rPr>
              <w:t>Explanatory variables (HEI performance)</w:t>
            </w:r>
          </w:p>
        </w:tc>
      </w:tr>
      <w:tr w:rsidR="00B27F2D" w:rsidRPr="00F613C9" w14:paraId="65417A1F" w14:textId="77777777" w:rsidTr="00B27F2D">
        <w:trPr>
          <w:gridAfter w:val="1"/>
          <w:wAfter w:w="11" w:type="dxa"/>
          <w:trHeight w:val="127"/>
        </w:trPr>
        <w:tc>
          <w:tcPr>
            <w:tcW w:w="3685" w:type="dxa"/>
            <w:tcBorders>
              <w:top w:val="nil"/>
              <w:left w:val="nil"/>
              <w:bottom w:val="nil"/>
              <w:right w:val="nil"/>
            </w:tcBorders>
          </w:tcPr>
          <w:p w14:paraId="3CAD2DC7" w14:textId="77777777" w:rsidR="00B27F2D" w:rsidRPr="00F613C9" w:rsidRDefault="00B27F2D" w:rsidP="00B27F2D">
            <w:pPr>
              <w:spacing w:after="0" w:line="240" w:lineRule="auto"/>
              <w:rPr>
                <w:rFonts w:ascii="Times New Roman" w:eastAsia="Times New Roman" w:hAnsi="Times New Roman"/>
                <w:iCs/>
                <w:color w:val="000000"/>
                <w:sz w:val="18"/>
                <w:szCs w:val="18"/>
                <w:lang w:val="en-US"/>
              </w:rPr>
            </w:pPr>
            <w:r w:rsidRPr="00F613C9">
              <w:rPr>
                <w:rFonts w:ascii="Times New Roman" w:eastAsia="Times New Roman" w:hAnsi="Times New Roman"/>
                <w:iCs/>
                <w:color w:val="000000"/>
                <w:sz w:val="18"/>
                <w:szCs w:val="18"/>
                <w:lang w:val="en-US"/>
              </w:rPr>
              <w:t xml:space="preserve">    HE</w:t>
            </w:r>
            <w:r>
              <w:rPr>
                <w:rFonts w:ascii="Times New Roman" w:eastAsia="Times New Roman" w:hAnsi="Times New Roman"/>
                <w:iCs/>
                <w:color w:val="000000"/>
                <w:sz w:val="18"/>
                <w:szCs w:val="18"/>
                <w:lang w:val="en-US"/>
              </w:rPr>
              <w:t>I Performance</w:t>
            </w:r>
          </w:p>
        </w:tc>
        <w:tc>
          <w:tcPr>
            <w:tcW w:w="1135" w:type="dxa"/>
            <w:tcBorders>
              <w:top w:val="nil"/>
              <w:left w:val="nil"/>
              <w:bottom w:val="nil"/>
              <w:right w:val="nil"/>
            </w:tcBorders>
          </w:tcPr>
          <w:p w14:paraId="5AC20CB3"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0.049</w:t>
            </w:r>
            <w:r w:rsidRPr="002D00B2">
              <w:rPr>
                <w:rFonts w:ascii="Times New Roman" w:eastAsia="Times New Roman" w:hAnsi="Times New Roman"/>
                <w:sz w:val="18"/>
                <w:szCs w:val="18"/>
                <w:vertAlign w:val="superscript"/>
              </w:rPr>
              <w:t>***</w:t>
            </w:r>
          </w:p>
          <w:p w14:paraId="616E0DF6"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1417" w:type="dxa"/>
            <w:tcBorders>
              <w:top w:val="nil"/>
              <w:left w:val="nil"/>
              <w:bottom w:val="nil"/>
              <w:right w:val="nil"/>
            </w:tcBorders>
          </w:tcPr>
          <w:p w14:paraId="561A7586" w14:textId="77777777" w:rsidR="00B27F2D" w:rsidRDefault="00B27F2D" w:rsidP="00B27F2D">
            <w:pPr>
              <w:spacing w:after="0"/>
              <w:ind w:right="-33"/>
              <w:rPr>
                <w:rFonts w:ascii="Times New Roman" w:eastAsia="Times New Roman" w:hAnsi="Times New Roman"/>
                <w:sz w:val="18"/>
                <w:szCs w:val="18"/>
              </w:rPr>
            </w:pPr>
            <w:r>
              <w:rPr>
                <w:rFonts w:ascii="Times New Roman" w:eastAsia="Times New Roman" w:hAnsi="Times New Roman"/>
                <w:sz w:val="18"/>
                <w:szCs w:val="18"/>
              </w:rPr>
              <w:t>0.028</w:t>
            </w:r>
            <w:r w:rsidRPr="002D00B2">
              <w:rPr>
                <w:rFonts w:ascii="Times New Roman" w:eastAsia="Times New Roman" w:hAnsi="Times New Roman"/>
                <w:sz w:val="18"/>
                <w:szCs w:val="18"/>
                <w:vertAlign w:val="superscript"/>
              </w:rPr>
              <w:t>***</w:t>
            </w:r>
          </w:p>
          <w:p w14:paraId="501B89BE" w14:textId="77777777" w:rsidR="00B27F2D" w:rsidRPr="002D00B2" w:rsidRDefault="00B27F2D" w:rsidP="00B27F2D">
            <w:pPr>
              <w:spacing w:after="0"/>
              <w:ind w:right="-33"/>
              <w:rPr>
                <w:rFonts w:ascii="Times New Roman" w:eastAsia="Times New Roman" w:hAnsi="Times New Roman"/>
                <w:sz w:val="18"/>
                <w:szCs w:val="18"/>
              </w:rPr>
            </w:pPr>
            <w:r>
              <w:rPr>
                <w:rFonts w:ascii="Times New Roman" w:eastAsia="Times New Roman" w:hAnsi="Times New Roman"/>
                <w:sz w:val="18"/>
                <w:szCs w:val="18"/>
              </w:rPr>
              <w:t>(.000)</w:t>
            </w:r>
          </w:p>
        </w:tc>
        <w:tc>
          <w:tcPr>
            <w:tcW w:w="236" w:type="dxa"/>
            <w:tcBorders>
              <w:top w:val="nil"/>
              <w:left w:val="nil"/>
              <w:bottom w:val="nil"/>
              <w:right w:val="nil"/>
            </w:tcBorders>
          </w:tcPr>
          <w:p w14:paraId="4B8025B9"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0E341309"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0.037</w:t>
            </w:r>
            <w:r w:rsidRPr="002D00B2">
              <w:rPr>
                <w:rFonts w:ascii="Times New Roman" w:eastAsia="Times New Roman" w:hAnsi="Times New Roman"/>
                <w:sz w:val="18"/>
                <w:szCs w:val="18"/>
                <w:vertAlign w:val="superscript"/>
              </w:rPr>
              <w:t>***</w:t>
            </w:r>
          </w:p>
          <w:p w14:paraId="7ECAF82A"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1137" w:type="dxa"/>
            <w:tcBorders>
              <w:top w:val="nil"/>
              <w:left w:val="nil"/>
              <w:bottom w:val="nil"/>
              <w:right w:val="nil"/>
            </w:tcBorders>
          </w:tcPr>
          <w:p w14:paraId="4B9F506E"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0.035</w:t>
            </w:r>
            <w:r w:rsidRPr="002D00B2">
              <w:rPr>
                <w:rFonts w:ascii="Times New Roman" w:eastAsia="Times New Roman" w:hAnsi="Times New Roman"/>
                <w:sz w:val="18"/>
                <w:szCs w:val="18"/>
                <w:vertAlign w:val="superscript"/>
              </w:rPr>
              <w:t>***</w:t>
            </w:r>
          </w:p>
          <w:p w14:paraId="39DD5877"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239" w:type="dxa"/>
            <w:gridSpan w:val="2"/>
            <w:tcBorders>
              <w:top w:val="nil"/>
              <w:left w:val="nil"/>
              <w:bottom w:val="nil"/>
              <w:right w:val="nil"/>
            </w:tcBorders>
          </w:tcPr>
          <w:p w14:paraId="7B979229" w14:textId="77777777" w:rsidR="00B27F2D" w:rsidRPr="00A51C30"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00CF334C"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0.008</w:t>
            </w:r>
            <w:r w:rsidRPr="002D00B2">
              <w:rPr>
                <w:rFonts w:ascii="Times New Roman" w:eastAsia="Times New Roman" w:hAnsi="Times New Roman"/>
                <w:sz w:val="18"/>
                <w:szCs w:val="18"/>
                <w:vertAlign w:val="superscript"/>
              </w:rPr>
              <w:t>***</w:t>
            </w:r>
          </w:p>
          <w:p w14:paraId="27EF9C97" w14:textId="77777777" w:rsidR="00B27F2D" w:rsidRPr="0055283F"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(.003)</w:t>
            </w:r>
          </w:p>
        </w:tc>
        <w:tc>
          <w:tcPr>
            <w:tcW w:w="1422" w:type="dxa"/>
            <w:tcBorders>
              <w:top w:val="nil"/>
              <w:left w:val="nil"/>
              <w:bottom w:val="nil"/>
              <w:right w:val="nil"/>
            </w:tcBorders>
          </w:tcPr>
          <w:p w14:paraId="2E570641"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0.009</w:t>
            </w:r>
            <w:r w:rsidRPr="002D00B2">
              <w:rPr>
                <w:rFonts w:ascii="Times New Roman" w:eastAsia="Times New Roman" w:hAnsi="Times New Roman"/>
                <w:sz w:val="18"/>
                <w:szCs w:val="18"/>
                <w:vertAlign w:val="superscript"/>
              </w:rPr>
              <w:t>***</w:t>
            </w:r>
          </w:p>
          <w:p w14:paraId="5B97AFD6" w14:textId="77777777" w:rsidR="00B27F2D" w:rsidRPr="0055283F"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(.005)</w:t>
            </w:r>
          </w:p>
        </w:tc>
      </w:tr>
      <w:tr w:rsidR="00B27F2D" w:rsidRPr="00F613C9" w14:paraId="10C84381" w14:textId="77777777" w:rsidTr="00B27F2D">
        <w:trPr>
          <w:gridAfter w:val="1"/>
          <w:wAfter w:w="11" w:type="dxa"/>
          <w:trHeight w:val="173"/>
        </w:trPr>
        <w:tc>
          <w:tcPr>
            <w:tcW w:w="11842" w:type="dxa"/>
            <w:gridSpan w:val="11"/>
            <w:tcBorders>
              <w:top w:val="nil"/>
              <w:left w:val="nil"/>
              <w:bottom w:val="nil"/>
              <w:right w:val="nil"/>
            </w:tcBorders>
          </w:tcPr>
          <w:p w14:paraId="1BF6E376" w14:textId="77777777" w:rsidR="00B27F2D" w:rsidRPr="00F613C9" w:rsidRDefault="00B27F2D" w:rsidP="00B27F2D">
            <w:pPr>
              <w:spacing w:after="0"/>
              <w:rPr>
                <w:rFonts w:ascii="Times New Roman" w:eastAsia="Times New Roman" w:hAnsi="Times New Roman"/>
                <w:i/>
                <w:iCs/>
                <w:sz w:val="18"/>
                <w:szCs w:val="18"/>
              </w:rPr>
            </w:pPr>
          </w:p>
          <w:p w14:paraId="6980E46E"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i/>
                <w:iCs/>
                <w:sz w:val="18"/>
                <w:szCs w:val="18"/>
              </w:rPr>
              <w:t>Controls (governance mechanisms)</w:t>
            </w:r>
          </w:p>
        </w:tc>
      </w:tr>
      <w:tr w:rsidR="00B27F2D" w:rsidRPr="00F613C9" w14:paraId="7B2253DB" w14:textId="77777777" w:rsidTr="00B27F2D">
        <w:trPr>
          <w:gridAfter w:val="1"/>
          <w:wAfter w:w="11" w:type="dxa"/>
          <w:trHeight w:val="173"/>
        </w:trPr>
        <w:tc>
          <w:tcPr>
            <w:tcW w:w="3685" w:type="dxa"/>
            <w:tcBorders>
              <w:top w:val="nil"/>
              <w:left w:val="nil"/>
              <w:bottom w:val="nil"/>
              <w:right w:val="nil"/>
            </w:tcBorders>
          </w:tcPr>
          <w:p w14:paraId="6DD262C9" w14:textId="77777777" w:rsidR="00B27F2D" w:rsidRPr="00F613C9" w:rsidRDefault="00B27F2D" w:rsidP="00B27F2D">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P</w:t>
            </w:r>
            <w:r>
              <w:rPr>
                <w:rFonts w:ascii="Times New Roman" w:eastAsia="Times New Roman" w:hAnsi="Times New Roman" w:cs="Times New Roman"/>
                <w:iCs/>
                <w:color w:val="000000"/>
                <w:sz w:val="20"/>
                <w:szCs w:val="20"/>
                <w:lang w:val="en-US"/>
              </w:rPr>
              <w:t>resence of Remuneration Committee</w:t>
            </w:r>
          </w:p>
        </w:tc>
        <w:tc>
          <w:tcPr>
            <w:tcW w:w="1135" w:type="dxa"/>
            <w:tcBorders>
              <w:top w:val="nil"/>
              <w:left w:val="nil"/>
              <w:bottom w:val="nil"/>
              <w:right w:val="nil"/>
            </w:tcBorders>
          </w:tcPr>
          <w:p w14:paraId="3B249854" w14:textId="77777777" w:rsidR="00B27F2D" w:rsidRDefault="00B27F2D" w:rsidP="00B27F2D">
            <w:pPr>
              <w:spacing w:after="0"/>
              <w:rPr>
                <w:rFonts w:ascii="Times New Roman" w:eastAsia="Times New Roman" w:hAnsi="Times New Roman" w:cs="Times New Roman"/>
                <w:sz w:val="20"/>
                <w:szCs w:val="20"/>
                <w:vertAlign w:val="superscript"/>
              </w:rPr>
            </w:pPr>
            <w:r>
              <w:rPr>
                <w:rFonts w:ascii="Times New Roman" w:eastAsia="Times New Roman" w:hAnsi="Times New Roman"/>
                <w:sz w:val="18"/>
                <w:szCs w:val="18"/>
              </w:rPr>
              <w:t>-0.203</w:t>
            </w:r>
            <w:r w:rsidRPr="00F5674C">
              <w:rPr>
                <w:rFonts w:ascii="Times New Roman" w:eastAsia="Times New Roman" w:hAnsi="Times New Roman" w:cs="Times New Roman"/>
                <w:sz w:val="20"/>
                <w:szCs w:val="20"/>
                <w:vertAlign w:val="superscript"/>
              </w:rPr>
              <w:t>***</w:t>
            </w:r>
          </w:p>
          <w:p w14:paraId="05F4AA28"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cs="Times New Roman"/>
                <w:sz w:val="20"/>
                <w:szCs w:val="20"/>
              </w:rPr>
              <w:t>(.000)</w:t>
            </w:r>
          </w:p>
        </w:tc>
        <w:tc>
          <w:tcPr>
            <w:tcW w:w="1417" w:type="dxa"/>
            <w:tcBorders>
              <w:top w:val="nil"/>
              <w:left w:val="nil"/>
              <w:bottom w:val="nil"/>
              <w:right w:val="nil"/>
            </w:tcBorders>
          </w:tcPr>
          <w:p w14:paraId="163079A1"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-0.143</w:t>
            </w:r>
            <w:r w:rsidRPr="002D00B2">
              <w:rPr>
                <w:rFonts w:ascii="Times New Roman" w:eastAsia="Times New Roman" w:hAnsi="Times New Roman"/>
                <w:sz w:val="18"/>
                <w:szCs w:val="18"/>
                <w:vertAlign w:val="superscript"/>
              </w:rPr>
              <w:t>***</w:t>
            </w:r>
          </w:p>
          <w:p w14:paraId="5CB6D8B3"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236" w:type="dxa"/>
            <w:tcBorders>
              <w:top w:val="nil"/>
              <w:left w:val="nil"/>
              <w:bottom w:val="nil"/>
              <w:right w:val="nil"/>
            </w:tcBorders>
          </w:tcPr>
          <w:p w14:paraId="6DA4223E"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4CC28ED9"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-0.094</w:t>
            </w:r>
            <w:r w:rsidRPr="002D00B2">
              <w:rPr>
                <w:rFonts w:ascii="Times New Roman" w:eastAsia="Times New Roman" w:hAnsi="Times New Roman"/>
                <w:sz w:val="18"/>
                <w:szCs w:val="18"/>
                <w:vertAlign w:val="superscript"/>
              </w:rPr>
              <w:t>***</w:t>
            </w:r>
          </w:p>
          <w:p w14:paraId="5EEEEB14"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1137" w:type="dxa"/>
            <w:tcBorders>
              <w:top w:val="nil"/>
              <w:left w:val="nil"/>
              <w:bottom w:val="nil"/>
              <w:right w:val="nil"/>
            </w:tcBorders>
          </w:tcPr>
          <w:p w14:paraId="0EBD4CB7"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-0.102</w:t>
            </w:r>
            <w:r w:rsidRPr="002D00B2">
              <w:rPr>
                <w:rFonts w:ascii="Times New Roman" w:eastAsia="Times New Roman" w:hAnsi="Times New Roman"/>
                <w:sz w:val="18"/>
                <w:szCs w:val="18"/>
                <w:vertAlign w:val="superscript"/>
              </w:rPr>
              <w:t>***</w:t>
            </w:r>
          </w:p>
          <w:p w14:paraId="0F34B1EB"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w:t>
            </w:r>
          </w:p>
        </w:tc>
        <w:tc>
          <w:tcPr>
            <w:tcW w:w="239" w:type="dxa"/>
            <w:gridSpan w:val="2"/>
            <w:tcBorders>
              <w:top w:val="nil"/>
              <w:left w:val="nil"/>
              <w:bottom w:val="nil"/>
              <w:right w:val="nil"/>
            </w:tcBorders>
          </w:tcPr>
          <w:p w14:paraId="739A4901" w14:textId="77777777" w:rsidR="00B27F2D" w:rsidRPr="00A51C30"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00EF93E4"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-0.056</w:t>
            </w:r>
            <w:r w:rsidRPr="002D00B2">
              <w:rPr>
                <w:rFonts w:ascii="Times New Roman" w:eastAsia="Times New Roman" w:hAnsi="Times New Roman"/>
                <w:sz w:val="18"/>
                <w:szCs w:val="18"/>
                <w:vertAlign w:val="superscript"/>
              </w:rPr>
              <w:t>**</w:t>
            </w:r>
          </w:p>
          <w:p w14:paraId="0209544B" w14:textId="77777777" w:rsidR="00B27F2D" w:rsidRPr="0055283F"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(.011)</w:t>
            </w:r>
          </w:p>
        </w:tc>
        <w:tc>
          <w:tcPr>
            <w:tcW w:w="1422" w:type="dxa"/>
            <w:tcBorders>
              <w:top w:val="nil"/>
              <w:left w:val="nil"/>
              <w:bottom w:val="nil"/>
              <w:right w:val="nil"/>
            </w:tcBorders>
          </w:tcPr>
          <w:p w14:paraId="3AF37925"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-0.043</w:t>
            </w:r>
            <w:r w:rsidRPr="002D00B2">
              <w:rPr>
                <w:rFonts w:ascii="Times New Roman" w:eastAsia="Times New Roman" w:hAnsi="Times New Roman"/>
                <w:sz w:val="18"/>
                <w:szCs w:val="18"/>
                <w:vertAlign w:val="superscript"/>
              </w:rPr>
              <w:t>*</w:t>
            </w:r>
          </w:p>
          <w:p w14:paraId="297B52C0" w14:textId="77777777" w:rsidR="00B27F2D" w:rsidRPr="009A7B6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(.089)</w:t>
            </w:r>
          </w:p>
        </w:tc>
      </w:tr>
      <w:tr w:rsidR="00B27F2D" w:rsidRPr="00F613C9" w14:paraId="4E7499D0" w14:textId="77777777" w:rsidTr="00B27F2D">
        <w:trPr>
          <w:gridAfter w:val="1"/>
          <w:wAfter w:w="11" w:type="dxa"/>
          <w:trHeight w:val="91"/>
        </w:trPr>
        <w:tc>
          <w:tcPr>
            <w:tcW w:w="3685" w:type="dxa"/>
            <w:tcBorders>
              <w:top w:val="nil"/>
              <w:left w:val="nil"/>
              <w:bottom w:val="nil"/>
              <w:right w:val="nil"/>
            </w:tcBorders>
          </w:tcPr>
          <w:p w14:paraId="6EF7FD07" w14:textId="77777777" w:rsidR="00B27F2D" w:rsidRPr="00F613C9" w:rsidRDefault="00B27F2D" w:rsidP="00B27F2D">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Presence of Governance Committee</w:t>
            </w:r>
          </w:p>
        </w:tc>
        <w:tc>
          <w:tcPr>
            <w:tcW w:w="1135" w:type="dxa"/>
            <w:tcBorders>
              <w:top w:val="nil"/>
              <w:left w:val="nil"/>
              <w:bottom w:val="nil"/>
              <w:right w:val="nil"/>
            </w:tcBorders>
          </w:tcPr>
          <w:p w14:paraId="3AB2FB24"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0.008</w:t>
            </w:r>
          </w:p>
          <w:p w14:paraId="7F5968D2"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(.475)</w:t>
            </w:r>
          </w:p>
        </w:tc>
        <w:tc>
          <w:tcPr>
            <w:tcW w:w="1417" w:type="dxa"/>
            <w:tcBorders>
              <w:top w:val="nil"/>
              <w:left w:val="nil"/>
              <w:bottom w:val="nil"/>
              <w:right w:val="nil"/>
            </w:tcBorders>
          </w:tcPr>
          <w:p w14:paraId="24172AD7"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0.003</w:t>
            </w:r>
          </w:p>
          <w:p w14:paraId="27D338F9"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(.849)</w:t>
            </w:r>
          </w:p>
        </w:tc>
        <w:tc>
          <w:tcPr>
            <w:tcW w:w="236" w:type="dxa"/>
            <w:tcBorders>
              <w:top w:val="nil"/>
              <w:left w:val="nil"/>
              <w:bottom w:val="nil"/>
              <w:right w:val="nil"/>
            </w:tcBorders>
          </w:tcPr>
          <w:p w14:paraId="6D3D6B24"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6844373E"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-0.020</w:t>
            </w:r>
            <w:r w:rsidRPr="002D00B2">
              <w:rPr>
                <w:rFonts w:ascii="Times New Roman" w:eastAsia="Times New Roman" w:hAnsi="Times New Roman"/>
                <w:sz w:val="18"/>
                <w:szCs w:val="18"/>
                <w:vertAlign w:val="superscript"/>
              </w:rPr>
              <w:t>***</w:t>
            </w:r>
          </w:p>
          <w:p w14:paraId="1C082669"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(.007)</w:t>
            </w:r>
          </w:p>
        </w:tc>
        <w:tc>
          <w:tcPr>
            <w:tcW w:w="1137" w:type="dxa"/>
            <w:tcBorders>
              <w:top w:val="nil"/>
              <w:left w:val="nil"/>
              <w:bottom w:val="nil"/>
              <w:right w:val="nil"/>
            </w:tcBorders>
          </w:tcPr>
          <w:p w14:paraId="7FB6384C"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-0.024</w:t>
            </w:r>
            <w:r w:rsidRPr="002D00B2">
              <w:rPr>
                <w:rFonts w:ascii="Times New Roman" w:eastAsia="Times New Roman" w:hAnsi="Times New Roman"/>
                <w:sz w:val="18"/>
                <w:szCs w:val="18"/>
                <w:vertAlign w:val="superscript"/>
              </w:rPr>
              <w:t>***</w:t>
            </w:r>
          </w:p>
          <w:p w14:paraId="0C9AB79F"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(.002)</w:t>
            </w:r>
          </w:p>
        </w:tc>
        <w:tc>
          <w:tcPr>
            <w:tcW w:w="239" w:type="dxa"/>
            <w:gridSpan w:val="2"/>
            <w:tcBorders>
              <w:top w:val="nil"/>
              <w:left w:val="nil"/>
              <w:bottom w:val="nil"/>
              <w:right w:val="nil"/>
            </w:tcBorders>
          </w:tcPr>
          <w:p w14:paraId="2682F38E" w14:textId="77777777" w:rsidR="00B27F2D" w:rsidRPr="00A51C30"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08C6492F"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0.014</w:t>
            </w:r>
          </w:p>
          <w:p w14:paraId="39F24533"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(.159)</w:t>
            </w:r>
          </w:p>
        </w:tc>
        <w:tc>
          <w:tcPr>
            <w:tcW w:w="1422" w:type="dxa"/>
            <w:tcBorders>
              <w:top w:val="nil"/>
              <w:left w:val="nil"/>
              <w:bottom w:val="nil"/>
              <w:right w:val="nil"/>
            </w:tcBorders>
          </w:tcPr>
          <w:p w14:paraId="1E55870D"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0.009</w:t>
            </w:r>
          </w:p>
          <w:p w14:paraId="522AC92D"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(.135)</w:t>
            </w:r>
          </w:p>
        </w:tc>
      </w:tr>
      <w:tr w:rsidR="00B27F2D" w:rsidRPr="00F613C9" w14:paraId="2F77E17C" w14:textId="77777777" w:rsidTr="00B27F2D">
        <w:trPr>
          <w:gridAfter w:val="1"/>
          <w:wAfter w:w="11" w:type="dxa"/>
          <w:trHeight w:val="87"/>
        </w:trPr>
        <w:tc>
          <w:tcPr>
            <w:tcW w:w="3685" w:type="dxa"/>
            <w:tcBorders>
              <w:top w:val="nil"/>
              <w:left w:val="nil"/>
              <w:bottom w:val="nil"/>
              <w:right w:val="nil"/>
            </w:tcBorders>
          </w:tcPr>
          <w:p w14:paraId="6A3DB1ED" w14:textId="77777777" w:rsidR="00B27F2D" w:rsidRPr="00F613C9" w:rsidRDefault="00B27F2D" w:rsidP="00B27F2D">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Executive Management Team Size</w:t>
            </w:r>
          </w:p>
        </w:tc>
        <w:tc>
          <w:tcPr>
            <w:tcW w:w="1135" w:type="dxa"/>
            <w:tcBorders>
              <w:top w:val="nil"/>
              <w:left w:val="nil"/>
              <w:bottom w:val="nil"/>
              <w:right w:val="nil"/>
            </w:tcBorders>
          </w:tcPr>
          <w:p w14:paraId="5BDFCA7B" w14:textId="77777777" w:rsidR="00B27F2D" w:rsidRDefault="00B27F2D" w:rsidP="00B27F2D">
            <w:pPr>
              <w:spacing w:after="0"/>
              <w:rPr>
                <w:rFonts w:ascii="Times New Roman" w:eastAsia="Times New Roman" w:hAnsi="Times New Roman" w:cs="Times New Roman"/>
                <w:sz w:val="20"/>
                <w:szCs w:val="20"/>
                <w:vertAlign w:val="superscript"/>
              </w:rPr>
            </w:pPr>
            <w:r>
              <w:rPr>
                <w:rFonts w:ascii="Times New Roman" w:eastAsia="Times New Roman" w:hAnsi="Times New Roman"/>
                <w:sz w:val="18"/>
                <w:szCs w:val="18"/>
              </w:rPr>
              <w:t>-0.019</w:t>
            </w:r>
            <w:r w:rsidRPr="00F5674C">
              <w:rPr>
                <w:rFonts w:ascii="Times New Roman" w:eastAsia="Times New Roman" w:hAnsi="Times New Roman" w:cs="Times New Roman"/>
                <w:sz w:val="20"/>
                <w:szCs w:val="20"/>
                <w:vertAlign w:val="superscript"/>
              </w:rPr>
              <w:t>*</w:t>
            </w:r>
          </w:p>
          <w:p w14:paraId="3367B46A"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cs="Times New Roman"/>
                <w:sz w:val="20"/>
                <w:szCs w:val="20"/>
              </w:rPr>
              <w:t>(.053)</w:t>
            </w:r>
          </w:p>
        </w:tc>
        <w:tc>
          <w:tcPr>
            <w:tcW w:w="1417" w:type="dxa"/>
            <w:tcBorders>
              <w:top w:val="nil"/>
              <w:left w:val="nil"/>
              <w:bottom w:val="nil"/>
              <w:right w:val="nil"/>
            </w:tcBorders>
          </w:tcPr>
          <w:p w14:paraId="2C811748"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-0.043</w:t>
            </w:r>
            <w:r w:rsidRPr="002D00B2">
              <w:rPr>
                <w:rFonts w:ascii="Times New Roman" w:eastAsia="Times New Roman" w:hAnsi="Times New Roman"/>
                <w:sz w:val="18"/>
                <w:szCs w:val="18"/>
                <w:vertAlign w:val="superscript"/>
              </w:rPr>
              <w:t>***</w:t>
            </w:r>
          </w:p>
          <w:p w14:paraId="6F66F7A6"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(.001)</w:t>
            </w:r>
          </w:p>
        </w:tc>
        <w:tc>
          <w:tcPr>
            <w:tcW w:w="236" w:type="dxa"/>
            <w:tcBorders>
              <w:top w:val="nil"/>
              <w:left w:val="nil"/>
              <w:bottom w:val="nil"/>
              <w:right w:val="nil"/>
            </w:tcBorders>
          </w:tcPr>
          <w:p w14:paraId="5C379AFB"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5C417CCD"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0.000</w:t>
            </w:r>
          </w:p>
          <w:p w14:paraId="575DBAB5"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(.953)</w:t>
            </w:r>
          </w:p>
        </w:tc>
        <w:tc>
          <w:tcPr>
            <w:tcW w:w="1137" w:type="dxa"/>
            <w:tcBorders>
              <w:top w:val="nil"/>
              <w:left w:val="nil"/>
              <w:bottom w:val="nil"/>
              <w:right w:val="nil"/>
            </w:tcBorders>
          </w:tcPr>
          <w:p w14:paraId="41D0A3B8"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-0.007</w:t>
            </w:r>
          </w:p>
          <w:p w14:paraId="7C25AE3F"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(.295)</w:t>
            </w:r>
          </w:p>
        </w:tc>
        <w:tc>
          <w:tcPr>
            <w:tcW w:w="239" w:type="dxa"/>
            <w:gridSpan w:val="2"/>
            <w:tcBorders>
              <w:top w:val="nil"/>
              <w:left w:val="nil"/>
              <w:bottom w:val="nil"/>
              <w:right w:val="nil"/>
            </w:tcBorders>
          </w:tcPr>
          <w:p w14:paraId="4C9A9003" w14:textId="77777777" w:rsidR="00B27F2D" w:rsidRPr="00A51C30"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609396EF"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0.004</w:t>
            </w:r>
          </w:p>
          <w:p w14:paraId="1912327B"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(.498)</w:t>
            </w:r>
          </w:p>
        </w:tc>
        <w:tc>
          <w:tcPr>
            <w:tcW w:w="1422" w:type="dxa"/>
            <w:tcBorders>
              <w:top w:val="nil"/>
              <w:left w:val="nil"/>
              <w:bottom w:val="nil"/>
              <w:right w:val="nil"/>
            </w:tcBorders>
          </w:tcPr>
          <w:p w14:paraId="6A27627C"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0.008</w:t>
            </w:r>
          </w:p>
          <w:p w14:paraId="03FA2C08"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(.241)</w:t>
            </w:r>
          </w:p>
        </w:tc>
      </w:tr>
      <w:tr w:rsidR="00B27F2D" w:rsidRPr="00F613C9" w14:paraId="53B44ABB" w14:textId="77777777" w:rsidTr="00B27F2D">
        <w:trPr>
          <w:gridAfter w:val="1"/>
          <w:wAfter w:w="11" w:type="dxa"/>
          <w:trHeight w:val="87"/>
        </w:trPr>
        <w:tc>
          <w:tcPr>
            <w:tcW w:w="3685" w:type="dxa"/>
            <w:tcBorders>
              <w:top w:val="nil"/>
              <w:left w:val="nil"/>
              <w:bottom w:val="nil"/>
              <w:right w:val="nil"/>
            </w:tcBorders>
          </w:tcPr>
          <w:p w14:paraId="25121CD4" w14:textId="77777777" w:rsidR="00B27F2D" w:rsidRPr="00F613C9" w:rsidRDefault="00B27F2D" w:rsidP="00B27F2D">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Executive Management Team Diversity</w:t>
            </w:r>
          </w:p>
        </w:tc>
        <w:tc>
          <w:tcPr>
            <w:tcW w:w="1135" w:type="dxa"/>
            <w:tcBorders>
              <w:top w:val="nil"/>
              <w:left w:val="nil"/>
              <w:bottom w:val="nil"/>
              <w:right w:val="nil"/>
            </w:tcBorders>
          </w:tcPr>
          <w:p w14:paraId="42E8AF22"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-0.012</w:t>
            </w:r>
          </w:p>
          <w:p w14:paraId="73937514"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(.912)</w:t>
            </w:r>
          </w:p>
        </w:tc>
        <w:tc>
          <w:tcPr>
            <w:tcW w:w="1417" w:type="dxa"/>
            <w:tcBorders>
              <w:top w:val="nil"/>
              <w:left w:val="nil"/>
              <w:bottom w:val="nil"/>
              <w:right w:val="nil"/>
            </w:tcBorders>
          </w:tcPr>
          <w:p w14:paraId="7AFF7646"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-0.032</w:t>
            </w:r>
          </w:p>
          <w:p w14:paraId="35695EEE"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(.175)</w:t>
            </w:r>
          </w:p>
        </w:tc>
        <w:tc>
          <w:tcPr>
            <w:tcW w:w="236" w:type="dxa"/>
            <w:tcBorders>
              <w:top w:val="nil"/>
              <w:left w:val="nil"/>
              <w:bottom w:val="nil"/>
              <w:right w:val="nil"/>
            </w:tcBorders>
          </w:tcPr>
          <w:p w14:paraId="266BA1E9"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0A2F2C22"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0.049</w:t>
            </w:r>
            <w:r w:rsidRPr="002D00B2">
              <w:rPr>
                <w:rFonts w:ascii="Times New Roman" w:eastAsia="Times New Roman" w:hAnsi="Times New Roman"/>
                <w:sz w:val="18"/>
                <w:szCs w:val="18"/>
                <w:vertAlign w:val="superscript"/>
              </w:rPr>
              <w:t>***</w:t>
            </w:r>
          </w:p>
          <w:p w14:paraId="4EBCC893"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(.001)</w:t>
            </w:r>
          </w:p>
        </w:tc>
        <w:tc>
          <w:tcPr>
            <w:tcW w:w="1137" w:type="dxa"/>
            <w:tcBorders>
              <w:top w:val="nil"/>
              <w:left w:val="nil"/>
              <w:bottom w:val="nil"/>
              <w:right w:val="nil"/>
            </w:tcBorders>
          </w:tcPr>
          <w:p w14:paraId="3B67A065"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0.039</w:t>
            </w:r>
            <w:r w:rsidRPr="002D00B2">
              <w:rPr>
                <w:rFonts w:ascii="Times New Roman" w:eastAsia="Times New Roman" w:hAnsi="Times New Roman"/>
                <w:sz w:val="18"/>
                <w:szCs w:val="18"/>
                <w:vertAlign w:val="superscript"/>
              </w:rPr>
              <w:t>***</w:t>
            </w:r>
          </w:p>
          <w:p w14:paraId="1181193D" w14:textId="77777777" w:rsidR="00B27F2D" w:rsidRPr="00464A8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(.003)</w:t>
            </w:r>
          </w:p>
        </w:tc>
        <w:tc>
          <w:tcPr>
            <w:tcW w:w="239" w:type="dxa"/>
            <w:gridSpan w:val="2"/>
            <w:tcBorders>
              <w:top w:val="nil"/>
              <w:left w:val="nil"/>
              <w:bottom w:val="nil"/>
              <w:right w:val="nil"/>
            </w:tcBorders>
          </w:tcPr>
          <w:p w14:paraId="20B1E4C5" w14:textId="77777777" w:rsidR="00B27F2D" w:rsidRPr="00A51C30"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63A22877"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0.004</w:t>
            </w:r>
          </w:p>
          <w:p w14:paraId="5EF74155"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(.646)</w:t>
            </w:r>
          </w:p>
        </w:tc>
        <w:tc>
          <w:tcPr>
            <w:tcW w:w="1422" w:type="dxa"/>
            <w:tcBorders>
              <w:top w:val="nil"/>
              <w:left w:val="nil"/>
              <w:bottom w:val="nil"/>
              <w:right w:val="nil"/>
            </w:tcBorders>
          </w:tcPr>
          <w:p w14:paraId="4E924D7E"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0.005</w:t>
            </w:r>
          </w:p>
          <w:p w14:paraId="5DB3BF07"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(.330)</w:t>
            </w:r>
          </w:p>
        </w:tc>
      </w:tr>
      <w:tr w:rsidR="00B27F2D" w:rsidRPr="00F613C9" w14:paraId="7C29D3D2" w14:textId="77777777" w:rsidTr="00B27F2D">
        <w:trPr>
          <w:gridAfter w:val="1"/>
          <w:wAfter w:w="11" w:type="dxa"/>
          <w:trHeight w:val="87"/>
        </w:trPr>
        <w:tc>
          <w:tcPr>
            <w:tcW w:w="3685" w:type="dxa"/>
            <w:tcBorders>
              <w:top w:val="nil"/>
              <w:left w:val="nil"/>
              <w:bottom w:val="nil"/>
              <w:right w:val="nil"/>
            </w:tcBorders>
          </w:tcPr>
          <w:p w14:paraId="46A3C3F2" w14:textId="77777777" w:rsidR="00B27F2D" w:rsidRPr="00F613C9" w:rsidRDefault="00B27F2D" w:rsidP="00B27F2D">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Executive Management Team Meeting</w:t>
            </w:r>
          </w:p>
        </w:tc>
        <w:tc>
          <w:tcPr>
            <w:tcW w:w="1135" w:type="dxa"/>
            <w:tcBorders>
              <w:top w:val="nil"/>
              <w:left w:val="nil"/>
              <w:bottom w:val="nil"/>
              <w:right w:val="nil"/>
            </w:tcBorders>
          </w:tcPr>
          <w:p w14:paraId="13A0F6DB"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0.001</w:t>
            </w:r>
          </w:p>
          <w:p w14:paraId="212ADE2B"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(.912)</w:t>
            </w:r>
          </w:p>
        </w:tc>
        <w:tc>
          <w:tcPr>
            <w:tcW w:w="1417" w:type="dxa"/>
            <w:tcBorders>
              <w:top w:val="nil"/>
              <w:left w:val="nil"/>
              <w:bottom w:val="nil"/>
              <w:right w:val="nil"/>
            </w:tcBorders>
          </w:tcPr>
          <w:p w14:paraId="0499CA5A"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-0.011</w:t>
            </w:r>
          </w:p>
          <w:p w14:paraId="1AF4910D"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(.437)</w:t>
            </w:r>
          </w:p>
        </w:tc>
        <w:tc>
          <w:tcPr>
            <w:tcW w:w="236" w:type="dxa"/>
            <w:tcBorders>
              <w:top w:val="nil"/>
              <w:left w:val="nil"/>
              <w:bottom w:val="nil"/>
              <w:right w:val="nil"/>
            </w:tcBorders>
          </w:tcPr>
          <w:p w14:paraId="336D5599"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04799911"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-0.003</w:t>
            </w:r>
          </w:p>
          <w:p w14:paraId="47F1C36B"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(.623)</w:t>
            </w:r>
          </w:p>
        </w:tc>
        <w:tc>
          <w:tcPr>
            <w:tcW w:w="1137" w:type="dxa"/>
            <w:tcBorders>
              <w:top w:val="nil"/>
              <w:left w:val="nil"/>
              <w:bottom w:val="nil"/>
              <w:right w:val="nil"/>
            </w:tcBorders>
          </w:tcPr>
          <w:p w14:paraId="20E2BA16"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-0.004</w:t>
            </w:r>
          </w:p>
          <w:p w14:paraId="3509AC25"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(.571)</w:t>
            </w:r>
          </w:p>
        </w:tc>
        <w:tc>
          <w:tcPr>
            <w:tcW w:w="239" w:type="dxa"/>
            <w:gridSpan w:val="2"/>
            <w:tcBorders>
              <w:top w:val="nil"/>
              <w:left w:val="nil"/>
              <w:bottom w:val="nil"/>
              <w:right w:val="nil"/>
            </w:tcBorders>
          </w:tcPr>
          <w:p w14:paraId="4F1DCC3A" w14:textId="77777777" w:rsidR="00B27F2D" w:rsidRPr="00A51C30"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45309D2B"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-0.010</w:t>
            </w:r>
          </w:p>
          <w:p w14:paraId="750A5B20"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(.172)</w:t>
            </w:r>
          </w:p>
        </w:tc>
        <w:tc>
          <w:tcPr>
            <w:tcW w:w="1422" w:type="dxa"/>
            <w:tcBorders>
              <w:top w:val="nil"/>
              <w:left w:val="nil"/>
              <w:bottom w:val="nil"/>
              <w:right w:val="nil"/>
            </w:tcBorders>
          </w:tcPr>
          <w:p w14:paraId="2956D908"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-0.007</w:t>
            </w:r>
          </w:p>
          <w:p w14:paraId="03D0CBDF"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(.361)</w:t>
            </w:r>
          </w:p>
        </w:tc>
      </w:tr>
      <w:tr w:rsidR="00B27F2D" w:rsidRPr="00F613C9" w14:paraId="3A0EA842" w14:textId="77777777" w:rsidTr="00B27F2D">
        <w:trPr>
          <w:gridAfter w:val="1"/>
          <w:wAfter w:w="11" w:type="dxa"/>
          <w:trHeight w:val="87"/>
        </w:trPr>
        <w:tc>
          <w:tcPr>
            <w:tcW w:w="3685" w:type="dxa"/>
            <w:tcBorders>
              <w:top w:val="nil"/>
              <w:left w:val="nil"/>
              <w:bottom w:val="nil"/>
              <w:right w:val="nil"/>
            </w:tcBorders>
          </w:tcPr>
          <w:p w14:paraId="6BB006C3" w14:textId="77777777" w:rsidR="00B27F2D" w:rsidRPr="00F613C9" w:rsidRDefault="00B27F2D" w:rsidP="00B27F2D">
            <w:pPr>
              <w:spacing w:after="0" w:line="240" w:lineRule="auto"/>
              <w:rPr>
                <w:rFonts w:ascii="Times New Roman" w:eastAsia="Times New Roman" w:hAnsi="Times New Roman"/>
                <w:iCs/>
                <w:color w:val="000000"/>
                <w:sz w:val="18"/>
                <w:szCs w:val="18"/>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VC Change</w:t>
            </w:r>
          </w:p>
        </w:tc>
        <w:tc>
          <w:tcPr>
            <w:tcW w:w="1135" w:type="dxa"/>
            <w:tcBorders>
              <w:top w:val="nil"/>
              <w:left w:val="nil"/>
              <w:bottom w:val="nil"/>
              <w:right w:val="nil"/>
            </w:tcBorders>
          </w:tcPr>
          <w:p w14:paraId="5B006132" w14:textId="77777777" w:rsidR="00B27F2D" w:rsidRPr="002D00B2" w:rsidRDefault="00B27F2D" w:rsidP="00B27F2D">
            <w:pPr>
              <w:spacing w:after="0"/>
              <w:rPr>
                <w:rFonts w:ascii="Times New Roman" w:eastAsia="Times New Roman" w:hAnsi="Times New Roman"/>
                <w:sz w:val="18"/>
                <w:szCs w:val="18"/>
              </w:rPr>
            </w:pPr>
            <w:r w:rsidRPr="002D00B2">
              <w:rPr>
                <w:rFonts w:ascii="Times New Roman" w:eastAsia="Times New Roman" w:hAnsi="Times New Roman"/>
                <w:sz w:val="18"/>
                <w:szCs w:val="18"/>
              </w:rPr>
              <w:t>0.011</w:t>
            </w:r>
            <w:r w:rsidRPr="002D00B2">
              <w:rPr>
                <w:rFonts w:ascii="Times New Roman" w:eastAsia="Times New Roman" w:hAnsi="Times New Roman"/>
                <w:sz w:val="18"/>
                <w:szCs w:val="18"/>
                <w:vertAlign w:val="superscript"/>
              </w:rPr>
              <w:t>**</w:t>
            </w:r>
          </w:p>
          <w:p w14:paraId="389DACD5" w14:textId="77777777" w:rsidR="00B27F2D" w:rsidRPr="002D00B2" w:rsidRDefault="00B27F2D" w:rsidP="00B27F2D">
            <w:pPr>
              <w:spacing w:after="0"/>
              <w:rPr>
                <w:rFonts w:ascii="Times New Roman" w:eastAsia="Times New Roman" w:hAnsi="Times New Roman"/>
                <w:sz w:val="18"/>
                <w:szCs w:val="18"/>
              </w:rPr>
            </w:pPr>
            <w:r w:rsidRPr="002D00B2">
              <w:rPr>
                <w:rFonts w:ascii="Times New Roman" w:eastAsia="Times New Roman" w:hAnsi="Times New Roman"/>
                <w:sz w:val="18"/>
                <w:szCs w:val="18"/>
              </w:rPr>
              <w:t>(.028)</w:t>
            </w:r>
          </w:p>
        </w:tc>
        <w:tc>
          <w:tcPr>
            <w:tcW w:w="1417" w:type="dxa"/>
            <w:tcBorders>
              <w:top w:val="nil"/>
              <w:left w:val="nil"/>
              <w:bottom w:val="nil"/>
              <w:right w:val="nil"/>
            </w:tcBorders>
          </w:tcPr>
          <w:p w14:paraId="13FC2FEA"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-0.003</w:t>
            </w:r>
          </w:p>
          <w:p w14:paraId="4CC6D0E4" w14:textId="77777777" w:rsidR="00B27F2D" w:rsidRPr="002D00B2"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(.660)</w:t>
            </w:r>
          </w:p>
        </w:tc>
        <w:tc>
          <w:tcPr>
            <w:tcW w:w="236" w:type="dxa"/>
            <w:tcBorders>
              <w:top w:val="nil"/>
              <w:left w:val="nil"/>
              <w:bottom w:val="nil"/>
              <w:right w:val="nil"/>
            </w:tcBorders>
          </w:tcPr>
          <w:p w14:paraId="02488D1A"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3459E2DB"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0.004</w:t>
            </w:r>
          </w:p>
          <w:p w14:paraId="7760BF2E"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(.270)</w:t>
            </w:r>
          </w:p>
        </w:tc>
        <w:tc>
          <w:tcPr>
            <w:tcW w:w="1137" w:type="dxa"/>
            <w:tcBorders>
              <w:top w:val="nil"/>
              <w:left w:val="nil"/>
              <w:bottom w:val="nil"/>
              <w:right w:val="nil"/>
            </w:tcBorders>
          </w:tcPr>
          <w:p w14:paraId="55932D76" w14:textId="77777777" w:rsidR="00B27F2D"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0.006</w:t>
            </w:r>
            <w:r w:rsidRPr="002D00B2">
              <w:rPr>
                <w:rFonts w:ascii="Times New Roman" w:eastAsia="Times New Roman" w:hAnsi="Times New Roman"/>
                <w:sz w:val="18"/>
                <w:szCs w:val="18"/>
                <w:vertAlign w:val="superscript"/>
              </w:rPr>
              <w:t>*</w:t>
            </w:r>
          </w:p>
          <w:p w14:paraId="0A43FB7C" w14:textId="77777777" w:rsidR="00B27F2D" w:rsidRPr="003F50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(.087)</w:t>
            </w:r>
          </w:p>
        </w:tc>
        <w:tc>
          <w:tcPr>
            <w:tcW w:w="239" w:type="dxa"/>
            <w:gridSpan w:val="2"/>
            <w:tcBorders>
              <w:top w:val="nil"/>
              <w:left w:val="nil"/>
              <w:bottom w:val="nil"/>
              <w:right w:val="nil"/>
            </w:tcBorders>
          </w:tcPr>
          <w:p w14:paraId="6D1381EF" w14:textId="77777777" w:rsidR="00B27F2D" w:rsidRPr="00A51C30"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206CAF61"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-0.000</w:t>
            </w:r>
          </w:p>
          <w:p w14:paraId="0490D1F7"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(.885)</w:t>
            </w:r>
          </w:p>
        </w:tc>
        <w:tc>
          <w:tcPr>
            <w:tcW w:w="1422" w:type="dxa"/>
            <w:tcBorders>
              <w:top w:val="nil"/>
              <w:left w:val="nil"/>
              <w:bottom w:val="nil"/>
              <w:right w:val="nil"/>
            </w:tcBorders>
          </w:tcPr>
          <w:p w14:paraId="42D3AD46" w14:textId="77777777" w:rsidR="00B27F2D"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-0.000</w:t>
            </w:r>
          </w:p>
          <w:p w14:paraId="4DAB2747" w14:textId="77777777" w:rsidR="00B27F2D" w:rsidRPr="00A51C30"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(.700)</w:t>
            </w:r>
          </w:p>
        </w:tc>
      </w:tr>
      <w:tr w:rsidR="00B27F2D" w:rsidRPr="00F613C9" w14:paraId="51B40410" w14:textId="77777777" w:rsidTr="00B27F2D">
        <w:trPr>
          <w:gridAfter w:val="1"/>
          <w:wAfter w:w="11" w:type="dxa"/>
          <w:trHeight w:val="164"/>
        </w:trPr>
        <w:tc>
          <w:tcPr>
            <w:tcW w:w="3685" w:type="dxa"/>
            <w:tcBorders>
              <w:top w:val="nil"/>
              <w:left w:val="nil"/>
              <w:bottom w:val="nil"/>
              <w:right w:val="nil"/>
            </w:tcBorders>
          </w:tcPr>
          <w:p w14:paraId="5F59C12B" w14:textId="77777777" w:rsidR="00B27F2D" w:rsidRPr="00394410" w:rsidRDefault="00B27F2D" w:rsidP="00B27F2D">
            <w:pPr>
              <w:spacing w:after="0" w:line="240" w:lineRule="auto"/>
              <w:rPr>
                <w:rFonts w:ascii="Times New Roman" w:eastAsia="Times New Roman" w:hAnsi="Times New Roman" w:cs="Arial"/>
                <w:sz w:val="20"/>
                <w:szCs w:val="20"/>
              </w:rPr>
            </w:pPr>
            <w:r w:rsidRPr="00394410">
              <w:rPr>
                <w:rFonts w:ascii="Times New Roman" w:eastAsia="Times New Roman" w:hAnsi="Times New Roman" w:cs="Arial"/>
                <w:sz w:val="20"/>
                <w:szCs w:val="20"/>
              </w:rPr>
              <w:t>Controls (general HEI characteristics)</w:t>
            </w:r>
          </w:p>
        </w:tc>
        <w:tc>
          <w:tcPr>
            <w:tcW w:w="1135" w:type="dxa"/>
            <w:tcBorders>
              <w:top w:val="nil"/>
              <w:left w:val="nil"/>
              <w:bottom w:val="nil"/>
              <w:right w:val="nil"/>
            </w:tcBorders>
          </w:tcPr>
          <w:p w14:paraId="11547C9E" w14:textId="77777777" w:rsidR="00B27F2D" w:rsidRPr="00265BD1"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1417" w:type="dxa"/>
            <w:tcBorders>
              <w:top w:val="nil"/>
              <w:left w:val="nil"/>
              <w:bottom w:val="nil"/>
              <w:right w:val="nil"/>
            </w:tcBorders>
          </w:tcPr>
          <w:p w14:paraId="713D85BF" w14:textId="77777777" w:rsidR="00B27F2D" w:rsidRPr="00265BD1"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236" w:type="dxa"/>
            <w:tcBorders>
              <w:top w:val="nil"/>
              <w:left w:val="nil"/>
              <w:bottom w:val="nil"/>
              <w:right w:val="nil"/>
            </w:tcBorders>
          </w:tcPr>
          <w:p w14:paraId="6040F41C" w14:textId="77777777" w:rsidR="00B27F2D" w:rsidRPr="00265BD1"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36E1BC9A" w14:textId="77777777" w:rsidR="00B27F2D" w:rsidRPr="00265BD1"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1137" w:type="dxa"/>
            <w:tcBorders>
              <w:top w:val="nil"/>
              <w:left w:val="nil"/>
              <w:bottom w:val="nil"/>
              <w:right w:val="nil"/>
            </w:tcBorders>
          </w:tcPr>
          <w:p w14:paraId="0D0D1F0A" w14:textId="77777777" w:rsidR="00B27F2D" w:rsidRPr="00265BD1"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239" w:type="dxa"/>
            <w:gridSpan w:val="2"/>
            <w:tcBorders>
              <w:top w:val="nil"/>
              <w:left w:val="nil"/>
              <w:bottom w:val="nil"/>
              <w:right w:val="nil"/>
            </w:tcBorders>
          </w:tcPr>
          <w:p w14:paraId="4B6C73DC" w14:textId="77777777" w:rsidR="00B27F2D" w:rsidRPr="00265BD1"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1AA5A5BA" w14:textId="77777777" w:rsidR="00B27F2D" w:rsidRPr="00265BD1"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YES</w:t>
            </w:r>
          </w:p>
        </w:tc>
        <w:tc>
          <w:tcPr>
            <w:tcW w:w="1422" w:type="dxa"/>
            <w:tcBorders>
              <w:top w:val="nil"/>
              <w:left w:val="nil"/>
              <w:bottom w:val="nil"/>
              <w:right w:val="nil"/>
            </w:tcBorders>
          </w:tcPr>
          <w:p w14:paraId="5FD38C23" w14:textId="77777777" w:rsidR="00B27F2D" w:rsidRPr="00265BD1"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YES</w:t>
            </w:r>
          </w:p>
        </w:tc>
      </w:tr>
      <w:tr w:rsidR="00B27F2D" w:rsidRPr="00F613C9" w14:paraId="36991AF9" w14:textId="77777777" w:rsidTr="00B27F2D">
        <w:trPr>
          <w:gridAfter w:val="1"/>
          <w:wAfter w:w="11" w:type="dxa"/>
        </w:trPr>
        <w:tc>
          <w:tcPr>
            <w:tcW w:w="3685" w:type="dxa"/>
            <w:tcBorders>
              <w:top w:val="nil"/>
              <w:left w:val="nil"/>
              <w:bottom w:val="nil"/>
              <w:right w:val="nil"/>
            </w:tcBorders>
          </w:tcPr>
          <w:p w14:paraId="020CC27E" w14:textId="77777777" w:rsidR="00B27F2D" w:rsidRPr="00F613C9" w:rsidRDefault="00B27F2D" w:rsidP="00B27F2D">
            <w:pPr>
              <w:spacing w:after="0"/>
              <w:rPr>
                <w:rFonts w:ascii="Times New Roman" w:eastAsia="SimSun" w:hAnsi="Times New Roman"/>
                <w:color w:val="000000"/>
                <w:sz w:val="18"/>
                <w:szCs w:val="18"/>
                <w:lang w:val="en-US"/>
              </w:rPr>
            </w:pPr>
            <w:r w:rsidRPr="00F613C9">
              <w:rPr>
                <w:rFonts w:ascii="Times New Roman" w:eastAsia="SimSun" w:hAnsi="Times New Roman"/>
                <w:color w:val="000000"/>
                <w:sz w:val="18"/>
                <w:szCs w:val="18"/>
                <w:lang w:val="en-US"/>
              </w:rPr>
              <w:t>Lagged-VCTP</w:t>
            </w:r>
          </w:p>
        </w:tc>
        <w:tc>
          <w:tcPr>
            <w:tcW w:w="1135" w:type="dxa"/>
            <w:tcBorders>
              <w:top w:val="nil"/>
              <w:left w:val="nil"/>
              <w:bottom w:val="nil"/>
              <w:right w:val="nil"/>
            </w:tcBorders>
          </w:tcPr>
          <w:p w14:paraId="3E8E05BC"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417" w:type="dxa"/>
            <w:tcBorders>
              <w:top w:val="nil"/>
              <w:left w:val="nil"/>
              <w:bottom w:val="nil"/>
              <w:right w:val="nil"/>
            </w:tcBorders>
          </w:tcPr>
          <w:p w14:paraId="697ECC59"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6" w:type="dxa"/>
            <w:tcBorders>
              <w:top w:val="nil"/>
              <w:left w:val="nil"/>
              <w:bottom w:val="nil"/>
              <w:right w:val="nil"/>
            </w:tcBorders>
          </w:tcPr>
          <w:p w14:paraId="40725503"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7D343664" w14:textId="77777777" w:rsidR="00B27F2D" w:rsidRPr="00F613C9" w:rsidRDefault="00B27F2D" w:rsidP="00B27F2D">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5717A685" w14:textId="77777777" w:rsidR="00B27F2D" w:rsidRPr="00F613C9" w:rsidRDefault="00B27F2D" w:rsidP="00B27F2D">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w:t>
            </w:r>
          </w:p>
        </w:tc>
        <w:tc>
          <w:tcPr>
            <w:tcW w:w="239" w:type="dxa"/>
            <w:gridSpan w:val="2"/>
            <w:tcBorders>
              <w:top w:val="nil"/>
              <w:left w:val="nil"/>
              <w:bottom w:val="nil"/>
              <w:right w:val="nil"/>
            </w:tcBorders>
          </w:tcPr>
          <w:p w14:paraId="415C1076" w14:textId="77777777" w:rsidR="00B27F2D" w:rsidRPr="00F613C9" w:rsidRDefault="00B27F2D" w:rsidP="00B27F2D">
            <w:pPr>
              <w:spacing w:after="0"/>
              <w:rPr>
                <w:rFonts w:ascii="Times New Roman" w:eastAsia="Times New Roman" w:hAnsi="Times New Roman"/>
                <w:sz w:val="18"/>
                <w:szCs w:val="18"/>
                <w:vertAlign w:val="superscript"/>
              </w:rPr>
            </w:pPr>
          </w:p>
        </w:tc>
        <w:tc>
          <w:tcPr>
            <w:tcW w:w="1389" w:type="dxa"/>
            <w:gridSpan w:val="2"/>
            <w:tcBorders>
              <w:top w:val="nil"/>
              <w:left w:val="nil"/>
              <w:bottom w:val="nil"/>
              <w:right w:val="nil"/>
            </w:tcBorders>
          </w:tcPr>
          <w:p w14:paraId="03F05809" w14:textId="77777777" w:rsidR="00B27F2D" w:rsidRPr="00F613C9" w:rsidRDefault="00B27F2D" w:rsidP="00B27F2D">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0.</w:t>
            </w:r>
            <w:r>
              <w:rPr>
                <w:rFonts w:ascii="Times New Roman" w:eastAsia="Times New Roman" w:hAnsi="Times New Roman"/>
                <w:sz w:val="18"/>
                <w:szCs w:val="18"/>
              </w:rPr>
              <w:t>695</w:t>
            </w:r>
            <w:r w:rsidRPr="00F613C9">
              <w:rPr>
                <w:rFonts w:ascii="Times New Roman" w:eastAsia="Times New Roman" w:hAnsi="Times New Roman"/>
                <w:sz w:val="18"/>
                <w:szCs w:val="18"/>
                <w:vertAlign w:val="superscript"/>
              </w:rPr>
              <w:t>***</w:t>
            </w:r>
          </w:p>
        </w:tc>
        <w:tc>
          <w:tcPr>
            <w:tcW w:w="1422" w:type="dxa"/>
            <w:tcBorders>
              <w:top w:val="nil"/>
              <w:left w:val="nil"/>
              <w:bottom w:val="nil"/>
              <w:right w:val="nil"/>
            </w:tcBorders>
          </w:tcPr>
          <w:p w14:paraId="366E0A97" w14:textId="77777777" w:rsidR="00B27F2D" w:rsidRPr="00F613C9" w:rsidRDefault="00B27F2D" w:rsidP="00B27F2D">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0.</w:t>
            </w:r>
            <w:r>
              <w:rPr>
                <w:rFonts w:ascii="Times New Roman" w:eastAsia="Times New Roman" w:hAnsi="Times New Roman"/>
                <w:sz w:val="18"/>
                <w:szCs w:val="18"/>
              </w:rPr>
              <w:t>790</w:t>
            </w:r>
            <w:r w:rsidRPr="00F613C9">
              <w:rPr>
                <w:rFonts w:ascii="Times New Roman" w:eastAsia="Times New Roman" w:hAnsi="Times New Roman"/>
                <w:sz w:val="18"/>
                <w:szCs w:val="18"/>
                <w:vertAlign w:val="superscript"/>
              </w:rPr>
              <w:t>***</w:t>
            </w:r>
          </w:p>
        </w:tc>
      </w:tr>
      <w:tr w:rsidR="00B27F2D" w:rsidRPr="00F613C9" w14:paraId="59C006B4" w14:textId="77777777" w:rsidTr="00B27F2D">
        <w:trPr>
          <w:gridAfter w:val="1"/>
          <w:wAfter w:w="11" w:type="dxa"/>
        </w:trPr>
        <w:tc>
          <w:tcPr>
            <w:tcW w:w="3685" w:type="dxa"/>
            <w:tcBorders>
              <w:top w:val="nil"/>
              <w:left w:val="nil"/>
              <w:bottom w:val="nil"/>
              <w:right w:val="nil"/>
            </w:tcBorders>
          </w:tcPr>
          <w:p w14:paraId="2AAC8D50" w14:textId="77777777" w:rsidR="00B27F2D" w:rsidRPr="00F613C9" w:rsidRDefault="00B27F2D" w:rsidP="00B27F2D">
            <w:pPr>
              <w:spacing w:after="0"/>
              <w:rPr>
                <w:rFonts w:ascii="Times New Roman" w:eastAsia="SimSun" w:hAnsi="Times New Roman"/>
                <w:i/>
                <w:iCs/>
                <w:color w:val="000000"/>
                <w:sz w:val="18"/>
                <w:szCs w:val="18"/>
                <w:lang w:val="en-US"/>
              </w:rPr>
            </w:pPr>
            <w:r w:rsidRPr="00F613C9">
              <w:rPr>
                <w:rFonts w:ascii="Times New Roman" w:eastAsia="SimSun" w:hAnsi="Times New Roman"/>
                <w:color w:val="000000"/>
                <w:sz w:val="18"/>
                <w:szCs w:val="18"/>
                <w:lang w:val="en-US"/>
              </w:rPr>
              <w:t>Constant</w:t>
            </w:r>
          </w:p>
        </w:tc>
        <w:tc>
          <w:tcPr>
            <w:tcW w:w="1135" w:type="dxa"/>
            <w:tcBorders>
              <w:top w:val="nil"/>
              <w:left w:val="nil"/>
              <w:bottom w:val="nil"/>
              <w:right w:val="nil"/>
            </w:tcBorders>
          </w:tcPr>
          <w:p w14:paraId="38B5FB26" w14:textId="77777777" w:rsidR="00B27F2D" w:rsidRPr="00F613C9"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1.027</w:t>
            </w:r>
            <w:r w:rsidRPr="00F613C9">
              <w:rPr>
                <w:rFonts w:ascii="Times New Roman" w:eastAsia="Times New Roman" w:hAnsi="Times New Roman"/>
                <w:sz w:val="18"/>
                <w:szCs w:val="18"/>
                <w:vertAlign w:val="superscript"/>
              </w:rPr>
              <w:t>***</w:t>
            </w:r>
          </w:p>
        </w:tc>
        <w:tc>
          <w:tcPr>
            <w:tcW w:w="1417" w:type="dxa"/>
            <w:tcBorders>
              <w:top w:val="nil"/>
              <w:left w:val="nil"/>
              <w:bottom w:val="nil"/>
              <w:right w:val="nil"/>
            </w:tcBorders>
          </w:tcPr>
          <w:p w14:paraId="3870A66A" w14:textId="77777777" w:rsidR="00B27F2D" w:rsidRPr="00F613C9" w:rsidRDefault="00B27F2D" w:rsidP="00B27F2D">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1.</w:t>
            </w:r>
            <w:r>
              <w:rPr>
                <w:rFonts w:ascii="Times New Roman" w:eastAsia="Times New Roman" w:hAnsi="Times New Roman"/>
                <w:sz w:val="18"/>
                <w:szCs w:val="18"/>
              </w:rPr>
              <w:t>531</w:t>
            </w:r>
            <w:r w:rsidRPr="00F613C9">
              <w:rPr>
                <w:rFonts w:ascii="Times New Roman" w:eastAsia="Times New Roman" w:hAnsi="Times New Roman"/>
                <w:sz w:val="18"/>
                <w:szCs w:val="18"/>
                <w:vertAlign w:val="superscript"/>
              </w:rPr>
              <w:t>***</w:t>
            </w:r>
          </w:p>
        </w:tc>
        <w:tc>
          <w:tcPr>
            <w:tcW w:w="236" w:type="dxa"/>
            <w:tcBorders>
              <w:top w:val="nil"/>
              <w:left w:val="nil"/>
              <w:bottom w:val="nil"/>
              <w:right w:val="nil"/>
            </w:tcBorders>
          </w:tcPr>
          <w:p w14:paraId="54AD0088"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0BFA3AF3" w14:textId="77777777" w:rsidR="00B27F2D" w:rsidRPr="00F613C9"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0.346</w:t>
            </w:r>
            <w:r w:rsidRPr="00F613C9">
              <w:rPr>
                <w:rFonts w:ascii="Times New Roman" w:eastAsia="Times New Roman" w:hAnsi="Times New Roman"/>
                <w:sz w:val="18"/>
                <w:szCs w:val="18"/>
                <w:vertAlign w:val="superscript"/>
              </w:rPr>
              <w:t>***</w:t>
            </w:r>
          </w:p>
        </w:tc>
        <w:tc>
          <w:tcPr>
            <w:tcW w:w="1137" w:type="dxa"/>
            <w:tcBorders>
              <w:top w:val="nil"/>
              <w:left w:val="nil"/>
              <w:bottom w:val="nil"/>
              <w:right w:val="nil"/>
            </w:tcBorders>
          </w:tcPr>
          <w:p w14:paraId="19B43214" w14:textId="77777777" w:rsidR="00B27F2D" w:rsidRPr="00F613C9"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0.425</w:t>
            </w:r>
            <w:r w:rsidRPr="00F613C9">
              <w:rPr>
                <w:rFonts w:ascii="Times New Roman" w:eastAsia="Times New Roman" w:hAnsi="Times New Roman"/>
                <w:sz w:val="18"/>
                <w:szCs w:val="18"/>
                <w:vertAlign w:val="superscript"/>
              </w:rPr>
              <w:t>***</w:t>
            </w:r>
          </w:p>
        </w:tc>
        <w:tc>
          <w:tcPr>
            <w:tcW w:w="239" w:type="dxa"/>
            <w:gridSpan w:val="2"/>
            <w:tcBorders>
              <w:top w:val="nil"/>
              <w:left w:val="nil"/>
              <w:bottom w:val="nil"/>
              <w:right w:val="nil"/>
            </w:tcBorders>
          </w:tcPr>
          <w:p w14:paraId="30F1ECC7" w14:textId="77777777" w:rsidR="00B27F2D" w:rsidRPr="00F613C9"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4C155B05" w14:textId="77777777" w:rsidR="00B27F2D" w:rsidRPr="00F613C9" w:rsidRDefault="00B27F2D" w:rsidP="00B27F2D">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0.</w:t>
            </w:r>
            <w:r>
              <w:rPr>
                <w:rFonts w:ascii="Times New Roman" w:eastAsia="Times New Roman" w:hAnsi="Times New Roman"/>
                <w:sz w:val="18"/>
                <w:szCs w:val="18"/>
              </w:rPr>
              <w:t>218</w:t>
            </w:r>
            <w:r w:rsidRPr="00F613C9">
              <w:rPr>
                <w:rFonts w:ascii="Times New Roman" w:eastAsia="Times New Roman" w:hAnsi="Times New Roman"/>
                <w:sz w:val="18"/>
                <w:szCs w:val="18"/>
                <w:vertAlign w:val="superscript"/>
              </w:rPr>
              <w:t>***</w:t>
            </w:r>
          </w:p>
        </w:tc>
        <w:tc>
          <w:tcPr>
            <w:tcW w:w="1422" w:type="dxa"/>
            <w:tcBorders>
              <w:top w:val="nil"/>
              <w:left w:val="nil"/>
              <w:bottom w:val="nil"/>
              <w:right w:val="nil"/>
            </w:tcBorders>
          </w:tcPr>
          <w:p w14:paraId="6A51A8A7" w14:textId="77777777" w:rsidR="00B27F2D" w:rsidRPr="00F613C9" w:rsidRDefault="00B27F2D" w:rsidP="00B27F2D">
            <w:pPr>
              <w:spacing w:after="0"/>
              <w:rPr>
                <w:rFonts w:ascii="Times New Roman" w:eastAsia="Times New Roman" w:hAnsi="Times New Roman"/>
                <w:sz w:val="18"/>
                <w:szCs w:val="18"/>
                <w:vertAlign w:val="superscript"/>
              </w:rPr>
            </w:pPr>
            <w:r w:rsidRPr="00F613C9">
              <w:rPr>
                <w:rFonts w:ascii="Times New Roman" w:eastAsia="Times New Roman" w:hAnsi="Times New Roman"/>
                <w:sz w:val="18"/>
                <w:szCs w:val="18"/>
              </w:rPr>
              <w:t>0.</w:t>
            </w:r>
            <w:r>
              <w:rPr>
                <w:rFonts w:ascii="Times New Roman" w:eastAsia="Times New Roman" w:hAnsi="Times New Roman"/>
                <w:sz w:val="18"/>
                <w:szCs w:val="18"/>
              </w:rPr>
              <w:t>119</w:t>
            </w:r>
          </w:p>
        </w:tc>
      </w:tr>
      <w:tr w:rsidR="00B27F2D" w:rsidRPr="00F613C9" w14:paraId="1B50CDBB" w14:textId="77777777" w:rsidTr="00B27F2D">
        <w:trPr>
          <w:gridAfter w:val="1"/>
          <w:wAfter w:w="11" w:type="dxa"/>
        </w:trPr>
        <w:tc>
          <w:tcPr>
            <w:tcW w:w="3685" w:type="dxa"/>
            <w:tcBorders>
              <w:top w:val="nil"/>
              <w:left w:val="nil"/>
              <w:bottom w:val="nil"/>
              <w:right w:val="nil"/>
            </w:tcBorders>
          </w:tcPr>
          <w:p w14:paraId="36CE00C8" w14:textId="77777777" w:rsidR="00B27F2D" w:rsidRPr="00F613C9" w:rsidRDefault="00B27F2D" w:rsidP="00B27F2D">
            <w:pPr>
              <w:spacing w:after="0"/>
              <w:rPr>
                <w:rFonts w:ascii="Times New Roman" w:eastAsia="SimSun" w:hAnsi="Times New Roman"/>
                <w:i/>
                <w:iCs/>
                <w:color w:val="000000"/>
                <w:sz w:val="18"/>
                <w:szCs w:val="18"/>
                <w:lang w:val="en-US"/>
              </w:rPr>
            </w:pPr>
            <w:r w:rsidRPr="00F613C9">
              <w:rPr>
                <w:rFonts w:ascii="Times New Roman" w:eastAsia="SimSun" w:hAnsi="Times New Roman"/>
                <w:color w:val="000000"/>
                <w:sz w:val="18"/>
                <w:szCs w:val="18"/>
                <w:lang w:val="en-US"/>
              </w:rPr>
              <w:t>AR (1) test</w:t>
            </w:r>
            <w:r>
              <w:rPr>
                <w:rFonts w:ascii="Times New Roman" w:eastAsia="SimSun" w:hAnsi="Times New Roman"/>
                <w:color w:val="000000"/>
                <w:sz w:val="18"/>
                <w:szCs w:val="18"/>
                <w:lang w:val="en-US"/>
              </w:rPr>
              <w:t xml:space="preserve"> p-value</w:t>
            </w:r>
          </w:p>
        </w:tc>
        <w:tc>
          <w:tcPr>
            <w:tcW w:w="1135" w:type="dxa"/>
            <w:tcBorders>
              <w:top w:val="nil"/>
              <w:left w:val="nil"/>
              <w:bottom w:val="nil"/>
              <w:right w:val="nil"/>
            </w:tcBorders>
          </w:tcPr>
          <w:p w14:paraId="1800C6E2"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417" w:type="dxa"/>
            <w:tcBorders>
              <w:top w:val="nil"/>
              <w:left w:val="nil"/>
              <w:bottom w:val="nil"/>
              <w:right w:val="nil"/>
            </w:tcBorders>
          </w:tcPr>
          <w:p w14:paraId="70DA97DA"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6" w:type="dxa"/>
            <w:tcBorders>
              <w:top w:val="nil"/>
              <w:left w:val="nil"/>
              <w:bottom w:val="nil"/>
              <w:right w:val="nil"/>
            </w:tcBorders>
          </w:tcPr>
          <w:p w14:paraId="0D00788A"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661D00CD"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01B49AEF"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9" w:type="dxa"/>
            <w:gridSpan w:val="2"/>
            <w:tcBorders>
              <w:top w:val="nil"/>
              <w:left w:val="nil"/>
              <w:bottom w:val="nil"/>
              <w:right w:val="nil"/>
            </w:tcBorders>
          </w:tcPr>
          <w:p w14:paraId="08A869DE" w14:textId="77777777" w:rsidR="00B27F2D" w:rsidRPr="00F613C9"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3FF20F1E" w14:textId="77777777" w:rsidR="00B27F2D" w:rsidRPr="00F613C9"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0.000</w:t>
            </w:r>
          </w:p>
        </w:tc>
        <w:tc>
          <w:tcPr>
            <w:tcW w:w="1422" w:type="dxa"/>
            <w:tcBorders>
              <w:top w:val="nil"/>
              <w:left w:val="nil"/>
              <w:bottom w:val="nil"/>
              <w:right w:val="nil"/>
            </w:tcBorders>
          </w:tcPr>
          <w:p w14:paraId="443AB579" w14:textId="77777777" w:rsidR="00B27F2D" w:rsidRPr="00F613C9" w:rsidRDefault="00B27F2D" w:rsidP="00B27F2D">
            <w:pPr>
              <w:spacing w:after="0"/>
              <w:rPr>
                <w:rFonts w:ascii="Times New Roman" w:eastAsia="Times New Roman" w:hAnsi="Times New Roman"/>
                <w:sz w:val="18"/>
                <w:szCs w:val="18"/>
                <w:vertAlign w:val="superscript"/>
              </w:rPr>
            </w:pPr>
            <w:r>
              <w:rPr>
                <w:rFonts w:ascii="Times New Roman" w:eastAsia="Times New Roman" w:hAnsi="Times New Roman"/>
                <w:sz w:val="18"/>
                <w:szCs w:val="18"/>
              </w:rPr>
              <w:t>0.000</w:t>
            </w:r>
          </w:p>
        </w:tc>
      </w:tr>
      <w:tr w:rsidR="00B27F2D" w:rsidRPr="00F613C9" w14:paraId="3FB74219" w14:textId="77777777" w:rsidTr="00B27F2D">
        <w:trPr>
          <w:gridAfter w:val="1"/>
          <w:wAfter w:w="11" w:type="dxa"/>
        </w:trPr>
        <w:tc>
          <w:tcPr>
            <w:tcW w:w="3685" w:type="dxa"/>
            <w:tcBorders>
              <w:top w:val="nil"/>
              <w:left w:val="nil"/>
              <w:bottom w:val="nil"/>
              <w:right w:val="nil"/>
            </w:tcBorders>
          </w:tcPr>
          <w:p w14:paraId="05F1528F" w14:textId="77777777" w:rsidR="00B27F2D" w:rsidRPr="00F613C9" w:rsidRDefault="00B27F2D" w:rsidP="00B27F2D">
            <w:pPr>
              <w:spacing w:after="0"/>
              <w:rPr>
                <w:rFonts w:ascii="Times New Roman" w:eastAsia="SimSun" w:hAnsi="Times New Roman"/>
                <w:i/>
                <w:iCs/>
                <w:color w:val="000000"/>
                <w:sz w:val="18"/>
                <w:szCs w:val="18"/>
                <w:lang w:val="en-US"/>
              </w:rPr>
            </w:pPr>
            <w:r w:rsidRPr="00F613C9">
              <w:rPr>
                <w:rFonts w:ascii="Times New Roman" w:eastAsia="SimSun" w:hAnsi="Times New Roman"/>
                <w:color w:val="000000"/>
                <w:sz w:val="18"/>
                <w:szCs w:val="18"/>
                <w:lang w:val="en-US"/>
              </w:rPr>
              <w:t>AR (2) test</w:t>
            </w:r>
            <w:r>
              <w:rPr>
                <w:rFonts w:ascii="Times New Roman" w:eastAsia="SimSun" w:hAnsi="Times New Roman"/>
                <w:color w:val="000000"/>
                <w:sz w:val="18"/>
                <w:szCs w:val="18"/>
                <w:lang w:val="en-US"/>
              </w:rPr>
              <w:t xml:space="preserve"> p-value</w:t>
            </w:r>
          </w:p>
        </w:tc>
        <w:tc>
          <w:tcPr>
            <w:tcW w:w="1135" w:type="dxa"/>
            <w:tcBorders>
              <w:top w:val="nil"/>
              <w:left w:val="nil"/>
              <w:bottom w:val="nil"/>
              <w:right w:val="nil"/>
            </w:tcBorders>
          </w:tcPr>
          <w:p w14:paraId="15F8E057"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417" w:type="dxa"/>
            <w:tcBorders>
              <w:top w:val="nil"/>
              <w:left w:val="nil"/>
              <w:bottom w:val="nil"/>
              <w:right w:val="nil"/>
            </w:tcBorders>
          </w:tcPr>
          <w:p w14:paraId="07C3196A"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6" w:type="dxa"/>
            <w:tcBorders>
              <w:top w:val="nil"/>
              <w:left w:val="nil"/>
              <w:bottom w:val="nil"/>
              <w:right w:val="nil"/>
            </w:tcBorders>
          </w:tcPr>
          <w:p w14:paraId="62B2A6A3"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7AAF9EB7"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3E68DB13"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9" w:type="dxa"/>
            <w:gridSpan w:val="2"/>
            <w:tcBorders>
              <w:top w:val="nil"/>
              <w:left w:val="nil"/>
              <w:bottom w:val="nil"/>
              <w:right w:val="nil"/>
            </w:tcBorders>
          </w:tcPr>
          <w:p w14:paraId="57A946D6" w14:textId="77777777" w:rsidR="00B27F2D" w:rsidRPr="00F613C9"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nil"/>
              <w:right w:val="nil"/>
            </w:tcBorders>
          </w:tcPr>
          <w:p w14:paraId="140F5EE7"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0.858</w:t>
            </w:r>
          </w:p>
        </w:tc>
        <w:tc>
          <w:tcPr>
            <w:tcW w:w="1422" w:type="dxa"/>
            <w:tcBorders>
              <w:top w:val="nil"/>
              <w:left w:val="nil"/>
              <w:bottom w:val="nil"/>
              <w:right w:val="nil"/>
            </w:tcBorders>
          </w:tcPr>
          <w:p w14:paraId="2CB8919F"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0.252</w:t>
            </w:r>
          </w:p>
        </w:tc>
      </w:tr>
      <w:tr w:rsidR="00B27F2D" w:rsidRPr="00F613C9" w14:paraId="79006E5A" w14:textId="77777777" w:rsidTr="00B27F2D">
        <w:trPr>
          <w:gridAfter w:val="1"/>
          <w:wAfter w:w="11" w:type="dxa"/>
          <w:trHeight w:val="68"/>
        </w:trPr>
        <w:tc>
          <w:tcPr>
            <w:tcW w:w="3685" w:type="dxa"/>
            <w:tcBorders>
              <w:top w:val="nil"/>
              <w:left w:val="nil"/>
              <w:right w:val="nil"/>
            </w:tcBorders>
          </w:tcPr>
          <w:p w14:paraId="746FA1E7" w14:textId="77777777" w:rsidR="00B27F2D" w:rsidRPr="006B5786" w:rsidRDefault="00B27F2D" w:rsidP="00B27F2D">
            <w:pPr>
              <w:spacing w:after="0"/>
              <w:rPr>
                <w:rFonts w:ascii="Times New Roman" w:eastAsia="SimSun" w:hAnsi="Times New Roman"/>
                <w:i/>
                <w:sz w:val="20"/>
                <w:szCs w:val="20"/>
                <w:lang w:val="en-US"/>
              </w:rPr>
            </w:pPr>
            <w:proofErr w:type="spellStart"/>
            <w:r w:rsidRPr="008D07AC">
              <w:rPr>
                <w:rFonts w:ascii="Times New Roman" w:eastAsia="SimSun" w:hAnsi="Times New Roman"/>
                <w:color w:val="000000"/>
                <w:sz w:val="18"/>
                <w:szCs w:val="18"/>
                <w:lang w:val="en-US"/>
              </w:rPr>
              <w:t>Sargan</w:t>
            </w:r>
            <w:proofErr w:type="spellEnd"/>
            <w:r w:rsidRPr="008D07AC">
              <w:rPr>
                <w:rFonts w:ascii="Times New Roman" w:eastAsia="SimSun" w:hAnsi="Times New Roman"/>
                <w:color w:val="000000"/>
                <w:sz w:val="18"/>
                <w:szCs w:val="18"/>
                <w:lang w:val="en-US"/>
              </w:rPr>
              <w:t xml:space="preserve"> </w:t>
            </w:r>
            <w:r>
              <w:rPr>
                <w:rFonts w:ascii="Times New Roman" w:eastAsia="SimSun" w:hAnsi="Times New Roman"/>
                <w:color w:val="000000"/>
                <w:sz w:val="18"/>
                <w:szCs w:val="18"/>
                <w:lang w:val="en-US"/>
              </w:rPr>
              <w:t>t</w:t>
            </w:r>
            <w:r w:rsidRPr="008D07AC">
              <w:rPr>
                <w:rFonts w:ascii="Times New Roman" w:eastAsia="SimSun" w:hAnsi="Times New Roman"/>
                <w:color w:val="000000"/>
                <w:sz w:val="18"/>
                <w:szCs w:val="18"/>
                <w:lang w:val="en-US"/>
              </w:rPr>
              <w:t>es</w:t>
            </w:r>
            <w:r>
              <w:rPr>
                <w:rFonts w:ascii="Times New Roman" w:eastAsia="SimSun" w:hAnsi="Times New Roman"/>
                <w:color w:val="000000"/>
                <w:sz w:val="18"/>
                <w:szCs w:val="18"/>
                <w:lang w:val="en-US"/>
              </w:rPr>
              <w:t>t</w:t>
            </w:r>
            <w:r w:rsidRPr="008D07AC">
              <w:rPr>
                <w:rFonts w:ascii="Times New Roman" w:eastAsia="SimSun" w:hAnsi="Times New Roman"/>
                <w:color w:val="000000"/>
                <w:sz w:val="18"/>
                <w:szCs w:val="18"/>
                <w:lang w:val="en-US"/>
              </w:rPr>
              <w:t xml:space="preserve"> p-value</w:t>
            </w:r>
          </w:p>
        </w:tc>
        <w:tc>
          <w:tcPr>
            <w:tcW w:w="1135" w:type="dxa"/>
            <w:tcBorders>
              <w:top w:val="nil"/>
              <w:left w:val="nil"/>
              <w:bottom w:val="nil"/>
              <w:right w:val="nil"/>
            </w:tcBorders>
          </w:tcPr>
          <w:p w14:paraId="79A31F8A"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417" w:type="dxa"/>
            <w:tcBorders>
              <w:top w:val="nil"/>
              <w:left w:val="nil"/>
              <w:bottom w:val="nil"/>
              <w:right w:val="nil"/>
            </w:tcBorders>
          </w:tcPr>
          <w:p w14:paraId="01FDDE75"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6" w:type="dxa"/>
            <w:tcBorders>
              <w:top w:val="nil"/>
              <w:left w:val="nil"/>
              <w:bottom w:val="nil"/>
              <w:right w:val="nil"/>
            </w:tcBorders>
          </w:tcPr>
          <w:p w14:paraId="034BE295"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nil"/>
              <w:right w:val="nil"/>
            </w:tcBorders>
          </w:tcPr>
          <w:p w14:paraId="11402AD4" w14:textId="77777777" w:rsidR="00B27F2D"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1137" w:type="dxa"/>
            <w:tcBorders>
              <w:top w:val="nil"/>
              <w:left w:val="nil"/>
              <w:bottom w:val="nil"/>
              <w:right w:val="nil"/>
            </w:tcBorders>
          </w:tcPr>
          <w:p w14:paraId="65B7B012" w14:textId="77777777" w:rsidR="00B27F2D"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w:t>
            </w:r>
          </w:p>
        </w:tc>
        <w:tc>
          <w:tcPr>
            <w:tcW w:w="239" w:type="dxa"/>
            <w:gridSpan w:val="2"/>
            <w:tcBorders>
              <w:top w:val="nil"/>
              <w:left w:val="nil"/>
              <w:right w:val="nil"/>
            </w:tcBorders>
          </w:tcPr>
          <w:p w14:paraId="52EA896F" w14:textId="77777777" w:rsidR="00B27F2D" w:rsidRPr="00F613C9" w:rsidRDefault="00B27F2D" w:rsidP="00B27F2D">
            <w:pPr>
              <w:spacing w:after="0"/>
              <w:rPr>
                <w:rFonts w:ascii="Times New Roman" w:eastAsia="Times New Roman" w:hAnsi="Times New Roman"/>
                <w:sz w:val="18"/>
                <w:szCs w:val="18"/>
              </w:rPr>
            </w:pPr>
          </w:p>
        </w:tc>
        <w:tc>
          <w:tcPr>
            <w:tcW w:w="1389" w:type="dxa"/>
            <w:gridSpan w:val="2"/>
            <w:tcBorders>
              <w:top w:val="nil"/>
              <w:left w:val="nil"/>
              <w:right w:val="nil"/>
            </w:tcBorders>
          </w:tcPr>
          <w:p w14:paraId="0AA7485C"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0.579</w:t>
            </w:r>
          </w:p>
        </w:tc>
        <w:tc>
          <w:tcPr>
            <w:tcW w:w="1422" w:type="dxa"/>
            <w:tcBorders>
              <w:top w:val="nil"/>
              <w:left w:val="nil"/>
              <w:right w:val="nil"/>
            </w:tcBorders>
          </w:tcPr>
          <w:p w14:paraId="4E8FAD84"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0.977</w:t>
            </w:r>
          </w:p>
        </w:tc>
      </w:tr>
      <w:tr w:rsidR="00B27F2D" w:rsidRPr="00F613C9" w14:paraId="0CA0A215" w14:textId="77777777" w:rsidTr="00B27F2D">
        <w:trPr>
          <w:gridAfter w:val="1"/>
          <w:wAfter w:w="11" w:type="dxa"/>
          <w:trHeight w:val="68"/>
        </w:trPr>
        <w:tc>
          <w:tcPr>
            <w:tcW w:w="3685" w:type="dxa"/>
            <w:tcBorders>
              <w:top w:val="nil"/>
              <w:left w:val="nil"/>
              <w:right w:val="nil"/>
            </w:tcBorders>
          </w:tcPr>
          <w:p w14:paraId="209664E3" w14:textId="77777777" w:rsidR="00B27F2D" w:rsidRPr="00F613C9" w:rsidRDefault="00B27F2D" w:rsidP="00B27F2D">
            <w:pPr>
              <w:spacing w:after="0"/>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Hansen (Diff) p-value</w:t>
            </w:r>
          </w:p>
        </w:tc>
        <w:tc>
          <w:tcPr>
            <w:tcW w:w="1135" w:type="dxa"/>
            <w:tcBorders>
              <w:top w:val="nil"/>
              <w:left w:val="nil"/>
              <w:right w:val="nil"/>
            </w:tcBorders>
          </w:tcPr>
          <w:p w14:paraId="44A92B69"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0.</w:t>
            </w:r>
            <w:r>
              <w:rPr>
                <w:rFonts w:ascii="Times New Roman" w:eastAsia="Times New Roman" w:hAnsi="Times New Roman"/>
                <w:sz w:val="18"/>
                <w:szCs w:val="18"/>
              </w:rPr>
              <w:t>564</w:t>
            </w:r>
          </w:p>
        </w:tc>
        <w:tc>
          <w:tcPr>
            <w:tcW w:w="1417" w:type="dxa"/>
            <w:tcBorders>
              <w:top w:val="nil"/>
              <w:left w:val="nil"/>
              <w:right w:val="nil"/>
            </w:tcBorders>
          </w:tcPr>
          <w:p w14:paraId="28F337E8"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0.4</w:t>
            </w:r>
            <w:r>
              <w:rPr>
                <w:rFonts w:ascii="Times New Roman" w:eastAsia="Times New Roman" w:hAnsi="Times New Roman"/>
                <w:sz w:val="18"/>
                <w:szCs w:val="18"/>
              </w:rPr>
              <w:t>94</w:t>
            </w:r>
          </w:p>
        </w:tc>
        <w:tc>
          <w:tcPr>
            <w:tcW w:w="236" w:type="dxa"/>
            <w:tcBorders>
              <w:top w:val="nil"/>
              <w:left w:val="nil"/>
              <w:right w:val="nil"/>
            </w:tcBorders>
          </w:tcPr>
          <w:p w14:paraId="15B4942E"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right w:val="nil"/>
            </w:tcBorders>
          </w:tcPr>
          <w:p w14:paraId="4BA55478"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0.651</w:t>
            </w:r>
          </w:p>
        </w:tc>
        <w:tc>
          <w:tcPr>
            <w:tcW w:w="1137" w:type="dxa"/>
            <w:tcBorders>
              <w:top w:val="nil"/>
              <w:left w:val="nil"/>
              <w:right w:val="nil"/>
            </w:tcBorders>
          </w:tcPr>
          <w:p w14:paraId="20A65C6F"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0.563</w:t>
            </w:r>
          </w:p>
        </w:tc>
        <w:tc>
          <w:tcPr>
            <w:tcW w:w="239" w:type="dxa"/>
            <w:gridSpan w:val="2"/>
            <w:tcBorders>
              <w:top w:val="nil"/>
              <w:left w:val="nil"/>
              <w:right w:val="nil"/>
            </w:tcBorders>
          </w:tcPr>
          <w:p w14:paraId="2934C3D3" w14:textId="77777777" w:rsidR="00B27F2D" w:rsidRPr="00F613C9" w:rsidRDefault="00B27F2D" w:rsidP="00B27F2D">
            <w:pPr>
              <w:spacing w:after="0"/>
              <w:rPr>
                <w:rFonts w:ascii="Times New Roman" w:eastAsia="Times New Roman" w:hAnsi="Times New Roman"/>
                <w:sz w:val="18"/>
                <w:szCs w:val="18"/>
              </w:rPr>
            </w:pPr>
          </w:p>
        </w:tc>
        <w:tc>
          <w:tcPr>
            <w:tcW w:w="1389" w:type="dxa"/>
            <w:gridSpan w:val="2"/>
            <w:tcBorders>
              <w:top w:val="nil"/>
              <w:left w:val="nil"/>
              <w:right w:val="nil"/>
            </w:tcBorders>
          </w:tcPr>
          <w:p w14:paraId="684943A7"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0.737</w:t>
            </w:r>
          </w:p>
        </w:tc>
        <w:tc>
          <w:tcPr>
            <w:tcW w:w="1422" w:type="dxa"/>
            <w:tcBorders>
              <w:top w:val="nil"/>
              <w:left w:val="nil"/>
              <w:right w:val="nil"/>
            </w:tcBorders>
          </w:tcPr>
          <w:p w14:paraId="5DB53AE1" w14:textId="77777777" w:rsidR="00B27F2D" w:rsidRPr="00F613C9" w:rsidRDefault="00B27F2D" w:rsidP="00B27F2D">
            <w:pPr>
              <w:spacing w:after="0"/>
              <w:rPr>
                <w:rFonts w:ascii="Times New Roman" w:eastAsia="Times New Roman" w:hAnsi="Times New Roman"/>
                <w:sz w:val="18"/>
                <w:szCs w:val="18"/>
              </w:rPr>
            </w:pPr>
            <w:r>
              <w:rPr>
                <w:rFonts w:ascii="Times New Roman" w:eastAsia="Times New Roman" w:hAnsi="Times New Roman"/>
                <w:sz w:val="18"/>
                <w:szCs w:val="18"/>
              </w:rPr>
              <w:t>0.731</w:t>
            </w:r>
          </w:p>
        </w:tc>
      </w:tr>
      <w:tr w:rsidR="00B27F2D" w:rsidRPr="00F613C9" w14:paraId="61A8EA6A" w14:textId="77777777" w:rsidTr="00B27F2D">
        <w:trPr>
          <w:gridAfter w:val="1"/>
          <w:wAfter w:w="11" w:type="dxa"/>
        </w:trPr>
        <w:tc>
          <w:tcPr>
            <w:tcW w:w="3685" w:type="dxa"/>
            <w:tcBorders>
              <w:top w:val="nil"/>
              <w:left w:val="nil"/>
              <w:bottom w:val="single" w:sz="2" w:space="0" w:color="auto"/>
              <w:right w:val="nil"/>
            </w:tcBorders>
          </w:tcPr>
          <w:p w14:paraId="0976B907" w14:textId="77777777" w:rsidR="00B27F2D" w:rsidRPr="00F613C9" w:rsidRDefault="00B27F2D" w:rsidP="00B27F2D">
            <w:pPr>
              <w:spacing w:after="0"/>
              <w:rPr>
                <w:rFonts w:ascii="Times New Roman" w:eastAsia="SimSun" w:hAnsi="Times New Roman"/>
                <w:color w:val="000000"/>
                <w:sz w:val="18"/>
                <w:szCs w:val="18"/>
                <w:lang w:val="en-US"/>
              </w:rPr>
            </w:pPr>
            <w:r w:rsidRPr="00F5674C">
              <w:rPr>
                <w:rFonts w:ascii="Times New Roman" w:eastAsia="SimSun" w:hAnsi="Times New Roman" w:cs="Times New Roman"/>
                <w:color w:val="000000"/>
                <w:sz w:val="20"/>
                <w:szCs w:val="20"/>
                <w:lang w:val="en-US"/>
              </w:rPr>
              <w:t>N</w:t>
            </w:r>
            <w:r>
              <w:rPr>
                <w:rFonts w:ascii="Times New Roman" w:eastAsia="SimSun" w:hAnsi="Times New Roman" w:cs="Times New Roman"/>
                <w:color w:val="000000"/>
                <w:sz w:val="20"/>
                <w:szCs w:val="20"/>
                <w:lang w:val="en-US"/>
              </w:rPr>
              <w:t>umber of observations</w:t>
            </w:r>
          </w:p>
        </w:tc>
        <w:tc>
          <w:tcPr>
            <w:tcW w:w="1135" w:type="dxa"/>
            <w:tcBorders>
              <w:top w:val="nil"/>
              <w:left w:val="nil"/>
              <w:bottom w:val="single" w:sz="2" w:space="0" w:color="auto"/>
              <w:right w:val="nil"/>
            </w:tcBorders>
          </w:tcPr>
          <w:p w14:paraId="2AA4FA44"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c>
          <w:tcPr>
            <w:tcW w:w="1417" w:type="dxa"/>
            <w:tcBorders>
              <w:top w:val="nil"/>
              <w:left w:val="nil"/>
              <w:bottom w:val="single" w:sz="2" w:space="0" w:color="auto"/>
              <w:right w:val="nil"/>
            </w:tcBorders>
          </w:tcPr>
          <w:p w14:paraId="1621C970"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c>
          <w:tcPr>
            <w:tcW w:w="236" w:type="dxa"/>
            <w:tcBorders>
              <w:top w:val="nil"/>
              <w:left w:val="nil"/>
              <w:bottom w:val="single" w:sz="2" w:space="0" w:color="auto"/>
              <w:right w:val="nil"/>
            </w:tcBorders>
          </w:tcPr>
          <w:p w14:paraId="29399326" w14:textId="77777777" w:rsidR="00B27F2D" w:rsidRPr="00F613C9" w:rsidRDefault="00B27F2D" w:rsidP="00B27F2D">
            <w:pPr>
              <w:spacing w:after="0"/>
              <w:rPr>
                <w:rFonts w:ascii="Times New Roman" w:eastAsia="Times New Roman" w:hAnsi="Times New Roman"/>
                <w:sz w:val="18"/>
                <w:szCs w:val="18"/>
              </w:rPr>
            </w:pPr>
          </w:p>
        </w:tc>
        <w:tc>
          <w:tcPr>
            <w:tcW w:w="1182" w:type="dxa"/>
            <w:tcBorders>
              <w:top w:val="nil"/>
              <w:left w:val="nil"/>
              <w:bottom w:val="single" w:sz="2" w:space="0" w:color="auto"/>
              <w:right w:val="nil"/>
            </w:tcBorders>
          </w:tcPr>
          <w:p w14:paraId="20CEDAE5"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585</w:t>
            </w:r>
          </w:p>
        </w:tc>
        <w:tc>
          <w:tcPr>
            <w:tcW w:w="1137" w:type="dxa"/>
            <w:tcBorders>
              <w:top w:val="nil"/>
              <w:left w:val="nil"/>
              <w:bottom w:val="single" w:sz="2" w:space="0" w:color="auto"/>
              <w:right w:val="nil"/>
            </w:tcBorders>
          </w:tcPr>
          <w:p w14:paraId="3AB03E9C"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585</w:t>
            </w:r>
          </w:p>
        </w:tc>
        <w:tc>
          <w:tcPr>
            <w:tcW w:w="239" w:type="dxa"/>
            <w:gridSpan w:val="2"/>
            <w:tcBorders>
              <w:top w:val="nil"/>
              <w:left w:val="nil"/>
              <w:bottom w:val="single" w:sz="2" w:space="0" w:color="auto"/>
              <w:right w:val="nil"/>
            </w:tcBorders>
          </w:tcPr>
          <w:p w14:paraId="165EC216" w14:textId="77777777" w:rsidR="00B27F2D" w:rsidRPr="00F613C9" w:rsidRDefault="00B27F2D" w:rsidP="00B27F2D">
            <w:pPr>
              <w:spacing w:after="0"/>
              <w:rPr>
                <w:rFonts w:ascii="Times New Roman" w:eastAsia="Times New Roman" w:hAnsi="Times New Roman"/>
                <w:sz w:val="18"/>
                <w:szCs w:val="18"/>
              </w:rPr>
            </w:pPr>
          </w:p>
        </w:tc>
        <w:tc>
          <w:tcPr>
            <w:tcW w:w="1389" w:type="dxa"/>
            <w:gridSpan w:val="2"/>
            <w:tcBorders>
              <w:top w:val="nil"/>
              <w:left w:val="nil"/>
              <w:bottom w:val="single" w:sz="2" w:space="0" w:color="auto"/>
              <w:right w:val="nil"/>
            </w:tcBorders>
          </w:tcPr>
          <w:p w14:paraId="4C48908C"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c>
          <w:tcPr>
            <w:tcW w:w="1422" w:type="dxa"/>
            <w:tcBorders>
              <w:top w:val="nil"/>
              <w:left w:val="nil"/>
              <w:bottom w:val="single" w:sz="2" w:space="0" w:color="auto"/>
              <w:right w:val="nil"/>
            </w:tcBorders>
          </w:tcPr>
          <w:p w14:paraId="16DE1A70" w14:textId="77777777" w:rsidR="00B27F2D" w:rsidRPr="00F613C9" w:rsidRDefault="00B27F2D" w:rsidP="00B27F2D">
            <w:pPr>
              <w:spacing w:after="0"/>
              <w:rPr>
                <w:rFonts w:ascii="Times New Roman" w:eastAsia="Times New Roman" w:hAnsi="Times New Roman"/>
                <w:sz w:val="18"/>
                <w:szCs w:val="18"/>
              </w:rPr>
            </w:pPr>
            <w:r w:rsidRPr="00F613C9">
              <w:rPr>
                <w:rFonts w:ascii="Times New Roman" w:eastAsia="Times New Roman" w:hAnsi="Times New Roman"/>
                <w:sz w:val="18"/>
                <w:szCs w:val="18"/>
              </w:rPr>
              <w:t>702</w:t>
            </w:r>
          </w:p>
        </w:tc>
      </w:tr>
      <w:tr w:rsidR="00B27F2D" w:rsidRPr="00F613C9" w14:paraId="34E1DF51" w14:textId="77777777" w:rsidTr="00B27F2D">
        <w:trPr>
          <w:gridAfter w:val="1"/>
          <w:wAfter w:w="11" w:type="dxa"/>
        </w:trPr>
        <w:tc>
          <w:tcPr>
            <w:tcW w:w="11842" w:type="dxa"/>
            <w:gridSpan w:val="11"/>
            <w:tcBorders>
              <w:top w:val="single" w:sz="2" w:space="0" w:color="auto"/>
              <w:left w:val="nil"/>
              <w:right w:val="nil"/>
            </w:tcBorders>
          </w:tcPr>
          <w:p w14:paraId="2835D966" w14:textId="77777777" w:rsidR="00B27F2D" w:rsidRPr="00F613C9" w:rsidRDefault="00B27F2D" w:rsidP="00B27F2D">
            <w:pPr>
              <w:spacing w:after="0"/>
              <w:rPr>
                <w:rFonts w:ascii="Times New Roman" w:eastAsia="Times New Roman" w:hAnsi="Times New Roman"/>
                <w:color w:val="000000"/>
                <w:sz w:val="18"/>
                <w:szCs w:val="18"/>
                <w:lang w:val="en-US" w:eastAsia="en-GB"/>
              </w:rPr>
            </w:pPr>
            <w:r w:rsidRPr="00F613C9">
              <w:rPr>
                <w:rFonts w:ascii="Times New Roman" w:eastAsia="Times New Roman" w:hAnsi="Times New Roman"/>
                <w:color w:val="000000"/>
                <w:sz w:val="18"/>
                <w:szCs w:val="18"/>
                <w:lang w:val="en-US" w:eastAsia="en-GB"/>
              </w:rPr>
              <w:t xml:space="preserve">Please </w:t>
            </w:r>
            <w:r>
              <w:rPr>
                <w:rFonts w:ascii="Times New Roman" w:eastAsia="Times New Roman" w:hAnsi="Times New Roman"/>
                <w:color w:val="000000"/>
                <w:sz w:val="18"/>
                <w:szCs w:val="18"/>
                <w:lang w:val="en-US" w:eastAsia="en-GB"/>
              </w:rPr>
              <w:t>refer to the</w:t>
            </w:r>
            <w:r w:rsidRPr="00F613C9">
              <w:rPr>
                <w:rFonts w:ascii="Times New Roman" w:eastAsia="Times New Roman" w:hAnsi="Times New Roman"/>
                <w:color w:val="000000"/>
                <w:sz w:val="18"/>
                <w:szCs w:val="18"/>
                <w:lang w:val="en-US" w:eastAsia="en-GB"/>
              </w:rPr>
              <w:t xml:space="preserve"> </w:t>
            </w:r>
            <w:r w:rsidRPr="008113B5">
              <w:rPr>
                <w:rFonts w:ascii="Times New Roman" w:eastAsia="Times New Roman" w:hAnsi="Times New Roman"/>
                <w:b/>
                <w:bCs/>
                <w:i/>
                <w:iCs/>
                <w:color w:val="000000"/>
                <w:sz w:val="18"/>
                <w:szCs w:val="18"/>
                <w:lang w:val="en-US" w:eastAsia="en-GB"/>
              </w:rPr>
              <w:t>online Appendix 1</w:t>
            </w:r>
            <w:r w:rsidRPr="00F613C9">
              <w:rPr>
                <w:rFonts w:ascii="Times New Roman" w:eastAsia="Times New Roman" w:hAnsi="Times New Roman"/>
                <w:color w:val="000000"/>
                <w:sz w:val="18"/>
                <w:szCs w:val="18"/>
                <w:lang w:val="en-US" w:eastAsia="en-GB"/>
              </w:rPr>
              <w:t xml:space="preserve"> for variable definitions.</w:t>
            </w:r>
            <w:r>
              <w:rPr>
                <w:rFonts w:ascii="Times New Roman" w:eastAsia="Times New Roman" w:hAnsi="Times New Roman"/>
                <w:color w:val="000000"/>
                <w:sz w:val="18"/>
                <w:szCs w:val="18"/>
                <w:lang w:val="en-US" w:eastAsia="en-GB"/>
              </w:rPr>
              <w:t xml:space="preserve"> </w:t>
            </w:r>
            <w:r w:rsidRPr="00F613C9">
              <w:rPr>
                <w:rFonts w:ascii="Times New Roman" w:eastAsia="Calibri" w:hAnsi="Times New Roman" w:cs="Arial"/>
                <w:sz w:val="18"/>
                <w:szCs w:val="18"/>
                <w:lang w:val="en-US"/>
              </w:rPr>
              <w:t>*** Significance at the 1% level (p&lt;0.01)</w:t>
            </w:r>
            <w:r>
              <w:rPr>
                <w:rFonts w:ascii="Times New Roman" w:eastAsia="Calibri" w:hAnsi="Times New Roman" w:cs="Arial"/>
                <w:sz w:val="18"/>
                <w:szCs w:val="18"/>
                <w:lang w:val="en-US"/>
              </w:rPr>
              <w:t xml:space="preserve">, </w:t>
            </w:r>
            <w:r w:rsidRPr="00F613C9">
              <w:rPr>
                <w:rFonts w:ascii="Times New Roman" w:eastAsia="Calibri" w:hAnsi="Times New Roman" w:cs="Arial"/>
                <w:sz w:val="18"/>
                <w:szCs w:val="18"/>
                <w:lang w:val="en-US"/>
              </w:rPr>
              <w:t>** Significance at the 5% level (p&lt;0.05)</w:t>
            </w:r>
            <w:r>
              <w:rPr>
                <w:rFonts w:ascii="Times New Roman" w:eastAsia="Calibri" w:hAnsi="Times New Roman" w:cs="Arial"/>
                <w:sz w:val="18"/>
                <w:szCs w:val="18"/>
                <w:lang w:val="en-US"/>
              </w:rPr>
              <w:t xml:space="preserve"> and </w:t>
            </w:r>
            <w:r w:rsidRPr="00F613C9">
              <w:rPr>
                <w:rFonts w:ascii="Times New Roman" w:eastAsia="Calibri" w:hAnsi="Times New Roman" w:cs="Arial"/>
                <w:sz w:val="18"/>
                <w:szCs w:val="18"/>
                <w:lang w:val="en-US"/>
              </w:rPr>
              <w:t>* Significance at the 10% level (p&lt;0.10).</w:t>
            </w:r>
          </w:p>
        </w:tc>
      </w:tr>
    </w:tbl>
    <w:p w14:paraId="07FA5B77" w14:textId="77777777" w:rsidR="00D83743" w:rsidRDefault="00D83743" w:rsidP="00855220"/>
    <w:bookmarkEnd w:id="20"/>
    <w:p w14:paraId="6E5BEF47" w14:textId="7D2E986C" w:rsidR="00855220" w:rsidRPr="00BD3A9C" w:rsidRDefault="00855220" w:rsidP="00667434">
      <w:pPr>
        <w:spacing w:after="0" w:line="240" w:lineRule="auto"/>
        <w:jc w:val="both"/>
        <w:rPr>
          <w:rFonts w:asciiTheme="majorBidi" w:hAnsiTheme="majorBidi" w:cstheme="majorBidi"/>
          <w:sz w:val="24"/>
          <w:szCs w:val="24"/>
          <w:shd w:val="clear" w:color="auto" w:fill="FFFFFF"/>
        </w:rPr>
      </w:pPr>
    </w:p>
    <w:sectPr w:rsidR="00855220" w:rsidRPr="00BD3A9C" w:rsidSect="008552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214B3" w14:textId="77777777" w:rsidR="00464A80" w:rsidRDefault="00464A80">
      <w:pPr>
        <w:spacing w:after="0" w:line="240" w:lineRule="auto"/>
      </w:pPr>
      <w:r>
        <w:separator/>
      </w:r>
    </w:p>
  </w:endnote>
  <w:endnote w:type="continuationSeparator" w:id="0">
    <w:p w14:paraId="676B8EBE" w14:textId="77777777" w:rsidR="00464A80" w:rsidRDefault="0046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313855"/>
      <w:docPartObj>
        <w:docPartGallery w:val="Page Numbers (Bottom of Page)"/>
        <w:docPartUnique/>
      </w:docPartObj>
    </w:sdtPr>
    <w:sdtEndPr>
      <w:rPr>
        <w:noProof/>
      </w:rPr>
    </w:sdtEndPr>
    <w:sdtContent>
      <w:p w14:paraId="2E8F8E5E" w14:textId="57B0AC0D" w:rsidR="00464A80" w:rsidRDefault="00464A80">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34DDC486" w14:textId="77777777" w:rsidR="00464A80" w:rsidRDefault="00464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452555"/>
      <w:docPartObj>
        <w:docPartGallery w:val="Page Numbers (Bottom of Page)"/>
        <w:docPartUnique/>
      </w:docPartObj>
    </w:sdtPr>
    <w:sdtEndPr>
      <w:rPr>
        <w:noProof/>
      </w:rPr>
    </w:sdtEndPr>
    <w:sdtContent>
      <w:p w14:paraId="4FCB27C2" w14:textId="00B94EE5" w:rsidR="00464A80" w:rsidRDefault="00464A80">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14:paraId="3FC123D4" w14:textId="77777777" w:rsidR="00464A80" w:rsidRDefault="00464A80">
    <w:pPr>
      <w:pStyle w:val="Footer"/>
    </w:pPr>
  </w:p>
  <w:p w14:paraId="1DA7866A" w14:textId="77777777" w:rsidR="00464A80" w:rsidRDefault="00464A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F808" w14:textId="77777777" w:rsidR="00464A80" w:rsidRDefault="00464A80">
      <w:pPr>
        <w:spacing w:after="0" w:line="240" w:lineRule="auto"/>
      </w:pPr>
      <w:r>
        <w:separator/>
      </w:r>
    </w:p>
  </w:footnote>
  <w:footnote w:type="continuationSeparator" w:id="0">
    <w:p w14:paraId="07DAEAAE" w14:textId="77777777" w:rsidR="00464A80" w:rsidRDefault="00464A80">
      <w:pPr>
        <w:spacing w:after="0" w:line="240" w:lineRule="auto"/>
      </w:pPr>
      <w:r>
        <w:continuationSeparator/>
      </w:r>
    </w:p>
  </w:footnote>
  <w:footnote w:id="1">
    <w:p w14:paraId="4F33ABB6" w14:textId="001F363B" w:rsidR="00E302A9" w:rsidRPr="00E302A9" w:rsidRDefault="00E302A9" w:rsidP="00E302A9">
      <w:pPr>
        <w:pStyle w:val="FootnoteText"/>
        <w:jc w:val="both"/>
        <w:rPr>
          <w:rFonts w:ascii="Times New Roman" w:hAnsi="Times New Roman" w:cs="Times New Roman"/>
        </w:rPr>
      </w:pPr>
      <w:r w:rsidRPr="00E302A9">
        <w:rPr>
          <w:rStyle w:val="FootnoteReference"/>
          <w:rFonts w:ascii="Times New Roman" w:hAnsi="Times New Roman" w:cs="Times New Roman"/>
        </w:rPr>
        <w:footnoteRef/>
      </w:r>
      <w:r w:rsidRPr="00E302A9">
        <w:rPr>
          <w:rFonts w:ascii="Times New Roman" w:hAnsi="Times New Roman" w:cs="Times New Roman"/>
        </w:rPr>
        <w:t>Despite these controversies/debates and unlike discussions about executive pay in public corporations, VC pay in HEIs is often discussed separately from performance</w:t>
      </w:r>
      <w:r w:rsidR="00A10148">
        <w:rPr>
          <w:rFonts w:ascii="Times New Roman" w:hAnsi="Times New Roman" w:cs="Times New Roman"/>
        </w:rPr>
        <w:t xml:space="preserve"> (</w:t>
      </w:r>
      <w:r w:rsidR="00A10148" w:rsidRPr="00A10148">
        <w:rPr>
          <w:rFonts w:ascii="Times New Roman" w:hAnsi="Times New Roman" w:cs="Times New Roman"/>
        </w:rPr>
        <w:t>Boden and Rowlands</w:t>
      </w:r>
      <w:r w:rsidR="00A10148">
        <w:rPr>
          <w:rFonts w:ascii="Times New Roman" w:hAnsi="Times New Roman" w:cs="Times New Roman"/>
        </w:rPr>
        <w:t>,</w:t>
      </w:r>
      <w:r w:rsidR="00A10148" w:rsidRPr="00A10148">
        <w:rPr>
          <w:rFonts w:ascii="Times New Roman" w:hAnsi="Times New Roman" w:cs="Times New Roman"/>
        </w:rPr>
        <w:t xml:space="preserve"> 2020</w:t>
      </w:r>
      <w:r w:rsidR="00A10148">
        <w:rPr>
          <w:rFonts w:ascii="Times New Roman" w:hAnsi="Times New Roman" w:cs="Times New Roman"/>
        </w:rPr>
        <w:t>)</w:t>
      </w:r>
      <w:r w:rsidRPr="00E302A9">
        <w:rPr>
          <w:rFonts w:ascii="Times New Roman" w:hAnsi="Times New Roman" w:cs="Times New Roman"/>
        </w:rPr>
        <w:t xml:space="preserve">. This is mainly due to the difficulty in measuring performance, as unlike public corporations, HEIs are expected to fulfil multiple and mostly conflicting missions, often with high levels of heterogeneity in terms of stakeholders, inputs and outputs that are not easily observable by the </w:t>
      </w:r>
      <w:proofErr w:type="gramStart"/>
      <w:r w:rsidRPr="00E302A9">
        <w:rPr>
          <w:rFonts w:ascii="Times New Roman" w:hAnsi="Times New Roman" w:cs="Times New Roman"/>
        </w:rPr>
        <w:t>general public</w:t>
      </w:r>
      <w:proofErr w:type="gramEnd"/>
      <w:r w:rsidRPr="00E302A9">
        <w:rPr>
          <w:rFonts w:ascii="Times New Roman" w:hAnsi="Times New Roman" w:cs="Times New Roman"/>
        </w:rPr>
        <w:t xml:space="preserve"> (Dowsett, 2020).</w:t>
      </w:r>
    </w:p>
    <w:p w14:paraId="7DFF94D4" w14:textId="0C4F3704" w:rsidR="00E302A9" w:rsidRPr="00E302A9" w:rsidRDefault="00E302A9" w:rsidP="00E302A9">
      <w:pPr>
        <w:pStyle w:val="FootnoteText"/>
        <w:jc w:val="both"/>
        <w:rPr>
          <w:rFonts w:ascii="Times New Roman" w:hAnsi="Times New Roman" w:cs="Times New Roman"/>
        </w:rPr>
      </w:pPr>
    </w:p>
  </w:footnote>
  <w:footnote w:id="2">
    <w:p w14:paraId="68F50A03" w14:textId="56026692" w:rsidR="00464A80" w:rsidRPr="00CB4958" w:rsidRDefault="00464A80" w:rsidP="008760DE">
      <w:pPr>
        <w:pStyle w:val="FootnoteText"/>
        <w:jc w:val="both"/>
        <w:rPr>
          <w:rFonts w:ascii="Times New Roman" w:hAnsi="Times New Roman" w:cs="Times New Roman"/>
        </w:rPr>
      </w:pPr>
      <w:r w:rsidRPr="00CB4958">
        <w:rPr>
          <w:rStyle w:val="FootnoteReference"/>
          <w:rFonts w:ascii="Times New Roman" w:hAnsi="Times New Roman" w:cs="Times New Roman"/>
        </w:rPr>
        <w:footnoteRef/>
      </w:r>
      <w:r w:rsidR="00C73C87">
        <w:rPr>
          <w:rFonts w:ascii="Times New Roman" w:hAnsi="Times New Roman" w:cs="Times New Roman"/>
        </w:rPr>
        <w:t>For example, t</w:t>
      </w:r>
      <w:r>
        <w:rPr>
          <w:rFonts w:ascii="Times New Roman" w:eastAsia="Times New Roman" w:hAnsi="Times New Roman" w:cs="Times New Roman"/>
          <w:color w:val="000000"/>
        </w:rPr>
        <w:t xml:space="preserve">he current spate of rampant casualisations, compulsory/voluntary redundancies, research budget/pay cuts and hiring/promotion freezes in HEIs that have apparently been triggered by the on-going COVID-19 pandemic that is ostensibly meant to meet short-term performance targets, but set to impact negatively on long-term performance offers a good anecdotal evidence of this dysfunctional </w:t>
      </w:r>
      <w:r w:rsidR="00771D3A">
        <w:rPr>
          <w:rFonts w:ascii="Times New Roman" w:eastAsia="Times New Roman" w:hAnsi="Times New Roman" w:cs="Times New Roman"/>
          <w:color w:val="000000"/>
        </w:rPr>
        <w:t xml:space="preserve">managerial behaviour arising from increasing </w:t>
      </w:r>
      <w:r>
        <w:rPr>
          <w:rFonts w:ascii="Times New Roman" w:eastAsia="Times New Roman" w:hAnsi="Times New Roman" w:cs="Times New Roman"/>
          <w:color w:val="000000"/>
        </w:rPr>
        <w:t>corporatisation/financialisation/managerialism in HEIs.</w:t>
      </w:r>
      <w:r w:rsidRPr="00CB4958">
        <w:rPr>
          <w:rFonts w:ascii="Times New Roman" w:hAnsi="Times New Roman" w:cs="Times New Roman"/>
        </w:rPr>
        <w:t xml:space="preserve"> </w:t>
      </w:r>
    </w:p>
  </w:footnote>
  <w:footnote w:id="3">
    <w:p w14:paraId="63C7A68F" w14:textId="40818FCA" w:rsidR="00572FA0" w:rsidRPr="00720D54" w:rsidRDefault="005D2FD4" w:rsidP="00720D54">
      <w:pPr>
        <w:pStyle w:val="FootnoteText"/>
        <w:jc w:val="both"/>
        <w:rPr>
          <w:rFonts w:ascii="Times New Roman" w:hAnsi="Times New Roman" w:cs="Times New Roman"/>
        </w:rPr>
      </w:pPr>
      <w:r w:rsidRPr="001D45AB">
        <w:rPr>
          <w:rStyle w:val="FootnoteReference"/>
          <w:rFonts w:ascii="Times New Roman" w:hAnsi="Times New Roman" w:cs="Times New Roman"/>
        </w:rPr>
        <w:footnoteRef/>
      </w:r>
      <w:r w:rsidRPr="001D45AB">
        <w:rPr>
          <w:rFonts w:ascii="Times New Roman" w:hAnsi="Times New Roman" w:cs="Times New Roman"/>
        </w:rPr>
        <w:t xml:space="preserve">Although </w:t>
      </w:r>
      <w:r w:rsidR="00CE7782">
        <w:rPr>
          <w:rFonts w:ascii="Times New Roman" w:hAnsi="Times New Roman" w:cs="Times New Roman"/>
        </w:rPr>
        <w:t>no prior research has</w:t>
      </w:r>
      <w:r w:rsidRPr="001D45AB">
        <w:rPr>
          <w:rFonts w:ascii="Times New Roman" w:hAnsi="Times New Roman" w:cs="Times New Roman"/>
        </w:rPr>
        <w:t xml:space="preserve"> examined the relationship among VC pay, </w:t>
      </w:r>
      <w:r w:rsidR="00E63C87">
        <w:rPr>
          <w:rFonts w:ascii="Times New Roman" w:hAnsi="Times New Roman" w:cs="Times New Roman"/>
        </w:rPr>
        <w:t xml:space="preserve">HEIs short- and long-term </w:t>
      </w:r>
      <w:r w:rsidRPr="001D45AB">
        <w:rPr>
          <w:rFonts w:ascii="Times New Roman" w:hAnsi="Times New Roman" w:cs="Times New Roman"/>
        </w:rPr>
        <w:t>performance</w:t>
      </w:r>
      <w:r w:rsidR="001D45AB">
        <w:rPr>
          <w:rFonts w:ascii="Times New Roman" w:hAnsi="Times New Roman" w:cs="Times New Roman"/>
        </w:rPr>
        <w:t>, VC characteristics</w:t>
      </w:r>
      <w:r w:rsidRPr="001D45AB">
        <w:rPr>
          <w:rFonts w:ascii="Times New Roman" w:hAnsi="Times New Roman" w:cs="Times New Roman"/>
        </w:rPr>
        <w:t xml:space="preserve"> and governance structures, there are few studies that </w:t>
      </w:r>
      <w:r w:rsidR="007600CF">
        <w:rPr>
          <w:rFonts w:ascii="Times New Roman" w:hAnsi="Times New Roman" w:cs="Times New Roman"/>
        </w:rPr>
        <w:t xml:space="preserve">are </w:t>
      </w:r>
      <w:r w:rsidRPr="001D45AB">
        <w:rPr>
          <w:rFonts w:ascii="Times New Roman" w:hAnsi="Times New Roman" w:cs="Times New Roman"/>
        </w:rPr>
        <w:t xml:space="preserve">of </w:t>
      </w:r>
      <w:r w:rsidR="00E92D86">
        <w:rPr>
          <w:rFonts w:ascii="Times New Roman" w:hAnsi="Times New Roman" w:cs="Times New Roman"/>
        </w:rPr>
        <w:t>closer</w:t>
      </w:r>
      <w:r w:rsidRPr="001D45AB">
        <w:rPr>
          <w:rFonts w:ascii="Times New Roman" w:hAnsi="Times New Roman" w:cs="Times New Roman"/>
        </w:rPr>
        <w:t xml:space="preserve"> relevance to </w:t>
      </w:r>
      <w:r w:rsidR="006640A9">
        <w:rPr>
          <w:rFonts w:ascii="Times New Roman" w:hAnsi="Times New Roman" w:cs="Times New Roman"/>
        </w:rPr>
        <w:t>the current</w:t>
      </w:r>
      <w:r w:rsidRPr="001D45AB">
        <w:rPr>
          <w:rFonts w:ascii="Times New Roman" w:hAnsi="Times New Roman" w:cs="Times New Roman"/>
        </w:rPr>
        <w:t xml:space="preserve"> stud</w:t>
      </w:r>
      <w:r w:rsidR="00E92D86">
        <w:rPr>
          <w:rFonts w:ascii="Times New Roman" w:hAnsi="Times New Roman" w:cs="Times New Roman"/>
        </w:rPr>
        <w:t>y</w:t>
      </w:r>
      <w:r w:rsidR="0058216A">
        <w:rPr>
          <w:rFonts w:ascii="Times New Roman" w:hAnsi="Times New Roman" w:cs="Times New Roman"/>
        </w:rPr>
        <w:t xml:space="preserve"> that need to be explicitly acknowledged</w:t>
      </w:r>
      <w:r w:rsidR="001D45AB">
        <w:rPr>
          <w:rFonts w:ascii="Times New Roman" w:hAnsi="Times New Roman" w:cs="Times New Roman"/>
        </w:rPr>
        <w:t xml:space="preserve"> (</w:t>
      </w:r>
      <w:r w:rsidR="00E63C87" w:rsidRPr="00E63C87">
        <w:rPr>
          <w:rFonts w:ascii="Times New Roman" w:hAnsi="Times New Roman" w:cs="Times New Roman"/>
        </w:rPr>
        <w:t xml:space="preserve">Bugeja </w:t>
      </w:r>
      <w:r w:rsidR="00E63C87">
        <w:rPr>
          <w:rFonts w:ascii="Times New Roman" w:hAnsi="Times New Roman" w:cs="Times New Roman"/>
        </w:rPr>
        <w:t>et al., 2021;</w:t>
      </w:r>
      <w:r w:rsidR="00E63C87" w:rsidRPr="00E63C87">
        <w:rPr>
          <w:rFonts w:asciiTheme="majorBidi" w:eastAsiaTheme="minorHAnsi" w:hAnsiTheme="majorBidi" w:cstheme="majorBidi"/>
          <w:sz w:val="24"/>
          <w:szCs w:val="24"/>
          <w:lang w:eastAsia="en-US"/>
        </w:rPr>
        <w:t xml:space="preserve"> </w:t>
      </w:r>
      <w:r w:rsidR="00E63C87" w:rsidRPr="00E63C87">
        <w:rPr>
          <w:rFonts w:ascii="Times New Roman" w:hAnsi="Times New Roman" w:cs="Times New Roman"/>
        </w:rPr>
        <w:t>De Fraja</w:t>
      </w:r>
      <w:r w:rsidR="00E63C87">
        <w:rPr>
          <w:rFonts w:ascii="Times New Roman" w:hAnsi="Times New Roman" w:cs="Times New Roman"/>
        </w:rPr>
        <w:t xml:space="preserve"> et al., 2017; </w:t>
      </w:r>
      <w:r w:rsidR="0058335D">
        <w:rPr>
          <w:rFonts w:ascii="Times New Roman" w:hAnsi="Times New Roman" w:cs="Times New Roman"/>
        </w:rPr>
        <w:t>Walker et al., 2019</w:t>
      </w:r>
      <w:r w:rsidR="00E92D86">
        <w:rPr>
          <w:rFonts w:ascii="Times New Roman" w:hAnsi="Times New Roman" w:cs="Times New Roman"/>
        </w:rPr>
        <w:t xml:space="preserve">). </w:t>
      </w:r>
      <w:r w:rsidR="00BA170C">
        <w:rPr>
          <w:rFonts w:ascii="Times New Roman" w:hAnsi="Times New Roman" w:cs="Times New Roman"/>
        </w:rPr>
        <w:t>O</w:t>
      </w:r>
      <w:r w:rsidR="00E92D86">
        <w:rPr>
          <w:rFonts w:ascii="Times New Roman" w:hAnsi="Times New Roman" w:cs="Times New Roman"/>
        </w:rPr>
        <w:t xml:space="preserve">ur study </w:t>
      </w:r>
      <w:r w:rsidR="00C436A9">
        <w:rPr>
          <w:rFonts w:ascii="Times New Roman" w:hAnsi="Times New Roman" w:cs="Times New Roman"/>
        </w:rPr>
        <w:t>differs</w:t>
      </w:r>
      <w:r w:rsidR="00E92D86">
        <w:rPr>
          <w:rFonts w:ascii="Times New Roman" w:hAnsi="Times New Roman" w:cs="Times New Roman"/>
        </w:rPr>
        <w:t xml:space="preserve"> from these past studies in </w:t>
      </w:r>
      <w:r w:rsidR="007A1D86">
        <w:rPr>
          <w:rFonts w:ascii="Times New Roman" w:hAnsi="Times New Roman" w:cs="Times New Roman"/>
        </w:rPr>
        <w:t>two</w:t>
      </w:r>
      <w:r w:rsidR="00E92D86">
        <w:rPr>
          <w:rFonts w:ascii="Times New Roman" w:hAnsi="Times New Roman" w:cs="Times New Roman"/>
        </w:rPr>
        <w:t xml:space="preserve"> </w:t>
      </w:r>
      <w:r w:rsidR="00444882">
        <w:rPr>
          <w:rFonts w:ascii="Times New Roman" w:hAnsi="Times New Roman" w:cs="Times New Roman"/>
        </w:rPr>
        <w:t xml:space="preserve">main </w:t>
      </w:r>
      <w:r w:rsidR="00E92D86">
        <w:rPr>
          <w:rFonts w:ascii="Times New Roman" w:hAnsi="Times New Roman" w:cs="Times New Roman"/>
        </w:rPr>
        <w:t xml:space="preserve">ways. First, </w:t>
      </w:r>
      <w:r w:rsidR="00BA170C">
        <w:rPr>
          <w:rFonts w:ascii="Times New Roman" w:hAnsi="Times New Roman" w:cs="Times New Roman"/>
        </w:rPr>
        <w:t xml:space="preserve">our study has a long-term social focus, whilst all the existing studies have short-term financial/economic focus. Specifically, </w:t>
      </w:r>
      <w:r w:rsidR="00E36A45">
        <w:rPr>
          <w:rFonts w:ascii="Times New Roman" w:hAnsi="Times New Roman" w:cs="Times New Roman"/>
        </w:rPr>
        <w:t>extant</w:t>
      </w:r>
      <w:r w:rsidR="00991998">
        <w:rPr>
          <w:rFonts w:ascii="Times New Roman" w:hAnsi="Times New Roman" w:cs="Times New Roman"/>
        </w:rPr>
        <w:t xml:space="preserve"> </w:t>
      </w:r>
      <w:r w:rsidR="00E92D86">
        <w:rPr>
          <w:rFonts w:ascii="Times New Roman" w:hAnsi="Times New Roman" w:cs="Times New Roman"/>
        </w:rPr>
        <w:t>studies have focused</w:t>
      </w:r>
      <w:r w:rsidR="00FD4A3F">
        <w:rPr>
          <w:rFonts w:ascii="Times New Roman" w:hAnsi="Times New Roman" w:cs="Times New Roman"/>
        </w:rPr>
        <w:t xml:space="preserve"> largely</w:t>
      </w:r>
      <w:r w:rsidR="00E92D86">
        <w:rPr>
          <w:rFonts w:ascii="Times New Roman" w:hAnsi="Times New Roman" w:cs="Times New Roman"/>
        </w:rPr>
        <w:t xml:space="preserve"> on either: (i) short-term financial</w:t>
      </w:r>
      <w:r w:rsidR="00BA170C">
        <w:rPr>
          <w:rFonts w:ascii="Times New Roman" w:hAnsi="Times New Roman" w:cs="Times New Roman"/>
        </w:rPr>
        <w:t>/economic efficiency</w:t>
      </w:r>
      <w:r w:rsidR="00E92D86">
        <w:rPr>
          <w:rFonts w:ascii="Times New Roman" w:hAnsi="Times New Roman" w:cs="Times New Roman"/>
        </w:rPr>
        <w:t xml:space="preserve"> (</w:t>
      </w:r>
      <w:r w:rsidR="00FD4A3F" w:rsidRPr="00FD4A3F">
        <w:rPr>
          <w:rFonts w:ascii="Times New Roman" w:hAnsi="Times New Roman" w:cs="Times New Roman"/>
        </w:rPr>
        <w:t>Bachan and Reilly, 2015</w:t>
      </w:r>
      <w:r w:rsidR="00E92D86">
        <w:rPr>
          <w:rFonts w:ascii="Times New Roman" w:hAnsi="Times New Roman" w:cs="Times New Roman"/>
        </w:rPr>
        <w:t>)</w:t>
      </w:r>
      <w:r w:rsidR="00C70F83">
        <w:rPr>
          <w:rFonts w:ascii="Times New Roman" w:hAnsi="Times New Roman" w:cs="Times New Roman"/>
        </w:rPr>
        <w:t>;</w:t>
      </w:r>
      <w:r w:rsidR="00E92D86">
        <w:rPr>
          <w:rFonts w:ascii="Times New Roman" w:hAnsi="Times New Roman" w:cs="Times New Roman"/>
        </w:rPr>
        <w:t xml:space="preserve"> </w:t>
      </w:r>
      <w:r w:rsidR="00D5657A">
        <w:rPr>
          <w:rFonts w:ascii="Times New Roman" w:hAnsi="Times New Roman" w:cs="Times New Roman"/>
        </w:rPr>
        <w:t>and/</w:t>
      </w:r>
      <w:r w:rsidR="00E92D86">
        <w:rPr>
          <w:rFonts w:ascii="Times New Roman" w:hAnsi="Times New Roman" w:cs="Times New Roman"/>
        </w:rPr>
        <w:t>or (ii) reputational/ranking (</w:t>
      </w:r>
      <w:r w:rsidR="00FD4A3F" w:rsidRPr="00FD4A3F">
        <w:rPr>
          <w:rFonts w:ascii="Times New Roman" w:hAnsi="Times New Roman" w:cs="Times New Roman"/>
        </w:rPr>
        <w:t>Johnes and Virmani, 2020</w:t>
      </w:r>
      <w:r w:rsidR="00E92D86">
        <w:rPr>
          <w:rFonts w:ascii="Times New Roman" w:hAnsi="Times New Roman" w:cs="Times New Roman"/>
        </w:rPr>
        <w:t xml:space="preserve">) </w:t>
      </w:r>
      <w:r w:rsidR="00593D11">
        <w:rPr>
          <w:rFonts w:ascii="Times New Roman" w:hAnsi="Times New Roman" w:cs="Times New Roman"/>
        </w:rPr>
        <w:t xml:space="preserve">performance </w:t>
      </w:r>
      <w:r w:rsidR="00E92D86">
        <w:rPr>
          <w:rFonts w:ascii="Times New Roman" w:hAnsi="Times New Roman" w:cs="Times New Roman"/>
        </w:rPr>
        <w:t>measures</w:t>
      </w:r>
      <w:r w:rsidR="00B40373">
        <w:rPr>
          <w:rFonts w:ascii="Times New Roman" w:hAnsi="Times New Roman" w:cs="Times New Roman"/>
        </w:rPr>
        <w:t xml:space="preserve">. </w:t>
      </w:r>
      <w:r w:rsidR="00593D11">
        <w:rPr>
          <w:rFonts w:ascii="Times New Roman" w:hAnsi="Times New Roman" w:cs="Times New Roman"/>
        </w:rPr>
        <w:t xml:space="preserve">By contrast, our study </w:t>
      </w:r>
      <w:r w:rsidR="00707F5D">
        <w:rPr>
          <w:rFonts w:ascii="Times New Roman" w:hAnsi="Times New Roman" w:cs="Times New Roman"/>
        </w:rPr>
        <w:t>contributes</w:t>
      </w:r>
      <w:r w:rsidR="00593D11">
        <w:rPr>
          <w:rFonts w:ascii="Times New Roman" w:hAnsi="Times New Roman" w:cs="Times New Roman"/>
        </w:rPr>
        <w:t xml:space="preserve"> to the extant literature by focusing </w:t>
      </w:r>
      <w:r w:rsidR="009A4640">
        <w:rPr>
          <w:rFonts w:ascii="Times New Roman" w:hAnsi="Times New Roman" w:cs="Times New Roman"/>
        </w:rPr>
        <w:t>primarily</w:t>
      </w:r>
      <w:r w:rsidR="00593D11">
        <w:rPr>
          <w:rFonts w:ascii="Times New Roman" w:hAnsi="Times New Roman" w:cs="Times New Roman"/>
        </w:rPr>
        <w:t xml:space="preserve"> on long-term social performance measures, </w:t>
      </w:r>
      <w:r w:rsidR="00E61620">
        <w:rPr>
          <w:rFonts w:ascii="Times New Roman" w:hAnsi="Times New Roman" w:cs="Times New Roman"/>
        </w:rPr>
        <w:t>in addition to</w:t>
      </w:r>
      <w:r w:rsidR="00707F5D">
        <w:rPr>
          <w:rFonts w:ascii="Times New Roman" w:hAnsi="Times New Roman" w:cs="Times New Roman"/>
        </w:rPr>
        <w:t xml:space="preserve"> </w:t>
      </w:r>
      <w:r w:rsidR="00593D11">
        <w:rPr>
          <w:rFonts w:ascii="Times New Roman" w:hAnsi="Times New Roman" w:cs="Times New Roman"/>
        </w:rPr>
        <w:t xml:space="preserve">short-term </w:t>
      </w:r>
      <w:r w:rsidR="00C92C2C">
        <w:rPr>
          <w:rFonts w:ascii="Times New Roman" w:hAnsi="Times New Roman" w:cs="Times New Roman"/>
        </w:rPr>
        <w:t>financial/</w:t>
      </w:r>
      <w:r w:rsidR="00593D11">
        <w:rPr>
          <w:rFonts w:ascii="Times New Roman" w:hAnsi="Times New Roman" w:cs="Times New Roman"/>
        </w:rPr>
        <w:t>reputational</w:t>
      </w:r>
      <w:r w:rsidR="00FD58AE">
        <w:rPr>
          <w:rFonts w:ascii="Times New Roman" w:hAnsi="Times New Roman" w:cs="Times New Roman"/>
        </w:rPr>
        <w:t xml:space="preserve"> performance</w:t>
      </w:r>
      <w:r w:rsidR="00593D11">
        <w:rPr>
          <w:rFonts w:ascii="Times New Roman" w:hAnsi="Times New Roman" w:cs="Times New Roman"/>
        </w:rPr>
        <w:t xml:space="preserve"> measures </w:t>
      </w:r>
      <w:r w:rsidR="000C02FE" w:rsidRPr="000C02FE">
        <w:rPr>
          <w:rFonts w:ascii="Times New Roman" w:hAnsi="Times New Roman" w:cs="Times New Roman"/>
        </w:rPr>
        <w:t>and their impact on VCs’ basic, non-basic and total pay.</w:t>
      </w:r>
      <w:r w:rsidR="00593D11">
        <w:rPr>
          <w:rFonts w:ascii="Times New Roman" w:hAnsi="Times New Roman" w:cs="Times New Roman"/>
        </w:rPr>
        <w:t xml:space="preserve"> Second, and given </w:t>
      </w:r>
      <w:r w:rsidR="00CE7782">
        <w:rPr>
          <w:rFonts w:ascii="Times New Roman" w:hAnsi="Times New Roman" w:cs="Times New Roman"/>
        </w:rPr>
        <w:t>that governance structure</w:t>
      </w:r>
      <w:r w:rsidR="006E53DA">
        <w:rPr>
          <w:rFonts w:ascii="Times New Roman" w:hAnsi="Times New Roman" w:cs="Times New Roman"/>
        </w:rPr>
        <w:t>s</w:t>
      </w:r>
      <w:r w:rsidR="00CE7782">
        <w:rPr>
          <w:rFonts w:ascii="Times New Roman" w:hAnsi="Times New Roman" w:cs="Times New Roman"/>
        </w:rPr>
        <w:t xml:space="preserve"> can play an important role in influencing </w:t>
      </w:r>
      <w:r w:rsidR="009A4640">
        <w:rPr>
          <w:rFonts w:ascii="Times New Roman" w:hAnsi="Times New Roman" w:cs="Times New Roman"/>
        </w:rPr>
        <w:t xml:space="preserve">the </w:t>
      </w:r>
      <w:r w:rsidR="00CE7782">
        <w:rPr>
          <w:rFonts w:ascii="Times New Roman" w:hAnsi="Times New Roman" w:cs="Times New Roman"/>
        </w:rPr>
        <w:t>pay</w:t>
      </w:r>
      <w:r w:rsidR="009A4640">
        <w:rPr>
          <w:rFonts w:ascii="Times New Roman" w:hAnsi="Times New Roman" w:cs="Times New Roman"/>
        </w:rPr>
        <w:t>–</w:t>
      </w:r>
      <w:r w:rsidR="00CE7782">
        <w:rPr>
          <w:rFonts w:ascii="Times New Roman" w:hAnsi="Times New Roman" w:cs="Times New Roman"/>
        </w:rPr>
        <w:t>performance nexus</w:t>
      </w:r>
      <w:r w:rsidR="006E53DA">
        <w:rPr>
          <w:rFonts w:ascii="Times New Roman" w:hAnsi="Times New Roman" w:cs="Times New Roman"/>
        </w:rPr>
        <w:t xml:space="preserve"> (</w:t>
      </w:r>
      <w:r w:rsidR="006E53DA" w:rsidRPr="006E53DA">
        <w:rPr>
          <w:rFonts w:ascii="Times New Roman" w:hAnsi="Times New Roman" w:cs="Times New Roman"/>
        </w:rPr>
        <w:t>Bacha</w:t>
      </w:r>
      <w:r w:rsidR="006E53DA">
        <w:rPr>
          <w:rFonts w:ascii="Times New Roman" w:hAnsi="Times New Roman" w:cs="Times New Roman"/>
        </w:rPr>
        <w:t>n</w:t>
      </w:r>
      <w:r w:rsidR="006E53DA" w:rsidRPr="006E53DA">
        <w:rPr>
          <w:rFonts w:ascii="Times New Roman" w:hAnsi="Times New Roman" w:cs="Times New Roman"/>
        </w:rPr>
        <w:t xml:space="preserve"> and Reilly</w:t>
      </w:r>
      <w:r w:rsidR="006E53DA">
        <w:rPr>
          <w:rFonts w:ascii="Times New Roman" w:hAnsi="Times New Roman" w:cs="Times New Roman"/>
        </w:rPr>
        <w:t>, 2015)</w:t>
      </w:r>
      <w:r w:rsidR="00CE7782">
        <w:rPr>
          <w:rFonts w:ascii="Times New Roman" w:hAnsi="Times New Roman" w:cs="Times New Roman"/>
        </w:rPr>
        <w:t>, this study distinctively examine</w:t>
      </w:r>
      <w:r w:rsidR="005E5DD9">
        <w:rPr>
          <w:rFonts w:ascii="Times New Roman" w:hAnsi="Times New Roman" w:cs="Times New Roman"/>
        </w:rPr>
        <w:t>s</w:t>
      </w:r>
      <w:r w:rsidR="00CE7782">
        <w:rPr>
          <w:rFonts w:ascii="Times New Roman" w:hAnsi="Times New Roman" w:cs="Times New Roman"/>
        </w:rPr>
        <w:t xml:space="preserve"> the role of governance </w:t>
      </w:r>
      <w:r w:rsidR="00720D54">
        <w:rPr>
          <w:rFonts w:ascii="Times New Roman" w:hAnsi="Times New Roman" w:cs="Times New Roman"/>
        </w:rPr>
        <w:t>in</w:t>
      </w:r>
      <w:r w:rsidR="00CE7782">
        <w:rPr>
          <w:rFonts w:ascii="Times New Roman" w:hAnsi="Times New Roman" w:cs="Times New Roman"/>
        </w:rPr>
        <w:t xml:space="preserve"> </w:t>
      </w:r>
      <w:r w:rsidR="00B525B9">
        <w:rPr>
          <w:rFonts w:ascii="Times New Roman" w:hAnsi="Times New Roman" w:cs="Times New Roman"/>
        </w:rPr>
        <w:t xml:space="preserve">moderating </w:t>
      </w:r>
      <w:r w:rsidR="006E53DA">
        <w:rPr>
          <w:rFonts w:ascii="Times New Roman" w:hAnsi="Times New Roman" w:cs="Times New Roman"/>
        </w:rPr>
        <w:t>VC pay</w:t>
      </w:r>
      <w:r w:rsidR="009A4640">
        <w:rPr>
          <w:rFonts w:ascii="Times New Roman" w:hAnsi="Times New Roman" w:cs="Times New Roman"/>
        </w:rPr>
        <w:t xml:space="preserve"> and </w:t>
      </w:r>
      <w:r w:rsidR="006E53DA">
        <w:rPr>
          <w:rFonts w:ascii="Times New Roman" w:hAnsi="Times New Roman" w:cs="Times New Roman"/>
        </w:rPr>
        <w:t>performance relationship.</w:t>
      </w:r>
      <w:r w:rsidR="00156195">
        <w:rPr>
          <w:rFonts w:ascii="Times New Roman" w:hAnsi="Times New Roman" w:cs="Times New Roman"/>
        </w:rPr>
        <w:t xml:space="preserve"> None of the existing studies have investigated this moderating relationship.</w:t>
      </w:r>
    </w:p>
  </w:footnote>
  <w:footnote w:id="4">
    <w:p w14:paraId="2B493415" w14:textId="136ECBD8" w:rsidR="00B51B79" w:rsidRPr="00B51B79" w:rsidRDefault="00B51B79" w:rsidP="00B51B79">
      <w:pPr>
        <w:pStyle w:val="FootnoteText"/>
        <w:jc w:val="both"/>
        <w:rPr>
          <w:rFonts w:ascii="Times New Roman" w:hAnsi="Times New Roman" w:cs="Times New Roman"/>
        </w:rPr>
      </w:pPr>
      <w:r w:rsidRPr="00B51B79">
        <w:rPr>
          <w:rStyle w:val="FootnoteReference"/>
          <w:rFonts w:ascii="Times New Roman" w:hAnsi="Times New Roman" w:cs="Times New Roman"/>
        </w:rPr>
        <w:footnoteRef/>
      </w:r>
      <w:r>
        <w:rPr>
          <w:rFonts w:ascii="Times New Roman" w:hAnsi="Times New Roman" w:cs="Times New Roman"/>
        </w:rPr>
        <w:t xml:space="preserve">Prior </w:t>
      </w:r>
      <w:r w:rsidR="00986FFF">
        <w:rPr>
          <w:rFonts w:ascii="Times New Roman" w:hAnsi="Times New Roman" w:cs="Times New Roman"/>
        </w:rPr>
        <w:t>research</w:t>
      </w:r>
      <w:r>
        <w:rPr>
          <w:rFonts w:ascii="Times New Roman" w:hAnsi="Times New Roman" w:cs="Times New Roman"/>
        </w:rPr>
        <w:t xml:space="preserve"> (</w:t>
      </w:r>
      <w:r w:rsidR="003A2F63" w:rsidRPr="003A2F63">
        <w:rPr>
          <w:rFonts w:ascii="Times New Roman" w:hAnsi="Times New Roman" w:cs="Times New Roman"/>
        </w:rPr>
        <w:t>Franzen</w:t>
      </w:r>
      <w:r w:rsidR="003A2F63">
        <w:rPr>
          <w:rFonts w:ascii="Times New Roman" w:hAnsi="Times New Roman" w:cs="Times New Roman"/>
        </w:rPr>
        <w:t xml:space="preserve"> and</w:t>
      </w:r>
      <w:r w:rsidR="003A2F63" w:rsidRPr="003A2F63">
        <w:rPr>
          <w:rFonts w:ascii="Times New Roman" w:hAnsi="Times New Roman" w:cs="Times New Roman"/>
        </w:rPr>
        <w:t xml:space="preserve"> Kassman</w:t>
      </w:r>
      <w:r w:rsidR="003A2F63">
        <w:rPr>
          <w:rFonts w:ascii="Times New Roman" w:hAnsi="Times New Roman" w:cs="Times New Roman"/>
        </w:rPr>
        <w:t>, 2005) suggest</w:t>
      </w:r>
      <w:r w:rsidR="00986FFF">
        <w:rPr>
          <w:rFonts w:ascii="Times New Roman" w:hAnsi="Times New Roman" w:cs="Times New Roman"/>
        </w:rPr>
        <w:t>s</w:t>
      </w:r>
      <w:r w:rsidR="003A2F63">
        <w:rPr>
          <w:rFonts w:ascii="Times New Roman" w:hAnsi="Times New Roman" w:cs="Times New Roman"/>
        </w:rPr>
        <w:t xml:space="preserve"> that unemployment </w:t>
      </w:r>
      <w:r w:rsidR="002720BE">
        <w:rPr>
          <w:rFonts w:ascii="Times New Roman" w:hAnsi="Times New Roman" w:cs="Times New Roman"/>
        </w:rPr>
        <w:t>among</w:t>
      </w:r>
      <w:r w:rsidR="003A2F63">
        <w:rPr>
          <w:rFonts w:ascii="Times New Roman" w:hAnsi="Times New Roman" w:cs="Times New Roman"/>
        </w:rPr>
        <w:t xml:space="preserve"> young people has </w:t>
      </w:r>
      <w:r w:rsidR="00254453">
        <w:rPr>
          <w:rFonts w:ascii="Times New Roman" w:hAnsi="Times New Roman" w:cs="Times New Roman"/>
        </w:rPr>
        <w:t>serious</w:t>
      </w:r>
      <w:r w:rsidR="00F8218E">
        <w:rPr>
          <w:rFonts w:ascii="Times New Roman" w:hAnsi="Times New Roman" w:cs="Times New Roman"/>
        </w:rPr>
        <w:t xml:space="preserve"> </w:t>
      </w:r>
      <w:r w:rsidR="003A2F63">
        <w:rPr>
          <w:rFonts w:ascii="Times New Roman" w:hAnsi="Times New Roman" w:cs="Times New Roman"/>
        </w:rPr>
        <w:t>damaging consequences for individual</w:t>
      </w:r>
      <w:r w:rsidR="007979C0">
        <w:rPr>
          <w:rFonts w:ascii="Times New Roman" w:hAnsi="Times New Roman" w:cs="Times New Roman"/>
        </w:rPr>
        <w:t xml:space="preserve">s, </w:t>
      </w:r>
      <w:proofErr w:type="gramStart"/>
      <w:r w:rsidR="007979C0">
        <w:rPr>
          <w:rFonts w:ascii="Times New Roman" w:hAnsi="Times New Roman" w:cs="Times New Roman"/>
        </w:rPr>
        <w:t>economy</w:t>
      </w:r>
      <w:proofErr w:type="gramEnd"/>
      <w:r w:rsidR="003A2F63">
        <w:rPr>
          <w:rFonts w:ascii="Times New Roman" w:hAnsi="Times New Roman" w:cs="Times New Roman"/>
        </w:rPr>
        <w:t xml:space="preserve"> and society</w:t>
      </w:r>
      <w:r w:rsidR="007979C0">
        <w:rPr>
          <w:rFonts w:ascii="Times New Roman" w:hAnsi="Times New Roman" w:cs="Times New Roman"/>
        </w:rPr>
        <w:t xml:space="preserve"> </w:t>
      </w:r>
      <w:r w:rsidR="00E3781A">
        <w:rPr>
          <w:rFonts w:ascii="Times New Roman" w:hAnsi="Times New Roman" w:cs="Times New Roman"/>
        </w:rPr>
        <w:t xml:space="preserve">through increased </w:t>
      </w:r>
      <w:r w:rsidR="001919B9">
        <w:rPr>
          <w:rFonts w:ascii="Times New Roman" w:hAnsi="Times New Roman" w:cs="Times New Roman"/>
        </w:rPr>
        <w:t xml:space="preserve">feelings of </w:t>
      </w:r>
      <w:r w:rsidR="00E3781A">
        <w:rPr>
          <w:rFonts w:ascii="Times New Roman" w:hAnsi="Times New Roman" w:cs="Times New Roman"/>
        </w:rPr>
        <w:t xml:space="preserve">social exclusion, </w:t>
      </w:r>
      <w:r w:rsidR="00BC4A53">
        <w:rPr>
          <w:rFonts w:ascii="Times New Roman" w:hAnsi="Times New Roman" w:cs="Times New Roman"/>
        </w:rPr>
        <w:t>reductions in</w:t>
      </w:r>
      <w:r w:rsidR="00E3781A">
        <w:rPr>
          <w:rFonts w:ascii="Times New Roman" w:hAnsi="Times New Roman" w:cs="Times New Roman"/>
        </w:rPr>
        <w:t xml:space="preserve"> income</w:t>
      </w:r>
      <w:r w:rsidR="002A604B">
        <w:rPr>
          <w:rFonts w:ascii="Times New Roman" w:hAnsi="Times New Roman" w:cs="Times New Roman"/>
        </w:rPr>
        <w:t>/tax revenues</w:t>
      </w:r>
      <w:r w:rsidR="00B906BF">
        <w:rPr>
          <w:rFonts w:ascii="Times New Roman" w:hAnsi="Times New Roman" w:cs="Times New Roman"/>
        </w:rPr>
        <w:t xml:space="preserve">, </w:t>
      </w:r>
      <w:r w:rsidR="00BC4A53">
        <w:rPr>
          <w:rFonts w:ascii="Times New Roman" w:hAnsi="Times New Roman" w:cs="Times New Roman"/>
        </w:rPr>
        <w:t>increased</w:t>
      </w:r>
      <w:r w:rsidR="00254453">
        <w:rPr>
          <w:rFonts w:ascii="Times New Roman" w:hAnsi="Times New Roman" w:cs="Times New Roman"/>
        </w:rPr>
        <w:t xml:space="preserve"> </w:t>
      </w:r>
      <w:r w:rsidR="002A604B">
        <w:rPr>
          <w:rFonts w:ascii="Times New Roman" w:hAnsi="Times New Roman" w:cs="Times New Roman"/>
        </w:rPr>
        <w:t>long-</w:t>
      </w:r>
      <w:r w:rsidR="00254453">
        <w:rPr>
          <w:rFonts w:ascii="Times New Roman" w:hAnsi="Times New Roman" w:cs="Times New Roman"/>
        </w:rPr>
        <w:t>term dependency on social welfare</w:t>
      </w:r>
      <w:r w:rsidR="00986FFF">
        <w:rPr>
          <w:rFonts w:ascii="Times New Roman" w:hAnsi="Times New Roman" w:cs="Times New Roman"/>
        </w:rPr>
        <w:t>/</w:t>
      </w:r>
      <w:r w:rsidR="00254453">
        <w:rPr>
          <w:rFonts w:ascii="Times New Roman" w:hAnsi="Times New Roman" w:cs="Times New Roman"/>
        </w:rPr>
        <w:t xml:space="preserve">unemployment benefits, </w:t>
      </w:r>
      <w:r w:rsidR="002A604B">
        <w:rPr>
          <w:rFonts w:ascii="Times New Roman" w:hAnsi="Times New Roman" w:cs="Times New Roman"/>
        </w:rPr>
        <w:t xml:space="preserve">and </w:t>
      </w:r>
      <w:r w:rsidR="00B906BF">
        <w:rPr>
          <w:rFonts w:ascii="Times New Roman" w:hAnsi="Times New Roman" w:cs="Times New Roman"/>
        </w:rPr>
        <w:t>increased</w:t>
      </w:r>
      <w:r w:rsidR="00BC4A53">
        <w:rPr>
          <w:rFonts w:ascii="Times New Roman" w:hAnsi="Times New Roman" w:cs="Times New Roman"/>
        </w:rPr>
        <w:t xml:space="preserve"> </w:t>
      </w:r>
      <w:r w:rsidR="001919B9">
        <w:rPr>
          <w:rFonts w:ascii="Times New Roman" w:hAnsi="Times New Roman" w:cs="Times New Roman"/>
        </w:rPr>
        <w:t>likelihood</w:t>
      </w:r>
      <w:r w:rsidR="000C5FB8">
        <w:rPr>
          <w:rFonts w:ascii="Times New Roman" w:hAnsi="Times New Roman" w:cs="Times New Roman"/>
        </w:rPr>
        <w:t xml:space="preserve"> </w:t>
      </w:r>
      <w:r w:rsidR="00B906BF">
        <w:rPr>
          <w:rFonts w:ascii="Times New Roman" w:hAnsi="Times New Roman" w:cs="Times New Roman"/>
        </w:rPr>
        <w:t xml:space="preserve">of </w:t>
      </w:r>
      <w:r w:rsidR="001919B9">
        <w:rPr>
          <w:rFonts w:ascii="Times New Roman" w:hAnsi="Times New Roman" w:cs="Times New Roman"/>
        </w:rPr>
        <w:t>mental health problems</w:t>
      </w:r>
      <w:r w:rsidR="00B906BF">
        <w:rPr>
          <w:rFonts w:ascii="Times New Roman" w:hAnsi="Times New Roman" w:cs="Times New Roman"/>
        </w:rPr>
        <w:t xml:space="preserve">. Therefore, </w:t>
      </w:r>
      <w:r w:rsidR="00424333" w:rsidRPr="00424333">
        <w:rPr>
          <w:rFonts w:ascii="Times New Roman" w:hAnsi="Times New Roman" w:cs="Times New Roman"/>
        </w:rPr>
        <w:t>HEIs are expected to contribute towards long-term social class progression</w:t>
      </w:r>
      <w:r w:rsidR="004609A9">
        <w:rPr>
          <w:rFonts w:ascii="Times New Roman" w:hAnsi="Times New Roman" w:cs="Times New Roman"/>
        </w:rPr>
        <w:t>/</w:t>
      </w:r>
      <w:r w:rsidR="00424333" w:rsidRPr="00424333">
        <w:rPr>
          <w:rFonts w:ascii="Times New Roman" w:hAnsi="Times New Roman" w:cs="Times New Roman"/>
        </w:rPr>
        <w:t xml:space="preserve">cohesion </w:t>
      </w:r>
      <w:r w:rsidR="00B87D8B">
        <w:rPr>
          <w:rFonts w:ascii="Times New Roman" w:hAnsi="Times New Roman" w:cs="Times New Roman"/>
        </w:rPr>
        <w:t>by</w:t>
      </w:r>
      <w:r w:rsidR="00424333" w:rsidRPr="00424333">
        <w:rPr>
          <w:rFonts w:ascii="Times New Roman" w:hAnsi="Times New Roman" w:cs="Times New Roman"/>
        </w:rPr>
        <w:t xml:space="preserve"> offering employment opportunities to young people</w:t>
      </w:r>
      <w:r w:rsidR="00424333">
        <w:rPr>
          <w:rFonts w:ascii="Times New Roman" w:hAnsi="Times New Roman" w:cs="Times New Roman"/>
        </w:rPr>
        <w:t>.</w:t>
      </w:r>
    </w:p>
  </w:footnote>
  <w:footnote w:id="5">
    <w:p w14:paraId="586AFD9B" w14:textId="1BFAF338" w:rsidR="004367BC" w:rsidRPr="006655B4" w:rsidRDefault="004367BC" w:rsidP="006655B4">
      <w:pPr>
        <w:pStyle w:val="FootnoteText"/>
        <w:jc w:val="both"/>
        <w:rPr>
          <w:rFonts w:ascii="Times New Roman" w:hAnsi="Times New Roman" w:cs="Times New Roman"/>
        </w:rPr>
      </w:pPr>
      <w:r w:rsidRPr="006655B4">
        <w:rPr>
          <w:rStyle w:val="FootnoteReference"/>
          <w:rFonts w:ascii="Times New Roman" w:hAnsi="Times New Roman" w:cs="Times New Roman"/>
        </w:rPr>
        <w:footnoteRef/>
      </w:r>
      <w:r w:rsidR="00F92132">
        <w:rPr>
          <w:rFonts w:ascii="Times New Roman" w:hAnsi="Times New Roman" w:cs="Times New Roman"/>
        </w:rPr>
        <w:t>G</w:t>
      </w:r>
      <w:r w:rsidR="00F92132" w:rsidRPr="00F92132">
        <w:rPr>
          <w:rFonts w:ascii="Times New Roman" w:hAnsi="Times New Roman" w:cs="Times New Roman"/>
        </w:rPr>
        <w:t>iven that our data is panel in nature and thus, using OLS regression may not</w:t>
      </w:r>
      <w:r w:rsidR="002C4D6E">
        <w:rPr>
          <w:rFonts w:ascii="Times New Roman" w:hAnsi="Times New Roman" w:cs="Times New Roman"/>
        </w:rPr>
        <w:t xml:space="preserve"> be able to</w:t>
      </w:r>
      <w:r w:rsidR="00F92132" w:rsidRPr="00F92132">
        <w:rPr>
          <w:rFonts w:ascii="Times New Roman" w:hAnsi="Times New Roman" w:cs="Times New Roman"/>
        </w:rPr>
        <w:t xml:space="preserve"> </w:t>
      </w:r>
      <w:proofErr w:type="gramStart"/>
      <w:r w:rsidR="00F92132" w:rsidRPr="00F92132">
        <w:rPr>
          <w:rFonts w:ascii="Times New Roman" w:hAnsi="Times New Roman" w:cs="Times New Roman"/>
        </w:rPr>
        <w:t>take into account</w:t>
      </w:r>
      <w:proofErr w:type="gramEnd"/>
      <w:r w:rsidR="00F92132" w:rsidRPr="00F92132">
        <w:rPr>
          <w:rFonts w:ascii="Times New Roman" w:hAnsi="Times New Roman" w:cs="Times New Roman"/>
        </w:rPr>
        <w:t xml:space="preserve"> unobserved HEI-specific heterogeneities </w:t>
      </w:r>
      <w:r w:rsidR="002C4D6E">
        <w:rPr>
          <w:rFonts w:ascii="Times New Roman" w:hAnsi="Times New Roman" w:cs="Times New Roman"/>
        </w:rPr>
        <w:t>(</w:t>
      </w:r>
      <w:r w:rsidR="00F92132" w:rsidRPr="00F92132">
        <w:rPr>
          <w:rFonts w:ascii="Times New Roman" w:hAnsi="Times New Roman" w:cs="Times New Roman"/>
        </w:rPr>
        <w:t xml:space="preserve">(e.g., differences in: (i) VC talent, skills, network, reputation, </w:t>
      </w:r>
      <w:r w:rsidR="002C4D6E">
        <w:rPr>
          <w:rFonts w:ascii="Times New Roman" w:hAnsi="Times New Roman" w:cs="Times New Roman"/>
        </w:rPr>
        <w:t xml:space="preserve">and </w:t>
      </w:r>
      <w:r w:rsidR="00F92132" w:rsidRPr="00F92132">
        <w:rPr>
          <w:rFonts w:ascii="Times New Roman" w:hAnsi="Times New Roman" w:cs="Times New Roman"/>
        </w:rPr>
        <w:t>experience; and (ii) HEIs location, mission, size, business culture and governance arrangements)</w:t>
      </w:r>
      <w:r w:rsidR="002C4D6E">
        <w:rPr>
          <w:rFonts w:ascii="Times New Roman" w:hAnsi="Times New Roman" w:cs="Times New Roman"/>
        </w:rPr>
        <w:t>)</w:t>
      </w:r>
      <w:r w:rsidR="00A13A44">
        <w:rPr>
          <w:rFonts w:ascii="Times New Roman" w:hAnsi="Times New Roman" w:cs="Times New Roman"/>
        </w:rPr>
        <w:t xml:space="preserve"> </w:t>
      </w:r>
      <w:r w:rsidR="00F92132" w:rsidRPr="00F92132">
        <w:rPr>
          <w:rFonts w:ascii="Times New Roman" w:hAnsi="Times New Roman" w:cs="Times New Roman"/>
        </w:rPr>
        <w:t xml:space="preserve">(Focke et al., 2017), </w:t>
      </w:r>
      <w:r w:rsidR="00F92132">
        <w:rPr>
          <w:rFonts w:ascii="Times New Roman" w:hAnsi="Times New Roman" w:cs="Times New Roman"/>
        </w:rPr>
        <w:t>we</w:t>
      </w:r>
      <w:r w:rsidR="002C4D6E">
        <w:rPr>
          <w:rFonts w:ascii="Times New Roman" w:hAnsi="Times New Roman" w:cs="Times New Roman"/>
        </w:rPr>
        <w:t xml:space="preserve"> first</w:t>
      </w:r>
      <w:r w:rsidR="00F92132" w:rsidRPr="00F92132">
        <w:rPr>
          <w:rFonts w:ascii="Times New Roman" w:hAnsi="Times New Roman" w:cs="Times New Roman"/>
        </w:rPr>
        <w:t xml:space="preserve"> ru</w:t>
      </w:r>
      <w:r w:rsidR="00F92132">
        <w:rPr>
          <w:rFonts w:ascii="Times New Roman" w:hAnsi="Times New Roman" w:cs="Times New Roman"/>
        </w:rPr>
        <w:t>n</w:t>
      </w:r>
      <w:r w:rsidR="00F92132" w:rsidRPr="00F92132">
        <w:rPr>
          <w:rFonts w:ascii="Times New Roman" w:hAnsi="Times New Roman" w:cs="Times New Roman"/>
        </w:rPr>
        <w:t xml:space="preserve"> fixed- and random-effects models. We </w:t>
      </w:r>
      <w:r w:rsidR="002C4D6E">
        <w:rPr>
          <w:rFonts w:ascii="Times New Roman" w:hAnsi="Times New Roman" w:cs="Times New Roman"/>
        </w:rPr>
        <w:t xml:space="preserve">next </w:t>
      </w:r>
      <w:r w:rsidR="00F92132" w:rsidRPr="00F92132">
        <w:rPr>
          <w:rFonts w:ascii="Times New Roman" w:hAnsi="Times New Roman" w:cs="Times New Roman"/>
        </w:rPr>
        <w:t>used Hausman specification test to select the appropriate models</w:t>
      </w:r>
      <w:r w:rsidR="00031878">
        <w:rPr>
          <w:rFonts w:ascii="Times New Roman" w:hAnsi="Times New Roman" w:cs="Times New Roman"/>
        </w:rPr>
        <w:t>.</w:t>
      </w:r>
      <w:r w:rsidR="00F92132" w:rsidRPr="00F92132">
        <w:rPr>
          <w:rFonts w:ascii="Times New Roman" w:hAnsi="Times New Roman" w:cs="Times New Roman"/>
        </w:rPr>
        <w:t xml:space="preserve"> </w:t>
      </w:r>
      <w:r w:rsidR="00031878">
        <w:rPr>
          <w:rFonts w:ascii="Times New Roman" w:hAnsi="Times New Roman" w:cs="Times New Roman"/>
        </w:rPr>
        <w:t>T</w:t>
      </w:r>
      <w:r w:rsidR="00F92132" w:rsidRPr="00F92132">
        <w:rPr>
          <w:rFonts w:ascii="Times New Roman" w:hAnsi="Times New Roman" w:cs="Times New Roman"/>
        </w:rPr>
        <w:t xml:space="preserve">he </w:t>
      </w:r>
      <w:r w:rsidR="00F92132" w:rsidRPr="00F92132">
        <w:rPr>
          <w:rFonts w:ascii="Times New Roman" w:hAnsi="Times New Roman" w:cs="Times New Roman"/>
          <w:i/>
          <w:iCs/>
        </w:rPr>
        <w:t>p</w:t>
      </w:r>
      <w:r w:rsidR="00F92132" w:rsidRPr="00F92132">
        <w:rPr>
          <w:rFonts w:ascii="Times New Roman" w:hAnsi="Times New Roman" w:cs="Times New Roman"/>
        </w:rPr>
        <w:t xml:space="preserve">-values </w:t>
      </w:r>
      <w:r w:rsidR="00031878">
        <w:rPr>
          <w:rFonts w:ascii="Times New Roman" w:hAnsi="Times New Roman" w:cs="Times New Roman"/>
        </w:rPr>
        <w:t xml:space="preserve">of the test </w:t>
      </w:r>
      <w:r w:rsidR="00F92132" w:rsidRPr="00F92132">
        <w:rPr>
          <w:rFonts w:ascii="Times New Roman" w:hAnsi="Times New Roman" w:cs="Times New Roman"/>
        </w:rPr>
        <w:t xml:space="preserve">for all </w:t>
      </w:r>
      <w:r w:rsidR="00031878">
        <w:rPr>
          <w:rFonts w:ascii="Times New Roman" w:hAnsi="Times New Roman" w:cs="Times New Roman"/>
        </w:rPr>
        <w:t xml:space="preserve">the </w:t>
      </w:r>
      <w:r w:rsidR="00F92132" w:rsidRPr="00F92132">
        <w:rPr>
          <w:rFonts w:ascii="Times New Roman" w:hAnsi="Times New Roman" w:cs="Times New Roman"/>
        </w:rPr>
        <w:t xml:space="preserve">estimated models are above 5%, indicating that random-effects models are </w:t>
      </w:r>
      <w:r w:rsidR="002C4D6E">
        <w:rPr>
          <w:rFonts w:ascii="Times New Roman" w:hAnsi="Times New Roman" w:cs="Times New Roman"/>
        </w:rPr>
        <w:t>better specified compared to fixed-effects ones</w:t>
      </w:r>
      <w:r w:rsidR="00031878">
        <w:rPr>
          <w:rFonts w:ascii="Times New Roman" w:hAnsi="Times New Roman" w:cs="Times New Roman"/>
        </w:rPr>
        <w:t xml:space="preserve"> for our data</w:t>
      </w:r>
      <w:r w:rsidR="00F92132" w:rsidRPr="00F92132">
        <w:rPr>
          <w:rFonts w:ascii="Times New Roman" w:hAnsi="Times New Roman" w:cs="Times New Roman"/>
        </w:rPr>
        <w:t>.</w:t>
      </w:r>
      <w:r w:rsidR="00031878">
        <w:rPr>
          <w:rFonts w:ascii="Times New Roman" w:hAnsi="Times New Roman" w:cs="Times New Roman"/>
        </w:rPr>
        <w:t xml:space="preserve"> </w:t>
      </w:r>
      <w:r w:rsidR="00E92A1C">
        <w:rPr>
          <w:rFonts w:ascii="Times New Roman" w:hAnsi="Times New Roman" w:cs="Times New Roman"/>
        </w:rPr>
        <w:t>For brevity, o</w:t>
      </w:r>
      <w:r w:rsidR="007901A3">
        <w:rPr>
          <w:rFonts w:ascii="Times New Roman" w:hAnsi="Times New Roman" w:cs="Times New Roman"/>
        </w:rPr>
        <w:t>ur OLS baseline findings have not been reported in this paper, but available upon request.</w:t>
      </w:r>
      <w:r w:rsidR="00E92A1C" w:rsidRPr="00E92A1C">
        <w:t xml:space="preserve"> </w:t>
      </w:r>
      <w:r w:rsidR="00E92A1C" w:rsidRPr="00E92A1C">
        <w:rPr>
          <w:rFonts w:ascii="Times New Roman" w:hAnsi="Times New Roman" w:cs="Times New Roman"/>
        </w:rPr>
        <w:t>We are grateful to an anonymous reviewer for this suggestion</w:t>
      </w:r>
      <w:r w:rsidR="00E92A1C">
        <w:rPr>
          <w:rFonts w:ascii="Times New Roman" w:hAnsi="Times New Roman" w:cs="Times New Roman"/>
        </w:rPr>
        <w:t>.</w:t>
      </w:r>
    </w:p>
  </w:footnote>
  <w:footnote w:id="6">
    <w:p w14:paraId="7377104D" w14:textId="58BDD876" w:rsidR="00464A80" w:rsidRPr="00702E06" w:rsidRDefault="00464A80" w:rsidP="00D95369">
      <w:pPr>
        <w:pStyle w:val="FootnoteText"/>
        <w:jc w:val="both"/>
      </w:pPr>
      <w:r>
        <w:rPr>
          <w:rStyle w:val="FootnoteReference"/>
        </w:rPr>
        <w:footnoteRef/>
      </w:r>
      <w:r w:rsidRPr="00F07C7B">
        <w:rPr>
          <w:rFonts w:ascii="Times New Roman" w:hAnsi="Times New Roman" w:cs="Times New Roman"/>
        </w:rPr>
        <w:t>We have also used other long-term (</w:t>
      </w:r>
      <w:r w:rsidRPr="00F07C7B">
        <w:rPr>
          <w:rFonts w:asciiTheme="majorBidi" w:hAnsiTheme="majorBidi" w:cstheme="majorBidi"/>
        </w:rPr>
        <w:t xml:space="preserve">proportion of female, disabled and BAME staff; proportion of students employed/schooling six months after graduation; and widening participation) and short-term </w:t>
      </w:r>
      <w:r>
        <w:rPr>
          <w:rFonts w:asciiTheme="majorBidi" w:hAnsiTheme="majorBidi" w:cstheme="majorBidi"/>
        </w:rPr>
        <w:t>(</w:t>
      </w:r>
      <w:r w:rsidRPr="00F07C7B">
        <w:rPr>
          <w:rFonts w:asciiTheme="majorBidi" w:hAnsiTheme="majorBidi" w:cstheme="majorBidi"/>
        </w:rPr>
        <w:t>(Research Assessment Exercise</w:t>
      </w:r>
      <w:r>
        <w:rPr>
          <w:rFonts w:asciiTheme="majorBidi" w:hAnsiTheme="majorBidi" w:cstheme="majorBidi"/>
        </w:rPr>
        <w:t>/(</w:t>
      </w:r>
      <w:r w:rsidRPr="00F07C7B">
        <w:rPr>
          <w:rFonts w:asciiTheme="majorBidi" w:hAnsiTheme="majorBidi" w:cstheme="majorBidi"/>
        </w:rPr>
        <w:t>RAE</w:t>
      </w:r>
      <w:r>
        <w:rPr>
          <w:rFonts w:asciiTheme="majorBidi" w:hAnsiTheme="majorBidi" w:cstheme="majorBidi"/>
        </w:rPr>
        <w:t>)/</w:t>
      </w:r>
      <w:r w:rsidRPr="00F07C7B">
        <w:rPr>
          <w:rFonts w:asciiTheme="majorBidi" w:hAnsiTheme="majorBidi" w:cstheme="majorBidi"/>
        </w:rPr>
        <w:t>Research Excellence Framework</w:t>
      </w:r>
      <w:r>
        <w:rPr>
          <w:rFonts w:asciiTheme="majorBidi" w:hAnsiTheme="majorBidi" w:cstheme="majorBidi"/>
        </w:rPr>
        <w:t>/(</w:t>
      </w:r>
      <w:r w:rsidRPr="00F07C7B">
        <w:rPr>
          <w:rFonts w:asciiTheme="majorBidi" w:hAnsiTheme="majorBidi" w:cstheme="majorBidi"/>
        </w:rPr>
        <w:t>REF</w:t>
      </w:r>
      <w:r>
        <w:rPr>
          <w:rFonts w:asciiTheme="majorBidi" w:hAnsiTheme="majorBidi" w:cstheme="majorBidi"/>
        </w:rPr>
        <w:t>)</w:t>
      </w:r>
      <w:r w:rsidRPr="00F07C7B">
        <w:rPr>
          <w:rFonts w:asciiTheme="majorBidi" w:hAnsiTheme="majorBidi" w:cstheme="majorBidi"/>
        </w:rPr>
        <w:t xml:space="preserve"> to measure research quality; and National S</w:t>
      </w:r>
      <w:r>
        <w:rPr>
          <w:rFonts w:asciiTheme="majorBidi" w:hAnsiTheme="majorBidi" w:cstheme="majorBidi"/>
        </w:rPr>
        <w:t>tudent</w:t>
      </w:r>
      <w:r w:rsidRPr="00F07C7B">
        <w:rPr>
          <w:rFonts w:asciiTheme="majorBidi" w:hAnsiTheme="majorBidi" w:cstheme="majorBidi"/>
        </w:rPr>
        <w:t xml:space="preserve"> </w:t>
      </w:r>
      <w:r>
        <w:rPr>
          <w:rFonts w:asciiTheme="majorBidi" w:hAnsiTheme="majorBidi" w:cstheme="majorBidi"/>
        </w:rPr>
        <w:t>Survey/</w:t>
      </w:r>
      <w:r w:rsidRPr="00F07C7B">
        <w:rPr>
          <w:rFonts w:asciiTheme="majorBidi" w:hAnsiTheme="majorBidi" w:cstheme="majorBidi"/>
        </w:rPr>
        <w:t>NSS</w:t>
      </w:r>
      <w:r>
        <w:rPr>
          <w:rFonts w:asciiTheme="majorBidi" w:hAnsiTheme="majorBidi" w:cstheme="majorBidi"/>
        </w:rPr>
        <w:t xml:space="preserve">)) performance proxies. The results, </w:t>
      </w:r>
      <w:r>
        <w:rPr>
          <w:rFonts w:ascii="Times New Roman" w:eastAsia="Times New Roman" w:hAnsi="Times New Roman" w:cs="Times New Roman"/>
        </w:rPr>
        <w:t>which for brevity not reported, but will be available upon request,</w:t>
      </w:r>
      <w:r>
        <w:rPr>
          <w:rFonts w:asciiTheme="majorBidi" w:hAnsiTheme="majorBidi" w:cstheme="majorBidi"/>
        </w:rPr>
        <w:t xml:space="preserve"> are generally </w:t>
      </w:r>
      <w:proofErr w:type="gramStart"/>
      <w:r>
        <w:rPr>
          <w:rFonts w:asciiTheme="majorBidi" w:hAnsiTheme="majorBidi" w:cstheme="majorBidi"/>
        </w:rPr>
        <w:t>similar to</w:t>
      </w:r>
      <w:proofErr w:type="gramEnd"/>
      <w:r>
        <w:rPr>
          <w:rFonts w:asciiTheme="majorBidi" w:hAnsiTheme="majorBidi" w:cstheme="majorBidi"/>
        </w:rPr>
        <w:t xml:space="preserve"> those reported in Table 2</w:t>
      </w:r>
      <w:r w:rsidRPr="005149B2">
        <w:rPr>
          <w:rFonts w:asciiTheme="majorBidi" w:hAnsiTheme="majorBidi" w:cstheme="majorBidi"/>
        </w:rPr>
        <w:t xml:space="preserve"> </w:t>
      </w:r>
      <w:r w:rsidRPr="008113B5">
        <w:rPr>
          <w:rFonts w:asciiTheme="majorBidi" w:hAnsiTheme="majorBidi" w:cstheme="majorBidi"/>
        </w:rPr>
        <w:t xml:space="preserve">(also see </w:t>
      </w:r>
      <w:r w:rsidR="00E92A1C">
        <w:rPr>
          <w:rFonts w:asciiTheme="majorBidi" w:hAnsiTheme="majorBidi" w:cstheme="majorBidi"/>
        </w:rPr>
        <w:t xml:space="preserve">the </w:t>
      </w:r>
      <w:r w:rsidR="00CC124D">
        <w:rPr>
          <w:rFonts w:asciiTheme="majorBidi" w:hAnsiTheme="majorBidi" w:cstheme="majorBidi"/>
          <w:b/>
          <w:bCs/>
        </w:rPr>
        <w:t xml:space="preserve">online </w:t>
      </w:r>
      <w:r w:rsidR="00CC124D" w:rsidRPr="009879E8">
        <w:rPr>
          <w:rFonts w:asciiTheme="majorBidi" w:hAnsiTheme="majorBidi" w:cstheme="majorBidi"/>
          <w:b/>
          <w:bCs/>
        </w:rPr>
        <w:t>Appendix</w:t>
      </w:r>
      <w:r w:rsidR="00F604F9" w:rsidRPr="009879E8">
        <w:rPr>
          <w:rFonts w:asciiTheme="majorBidi" w:hAnsiTheme="majorBidi" w:cstheme="majorBidi"/>
          <w:b/>
          <w:bCs/>
        </w:rPr>
        <w:t xml:space="preserve"> 5</w:t>
      </w:r>
      <w:r w:rsidR="00F604F9">
        <w:rPr>
          <w:rFonts w:asciiTheme="majorBidi" w:hAnsiTheme="majorBidi" w:cstheme="majorBidi"/>
        </w:rPr>
        <w:t xml:space="preserve"> </w:t>
      </w:r>
      <w:r w:rsidRPr="00702E06">
        <w:rPr>
          <w:rFonts w:asciiTheme="majorBidi" w:hAnsiTheme="majorBidi" w:cstheme="majorBidi"/>
        </w:rPr>
        <w:t>for additional detailed results).</w:t>
      </w:r>
      <w:r w:rsidR="006C5C3B">
        <w:rPr>
          <w:rFonts w:asciiTheme="majorBidi" w:hAnsiTheme="majorBidi" w:cstheme="majorBidi"/>
        </w:rPr>
        <w:t xml:space="preserve"> We have also used </w:t>
      </w:r>
      <w:r w:rsidR="00C5386B">
        <w:rPr>
          <w:rFonts w:asciiTheme="majorBidi" w:hAnsiTheme="majorBidi" w:cstheme="majorBidi"/>
        </w:rPr>
        <w:t xml:space="preserve">short-term </w:t>
      </w:r>
      <w:r w:rsidR="006C5C3B">
        <w:rPr>
          <w:rFonts w:asciiTheme="majorBidi" w:hAnsiTheme="majorBidi" w:cstheme="majorBidi"/>
        </w:rPr>
        <w:t>financial (</w:t>
      </w:r>
      <w:r w:rsidR="00C5386B">
        <w:rPr>
          <w:rFonts w:asciiTheme="majorBidi" w:hAnsiTheme="majorBidi" w:cstheme="majorBidi"/>
        </w:rPr>
        <w:t>return on assets/</w:t>
      </w:r>
      <w:r w:rsidR="006C5C3B">
        <w:rPr>
          <w:rFonts w:asciiTheme="majorBidi" w:hAnsiTheme="majorBidi" w:cstheme="majorBidi"/>
        </w:rPr>
        <w:t xml:space="preserve">ROA and </w:t>
      </w:r>
      <w:r w:rsidR="00C5386B">
        <w:rPr>
          <w:rFonts w:asciiTheme="majorBidi" w:hAnsiTheme="majorBidi" w:cstheme="majorBidi"/>
        </w:rPr>
        <w:t>equity/</w:t>
      </w:r>
      <w:r w:rsidR="006C5C3B">
        <w:rPr>
          <w:rFonts w:asciiTheme="majorBidi" w:hAnsiTheme="majorBidi" w:cstheme="majorBidi"/>
        </w:rPr>
        <w:t xml:space="preserve">ROE) performance proxies and the results are reported in the </w:t>
      </w:r>
      <w:r w:rsidR="006C5C3B" w:rsidRPr="00AE5329">
        <w:rPr>
          <w:rFonts w:asciiTheme="majorBidi" w:hAnsiTheme="majorBidi" w:cstheme="majorBidi"/>
          <w:b/>
          <w:bCs/>
        </w:rPr>
        <w:t>online Appendix 6</w:t>
      </w:r>
      <w:r w:rsidR="006C5C3B">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25pt;height:11.5pt" o:bullet="t">
        <v:imagedata r:id="rId1" o:title="Tick-icon"/>
      </v:shape>
    </w:pict>
  </w:numPicBullet>
  <w:numPicBullet w:numPicBulletId="1">
    <w:pict>
      <v:shape id="_x0000_i1041" type="#_x0000_t75" style="width:3in;height:3in" o:bullet="t"/>
    </w:pict>
  </w:numPicBullet>
  <w:abstractNum w:abstractNumId="0" w15:restartNumberingAfterBreak="0">
    <w:nsid w:val="FFFFFF1D"/>
    <w:multiLevelType w:val="multilevel"/>
    <w:tmpl w:val="ABDA65B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59D03C0"/>
    <w:multiLevelType w:val="hybridMultilevel"/>
    <w:tmpl w:val="CA825DF6"/>
    <w:lvl w:ilvl="0" w:tplc="2DCC5BF8">
      <w:start w:val="2009"/>
      <w:numFmt w:val="bullet"/>
      <w:lvlText w:val="-"/>
      <w:lvlJc w:val="left"/>
      <w:pPr>
        <w:ind w:left="720" w:hanging="360"/>
      </w:pPr>
      <w:rPr>
        <w:rFonts w:ascii="Times New Roman" w:eastAsia="MS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3764A"/>
    <w:multiLevelType w:val="multilevel"/>
    <w:tmpl w:val="B1E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F4F81"/>
    <w:multiLevelType w:val="hybridMultilevel"/>
    <w:tmpl w:val="B038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B684A"/>
    <w:multiLevelType w:val="hybridMultilevel"/>
    <w:tmpl w:val="5C5EE386"/>
    <w:lvl w:ilvl="0" w:tplc="296C835C">
      <w:start w:val="1"/>
      <w:numFmt w:val="bullet"/>
      <w:lvlText w:val=""/>
      <w:lvlJc w:val="left"/>
      <w:pPr>
        <w:tabs>
          <w:tab w:val="num" w:pos="720"/>
        </w:tabs>
        <w:ind w:left="720" w:hanging="360"/>
      </w:pPr>
      <w:rPr>
        <w:rFonts w:ascii="Wingdings" w:hAnsi="Wingdings" w:hint="default"/>
      </w:rPr>
    </w:lvl>
    <w:lvl w:ilvl="1" w:tplc="C87A6F3E" w:tentative="1">
      <w:start w:val="1"/>
      <w:numFmt w:val="bullet"/>
      <w:lvlText w:val=""/>
      <w:lvlJc w:val="left"/>
      <w:pPr>
        <w:tabs>
          <w:tab w:val="num" w:pos="1440"/>
        </w:tabs>
        <w:ind w:left="1440" w:hanging="360"/>
      </w:pPr>
      <w:rPr>
        <w:rFonts w:ascii="Wingdings" w:hAnsi="Wingdings" w:hint="default"/>
      </w:rPr>
    </w:lvl>
    <w:lvl w:ilvl="2" w:tplc="26E8141A">
      <w:start w:val="1"/>
      <w:numFmt w:val="bullet"/>
      <w:lvlText w:val=""/>
      <w:lvlJc w:val="left"/>
      <w:pPr>
        <w:tabs>
          <w:tab w:val="num" w:pos="2160"/>
        </w:tabs>
        <w:ind w:left="2160" w:hanging="360"/>
      </w:pPr>
      <w:rPr>
        <w:rFonts w:ascii="Wingdings" w:hAnsi="Wingdings" w:hint="default"/>
      </w:rPr>
    </w:lvl>
    <w:lvl w:ilvl="3" w:tplc="9348BBD4" w:tentative="1">
      <w:start w:val="1"/>
      <w:numFmt w:val="bullet"/>
      <w:lvlText w:val=""/>
      <w:lvlJc w:val="left"/>
      <w:pPr>
        <w:tabs>
          <w:tab w:val="num" w:pos="2880"/>
        </w:tabs>
        <w:ind w:left="2880" w:hanging="360"/>
      </w:pPr>
      <w:rPr>
        <w:rFonts w:ascii="Wingdings" w:hAnsi="Wingdings" w:hint="default"/>
      </w:rPr>
    </w:lvl>
    <w:lvl w:ilvl="4" w:tplc="270ECE02" w:tentative="1">
      <w:start w:val="1"/>
      <w:numFmt w:val="bullet"/>
      <w:lvlText w:val=""/>
      <w:lvlJc w:val="left"/>
      <w:pPr>
        <w:tabs>
          <w:tab w:val="num" w:pos="3600"/>
        </w:tabs>
        <w:ind w:left="3600" w:hanging="360"/>
      </w:pPr>
      <w:rPr>
        <w:rFonts w:ascii="Wingdings" w:hAnsi="Wingdings" w:hint="default"/>
      </w:rPr>
    </w:lvl>
    <w:lvl w:ilvl="5" w:tplc="BF862870" w:tentative="1">
      <w:start w:val="1"/>
      <w:numFmt w:val="bullet"/>
      <w:lvlText w:val=""/>
      <w:lvlJc w:val="left"/>
      <w:pPr>
        <w:tabs>
          <w:tab w:val="num" w:pos="4320"/>
        </w:tabs>
        <w:ind w:left="4320" w:hanging="360"/>
      </w:pPr>
      <w:rPr>
        <w:rFonts w:ascii="Wingdings" w:hAnsi="Wingdings" w:hint="default"/>
      </w:rPr>
    </w:lvl>
    <w:lvl w:ilvl="6" w:tplc="C1DE03B8" w:tentative="1">
      <w:start w:val="1"/>
      <w:numFmt w:val="bullet"/>
      <w:lvlText w:val=""/>
      <w:lvlJc w:val="left"/>
      <w:pPr>
        <w:tabs>
          <w:tab w:val="num" w:pos="5040"/>
        </w:tabs>
        <w:ind w:left="5040" w:hanging="360"/>
      </w:pPr>
      <w:rPr>
        <w:rFonts w:ascii="Wingdings" w:hAnsi="Wingdings" w:hint="default"/>
      </w:rPr>
    </w:lvl>
    <w:lvl w:ilvl="7" w:tplc="E644520A" w:tentative="1">
      <w:start w:val="1"/>
      <w:numFmt w:val="bullet"/>
      <w:lvlText w:val=""/>
      <w:lvlJc w:val="left"/>
      <w:pPr>
        <w:tabs>
          <w:tab w:val="num" w:pos="5760"/>
        </w:tabs>
        <w:ind w:left="5760" w:hanging="360"/>
      </w:pPr>
      <w:rPr>
        <w:rFonts w:ascii="Wingdings" w:hAnsi="Wingdings" w:hint="default"/>
      </w:rPr>
    </w:lvl>
    <w:lvl w:ilvl="8" w:tplc="BDE458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26799"/>
    <w:multiLevelType w:val="multilevel"/>
    <w:tmpl w:val="31B8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A4A0E"/>
    <w:multiLevelType w:val="hybridMultilevel"/>
    <w:tmpl w:val="B8A4E5AC"/>
    <w:lvl w:ilvl="0" w:tplc="438A7646">
      <w:start w:val="7"/>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B6C6EC8"/>
    <w:multiLevelType w:val="hybridMultilevel"/>
    <w:tmpl w:val="6840C1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DC632C"/>
    <w:multiLevelType w:val="hybridMultilevel"/>
    <w:tmpl w:val="9A9A9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224DB1"/>
    <w:multiLevelType w:val="hybridMultilevel"/>
    <w:tmpl w:val="C4522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1E57A5"/>
    <w:multiLevelType w:val="hybridMultilevel"/>
    <w:tmpl w:val="1CF092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B3F11"/>
    <w:multiLevelType w:val="hybridMultilevel"/>
    <w:tmpl w:val="A2843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5C6CA0"/>
    <w:multiLevelType w:val="hybridMultilevel"/>
    <w:tmpl w:val="2062D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7"/>
  </w:num>
  <w:num w:numId="5">
    <w:abstractNumId w:val="12"/>
  </w:num>
  <w:num w:numId="6">
    <w:abstractNumId w:val="3"/>
  </w:num>
  <w:num w:numId="7">
    <w:abstractNumId w:val="4"/>
  </w:num>
  <w:num w:numId="8">
    <w:abstractNumId w:val="1"/>
  </w:num>
  <w:num w:numId="9">
    <w:abstractNumId w:val="11"/>
  </w:num>
  <w:num w:numId="10">
    <w:abstractNumId w:val="5"/>
  </w:num>
  <w:num w:numId="11">
    <w:abstractNumId w:val="8"/>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0250C2"/>
    <w:rsid w:val="00000EB3"/>
    <w:rsid w:val="0000115C"/>
    <w:rsid w:val="0000138D"/>
    <w:rsid w:val="0000152C"/>
    <w:rsid w:val="00001FC8"/>
    <w:rsid w:val="0000314F"/>
    <w:rsid w:val="000038B5"/>
    <w:rsid w:val="00003BE6"/>
    <w:rsid w:val="000043C0"/>
    <w:rsid w:val="00006D18"/>
    <w:rsid w:val="000073E3"/>
    <w:rsid w:val="000079DB"/>
    <w:rsid w:val="0001055B"/>
    <w:rsid w:val="0001088B"/>
    <w:rsid w:val="00010B9E"/>
    <w:rsid w:val="00010F94"/>
    <w:rsid w:val="000125DD"/>
    <w:rsid w:val="00012843"/>
    <w:rsid w:val="00012E50"/>
    <w:rsid w:val="00013765"/>
    <w:rsid w:val="00013D91"/>
    <w:rsid w:val="00014340"/>
    <w:rsid w:val="000143D7"/>
    <w:rsid w:val="00014C96"/>
    <w:rsid w:val="0001685F"/>
    <w:rsid w:val="00016ABC"/>
    <w:rsid w:val="0002018A"/>
    <w:rsid w:val="00021342"/>
    <w:rsid w:val="000217AD"/>
    <w:rsid w:val="00021FF0"/>
    <w:rsid w:val="00022138"/>
    <w:rsid w:val="000245CF"/>
    <w:rsid w:val="000250C2"/>
    <w:rsid w:val="00025E20"/>
    <w:rsid w:val="00026271"/>
    <w:rsid w:val="00026831"/>
    <w:rsid w:val="0002759B"/>
    <w:rsid w:val="000306E1"/>
    <w:rsid w:val="00030E8F"/>
    <w:rsid w:val="00031878"/>
    <w:rsid w:val="00032E4E"/>
    <w:rsid w:val="0003314E"/>
    <w:rsid w:val="000332A3"/>
    <w:rsid w:val="00033843"/>
    <w:rsid w:val="00033A6F"/>
    <w:rsid w:val="00033A8D"/>
    <w:rsid w:val="000345E3"/>
    <w:rsid w:val="00035AE6"/>
    <w:rsid w:val="000377DF"/>
    <w:rsid w:val="00041857"/>
    <w:rsid w:val="00041FAD"/>
    <w:rsid w:val="00042B29"/>
    <w:rsid w:val="00042CAC"/>
    <w:rsid w:val="0004339F"/>
    <w:rsid w:val="00043CD2"/>
    <w:rsid w:val="00044333"/>
    <w:rsid w:val="00046ED0"/>
    <w:rsid w:val="00047D7D"/>
    <w:rsid w:val="00050CAB"/>
    <w:rsid w:val="0005140F"/>
    <w:rsid w:val="00051A12"/>
    <w:rsid w:val="00051E5E"/>
    <w:rsid w:val="000529C8"/>
    <w:rsid w:val="00054075"/>
    <w:rsid w:val="00054131"/>
    <w:rsid w:val="0005455B"/>
    <w:rsid w:val="0005459F"/>
    <w:rsid w:val="00054A58"/>
    <w:rsid w:val="000577C0"/>
    <w:rsid w:val="00057855"/>
    <w:rsid w:val="000605E4"/>
    <w:rsid w:val="0006077C"/>
    <w:rsid w:val="0006316F"/>
    <w:rsid w:val="00063365"/>
    <w:rsid w:val="00063ADD"/>
    <w:rsid w:val="00064250"/>
    <w:rsid w:val="000650E3"/>
    <w:rsid w:val="0006511A"/>
    <w:rsid w:val="0006548D"/>
    <w:rsid w:val="00067366"/>
    <w:rsid w:val="000674BD"/>
    <w:rsid w:val="0006794D"/>
    <w:rsid w:val="00067B3B"/>
    <w:rsid w:val="000720D0"/>
    <w:rsid w:val="00072265"/>
    <w:rsid w:val="00073372"/>
    <w:rsid w:val="00073973"/>
    <w:rsid w:val="000742F1"/>
    <w:rsid w:val="00074B5B"/>
    <w:rsid w:val="00075CB3"/>
    <w:rsid w:val="00076249"/>
    <w:rsid w:val="00076917"/>
    <w:rsid w:val="00077351"/>
    <w:rsid w:val="0007742F"/>
    <w:rsid w:val="00077A4A"/>
    <w:rsid w:val="000806D3"/>
    <w:rsid w:val="00080ABF"/>
    <w:rsid w:val="000829D9"/>
    <w:rsid w:val="0008370B"/>
    <w:rsid w:val="00084143"/>
    <w:rsid w:val="000842BE"/>
    <w:rsid w:val="00085B2E"/>
    <w:rsid w:val="00086220"/>
    <w:rsid w:val="00086275"/>
    <w:rsid w:val="000867C1"/>
    <w:rsid w:val="00086846"/>
    <w:rsid w:val="00086C19"/>
    <w:rsid w:val="000874AC"/>
    <w:rsid w:val="00090234"/>
    <w:rsid w:val="0009136C"/>
    <w:rsid w:val="00091868"/>
    <w:rsid w:val="000920B0"/>
    <w:rsid w:val="000929A5"/>
    <w:rsid w:val="00093CB6"/>
    <w:rsid w:val="00094069"/>
    <w:rsid w:val="000962A4"/>
    <w:rsid w:val="000963C1"/>
    <w:rsid w:val="0009666D"/>
    <w:rsid w:val="00096D47"/>
    <w:rsid w:val="000974A7"/>
    <w:rsid w:val="000A0907"/>
    <w:rsid w:val="000A17B6"/>
    <w:rsid w:val="000A208C"/>
    <w:rsid w:val="000A2ECE"/>
    <w:rsid w:val="000A3E40"/>
    <w:rsid w:val="000A4484"/>
    <w:rsid w:val="000A455A"/>
    <w:rsid w:val="000A48EC"/>
    <w:rsid w:val="000A6BC1"/>
    <w:rsid w:val="000A7B56"/>
    <w:rsid w:val="000B0E9E"/>
    <w:rsid w:val="000B2FEE"/>
    <w:rsid w:val="000B3129"/>
    <w:rsid w:val="000B56FD"/>
    <w:rsid w:val="000B5DAB"/>
    <w:rsid w:val="000B66F5"/>
    <w:rsid w:val="000B685C"/>
    <w:rsid w:val="000B7D82"/>
    <w:rsid w:val="000C02FE"/>
    <w:rsid w:val="000C17B9"/>
    <w:rsid w:val="000C2B5F"/>
    <w:rsid w:val="000C2E3F"/>
    <w:rsid w:val="000C316F"/>
    <w:rsid w:val="000C376C"/>
    <w:rsid w:val="000C5619"/>
    <w:rsid w:val="000C5FB8"/>
    <w:rsid w:val="000C63BF"/>
    <w:rsid w:val="000C6414"/>
    <w:rsid w:val="000C6770"/>
    <w:rsid w:val="000D0DE2"/>
    <w:rsid w:val="000D182F"/>
    <w:rsid w:val="000D1D42"/>
    <w:rsid w:val="000D2D75"/>
    <w:rsid w:val="000D4337"/>
    <w:rsid w:val="000D4C83"/>
    <w:rsid w:val="000D5794"/>
    <w:rsid w:val="000D6E7A"/>
    <w:rsid w:val="000D7FEA"/>
    <w:rsid w:val="000E0834"/>
    <w:rsid w:val="000E0F12"/>
    <w:rsid w:val="000E1724"/>
    <w:rsid w:val="000E303D"/>
    <w:rsid w:val="000E3147"/>
    <w:rsid w:val="000E36FE"/>
    <w:rsid w:val="000E44C1"/>
    <w:rsid w:val="000E538C"/>
    <w:rsid w:val="000E6097"/>
    <w:rsid w:val="000E61B8"/>
    <w:rsid w:val="000E6C27"/>
    <w:rsid w:val="000F0DA8"/>
    <w:rsid w:val="000F214C"/>
    <w:rsid w:val="000F3180"/>
    <w:rsid w:val="000F48F8"/>
    <w:rsid w:val="000F4A40"/>
    <w:rsid w:val="000F5213"/>
    <w:rsid w:val="000F5B71"/>
    <w:rsid w:val="000F6DF7"/>
    <w:rsid w:val="000F6E5E"/>
    <w:rsid w:val="000F7303"/>
    <w:rsid w:val="000F7435"/>
    <w:rsid w:val="000F7B90"/>
    <w:rsid w:val="00100941"/>
    <w:rsid w:val="00100A61"/>
    <w:rsid w:val="001010F2"/>
    <w:rsid w:val="001024B3"/>
    <w:rsid w:val="0010289C"/>
    <w:rsid w:val="00103125"/>
    <w:rsid w:val="001034B5"/>
    <w:rsid w:val="0010356D"/>
    <w:rsid w:val="001042E2"/>
    <w:rsid w:val="001042E7"/>
    <w:rsid w:val="00104362"/>
    <w:rsid w:val="00105C0A"/>
    <w:rsid w:val="00105C85"/>
    <w:rsid w:val="00111436"/>
    <w:rsid w:val="00111B34"/>
    <w:rsid w:val="001122A6"/>
    <w:rsid w:val="001131AF"/>
    <w:rsid w:val="001140DA"/>
    <w:rsid w:val="00114619"/>
    <w:rsid w:val="00114E1C"/>
    <w:rsid w:val="0011502F"/>
    <w:rsid w:val="0011578C"/>
    <w:rsid w:val="001178FC"/>
    <w:rsid w:val="00120296"/>
    <w:rsid w:val="00121BB9"/>
    <w:rsid w:val="00122411"/>
    <w:rsid w:val="00122A36"/>
    <w:rsid w:val="00122D4F"/>
    <w:rsid w:val="00122DC5"/>
    <w:rsid w:val="001230F6"/>
    <w:rsid w:val="00123A32"/>
    <w:rsid w:val="00123B07"/>
    <w:rsid w:val="00124135"/>
    <w:rsid w:val="001252A6"/>
    <w:rsid w:val="001259F9"/>
    <w:rsid w:val="00127DAA"/>
    <w:rsid w:val="00127FE5"/>
    <w:rsid w:val="00131C6A"/>
    <w:rsid w:val="00132689"/>
    <w:rsid w:val="00132902"/>
    <w:rsid w:val="001337D7"/>
    <w:rsid w:val="00134A76"/>
    <w:rsid w:val="001354B8"/>
    <w:rsid w:val="00136229"/>
    <w:rsid w:val="0013703D"/>
    <w:rsid w:val="001373D2"/>
    <w:rsid w:val="00141323"/>
    <w:rsid w:val="00142102"/>
    <w:rsid w:val="001427B5"/>
    <w:rsid w:val="001429D7"/>
    <w:rsid w:val="001445BA"/>
    <w:rsid w:val="001448AD"/>
    <w:rsid w:val="00145403"/>
    <w:rsid w:val="0014567B"/>
    <w:rsid w:val="001468E4"/>
    <w:rsid w:val="0015013C"/>
    <w:rsid w:val="0015045C"/>
    <w:rsid w:val="001510B4"/>
    <w:rsid w:val="00151438"/>
    <w:rsid w:val="0015291E"/>
    <w:rsid w:val="00153648"/>
    <w:rsid w:val="001537D3"/>
    <w:rsid w:val="001539D6"/>
    <w:rsid w:val="0015400E"/>
    <w:rsid w:val="00156195"/>
    <w:rsid w:val="00157121"/>
    <w:rsid w:val="0016058F"/>
    <w:rsid w:val="00160730"/>
    <w:rsid w:val="00162314"/>
    <w:rsid w:val="001623A6"/>
    <w:rsid w:val="00162C7C"/>
    <w:rsid w:val="001630C2"/>
    <w:rsid w:val="001637C0"/>
    <w:rsid w:val="001638F7"/>
    <w:rsid w:val="00163B12"/>
    <w:rsid w:val="00163C0D"/>
    <w:rsid w:val="00163CAA"/>
    <w:rsid w:val="001656DA"/>
    <w:rsid w:val="00166412"/>
    <w:rsid w:val="00166AD3"/>
    <w:rsid w:val="001673B1"/>
    <w:rsid w:val="0016780E"/>
    <w:rsid w:val="001708B0"/>
    <w:rsid w:val="00170BDF"/>
    <w:rsid w:val="00170CB9"/>
    <w:rsid w:val="001712F9"/>
    <w:rsid w:val="00173235"/>
    <w:rsid w:val="00174B55"/>
    <w:rsid w:val="0017579E"/>
    <w:rsid w:val="001767A7"/>
    <w:rsid w:val="00176935"/>
    <w:rsid w:val="00176DD4"/>
    <w:rsid w:val="001779D0"/>
    <w:rsid w:val="00177CFD"/>
    <w:rsid w:val="00180542"/>
    <w:rsid w:val="0018087A"/>
    <w:rsid w:val="001816F7"/>
    <w:rsid w:val="0018398A"/>
    <w:rsid w:val="00185442"/>
    <w:rsid w:val="001871C9"/>
    <w:rsid w:val="00190204"/>
    <w:rsid w:val="00190AC7"/>
    <w:rsid w:val="001915C5"/>
    <w:rsid w:val="001919B9"/>
    <w:rsid w:val="00191B70"/>
    <w:rsid w:val="001921C2"/>
    <w:rsid w:val="00192AD7"/>
    <w:rsid w:val="001934B4"/>
    <w:rsid w:val="001938CF"/>
    <w:rsid w:val="00193E0C"/>
    <w:rsid w:val="001940C8"/>
    <w:rsid w:val="0019489A"/>
    <w:rsid w:val="00194FB7"/>
    <w:rsid w:val="00195120"/>
    <w:rsid w:val="00195603"/>
    <w:rsid w:val="001958CD"/>
    <w:rsid w:val="00195AA9"/>
    <w:rsid w:val="00195CCC"/>
    <w:rsid w:val="00196089"/>
    <w:rsid w:val="001969D1"/>
    <w:rsid w:val="001971B4"/>
    <w:rsid w:val="00197F7E"/>
    <w:rsid w:val="001A0B0E"/>
    <w:rsid w:val="001A1401"/>
    <w:rsid w:val="001A3BC8"/>
    <w:rsid w:val="001A3D69"/>
    <w:rsid w:val="001A6102"/>
    <w:rsid w:val="001A6273"/>
    <w:rsid w:val="001A6EC0"/>
    <w:rsid w:val="001A7DE5"/>
    <w:rsid w:val="001B00FA"/>
    <w:rsid w:val="001B0E1A"/>
    <w:rsid w:val="001B1EAA"/>
    <w:rsid w:val="001B20BE"/>
    <w:rsid w:val="001B2109"/>
    <w:rsid w:val="001B382B"/>
    <w:rsid w:val="001B3ADF"/>
    <w:rsid w:val="001B3D46"/>
    <w:rsid w:val="001B429A"/>
    <w:rsid w:val="001B44B8"/>
    <w:rsid w:val="001B4FC8"/>
    <w:rsid w:val="001B6337"/>
    <w:rsid w:val="001B6F1C"/>
    <w:rsid w:val="001B7497"/>
    <w:rsid w:val="001B79CA"/>
    <w:rsid w:val="001C0FBD"/>
    <w:rsid w:val="001C12D2"/>
    <w:rsid w:val="001C18D0"/>
    <w:rsid w:val="001C3611"/>
    <w:rsid w:val="001C3662"/>
    <w:rsid w:val="001C47E4"/>
    <w:rsid w:val="001C4D11"/>
    <w:rsid w:val="001C5CED"/>
    <w:rsid w:val="001C787F"/>
    <w:rsid w:val="001D0003"/>
    <w:rsid w:val="001D1013"/>
    <w:rsid w:val="001D10DF"/>
    <w:rsid w:val="001D122A"/>
    <w:rsid w:val="001D155C"/>
    <w:rsid w:val="001D1DA3"/>
    <w:rsid w:val="001D29A7"/>
    <w:rsid w:val="001D29C9"/>
    <w:rsid w:val="001D2B43"/>
    <w:rsid w:val="001D351A"/>
    <w:rsid w:val="001D3CBE"/>
    <w:rsid w:val="001D40F2"/>
    <w:rsid w:val="001D41F0"/>
    <w:rsid w:val="001D45AB"/>
    <w:rsid w:val="001D45EA"/>
    <w:rsid w:val="001D5015"/>
    <w:rsid w:val="001D552D"/>
    <w:rsid w:val="001D5FED"/>
    <w:rsid w:val="001D63F2"/>
    <w:rsid w:val="001D6A15"/>
    <w:rsid w:val="001E0C9B"/>
    <w:rsid w:val="001E1792"/>
    <w:rsid w:val="001E2C83"/>
    <w:rsid w:val="001E3DEE"/>
    <w:rsid w:val="001E476B"/>
    <w:rsid w:val="001E496C"/>
    <w:rsid w:val="001E69B6"/>
    <w:rsid w:val="001E7911"/>
    <w:rsid w:val="001F0A7A"/>
    <w:rsid w:val="001F27EF"/>
    <w:rsid w:val="001F2830"/>
    <w:rsid w:val="001F2831"/>
    <w:rsid w:val="001F2D24"/>
    <w:rsid w:val="001F344B"/>
    <w:rsid w:val="001F4078"/>
    <w:rsid w:val="001F4D57"/>
    <w:rsid w:val="001F55A9"/>
    <w:rsid w:val="001F567F"/>
    <w:rsid w:val="001F5B04"/>
    <w:rsid w:val="0020063B"/>
    <w:rsid w:val="002006D4"/>
    <w:rsid w:val="0020082B"/>
    <w:rsid w:val="00202170"/>
    <w:rsid w:val="00202CA4"/>
    <w:rsid w:val="00202CDE"/>
    <w:rsid w:val="002044DB"/>
    <w:rsid w:val="00204C38"/>
    <w:rsid w:val="00205545"/>
    <w:rsid w:val="002070AD"/>
    <w:rsid w:val="00207603"/>
    <w:rsid w:val="00207F8B"/>
    <w:rsid w:val="00207FD0"/>
    <w:rsid w:val="00210509"/>
    <w:rsid w:val="002120C1"/>
    <w:rsid w:val="00212122"/>
    <w:rsid w:val="0021432A"/>
    <w:rsid w:val="002158DA"/>
    <w:rsid w:val="00217163"/>
    <w:rsid w:val="00217381"/>
    <w:rsid w:val="00220702"/>
    <w:rsid w:val="00221730"/>
    <w:rsid w:val="00221A14"/>
    <w:rsid w:val="00222D56"/>
    <w:rsid w:val="0022327F"/>
    <w:rsid w:val="00223B94"/>
    <w:rsid w:val="00223CAB"/>
    <w:rsid w:val="00224809"/>
    <w:rsid w:val="0022510C"/>
    <w:rsid w:val="002251E2"/>
    <w:rsid w:val="0022671D"/>
    <w:rsid w:val="00227634"/>
    <w:rsid w:val="00231930"/>
    <w:rsid w:val="00232225"/>
    <w:rsid w:val="002323CC"/>
    <w:rsid w:val="0023241B"/>
    <w:rsid w:val="002327E5"/>
    <w:rsid w:val="002331E2"/>
    <w:rsid w:val="002351B3"/>
    <w:rsid w:val="00235C8B"/>
    <w:rsid w:val="002361C4"/>
    <w:rsid w:val="002364F5"/>
    <w:rsid w:val="002378E3"/>
    <w:rsid w:val="00237966"/>
    <w:rsid w:val="00237B98"/>
    <w:rsid w:val="00237DFF"/>
    <w:rsid w:val="00241047"/>
    <w:rsid w:val="002419FA"/>
    <w:rsid w:val="00241ACE"/>
    <w:rsid w:val="00242537"/>
    <w:rsid w:val="00242C0E"/>
    <w:rsid w:val="00243E47"/>
    <w:rsid w:val="00244591"/>
    <w:rsid w:val="0024509C"/>
    <w:rsid w:val="002453DA"/>
    <w:rsid w:val="002460D4"/>
    <w:rsid w:val="00246406"/>
    <w:rsid w:val="002474CB"/>
    <w:rsid w:val="00247734"/>
    <w:rsid w:val="00247A74"/>
    <w:rsid w:val="00247D52"/>
    <w:rsid w:val="00250D6E"/>
    <w:rsid w:val="002518F9"/>
    <w:rsid w:val="00253381"/>
    <w:rsid w:val="002534B0"/>
    <w:rsid w:val="00253548"/>
    <w:rsid w:val="002536A3"/>
    <w:rsid w:val="00254453"/>
    <w:rsid w:val="002563FE"/>
    <w:rsid w:val="00256732"/>
    <w:rsid w:val="002568F9"/>
    <w:rsid w:val="00257727"/>
    <w:rsid w:val="00257770"/>
    <w:rsid w:val="00257933"/>
    <w:rsid w:val="00260066"/>
    <w:rsid w:val="0026043F"/>
    <w:rsid w:val="00260BED"/>
    <w:rsid w:val="002613DF"/>
    <w:rsid w:val="0026288C"/>
    <w:rsid w:val="00263738"/>
    <w:rsid w:val="00263A5C"/>
    <w:rsid w:val="00263BAA"/>
    <w:rsid w:val="002643A2"/>
    <w:rsid w:val="002647B3"/>
    <w:rsid w:val="00265036"/>
    <w:rsid w:val="00265606"/>
    <w:rsid w:val="0026598C"/>
    <w:rsid w:val="00265B49"/>
    <w:rsid w:val="00265BD1"/>
    <w:rsid w:val="0026712C"/>
    <w:rsid w:val="00270135"/>
    <w:rsid w:val="00270A5E"/>
    <w:rsid w:val="00270B06"/>
    <w:rsid w:val="00270E0B"/>
    <w:rsid w:val="00271718"/>
    <w:rsid w:val="002717FB"/>
    <w:rsid w:val="00271AE8"/>
    <w:rsid w:val="00271EED"/>
    <w:rsid w:val="002720BE"/>
    <w:rsid w:val="00272BF8"/>
    <w:rsid w:val="00272EFE"/>
    <w:rsid w:val="00273746"/>
    <w:rsid w:val="00275193"/>
    <w:rsid w:val="00275202"/>
    <w:rsid w:val="0027598B"/>
    <w:rsid w:val="00275E88"/>
    <w:rsid w:val="00277092"/>
    <w:rsid w:val="00277727"/>
    <w:rsid w:val="00277D87"/>
    <w:rsid w:val="002806C0"/>
    <w:rsid w:val="00280F7E"/>
    <w:rsid w:val="00281E59"/>
    <w:rsid w:val="002828A4"/>
    <w:rsid w:val="002847F8"/>
    <w:rsid w:val="00285128"/>
    <w:rsid w:val="002855EE"/>
    <w:rsid w:val="002857A6"/>
    <w:rsid w:val="002859DD"/>
    <w:rsid w:val="00285C74"/>
    <w:rsid w:val="002860A3"/>
    <w:rsid w:val="0028616F"/>
    <w:rsid w:val="00286890"/>
    <w:rsid w:val="002875A6"/>
    <w:rsid w:val="0029094D"/>
    <w:rsid w:val="00290B5C"/>
    <w:rsid w:val="00291329"/>
    <w:rsid w:val="00293651"/>
    <w:rsid w:val="00294C05"/>
    <w:rsid w:val="002951D7"/>
    <w:rsid w:val="00296965"/>
    <w:rsid w:val="0029698C"/>
    <w:rsid w:val="00296EDB"/>
    <w:rsid w:val="0029721B"/>
    <w:rsid w:val="002A0B70"/>
    <w:rsid w:val="002A2590"/>
    <w:rsid w:val="002A2BE7"/>
    <w:rsid w:val="002A46BD"/>
    <w:rsid w:val="002A4BAD"/>
    <w:rsid w:val="002A4CDC"/>
    <w:rsid w:val="002A52AA"/>
    <w:rsid w:val="002A5CE1"/>
    <w:rsid w:val="002A604B"/>
    <w:rsid w:val="002A6CD0"/>
    <w:rsid w:val="002A7DBC"/>
    <w:rsid w:val="002A7E18"/>
    <w:rsid w:val="002A7EB0"/>
    <w:rsid w:val="002B00B3"/>
    <w:rsid w:val="002B0E33"/>
    <w:rsid w:val="002B1522"/>
    <w:rsid w:val="002B1C67"/>
    <w:rsid w:val="002B1FE7"/>
    <w:rsid w:val="002B240C"/>
    <w:rsid w:val="002B2E35"/>
    <w:rsid w:val="002B32CF"/>
    <w:rsid w:val="002B347A"/>
    <w:rsid w:val="002B3505"/>
    <w:rsid w:val="002B3DCA"/>
    <w:rsid w:val="002B4F49"/>
    <w:rsid w:val="002B718F"/>
    <w:rsid w:val="002C0693"/>
    <w:rsid w:val="002C08FB"/>
    <w:rsid w:val="002C13C0"/>
    <w:rsid w:val="002C1622"/>
    <w:rsid w:val="002C3300"/>
    <w:rsid w:val="002C49DD"/>
    <w:rsid w:val="002C4C59"/>
    <w:rsid w:val="002C4D6E"/>
    <w:rsid w:val="002C640A"/>
    <w:rsid w:val="002C65BA"/>
    <w:rsid w:val="002C7F22"/>
    <w:rsid w:val="002D00B2"/>
    <w:rsid w:val="002D10BB"/>
    <w:rsid w:val="002D1167"/>
    <w:rsid w:val="002D11DA"/>
    <w:rsid w:val="002D1266"/>
    <w:rsid w:val="002D36A7"/>
    <w:rsid w:val="002D37F4"/>
    <w:rsid w:val="002D4192"/>
    <w:rsid w:val="002D4D67"/>
    <w:rsid w:val="002D514B"/>
    <w:rsid w:val="002D6C9F"/>
    <w:rsid w:val="002D786F"/>
    <w:rsid w:val="002D7E41"/>
    <w:rsid w:val="002E1077"/>
    <w:rsid w:val="002E20C3"/>
    <w:rsid w:val="002E2357"/>
    <w:rsid w:val="002E3008"/>
    <w:rsid w:val="002E4212"/>
    <w:rsid w:val="002E4EDE"/>
    <w:rsid w:val="002E4F03"/>
    <w:rsid w:val="002F1560"/>
    <w:rsid w:val="002F1D28"/>
    <w:rsid w:val="002F2170"/>
    <w:rsid w:val="002F281D"/>
    <w:rsid w:val="002F2A0D"/>
    <w:rsid w:val="002F2FB4"/>
    <w:rsid w:val="002F3716"/>
    <w:rsid w:val="002F3EE6"/>
    <w:rsid w:val="002F41B3"/>
    <w:rsid w:val="002F45CC"/>
    <w:rsid w:val="002F49A0"/>
    <w:rsid w:val="002F4D49"/>
    <w:rsid w:val="002F4ED1"/>
    <w:rsid w:val="002F5752"/>
    <w:rsid w:val="002F5A7D"/>
    <w:rsid w:val="002F5B1A"/>
    <w:rsid w:val="002F6756"/>
    <w:rsid w:val="002F7C51"/>
    <w:rsid w:val="00300790"/>
    <w:rsid w:val="00301651"/>
    <w:rsid w:val="00301A27"/>
    <w:rsid w:val="003026CF"/>
    <w:rsid w:val="00302BA5"/>
    <w:rsid w:val="00302E68"/>
    <w:rsid w:val="00303A78"/>
    <w:rsid w:val="00303FD8"/>
    <w:rsid w:val="0030447E"/>
    <w:rsid w:val="00304F44"/>
    <w:rsid w:val="00304F87"/>
    <w:rsid w:val="0030564C"/>
    <w:rsid w:val="00305B45"/>
    <w:rsid w:val="00305B6B"/>
    <w:rsid w:val="00307211"/>
    <w:rsid w:val="00310C3D"/>
    <w:rsid w:val="00311D24"/>
    <w:rsid w:val="00312F99"/>
    <w:rsid w:val="003139B7"/>
    <w:rsid w:val="003166D3"/>
    <w:rsid w:val="00316BCE"/>
    <w:rsid w:val="00320BEF"/>
    <w:rsid w:val="0032135D"/>
    <w:rsid w:val="0032328B"/>
    <w:rsid w:val="00323D55"/>
    <w:rsid w:val="00323EC8"/>
    <w:rsid w:val="00324442"/>
    <w:rsid w:val="003265ED"/>
    <w:rsid w:val="003276E4"/>
    <w:rsid w:val="00327EA6"/>
    <w:rsid w:val="00327F5A"/>
    <w:rsid w:val="00330F00"/>
    <w:rsid w:val="00331422"/>
    <w:rsid w:val="00331746"/>
    <w:rsid w:val="00332E15"/>
    <w:rsid w:val="0033350F"/>
    <w:rsid w:val="00333A2E"/>
    <w:rsid w:val="0033523B"/>
    <w:rsid w:val="003357AC"/>
    <w:rsid w:val="003367B0"/>
    <w:rsid w:val="00336D1F"/>
    <w:rsid w:val="003374BE"/>
    <w:rsid w:val="00341BBA"/>
    <w:rsid w:val="00342570"/>
    <w:rsid w:val="003428BA"/>
    <w:rsid w:val="00342C94"/>
    <w:rsid w:val="00344012"/>
    <w:rsid w:val="00344DCE"/>
    <w:rsid w:val="0034502D"/>
    <w:rsid w:val="003453ED"/>
    <w:rsid w:val="0034543D"/>
    <w:rsid w:val="00346126"/>
    <w:rsid w:val="0035487B"/>
    <w:rsid w:val="00355388"/>
    <w:rsid w:val="00355417"/>
    <w:rsid w:val="003557B1"/>
    <w:rsid w:val="00356FD7"/>
    <w:rsid w:val="0035750E"/>
    <w:rsid w:val="003576C3"/>
    <w:rsid w:val="00361C67"/>
    <w:rsid w:val="00362C6C"/>
    <w:rsid w:val="00363454"/>
    <w:rsid w:val="003640F8"/>
    <w:rsid w:val="00364913"/>
    <w:rsid w:val="00364C16"/>
    <w:rsid w:val="00364D70"/>
    <w:rsid w:val="0036557C"/>
    <w:rsid w:val="003655A8"/>
    <w:rsid w:val="00366108"/>
    <w:rsid w:val="003666C3"/>
    <w:rsid w:val="00367263"/>
    <w:rsid w:val="00367430"/>
    <w:rsid w:val="00367D39"/>
    <w:rsid w:val="00370A56"/>
    <w:rsid w:val="003716B8"/>
    <w:rsid w:val="00371822"/>
    <w:rsid w:val="00371BA8"/>
    <w:rsid w:val="003722B7"/>
    <w:rsid w:val="00372FFE"/>
    <w:rsid w:val="00374AF4"/>
    <w:rsid w:val="003754B4"/>
    <w:rsid w:val="00375659"/>
    <w:rsid w:val="00376B1D"/>
    <w:rsid w:val="0037708D"/>
    <w:rsid w:val="00377A98"/>
    <w:rsid w:val="00380783"/>
    <w:rsid w:val="00380856"/>
    <w:rsid w:val="003816A2"/>
    <w:rsid w:val="003817FD"/>
    <w:rsid w:val="00381F04"/>
    <w:rsid w:val="00383496"/>
    <w:rsid w:val="00385A05"/>
    <w:rsid w:val="00386CBF"/>
    <w:rsid w:val="00387A45"/>
    <w:rsid w:val="00391277"/>
    <w:rsid w:val="00391AC1"/>
    <w:rsid w:val="00392402"/>
    <w:rsid w:val="0039266D"/>
    <w:rsid w:val="00392938"/>
    <w:rsid w:val="00394410"/>
    <w:rsid w:val="003946BC"/>
    <w:rsid w:val="00394B09"/>
    <w:rsid w:val="00395ABA"/>
    <w:rsid w:val="00395DA6"/>
    <w:rsid w:val="00396594"/>
    <w:rsid w:val="0039699C"/>
    <w:rsid w:val="00396DA6"/>
    <w:rsid w:val="00397DAC"/>
    <w:rsid w:val="003A0104"/>
    <w:rsid w:val="003A0138"/>
    <w:rsid w:val="003A06BD"/>
    <w:rsid w:val="003A1952"/>
    <w:rsid w:val="003A2F63"/>
    <w:rsid w:val="003A50E0"/>
    <w:rsid w:val="003A51D1"/>
    <w:rsid w:val="003A5B51"/>
    <w:rsid w:val="003A6984"/>
    <w:rsid w:val="003A6EF5"/>
    <w:rsid w:val="003A7E82"/>
    <w:rsid w:val="003B014C"/>
    <w:rsid w:val="003B0883"/>
    <w:rsid w:val="003B098A"/>
    <w:rsid w:val="003B1DED"/>
    <w:rsid w:val="003B2664"/>
    <w:rsid w:val="003B3434"/>
    <w:rsid w:val="003B349B"/>
    <w:rsid w:val="003B367F"/>
    <w:rsid w:val="003B3F36"/>
    <w:rsid w:val="003B5033"/>
    <w:rsid w:val="003B5A30"/>
    <w:rsid w:val="003B5AEF"/>
    <w:rsid w:val="003B5C0A"/>
    <w:rsid w:val="003B64CA"/>
    <w:rsid w:val="003C0A50"/>
    <w:rsid w:val="003C0A87"/>
    <w:rsid w:val="003C28BB"/>
    <w:rsid w:val="003C2A85"/>
    <w:rsid w:val="003C35E6"/>
    <w:rsid w:val="003C43D3"/>
    <w:rsid w:val="003C492D"/>
    <w:rsid w:val="003C4D3E"/>
    <w:rsid w:val="003C5502"/>
    <w:rsid w:val="003C57F2"/>
    <w:rsid w:val="003C7323"/>
    <w:rsid w:val="003C7E0E"/>
    <w:rsid w:val="003D2B15"/>
    <w:rsid w:val="003D3374"/>
    <w:rsid w:val="003D56CC"/>
    <w:rsid w:val="003D65A5"/>
    <w:rsid w:val="003D69A5"/>
    <w:rsid w:val="003D726C"/>
    <w:rsid w:val="003D7470"/>
    <w:rsid w:val="003E0489"/>
    <w:rsid w:val="003E0495"/>
    <w:rsid w:val="003E12DF"/>
    <w:rsid w:val="003E1C7A"/>
    <w:rsid w:val="003E23AC"/>
    <w:rsid w:val="003E24A7"/>
    <w:rsid w:val="003E39B1"/>
    <w:rsid w:val="003E46AC"/>
    <w:rsid w:val="003E4ED6"/>
    <w:rsid w:val="003E59B7"/>
    <w:rsid w:val="003E6563"/>
    <w:rsid w:val="003E6E5D"/>
    <w:rsid w:val="003E7477"/>
    <w:rsid w:val="003E7577"/>
    <w:rsid w:val="003E7A19"/>
    <w:rsid w:val="003F266E"/>
    <w:rsid w:val="003F2E09"/>
    <w:rsid w:val="003F4019"/>
    <w:rsid w:val="003F4400"/>
    <w:rsid w:val="003F4511"/>
    <w:rsid w:val="003F4702"/>
    <w:rsid w:val="003F4BDF"/>
    <w:rsid w:val="003F5030"/>
    <w:rsid w:val="003F535A"/>
    <w:rsid w:val="003F5778"/>
    <w:rsid w:val="003F5BA1"/>
    <w:rsid w:val="003F5D14"/>
    <w:rsid w:val="003F65B4"/>
    <w:rsid w:val="003F77A8"/>
    <w:rsid w:val="003F7879"/>
    <w:rsid w:val="00400034"/>
    <w:rsid w:val="004015DE"/>
    <w:rsid w:val="0040168B"/>
    <w:rsid w:val="00401B66"/>
    <w:rsid w:val="00401B93"/>
    <w:rsid w:val="00401BA7"/>
    <w:rsid w:val="00402F95"/>
    <w:rsid w:val="00403102"/>
    <w:rsid w:val="0040388D"/>
    <w:rsid w:val="00403C65"/>
    <w:rsid w:val="00404941"/>
    <w:rsid w:val="00404E6E"/>
    <w:rsid w:val="00404FD2"/>
    <w:rsid w:val="00405BD0"/>
    <w:rsid w:val="00405EF8"/>
    <w:rsid w:val="004061C0"/>
    <w:rsid w:val="00410A77"/>
    <w:rsid w:val="00410D7F"/>
    <w:rsid w:val="004142C1"/>
    <w:rsid w:val="0041465E"/>
    <w:rsid w:val="00414760"/>
    <w:rsid w:val="00414988"/>
    <w:rsid w:val="004149CD"/>
    <w:rsid w:val="0041502B"/>
    <w:rsid w:val="004151A6"/>
    <w:rsid w:val="0041568A"/>
    <w:rsid w:val="004156EB"/>
    <w:rsid w:val="004160D1"/>
    <w:rsid w:val="00416244"/>
    <w:rsid w:val="004163E2"/>
    <w:rsid w:val="00416BCF"/>
    <w:rsid w:val="004202FA"/>
    <w:rsid w:val="004205AB"/>
    <w:rsid w:val="00420EF8"/>
    <w:rsid w:val="00421796"/>
    <w:rsid w:val="00421C2E"/>
    <w:rsid w:val="00423C0B"/>
    <w:rsid w:val="00424333"/>
    <w:rsid w:val="0042446F"/>
    <w:rsid w:val="00424565"/>
    <w:rsid w:val="00424FC4"/>
    <w:rsid w:val="004252BA"/>
    <w:rsid w:val="00426A57"/>
    <w:rsid w:val="00431EAF"/>
    <w:rsid w:val="00432646"/>
    <w:rsid w:val="00433151"/>
    <w:rsid w:val="004337A4"/>
    <w:rsid w:val="004339DF"/>
    <w:rsid w:val="00433DEF"/>
    <w:rsid w:val="00434039"/>
    <w:rsid w:val="00434A22"/>
    <w:rsid w:val="00434C3E"/>
    <w:rsid w:val="0043547F"/>
    <w:rsid w:val="004355AA"/>
    <w:rsid w:val="00435FE0"/>
    <w:rsid w:val="00436365"/>
    <w:rsid w:val="0043647E"/>
    <w:rsid w:val="004364AA"/>
    <w:rsid w:val="004367BC"/>
    <w:rsid w:val="00440BAE"/>
    <w:rsid w:val="00440DA7"/>
    <w:rsid w:val="004412DB"/>
    <w:rsid w:val="00442D22"/>
    <w:rsid w:val="00442DAA"/>
    <w:rsid w:val="0044315D"/>
    <w:rsid w:val="00443444"/>
    <w:rsid w:val="00444882"/>
    <w:rsid w:val="00445717"/>
    <w:rsid w:val="00445C0D"/>
    <w:rsid w:val="00446E30"/>
    <w:rsid w:val="00446F37"/>
    <w:rsid w:val="0044712F"/>
    <w:rsid w:val="00447377"/>
    <w:rsid w:val="004474E9"/>
    <w:rsid w:val="00447B17"/>
    <w:rsid w:val="004502F1"/>
    <w:rsid w:val="00450A59"/>
    <w:rsid w:val="00451A64"/>
    <w:rsid w:val="0045208A"/>
    <w:rsid w:val="0045587A"/>
    <w:rsid w:val="0045599E"/>
    <w:rsid w:val="00456C82"/>
    <w:rsid w:val="00456CED"/>
    <w:rsid w:val="004570AB"/>
    <w:rsid w:val="0045753C"/>
    <w:rsid w:val="004579F1"/>
    <w:rsid w:val="004609A9"/>
    <w:rsid w:val="004618B2"/>
    <w:rsid w:val="00462AD6"/>
    <w:rsid w:val="00462F0B"/>
    <w:rsid w:val="004643FD"/>
    <w:rsid w:val="00464A80"/>
    <w:rsid w:val="004656A8"/>
    <w:rsid w:val="00466076"/>
    <w:rsid w:val="0046668D"/>
    <w:rsid w:val="00470A96"/>
    <w:rsid w:val="00470EAE"/>
    <w:rsid w:val="0047223C"/>
    <w:rsid w:val="004724F9"/>
    <w:rsid w:val="00472662"/>
    <w:rsid w:val="004726A5"/>
    <w:rsid w:val="0047275E"/>
    <w:rsid w:val="00472891"/>
    <w:rsid w:val="00472D20"/>
    <w:rsid w:val="004730FA"/>
    <w:rsid w:val="004740FD"/>
    <w:rsid w:val="00474D7E"/>
    <w:rsid w:val="00475391"/>
    <w:rsid w:val="004754E2"/>
    <w:rsid w:val="0047550C"/>
    <w:rsid w:val="0047555A"/>
    <w:rsid w:val="00475C5F"/>
    <w:rsid w:val="00477C0D"/>
    <w:rsid w:val="004802D2"/>
    <w:rsid w:val="00480322"/>
    <w:rsid w:val="00480416"/>
    <w:rsid w:val="004805DE"/>
    <w:rsid w:val="00481325"/>
    <w:rsid w:val="00481CAD"/>
    <w:rsid w:val="00481CD2"/>
    <w:rsid w:val="00481CFF"/>
    <w:rsid w:val="004821F2"/>
    <w:rsid w:val="00482588"/>
    <w:rsid w:val="00483EF3"/>
    <w:rsid w:val="00484675"/>
    <w:rsid w:val="00485362"/>
    <w:rsid w:val="00486123"/>
    <w:rsid w:val="00486621"/>
    <w:rsid w:val="00487301"/>
    <w:rsid w:val="0049389A"/>
    <w:rsid w:val="0049614A"/>
    <w:rsid w:val="00496EE9"/>
    <w:rsid w:val="004A09F2"/>
    <w:rsid w:val="004A1B34"/>
    <w:rsid w:val="004A22A0"/>
    <w:rsid w:val="004A2941"/>
    <w:rsid w:val="004A4626"/>
    <w:rsid w:val="004A49DD"/>
    <w:rsid w:val="004A4A6C"/>
    <w:rsid w:val="004A55FB"/>
    <w:rsid w:val="004A5988"/>
    <w:rsid w:val="004A6B81"/>
    <w:rsid w:val="004A6B94"/>
    <w:rsid w:val="004A7EEE"/>
    <w:rsid w:val="004B11C4"/>
    <w:rsid w:val="004B21F7"/>
    <w:rsid w:val="004B3188"/>
    <w:rsid w:val="004B3D79"/>
    <w:rsid w:val="004B4592"/>
    <w:rsid w:val="004B57B3"/>
    <w:rsid w:val="004B599A"/>
    <w:rsid w:val="004B68D3"/>
    <w:rsid w:val="004B736F"/>
    <w:rsid w:val="004B7DAF"/>
    <w:rsid w:val="004C00A1"/>
    <w:rsid w:val="004C032D"/>
    <w:rsid w:val="004C0351"/>
    <w:rsid w:val="004C038E"/>
    <w:rsid w:val="004C0CAB"/>
    <w:rsid w:val="004C1148"/>
    <w:rsid w:val="004C1A0F"/>
    <w:rsid w:val="004C1ED8"/>
    <w:rsid w:val="004C2A7D"/>
    <w:rsid w:val="004C4721"/>
    <w:rsid w:val="004C4ABF"/>
    <w:rsid w:val="004C5A92"/>
    <w:rsid w:val="004C5C0E"/>
    <w:rsid w:val="004C6021"/>
    <w:rsid w:val="004C71C9"/>
    <w:rsid w:val="004D1112"/>
    <w:rsid w:val="004D150F"/>
    <w:rsid w:val="004D173C"/>
    <w:rsid w:val="004D1969"/>
    <w:rsid w:val="004D2079"/>
    <w:rsid w:val="004D2AA9"/>
    <w:rsid w:val="004D2B66"/>
    <w:rsid w:val="004D3C91"/>
    <w:rsid w:val="004D3F82"/>
    <w:rsid w:val="004D482C"/>
    <w:rsid w:val="004D4E78"/>
    <w:rsid w:val="004D5B77"/>
    <w:rsid w:val="004D631B"/>
    <w:rsid w:val="004D7123"/>
    <w:rsid w:val="004D771B"/>
    <w:rsid w:val="004E0673"/>
    <w:rsid w:val="004E0731"/>
    <w:rsid w:val="004E0C94"/>
    <w:rsid w:val="004E1FCC"/>
    <w:rsid w:val="004E2708"/>
    <w:rsid w:val="004E2C90"/>
    <w:rsid w:val="004E39FE"/>
    <w:rsid w:val="004E4360"/>
    <w:rsid w:val="004E46E5"/>
    <w:rsid w:val="004E4D0E"/>
    <w:rsid w:val="004E535F"/>
    <w:rsid w:val="004E55FD"/>
    <w:rsid w:val="004E5E6E"/>
    <w:rsid w:val="004E5F35"/>
    <w:rsid w:val="004E6151"/>
    <w:rsid w:val="004E7546"/>
    <w:rsid w:val="004E7A48"/>
    <w:rsid w:val="004E7ACB"/>
    <w:rsid w:val="004E7EDA"/>
    <w:rsid w:val="004F2023"/>
    <w:rsid w:val="004F23DE"/>
    <w:rsid w:val="004F2D57"/>
    <w:rsid w:val="004F3C3F"/>
    <w:rsid w:val="004F3DAA"/>
    <w:rsid w:val="004F3ED7"/>
    <w:rsid w:val="004F3F01"/>
    <w:rsid w:val="004F48F1"/>
    <w:rsid w:val="004F4F13"/>
    <w:rsid w:val="004F52F3"/>
    <w:rsid w:val="004F53EC"/>
    <w:rsid w:val="004F5CE2"/>
    <w:rsid w:val="004F6233"/>
    <w:rsid w:val="004F66BB"/>
    <w:rsid w:val="004F68AC"/>
    <w:rsid w:val="004F7728"/>
    <w:rsid w:val="004F7856"/>
    <w:rsid w:val="00500C61"/>
    <w:rsid w:val="00501340"/>
    <w:rsid w:val="00501B34"/>
    <w:rsid w:val="00503F1D"/>
    <w:rsid w:val="00504303"/>
    <w:rsid w:val="005045AB"/>
    <w:rsid w:val="005048F8"/>
    <w:rsid w:val="00507A2F"/>
    <w:rsid w:val="00507F0B"/>
    <w:rsid w:val="005118EF"/>
    <w:rsid w:val="00512C9C"/>
    <w:rsid w:val="00513BDB"/>
    <w:rsid w:val="005149B2"/>
    <w:rsid w:val="00515679"/>
    <w:rsid w:val="00515883"/>
    <w:rsid w:val="00516027"/>
    <w:rsid w:val="00516971"/>
    <w:rsid w:val="00516B9A"/>
    <w:rsid w:val="00517EF3"/>
    <w:rsid w:val="005201FA"/>
    <w:rsid w:val="00521527"/>
    <w:rsid w:val="00523548"/>
    <w:rsid w:val="00523B93"/>
    <w:rsid w:val="00523E3A"/>
    <w:rsid w:val="00524F00"/>
    <w:rsid w:val="00525E42"/>
    <w:rsid w:val="00526CDD"/>
    <w:rsid w:val="00526EED"/>
    <w:rsid w:val="00527261"/>
    <w:rsid w:val="00527648"/>
    <w:rsid w:val="00531C5D"/>
    <w:rsid w:val="00531E6F"/>
    <w:rsid w:val="00532542"/>
    <w:rsid w:val="005325DC"/>
    <w:rsid w:val="00532AA6"/>
    <w:rsid w:val="005338CE"/>
    <w:rsid w:val="005345EE"/>
    <w:rsid w:val="005356F3"/>
    <w:rsid w:val="00535AD6"/>
    <w:rsid w:val="00535BF1"/>
    <w:rsid w:val="00536832"/>
    <w:rsid w:val="00537B47"/>
    <w:rsid w:val="00540068"/>
    <w:rsid w:val="00541D5A"/>
    <w:rsid w:val="00541E29"/>
    <w:rsid w:val="00542024"/>
    <w:rsid w:val="00542716"/>
    <w:rsid w:val="00542B6C"/>
    <w:rsid w:val="005438DE"/>
    <w:rsid w:val="00544B71"/>
    <w:rsid w:val="005456F9"/>
    <w:rsid w:val="005458C8"/>
    <w:rsid w:val="00545C7B"/>
    <w:rsid w:val="00546647"/>
    <w:rsid w:val="00547E61"/>
    <w:rsid w:val="00547F4C"/>
    <w:rsid w:val="00550211"/>
    <w:rsid w:val="00550D71"/>
    <w:rsid w:val="00550E50"/>
    <w:rsid w:val="00550EEE"/>
    <w:rsid w:val="00551B22"/>
    <w:rsid w:val="0055283F"/>
    <w:rsid w:val="005539F1"/>
    <w:rsid w:val="00553E65"/>
    <w:rsid w:val="0055514C"/>
    <w:rsid w:val="00555534"/>
    <w:rsid w:val="00555C2A"/>
    <w:rsid w:val="00556551"/>
    <w:rsid w:val="0055714D"/>
    <w:rsid w:val="0055795A"/>
    <w:rsid w:val="00560004"/>
    <w:rsid w:val="00560C18"/>
    <w:rsid w:val="005624DD"/>
    <w:rsid w:val="00562B60"/>
    <w:rsid w:val="00563CD4"/>
    <w:rsid w:val="00564750"/>
    <w:rsid w:val="00565AA7"/>
    <w:rsid w:val="0056628A"/>
    <w:rsid w:val="00567F8C"/>
    <w:rsid w:val="00570043"/>
    <w:rsid w:val="00572E17"/>
    <w:rsid w:val="00572FA0"/>
    <w:rsid w:val="00573507"/>
    <w:rsid w:val="00577315"/>
    <w:rsid w:val="005776B3"/>
    <w:rsid w:val="005808DF"/>
    <w:rsid w:val="0058144F"/>
    <w:rsid w:val="0058216A"/>
    <w:rsid w:val="00582207"/>
    <w:rsid w:val="00582AE0"/>
    <w:rsid w:val="0058335D"/>
    <w:rsid w:val="00583B4E"/>
    <w:rsid w:val="00584A3F"/>
    <w:rsid w:val="00584A62"/>
    <w:rsid w:val="00584DEC"/>
    <w:rsid w:val="005850DE"/>
    <w:rsid w:val="00585520"/>
    <w:rsid w:val="005871AD"/>
    <w:rsid w:val="005873FF"/>
    <w:rsid w:val="00587483"/>
    <w:rsid w:val="005902A8"/>
    <w:rsid w:val="005902B7"/>
    <w:rsid w:val="0059032F"/>
    <w:rsid w:val="00590B43"/>
    <w:rsid w:val="00591076"/>
    <w:rsid w:val="00591FB5"/>
    <w:rsid w:val="00592B9F"/>
    <w:rsid w:val="00592DDA"/>
    <w:rsid w:val="005935FF"/>
    <w:rsid w:val="00593D11"/>
    <w:rsid w:val="00593F21"/>
    <w:rsid w:val="00595AFE"/>
    <w:rsid w:val="00595D88"/>
    <w:rsid w:val="00597327"/>
    <w:rsid w:val="00597AA4"/>
    <w:rsid w:val="00597B46"/>
    <w:rsid w:val="005A0729"/>
    <w:rsid w:val="005A0DA4"/>
    <w:rsid w:val="005A1242"/>
    <w:rsid w:val="005A1435"/>
    <w:rsid w:val="005A1845"/>
    <w:rsid w:val="005A1EB1"/>
    <w:rsid w:val="005A2B62"/>
    <w:rsid w:val="005A2D90"/>
    <w:rsid w:val="005A2DF6"/>
    <w:rsid w:val="005A4084"/>
    <w:rsid w:val="005A4448"/>
    <w:rsid w:val="005A595F"/>
    <w:rsid w:val="005A643C"/>
    <w:rsid w:val="005A73E9"/>
    <w:rsid w:val="005A747E"/>
    <w:rsid w:val="005A7C44"/>
    <w:rsid w:val="005B1229"/>
    <w:rsid w:val="005B1400"/>
    <w:rsid w:val="005B1DF8"/>
    <w:rsid w:val="005B27ED"/>
    <w:rsid w:val="005B2C79"/>
    <w:rsid w:val="005B3A33"/>
    <w:rsid w:val="005B6649"/>
    <w:rsid w:val="005B6920"/>
    <w:rsid w:val="005B7955"/>
    <w:rsid w:val="005C1BF3"/>
    <w:rsid w:val="005C3B43"/>
    <w:rsid w:val="005C3FEE"/>
    <w:rsid w:val="005C5AA2"/>
    <w:rsid w:val="005C5B8D"/>
    <w:rsid w:val="005C6BA8"/>
    <w:rsid w:val="005C6D0D"/>
    <w:rsid w:val="005D0C45"/>
    <w:rsid w:val="005D1DB7"/>
    <w:rsid w:val="005D2328"/>
    <w:rsid w:val="005D2FD4"/>
    <w:rsid w:val="005D3395"/>
    <w:rsid w:val="005D5BF7"/>
    <w:rsid w:val="005D5D0E"/>
    <w:rsid w:val="005D5D20"/>
    <w:rsid w:val="005D62C1"/>
    <w:rsid w:val="005D645B"/>
    <w:rsid w:val="005D6D96"/>
    <w:rsid w:val="005D7079"/>
    <w:rsid w:val="005D7099"/>
    <w:rsid w:val="005D75E5"/>
    <w:rsid w:val="005D7ECF"/>
    <w:rsid w:val="005E1107"/>
    <w:rsid w:val="005E139B"/>
    <w:rsid w:val="005E1834"/>
    <w:rsid w:val="005E1F4A"/>
    <w:rsid w:val="005E3218"/>
    <w:rsid w:val="005E3473"/>
    <w:rsid w:val="005E39A7"/>
    <w:rsid w:val="005E3B7C"/>
    <w:rsid w:val="005E4281"/>
    <w:rsid w:val="005E4399"/>
    <w:rsid w:val="005E439F"/>
    <w:rsid w:val="005E524D"/>
    <w:rsid w:val="005E58B7"/>
    <w:rsid w:val="005E5B36"/>
    <w:rsid w:val="005E5DD9"/>
    <w:rsid w:val="005E7E99"/>
    <w:rsid w:val="005F09BD"/>
    <w:rsid w:val="005F20FE"/>
    <w:rsid w:val="005F3D67"/>
    <w:rsid w:val="005F45C8"/>
    <w:rsid w:val="005F50E6"/>
    <w:rsid w:val="005F610A"/>
    <w:rsid w:val="005F7E6E"/>
    <w:rsid w:val="005F7F2D"/>
    <w:rsid w:val="0060079B"/>
    <w:rsid w:val="006007E8"/>
    <w:rsid w:val="00602FEF"/>
    <w:rsid w:val="006034D8"/>
    <w:rsid w:val="00603B06"/>
    <w:rsid w:val="00603E1A"/>
    <w:rsid w:val="00604094"/>
    <w:rsid w:val="00604A91"/>
    <w:rsid w:val="00604E6A"/>
    <w:rsid w:val="00605379"/>
    <w:rsid w:val="006065B9"/>
    <w:rsid w:val="006068F0"/>
    <w:rsid w:val="00610342"/>
    <w:rsid w:val="00610C2B"/>
    <w:rsid w:val="00612FD4"/>
    <w:rsid w:val="0061313D"/>
    <w:rsid w:val="00613956"/>
    <w:rsid w:val="00613C94"/>
    <w:rsid w:val="006150FF"/>
    <w:rsid w:val="00615B5D"/>
    <w:rsid w:val="00615D38"/>
    <w:rsid w:val="00616095"/>
    <w:rsid w:val="00620BE7"/>
    <w:rsid w:val="00620C49"/>
    <w:rsid w:val="00620E1B"/>
    <w:rsid w:val="00621D43"/>
    <w:rsid w:val="00622323"/>
    <w:rsid w:val="00623075"/>
    <w:rsid w:val="00623434"/>
    <w:rsid w:val="00623536"/>
    <w:rsid w:val="0062378E"/>
    <w:rsid w:val="00623ABE"/>
    <w:rsid w:val="006243C0"/>
    <w:rsid w:val="00625706"/>
    <w:rsid w:val="00627CE2"/>
    <w:rsid w:val="00630552"/>
    <w:rsid w:val="00630C4A"/>
    <w:rsid w:val="006313C5"/>
    <w:rsid w:val="00631910"/>
    <w:rsid w:val="00632ACC"/>
    <w:rsid w:val="00633005"/>
    <w:rsid w:val="00633033"/>
    <w:rsid w:val="00634808"/>
    <w:rsid w:val="00634A11"/>
    <w:rsid w:val="00634EEE"/>
    <w:rsid w:val="00634FAE"/>
    <w:rsid w:val="00635AB0"/>
    <w:rsid w:val="00635B5D"/>
    <w:rsid w:val="00636431"/>
    <w:rsid w:val="00636E1E"/>
    <w:rsid w:val="00637455"/>
    <w:rsid w:val="0064003B"/>
    <w:rsid w:val="0064061D"/>
    <w:rsid w:val="00640984"/>
    <w:rsid w:val="00641FFD"/>
    <w:rsid w:val="006425C2"/>
    <w:rsid w:val="0064525B"/>
    <w:rsid w:val="0065039D"/>
    <w:rsid w:val="00650F1B"/>
    <w:rsid w:val="0065112F"/>
    <w:rsid w:val="00651BBA"/>
    <w:rsid w:val="00653249"/>
    <w:rsid w:val="0065360E"/>
    <w:rsid w:val="00653D88"/>
    <w:rsid w:val="006552F8"/>
    <w:rsid w:val="00655D69"/>
    <w:rsid w:val="006564BC"/>
    <w:rsid w:val="00656D9C"/>
    <w:rsid w:val="00656E0B"/>
    <w:rsid w:val="006600BC"/>
    <w:rsid w:val="006603EF"/>
    <w:rsid w:val="00660452"/>
    <w:rsid w:val="006608CA"/>
    <w:rsid w:val="00661497"/>
    <w:rsid w:val="00662929"/>
    <w:rsid w:val="00662C90"/>
    <w:rsid w:val="006640A9"/>
    <w:rsid w:val="00664794"/>
    <w:rsid w:val="006655B4"/>
    <w:rsid w:val="0066701A"/>
    <w:rsid w:val="00667434"/>
    <w:rsid w:val="00667C0E"/>
    <w:rsid w:val="00670358"/>
    <w:rsid w:val="0067073E"/>
    <w:rsid w:val="00670C5F"/>
    <w:rsid w:val="00670C72"/>
    <w:rsid w:val="00671DE0"/>
    <w:rsid w:val="0067206B"/>
    <w:rsid w:val="006726F7"/>
    <w:rsid w:val="00672CCE"/>
    <w:rsid w:val="00673C08"/>
    <w:rsid w:val="006744FB"/>
    <w:rsid w:val="0067485D"/>
    <w:rsid w:val="00676137"/>
    <w:rsid w:val="00676555"/>
    <w:rsid w:val="0067676F"/>
    <w:rsid w:val="00677905"/>
    <w:rsid w:val="00680825"/>
    <w:rsid w:val="006810C6"/>
    <w:rsid w:val="006838AA"/>
    <w:rsid w:val="00685577"/>
    <w:rsid w:val="00687A5E"/>
    <w:rsid w:val="0069034B"/>
    <w:rsid w:val="00690721"/>
    <w:rsid w:val="00691348"/>
    <w:rsid w:val="0069152C"/>
    <w:rsid w:val="006935CF"/>
    <w:rsid w:val="006946A1"/>
    <w:rsid w:val="00695067"/>
    <w:rsid w:val="006950AE"/>
    <w:rsid w:val="00696931"/>
    <w:rsid w:val="00697DBA"/>
    <w:rsid w:val="00697E0A"/>
    <w:rsid w:val="006A0736"/>
    <w:rsid w:val="006A0A4B"/>
    <w:rsid w:val="006A0F91"/>
    <w:rsid w:val="006A2885"/>
    <w:rsid w:val="006A2ED6"/>
    <w:rsid w:val="006A3268"/>
    <w:rsid w:val="006A4380"/>
    <w:rsid w:val="006A45DD"/>
    <w:rsid w:val="006A4E24"/>
    <w:rsid w:val="006A4EA3"/>
    <w:rsid w:val="006A535D"/>
    <w:rsid w:val="006A5D57"/>
    <w:rsid w:val="006A5F61"/>
    <w:rsid w:val="006A6673"/>
    <w:rsid w:val="006A6C3D"/>
    <w:rsid w:val="006A6EC4"/>
    <w:rsid w:val="006A737B"/>
    <w:rsid w:val="006A7CD7"/>
    <w:rsid w:val="006B000C"/>
    <w:rsid w:val="006B1B85"/>
    <w:rsid w:val="006B28E3"/>
    <w:rsid w:val="006B37C5"/>
    <w:rsid w:val="006B4F9F"/>
    <w:rsid w:val="006B6BD9"/>
    <w:rsid w:val="006B7C59"/>
    <w:rsid w:val="006C09BB"/>
    <w:rsid w:val="006C0EBB"/>
    <w:rsid w:val="006C0F49"/>
    <w:rsid w:val="006C1008"/>
    <w:rsid w:val="006C13AC"/>
    <w:rsid w:val="006C2085"/>
    <w:rsid w:val="006C32E5"/>
    <w:rsid w:val="006C36F6"/>
    <w:rsid w:val="006C3C66"/>
    <w:rsid w:val="006C5C3B"/>
    <w:rsid w:val="006C6020"/>
    <w:rsid w:val="006C638B"/>
    <w:rsid w:val="006C6BF0"/>
    <w:rsid w:val="006C7A47"/>
    <w:rsid w:val="006C7F5F"/>
    <w:rsid w:val="006D0276"/>
    <w:rsid w:val="006D0C8B"/>
    <w:rsid w:val="006D121C"/>
    <w:rsid w:val="006D12C5"/>
    <w:rsid w:val="006D15E0"/>
    <w:rsid w:val="006D1910"/>
    <w:rsid w:val="006D1CFB"/>
    <w:rsid w:val="006D21FB"/>
    <w:rsid w:val="006D4CCE"/>
    <w:rsid w:val="006D5263"/>
    <w:rsid w:val="006D535A"/>
    <w:rsid w:val="006D60ED"/>
    <w:rsid w:val="006D7F73"/>
    <w:rsid w:val="006E0563"/>
    <w:rsid w:val="006E16A1"/>
    <w:rsid w:val="006E2C42"/>
    <w:rsid w:val="006E33C3"/>
    <w:rsid w:val="006E53DA"/>
    <w:rsid w:val="006E6BFD"/>
    <w:rsid w:val="006F00D1"/>
    <w:rsid w:val="006F0392"/>
    <w:rsid w:val="006F09D5"/>
    <w:rsid w:val="006F25C6"/>
    <w:rsid w:val="006F2F79"/>
    <w:rsid w:val="006F3996"/>
    <w:rsid w:val="006F3DE2"/>
    <w:rsid w:val="006F439C"/>
    <w:rsid w:val="006F4CDB"/>
    <w:rsid w:val="006F540A"/>
    <w:rsid w:val="006F5BD7"/>
    <w:rsid w:val="006F5CD9"/>
    <w:rsid w:val="006F6219"/>
    <w:rsid w:val="006F6229"/>
    <w:rsid w:val="006F7077"/>
    <w:rsid w:val="006F72AF"/>
    <w:rsid w:val="006F7724"/>
    <w:rsid w:val="006F7964"/>
    <w:rsid w:val="00700B7F"/>
    <w:rsid w:val="007015F2"/>
    <w:rsid w:val="00702E06"/>
    <w:rsid w:val="0070686B"/>
    <w:rsid w:val="007068B2"/>
    <w:rsid w:val="00706ABA"/>
    <w:rsid w:val="00706BF4"/>
    <w:rsid w:val="00707F5D"/>
    <w:rsid w:val="007104B3"/>
    <w:rsid w:val="00710A9D"/>
    <w:rsid w:val="00711061"/>
    <w:rsid w:val="00711B21"/>
    <w:rsid w:val="00711C51"/>
    <w:rsid w:val="007121AD"/>
    <w:rsid w:val="00714D0E"/>
    <w:rsid w:val="00715B9C"/>
    <w:rsid w:val="00716701"/>
    <w:rsid w:val="00720497"/>
    <w:rsid w:val="007207FC"/>
    <w:rsid w:val="00720BC0"/>
    <w:rsid w:val="00720D25"/>
    <w:rsid w:val="00720D54"/>
    <w:rsid w:val="00720E16"/>
    <w:rsid w:val="00721A9E"/>
    <w:rsid w:val="00721B40"/>
    <w:rsid w:val="00723572"/>
    <w:rsid w:val="0072410D"/>
    <w:rsid w:val="007253CB"/>
    <w:rsid w:val="0072738B"/>
    <w:rsid w:val="007313C9"/>
    <w:rsid w:val="007317AA"/>
    <w:rsid w:val="00731F5F"/>
    <w:rsid w:val="00731FF8"/>
    <w:rsid w:val="00732186"/>
    <w:rsid w:val="007344C3"/>
    <w:rsid w:val="00734643"/>
    <w:rsid w:val="0073487D"/>
    <w:rsid w:val="007349A1"/>
    <w:rsid w:val="00735ABE"/>
    <w:rsid w:val="00735EA0"/>
    <w:rsid w:val="00735EE7"/>
    <w:rsid w:val="00735F7E"/>
    <w:rsid w:val="00736601"/>
    <w:rsid w:val="00736DDC"/>
    <w:rsid w:val="0073752E"/>
    <w:rsid w:val="007404EA"/>
    <w:rsid w:val="007405CB"/>
    <w:rsid w:val="0074143E"/>
    <w:rsid w:val="007414B3"/>
    <w:rsid w:val="00741CD0"/>
    <w:rsid w:val="00741D55"/>
    <w:rsid w:val="00741FCE"/>
    <w:rsid w:val="0074226D"/>
    <w:rsid w:val="00742D29"/>
    <w:rsid w:val="00743374"/>
    <w:rsid w:val="00743F57"/>
    <w:rsid w:val="00744174"/>
    <w:rsid w:val="00744658"/>
    <w:rsid w:val="007454AE"/>
    <w:rsid w:val="00745635"/>
    <w:rsid w:val="007459B0"/>
    <w:rsid w:val="007461E3"/>
    <w:rsid w:val="007470DB"/>
    <w:rsid w:val="0074758E"/>
    <w:rsid w:val="00747C03"/>
    <w:rsid w:val="0075143A"/>
    <w:rsid w:val="00751CB6"/>
    <w:rsid w:val="00752535"/>
    <w:rsid w:val="007527C3"/>
    <w:rsid w:val="00752AA9"/>
    <w:rsid w:val="0075303E"/>
    <w:rsid w:val="00753573"/>
    <w:rsid w:val="00753D81"/>
    <w:rsid w:val="00753F62"/>
    <w:rsid w:val="0075422C"/>
    <w:rsid w:val="00754443"/>
    <w:rsid w:val="00754AE5"/>
    <w:rsid w:val="00756B17"/>
    <w:rsid w:val="007577E1"/>
    <w:rsid w:val="007600CF"/>
    <w:rsid w:val="00760280"/>
    <w:rsid w:val="00760A2A"/>
    <w:rsid w:val="0076214E"/>
    <w:rsid w:val="00762B06"/>
    <w:rsid w:val="007635F3"/>
    <w:rsid w:val="0076465E"/>
    <w:rsid w:val="00764C54"/>
    <w:rsid w:val="00765FD7"/>
    <w:rsid w:val="007664AA"/>
    <w:rsid w:val="007669F1"/>
    <w:rsid w:val="007674C9"/>
    <w:rsid w:val="0077038A"/>
    <w:rsid w:val="00770483"/>
    <w:rsid w:val="00770A0B"/>
    <w:rsid w:val="0077153E"/>
    <w:rsid w:val="00771A3F"/>
    <w:rsid w:val="00771D3A"/>
    <w:rsid w:val="007739FB"/>
    <w:rsid w:val="00773F21"/>
    <w:rsid w:val="00774730"/>
    <w:rsid w:val="00774BF3"/>
    <w:rsid w:val="00774F07"/>
    <w:rsid w:val="007752FC"/>
    <w:rsid w:val="00776E54"/>
    <w:rsid w:val="00780E4F"/>
    <w:rsid w:val="007811EA"/>
    <w:rsid w:val="007817D9"/>
    <w:rsid w:val="007827AB"/>
    <w:rsid w:val="00782B21"/>
    <w:rsid w:val="007832D9"/>
    <w:rsid w:val="00783A4A"/>
    <w:rsid w:val="00784120"/>
    <w:rsid w:val="0078469D"/>
    <w:rsid w:val="00784780"/>
    <w:rsid w:val="007849EF"/>
    <w:rsid w:val="00784A64"/>
    <w:rsid w:val="00784C56"/>
    <w:rsid w:val="00786702"/>
    <w:rsid w:val="00787496"/>
    <w:rsid w:val="007876EF"/>
    <w:rsid w:val="0078781C"/>
    <w:rsid w:val="00790075"/>
    <w:rsid w:val="007901A3"/>
    <w:rsid w:val="00790854"/>
    <w:rsid w:val="00792F0C"/>
    <w:rsid w:val="00794723"/>
    <w:rsid w:val="00794E56"/>
    <w:rsid w:val="007952CE"/>
    <w:rsid w:val="00795604"/>
    <w:rsid w:val="00795855"/>
    <w:rsid w:val="007969F2"/>
    <w:rsid w:val="00796AEB"/>
    <w:rsid w:val="007979C0"/>
    <w:rsid w:val="007A0DE9"/>
    <w:rsid w:val="007A0EB6"/>
    <w:rsid w:val="007A1201"/>
    <w:rsid w:val="007A16B7"/>
    <w:rsid w:val="007A1D86"/>
    <w:rsid w:val="007A214F"/>
    <w:rsid w:val="007A34CA"/>
    <w:rsid w:val="007A3C1F"/>
    <w:rsid w:val="007A4482"/>
    <w:rsid w:val="007A4A8D"/>
    <w:rsid w:val="007A4CC5"/>
    <w:rsid w:val="007A4D19"/>
    <w:rsid w:val="007A4F4E"/>
    <w:rsid w:val="007A5ED4"/>
    <w:rsid w:val="007A699B"/>
    <w:rsid w:val="007A6BD5"/>
    <w:rsid w:val="007A6F3A"/>
    <w:rsid w:val="007A7782"/>
    <w:rsid w:val="007B19E2"/>
    <w:rsid w:val="007B1F24"/>
    <w:rsid w:val="007B1F7E"/>
    <w:rsid w:val="007B27EC"/>
    <w:rsid w:val="007B2C51"/>
    <w:rsid w:val="007B3E7D"/>
    <w:rsid w:val="007B4BB5"/>
    <w:rsid w:val="007B4D66"/>
    <w:rsid w:val="007B4FE4"/>
    <w:rsid w:val="007B51BA"/>
    <w:rsid w:val="007B674C"/>
    <w:rsid w:val="007B758E"/>
    <w:rsid w:val="007B7FF5"/>
    <w:rsid w:val="007C0D80"/>
    <w:rsid w:val="007C1E2A"/>
    <w:rsid w:val="007C2051"/>
    <w:rsid w:val="007C224C"/>
    <w:rsid w:val="007C2854"/>
    <w:rsid w:val="007C2F88"/>
    <w:rsid w:val="007C343C"/>
    <w:rsid w:val="007C3487"/>
    <w:rsid w:val="007C669F"/>
    <w:rsid w:val="007C6BCD"/>
    <w:rsid w:val="007D0AB4"/>
    <w:rsid w:val="007D0DDB"/>
    <w:rsid w:val="007D350B"/>
    <w:rsid w:val="007D3848"/>
    <w:rsid w:val="007D3DCB"/>
    <w:rsid w:val="007D4A6B"/>
    <w:rsid w:val="007D6486"/>
    <w:rsid w:val="007E20CF"/>
    <w:rsid w:val="007E2BC8"/>
    <w:rsid w:val="007E3B8B"/>
    <w:rsid w:val="007E4867"/>
    <w:rsid w:val="007E54C1"/>
    <w:rsid w:val="007E56CD"/>
    <w:rsid w:val="007E599C"/>
    <w:rsid w:val="007E66A1"/>
    <w:rsid w:val="007E6CFF"/>
    <w:rsid w:val="007E6D7D"/>
    <w:rsid w:val="007F0258"/>
    <w:rsid w:val="007F058A"/>
    <w:rsid w:val="007F0D9A"/>
    <w:rsid w:val="007F11BC"/>
    <w:rsid w:val="007F15DB"/>
    <w:rsid w:val="007F1850"/>
    <w:rsid w:val="007F399E"/>
    <w:rsid w:val="007F3D01"/>
    <w:rsid w:val="007F6235"/>
    <w:rsid w:val="007F62A0"/>
    <w:rsid w:val="007F677C"/>
    <w:rsid w:val="007F7BF5"/>
    <w:rsid w:val="008005B4"/>
    <w:rsid w:val="00801894"/>
    <w:rsid w:val="0080251F"/>
    <w:rsid w:val="008034E4"/>
    <w:rsid w:val="00804216"/>
    <w:rsid w:val="00804627"/>
    <w:rsid w:val="008046C9"/>
    <w:rsid w:val="008060C2"/>
    <w:rsid w:val="008067DA"/>
    <w:rsid w:val="0080714D"/>
    <w:rsid w:val="00807D32"/>
    <w:rsid w:val="008104EB"/>
    <w:rsid w:val="00810921"/>
    <w:rsid w:val="0081122F"/>
    <w:rsid w:val="008113B5"/>
    <w:rsid w:val="00811D90"/>
    <w:rsid w:val="00812A22"/>
    <w:rsid w:val="00814A15"/>
    <w:rsid w:val="0081586F"/>
    <w:rsid w:val="00816CE2"/>
    <w:rsid w:val="00816F8E"/>
    <w:rsid w:val="00817281"/>
    <w:rsid w:val="00817393"/>
    <w:rsid w:val="00817FAB"/>
    <w:rsid w:val="00821532"/>
    <w:rsid w:val="008215A8"/>
    <w:rsid w:val="00821673"/>
    <w:rsid w:val="00821EB9"/>
    <w:rsid w:val="008223E7"/>
    <w:rsid w:val="008230A9"/>
    <w:rsid w:val="008236AE"/>
    <w:rsid w:val="00824003"/>
    <w:rsid w:val="00824C21"/>
    <w:rsid w:val="0082520F"/>
    <w:rsid w:val="00826504"/>
    <w:rsid w:val="0082656C"/>
    <w:rsid w:val="008265F5"/>
    <w:rsid w:val="00830878"/>
    <w:rsid w:val="008313B1"/>
    <w:rsid w:val="00832EE4"/>
    <w:rsid w:val="00833502"/>
    <w:rsid w:val="008345D0"/>
    <w:rsid w:val="0083481A"/>
    <w:rsid w:val="008358DD"/>
    <w:rsid w:val="00835F91"/>
    <w:rsid w:val="0083630D"/>
    <w:rsid w:val="0083669F"/>
    <w:rsid w:val="0083713E"/>
    <w:rsid w:val="00840256"/>
    <w:rsid w:val="00840E56"/>
    <w:rsid w:val="00841E2D"/>
    <w:rsid w:val="008422FC"/>
    <w:rsid w:val="00843598"/>
    <w:rsid w:val="00843BBD"/>
    <w:rsid w:val="00844122"/>
    <w:rsid w:val="0084493A"/>
    <w:rsid w:val="0084602D"/>
    <w:rsid w:val="008460D7"/>
    <w:rsid w:val="00846781"/>
    <w:rsid w:val="00847949"/>
    <w:rsid w:val="0085109B"/>
    <w:rsid w:val="008516FD"/>
    <w:rsid w:val="008517DB"/>
    <w:rsid w:val="00851F15"/>
    <w:rsid w:val="00851FC4"/>
    <w:rsid w:val="00852636"/>
    <w:rsid w:val="00852F88"/>
    <w:rsid w:val="00854A4E"/>
    <w:rsid w:val="00854B1B"/>
    <w:rsid w:val="00854CD7"/>
    <w:rsid w:val="00855220"/>
    <w:rsid w:val="00855286"/>
    <w:rsid w:val="00855E1B"/>
    <w:rsid w:val="00856A99"/>
    <w:rsid w:val="0085731F"/>
    <w:rsid w:val="00857A34"/>
    <w:rsid w:val="00861C6B"/>
    <w:rsid w:val="00862D31"/>
    <w:rsid w:val="00862FE2"/>
    <w:rsid w:val="008631D4"/>
    <w:rsid w:val="00863CE3"/>
    <w:rsid w:val="00863D40"/>
    <w:rsid w:val="00864DEB"/>
    <w:rsid w:val="00865355"/>
    <w:rsid w:val="00865AB7"/>
    <w:rsid w:val="00865F45"/>
    <w:rsid w:val="00866164"/>
    <w:rsid w:val="00867238"/>
    <w:rsid w:val="0086736D"/>
    <w:rsid w:val="0087194B"/>
    <w:rsid w:val="00874772"/>
    <w:rsid w:val="0087607E"/>
    <w:rsid w:val="008760DE"/>
    <w:rsid w:val="008778E9"/>
    <w:rsid w:val="00880AEA"/>
    <w:rsid w:val="00882911"/>
    <w:rsid w:val="008833C5"/>
    <w:rsid w:val="00883462"/>
    <w:rsid w:val="00884EAD"/>
    <w:rsid w:val="00885B2A"/>
    <w:rsid w:val="00886142"/>
    <w:rsid w:val="00890508"/>
    <w:rsid w:val="00890AB4"/>
    <w:rsid w:val="008913DD"/>
    <w:rsid w:val="00892AD5"/>
    <w:rsid w:val="008932C7"/>
    <w:rsid w:val="00894EFD"/>
    <w:rsid w:val="00895912"/>
    <w:rsid w:val="008964F9"/>
    <w:rsid w:val="00897A75"/>
    <w:rsid w:val="008A03C7"/>
    <w:rsid w:val="008A1548"/>
    <w:rsid w:val="008A3DEE"/>
    <w:rsid w:val="008A40DC"/>
    <w:rsid w:val="008A4327"/>
    <w:rsid w:val="008A4C7A"/>
    <w:rsid w:val="008A5CB8"/>
    <w:rsid w:val="008A623C"/>
    <w:rsid w:val="008A782B"/>
    <w:rsid w:val="008A7834"/>
    <w:rsid w:val="008A7FD9"/>
    <w:rsid w:val="008B1D4B"/>
    <w:rsid w:val="008B31FE"/>
    <w:rsid w:val="008B3401"/>
    <w:rsid w:val="008B368C"/>
    <w:rsid w:val="008B36C2"/>
    <w:rsid w:val="008B38BD"/>
    <w:rsid w:val="008B40CC"/>
    <w:rsid w:val="008B44B2"/>
    <w:rsid w:val="008B602A"/>
    <w:rsid w:val="008B6330"/>
    <w:rsid w:val="008B77C1"/>
    <w:rsid w:val="008C00F0"/>
    <w:rsid w:val="008C2D13"/>
    <w:rsid w:val="008C3424"/>
    <w:rsid w:val="008C408D"/>
    <w:rsid w:val="008C4FA4"/>
    <w:rsid w:val="008C5761"/>
    <w:rsid w:val="008C5E86"/>
    <w:rsid w:val="008C7DD1"/>
    <w:rsid w:val="008D07AC"/>
    <w:rsid w:val="008D0801"/>
    <w:rsid w:val="008D363D"/>
    <w:rsid w:val="008D3F9C"/>
    <w:rsid w:val="008D4319"/>
    <w:rsid w:val="008D4716"/>
    <w:rsid w:val="008D508D"/>
    <w:rsid w:val="008D5421"/>
    <w:rsid w:val="008D6049"/>
    <w:rsid w:val="008D660C"/>
    <w:rsid w:val="008D7121"/>
    <w:rsid w:val="008E10F6"/>
    <w:rsid w:val="008E1587"/>
    <w:rsid w:val="008E255D"/>
    <w:rsid w:val="008E26FF"/>
    <w:rsid w:val="008E286D"/>
    <w:rsid w:val="008E2EB2"/>
    <w:rsid w:val="008E2FF2"/>
    <w:rsid w:val="008E350B"/>
    <w:rsid w:val="008E418C"/>
    <w:rsid w:val="008E45A6"/>
    <w:rsid w:val="008E4D96"/>
    <w:rsid w:val="008E4DFA"/>
    <w:rsid w:val="008E5D7E"/>
    <w:rsid w:val="008E605B"/>
    <w:rsid w:val="008E66CF"/>
    <w:rsid w:val="008E715E"/>
    <w:rsid w:val="008E73B8"/>
    <w:rsid w:val="008E789E"/>
    <w:rsid w:val="008E7F89"/>
    <w:rsid w:val="008F0B46"/>
    <w:rsid w:val="008F17F1"/>
    <w:rsid w:val="008F2946"/>
    <w:rsid w:val="008F3BCD"/>
    <w:rsid w:val="008F469F"/>
    <w:rsid w:val="008F50C2"/>
    <w:rsid w:val="008F5A9B"/>
    <w:rsid w:val="008F5AFD"/>
    <w:rsid w:val="008F5E17"/>
    <w:rsid w:val="008F692B"/>
    <w:rsid w:val="008F6C58"/>
    <w:rsid w:val="008F726C"/>
    <w:rsid w:val="008F7CF6"/>
    <w:rsid w:val="008F7F36"/>
    <w:rsid w:val="009003B5"/>
    <w:rsid w:val="00900DE7"/>
    <w:rsid w:val="00900EDF"/>
    <w:rsid w:val="009011FD"/>
    <w:rsid w:val="00901AE0"/>
    <w:rsid w:val="00901C44"/>
    <w:rsid w:val="00902833"/>
    <w:rsid w:val="00902922"/>
    <w:rsid w:val="0090362A"/>
    <w:rsid w:val="009040E0"/>
    <w:rsid w:val="009060AB"/>
    <w:rsid w:val="00906A9D"/>
    <w:rsid w:val="009105D3"/>
    <w:rsid w:val="00910975"/>
    <w:rsid w:val="00912E14"/>
    <w:rsid w:val="00913F2A"/>
    <w:rsid w:val="0091409D"/>
    <w:rsid w:val="0091557B"/>
    <w:rsid w:val="00915CBD"/>
    <w:rsid w:val="0091645B"/>
    <w:rsid w:val="00917064"/>
    <w:rsid w:val="00917488"/>
    <w:rsid w:val="009201EA"/>
    <w:rsid w:val="00922433"/>
    <w:rsid w:val="00922921"/>
    <w:rsid w:val="00923830"/>
    <w:rsid w:val="00924DAC"/>
    <w:rsid w:val="00925D1E"/>
    <w:rsid w:val="00930A7E"/>
    <w:rsid w:val="00930C5C"/>
    <w:rsid w:val="00931891"/>
    <w:rsid w:val="00931A3F"/>
    <w:rsid w:val="009329F9"/>
    <w:rsid w:val="0093329B"/>
    <w:rsid w:val="00933497"/>
    <w:rsid w:val="0093380E"/>
    <w:rsid w:val="0093483B"/>
    <w:rsid w:val="00935E3C"/>
    <w:rsid w:val="0093677B"/>
    <w:rsid w:val="00937C78"/>
    <w:rsid w:val="009421C6"/>
    <w:rsid w:val="0094372E"/>
    <w:rsid w:val="00943ED9"/>
    <w:rsid w:val="00944501"/>
    <w:rsid w:val="00945370"/>
    <w:rsid w:val="00945C6D"/>
    <w:rsid w:val="00950907"/>
    <w:rsid w:val="00950BB7"/>
    <w:rsid w:val="00951165"/>
    <w:rsid w:val="00951199"/>
    <w:rsid w:val="00951D66"/>
    <w:rsid w:val="00952100"/>
    <w:rsid w:val="00953569"/>
    <w:rsid w:val="0095492B"/>
    <w:rsid w:val="0095493F"/>
    <w:rsid w:val="00954FE5"/>
    <w:rsid w:val="0095501B"/>
    <w:rsid w:val="00956F27"/>
    <w:rsid w:val="00957A66"/>
    <w:rsid w:val="00957B87"/>
    <w:rsid w:val="00960EAF"/>
    <w:rsid w:val="0096347D"/>
    <w:rsid w:val="009639F5"/>
    <w:rsid w:val="00963EEA"/>
    <w:rsid w:val="00964FE5"/>
    <w:rsid w:val="00965FF5"/>
    <w:rsid w:val="009664D8"/>
    <w:rsid w:val="00966A58"/>
    <w:rsid w:val="00966A9A"/>
    <w:rsid w:val="00970196"/>
    <w:rsid w:val="00970282"/>
    <w:rsid w:val="00970772"/>
    <w:rsid w:val="009717A6"/>
    <w:rsid w:val="00971CF9"/>
    <w:rsid w:val="009720E8"/>
    <w:rsid w:val="0097434E"/>
    <w:rsid w:val="00974DCF"/>
    <w:rsid w:val="009754A8"/>
    <w:rsid w:val="00975917"/>
    <w:rsid w:val="00976A32"/>
    <w:rsid w:val="009771F7"/>
    <w:rsid w:val="009773F0"/>
    <w:rsid w:val="009805DF"/>
    <w:rsid w:val="00980628"/>
    <w:rsid w:val="00981057"/>
    <w:rsid w:val="009810AC"/>
    <w:rsid w:val="009811D6"/>
    <w:rsid w:val="0098292E"/>
    <w:rsid w:val="00983799"/>
    <w:rsid w:val="00983E2E"/>
    <w:rsid w:val="0098428E"/>
    <w:rsid w:val="00984A51"/>
    <w:rsid w:val="00986256"/>
    <w:rsid w:val="00986FFF"/>
    <w:rsid w:val="009879E8"/>
    <w:rsid w:val="00990A84"/>
    <w:rsid w:val="009911CC"/>
    <w:rsid w:val="009917F0"/>
    <w:rsid w:val="00991998"/>
    <w:rsid w:val="00991F0F"/>
    <w:rsid w:val="00992062"/>
    <w:rsid w:val="0099264F"/>
    <w:rsid w:val="00993357"/>
    <w:rsid w:val="00993DB1"/>
    <w:rsid w:val="009960BD"/>
    <w:rsid w:val="00996599"/>
    <w:rsid w:val="009978EA"/>
    <w:rsid w:val="00997EFB"/>
    <w:rsid w:val="00997F32"/>
    <w:rsid w:val="009A0CF9"/>
    <w:rsid w:val="009A130A"/>
    <w:rsid w:val="009A1ABD"/>
    <w:rsid w:val="009A20FE"/>
    <w:rsid w:val="009A278D"/>
    <w:rsid w:val="009A28DD"/>
    <w:rsid w:val="009A2A48"/>
    <w:rsid w:val="009A4640"/>
    <w:rsid w:val="009A5261"/>
    <w:rsid w:val="009A5DED"/>
    <w:rsid w:val="009A6036"/>
    <w:rsid w:val="009A6748"/>
    <w:rsid w:val="009A7B60"/>
    <w:rsid w:val="009A7D62"/>
    <w:rsid w:val="009B0526"/>
    <w:rsid w:val="009B0BB9"/>
    <w:rsid w:val="009B11AF"/>
    <w:rsid w:val="009B1DD2"/>
    <w:rsid w:val="009B2577"/>
    <w:rsid w:val="009B2A3C"/>
    <w:rsid w:val="009B34F3"/>
    <w:rsid w:val="009B4220"/>
    <w:rsid w:val="009B4DA9"/>
    <w:rsid w:val="009B5CD6"/>
    <w:rsid w:val="009B6AE3"/>
    <w:rsid w:val="009B70F0"/>
    <w:rsid w:val="009B727D"/>
    <w:rsid w:val="009B7CB2"/>
    <w:rsid w:val="009B7EA5"/>
    <w:rsid w:val="009C1AEA"/>
    <w:rsid w:val="009C3694"/>
    <w:rsid w:val="009C4CBE"/>
    <w:rsid w:val="009C5213"/>
    <w:rsid w:val="009C53EA"/>
    <w:rsid w:val="009C635B"/>
    <w:rsid w:val="009C6487"/>
    <w:rsid w:val="009C6F32"/>
    <w:rsid w:val="009C70E4"/>
    <w:rsid w:val="009C7A52"/>
    <w:rsid w:val="009C7AB1"/>
    <w:rsid w:val="009D18AD"/>
    <w:rsid w:val="009D1AE8"/>
    <w:rsid w:val="009D1BD6"/>
    <w:rsid w:val="009D24B3"/>
    <w:rsid w:val="009D3399"/>
    <w:rsid w:val="009D35AC"/>
    <w:rsid w:val="009D36CF"/>
    <w:rsid w:val="009D548B"/>
    <w:rsid w:val="009D5BE9"/>
    <w:rsid w:val="009D5D1B"/>
    <w:rsid w:val="009D71F4"/>
    <w:rsid w:val="009D7936"/>
    <w:rsid w:val="009D7BF7"/>
    <w:rsid w:val="009E0274"/>
    <w:rsid w:val="009E13EB"/>
    <w:rsid w:val="009E1839"/>
    <w:rsid w:val="009E2151"/>
    <w:rsid w:val="009E304C"/>
    <w:rsid w:val="009E3445"/>
    <w:rsid w:val="009E372C"/>
    <w:rsid w:val="009E41D8"/>
    <w:rsid w:val="009E49C6"/>
    <w:rsid w:val="009E4CD3"/>
    <w:rsid w:val="009E5F7D"/>
    <w:rsid w:val="009E70E6"/>
    <w:rsid w:val="009E7E7C"/>
    <w:rsid w:val="009F0743"/>
    <w:rsid w:val="009F0863"/>
    <w:rsid w:val="009F12D1"/>
    <w:rsid w:val="009F142E"/>
    <w:rsid w:val="009F360F"/>
    <w:rsid w:val="009F3CCF"/>
    <w:rsid w:val="009F4561"/>
    <w:rsid w:val="009F5EDA"/>
    <w:rsid w:val="009F782E"/>
    <w:rsid w:val="00A00354"/>
    <w:rsid w:val="00A011C8"/>
    <w:rsid w:val="00A01A66"/>
    <w:rsid w:val="00A01C59"/>
    <w:rsid w:val="00A0300E"/>
    <w:rsid w:val="00A046CD"/>
    <w:rsid w:val="00A04D12"/>
    <w:rsid w:val="00A0576D"/>
    <w:rsid w:val="00A10148"/>
    <w:rsid w:val="00A10569"/>
    <w:rsid w:val="00A10E48"/>
    <w:rsid w:val="00A11AC0"/>
    <w:rsid w:val="00A125D8"/>
    <w:rsid w:val="00A13455"/>
    <w:rsid w:val="00A13A44"/>
    <w:rsid w:val="00A14905"/>
    <w:rsid w:val="00A14CCF"/>
    <w:rsid w:val="00A17C75"/>
    <w:rsid w:val="00A21F1A"/>
    <w:rsid w:val="00A2251D"/>
    <w:rsid w:val="00A2335E"/>
    <w:rsid w:val="00A23E78"/>
    <w:rsid w:val="00A2515C"/>
    <w:rsid w:val="00A25494"/>
    <w:rsid w:val="00A257C9"/>
    <w:rsid w:val="00A257E4"/>
    <w:rsid w:val="00A257E8"/>
    <w:rsid w:val="00A2640C"/>
    <w:rsid w:val="00A27735"/>
    <w:rsid w:val="00A313F3"/>
    <w:rsid w:val="00A31611"/>
    <w:rsid w:val="00A32367"/>
    <w:rsid w:val="00A33BEB"/>
    <w:rsid w:val="00A350DF"/>
    <w:rsid w:val="00A3533B"/>
    <w:rsid w:val="00A35D9D"/>
    <w:rsid w:val="00A36124"/>
    <w:rsid w:val="00A3772C"/>
    <w:rsid w:val="00A40178"/>
    <w:rsid w:val="00A4022E"/>
    <w:rsid w:val="00A40437"/>
    <w:rsid w:val="00A40A7F"/>
    <w:rsid w:val="00A40F7A"/>
    <w:rsid w:val="00A41D9D"/>
    <w:rsid w:val="00A432AD"/>
    <w:rsid w:val="00A44614"/>
    <w:rsid w:val="00A45028"/>
    <w:rsid w:val="00A452A1"/>
    <w:rsid w:val="00A45820"/>
    <w:rsid w:val="00A4669E"/>
    <w:rsid w:val="00A46E28"/>
    <w:rsid w:val="00A46FD4"/>
    <w:rsid w:val="00A5178A"/>
    <w:rsid w:val="00A51859"/>
    <w:rsid w:val="00A51C30"/>
    <w:rsid w:val="00A535C5"/>
    <w:rsid w:val="00A53F5F"/>
    <w:rsid w:val="00A540ED"/>
    <w:rsid w:val="00A542C8"/>
    <w:rsid w:val="00A547C2"/>
    <w:rsid w:val="00A55757"/>
    <w:rsid w:val="00A56090"/>
    <w:rsid w:val="00A56642"/>
    <w:rsid w:val="00A567B8"/>
    <w:rsid w:val="00A600CC"/>
    <w:rsid w:val="00A612F1"/>
    <w:rsid w:val="00A61665"/>
    <w:rsid w:val="00A63679"/>
    <w:rsid w:val="00A63BFE"/>
    <w:rsid w:val="00A64439"/>
    <w:rsid w:val="00A65334"/>
    <w:rsid w:val="00A65805"/>
    <w:rsid w:val="00A660CF"/>
    <w:rsid w:val="00A6676C"/>
    <w:rsid w:val="00A70202"/>
    <w:rsid w:val="00A713C5"/>
    <w:rsid w:val="00A71732"/>
    <w:rsid w:val="00A71C91"/>
    <w:rsid w:val="00A72CF3"/>
    <w:rsid w:val="00A72E1A"/>
    <w:rsid w:val="00A73D08"/>
    <w:rsid w:val="00A73DAA"/>
    <w:rsid w:val="00A73ED1"/>
    <w:rsid w:val="00A73F90"/>
    <w:rsid w:val="00A76253"/>
    <w:rsid w:val="00A76A52"/>
    <w:rsid w:val="00A76B18"/>
    <w:rsid w:val="00A771E2"/>
    <w:rsid w:val="00A77D95"/>
    <w:rsid w:val="00A80C16"/>
    <w:rsid w:val="00A81313"/>
    <w:rsid w:val="00A8149F"/>
    <w:rsid w:val="00A815BB"/>
    <w:rsid w:val="00A82DCC"/>
    <w:rsid w:val="00A833AA"/>
    <w:rsid w:val="00A85F0C"/>
    <w:rsid w:val="00A90A5D"/>
    <w:rsid w:val="00A925AA"/>
    <w:rsid w:val="00A92BD9"/>
    <w:rsid w:val="00A9325D"/>
    <w:rsid w:val="00A935CA"/>
    <w:rsid w:val="00A935D7"/>
    <w:rsid w:val="00A94123"/>
    <w:rsid w:val="00A94564"/>
    <w:rsid w:val="00A951ED"/>
    <w:rsid w:val="00A960F4"/>
    <w:rsid w:val="00A9613A"/>
    <w:rsid w:val="00A965AB"/>
    <w:rsid w:val="00A97729"/>
    <w:rsid w:val="00A97C0E"/>
    <w:rsid w:val="00AA07C1"/>
    <w:rsid w:val="00AA1FDF"/>
    <w:rsid w:val="00AA20E3"/>
    <w:rsid w:val="00AA2BD5"/>
    <w:rsid w:val="00AA338D"/>
    <w:rsid w:val="00AA340E"/>
    <w:rsid w:val="00AA3850"/>
    <w:rsid w:val="00AA3A2E"/>
    <w:rsid w:val="00AA5000"/>
    <w:rsid w:val="00AA56E6"/>
    <w:rsid w:val="00AA5A4E"/>
    <w:rsid w:val="00AA6D63"/>
    <w:rsid w:val="00AB02D5"/>
    <w:rsid w:val="00AB150C"/>
    <w:rsid w:val="00AB2615"/>
    <w:rsid w:val="00AB32A1"/>
    <w:rsid w:val="00AB47B5"/>
    <w:rsid w:val="00AB4A80"/>
    <w:rsid w:val="00AB5AA5"/>
    <w:rsid w:val="00AB641A"/>
    <w:rsid w:val="00AB7571"/>
    <w:rsid w:val="00AB7CBC"/>
    <w:rsid w:val="00AB7DDF"/>
    <w:rsid w:val="00AC0A10"/>
    <w:rsid w:val="00AC1479"/>
    <w:rsid w:val="00AC154D"/>
    <w:rsid w:val="00AC15A7"/>
    <w:rsid w:val="00AC1719"/>
    <w:rsid w:val="00AC1D05"/>
    <w:rsid w:val="00AC2A20"/>
    <w:rsid w:val="00AC2CC2"/>
    <w:rsid w:val="00AC320A"/>
    <w:rsid w:val="00AC3566"/>
    <w:rsid w:val="00AC3612"/>
    <w:rsid w:val="00AC3792"/>
    <w:rsid w:val="00AC42AA"/>
    <w:rsid w:val="00AC4657"/>
    <w:rsid w:val="00AC4974"/>
    <w:rsid w:val="00AC5F3B"/>
    <w:rsid w:val="00AC6262"/>
    <w:rsid w:val="00AC6564"/>
    <w:rsid w:val="00AC6A0C"/>
    <w:rsid w:val="00AC6EEE"/>
    <w:rsid w:val="00AC7A72"/>
    <w:rsid w:val="00AC7E0C"/>
    <w:rsid w:val="00AD07BF"/>
    <w:rsid w:val="00AD087F"/>
    <w:rsid w:val="00AD2264"/>
    <w:rsid w:val="00AD22CF"/>
    <w:rsid w:val="00AD28A2"/>
    <w:rsid w:val="00AD57CD"/>
    <w:rsid w:val="00AD5F41"/>
    <w:rsid w:val="00AE034E"/>
    <w:rsid w:val="00AE0A19"/>
    <w:rsid w:val="00AE4598"/>
    <w:rsid w:val="00AE4865"/>
    <w:rsid w:val="00AE5329"/>
    <w:rsid w:val="00AE6204"/>
    <w:rsid w:val="00AE6435"/>
    <w:rsid w:val="00AE7EF4"/>
    <w:rsid w:val="00AF02E6"/>
    <w:rsid w:val="00AF098D"/>
    <w:rsid w:val="00AF0B3E"/>
    <w:rsid w:val="00AF0CFD"/>
    <w:rsid w:val="00AF17ED"/>
    <w:rsid w:val="00AF1C5B"/>
    <w:rsid w:val="00AF213D"/>
    <w:rsid w:val="00AF4527"/>
    <w:rsid w:val="00AF486A"/>
    <w:rsid w:val="00AF4D9F"/>
    <w:rsid w:val="00AF57BC"/>
    <w:rsid w:val="00AF5893"/>
    <w:rsid w:val="00AF5978"/>
    <w:rsid w:val="00AF5E19"/>
    <w:rsid w:val="00AF5F03"/>
    <w:rsid w:val="00AF78C7"/>
    <w:rsid w:val="00B00B36"/>
    <w:rsid w:val="00B00D08"/>
    <w:rsid w:val="00B02125"/>
    <w:rsid w:val="00B02824"/>
    <w:rsid w:val="00B04194"/>
    <w:rsid w:val="00B04531"/>
    <w:rsid w:val="00B04770"/>
    <w:rsid w:val="00B04D21"/>
    <w:rsid w:val="00B06100"/>
    <w:rsid w:val="00B06ACA"/>
    <w:rsid w:val="00B06B6C"/>
    <w:rsid w:val="00B06F14"/>
    <w:rsid w:val="00B078F1"/>
    <w:rsid w:val="00B10520"/>
    <w:rsid w:val="00B109AB"/>
    <w:rsid w:val="00B10FDD"/>
    <w:rsid w:val="00B112FC"/>
    <w:rsid w:val="00B1178B"/>
    <w:rsid w:val="00B11836"/>
    <w:rsid w:val="00B1193F"/>
    <w:rsid w:val="00B12711"/>
    <w:rsid w:val="00B12A34"/>
    <w:rsid w:val="00B141A9"/>
    <w:rsid w:val="00B14833"/>
    <w:rsid w:val="00B154AF"/>
    <w:rsid w:val="00B16C20"/>
    <w:rsid w:val="00B17EAC"/>
    <w:rsid w:val="00B20828"/>
    <w:rsid w:val="00B21494"/>
    <w:rsid w:val="00B21FA3"/>
    <w:rsid w:val="00B21FFC"/>
    <w:rsid w:val="00B226EA"/>
    <w:rsid w:val="00B22B39"/>
    <w:rsid w:val="00B22DFA"/>
    <w:rsid w:val="00B27F2D"/>
    <w:rsid w:val="00B30469"/>
    <w:rsid w:val="00B3128F"/>
    <w:rsid w:val="00B3404E"/>
    <w:rsid w:val="00B3468C"/>
    <w:rsid w:val="00B3527A"/>
    <w:rsid w:val="00B35870"/>
    <w:rsid w:val="00B35C14"/>
    <w:rsid w:val="00B3711E"/>
    <w:rsid w:val="00B37974"/>
    <w:rsid w:val="00B37C40"/>
    <w:rsid w:val="00B37CE8"/>
    <w:rsid w:val="00B40373"/>
    <w:rsid w:val="00B40B21"/>
    <w:rsid w:val="00B44AD9"/>
    <w:rsid w:val="00B45290"/>
    <w:rsid w:val="00B45F12"/>
    <w:rsid w:val="00B46ED5"/>
    <w:rsid w:val="00B4703C"/>
    <w:rsid w:val="00B477F9"/>
    <w:rsid w:val="00B50251"/>
    <w:rsid w:val="00B50E87"/>
    <w:rsid w:val="00B5117E"/>
    <w:rsid w:val="00B519CD"/>
    <w:rsid w:val="00B51B79"/>
    <w:rsid w:val="00B5228F"/>
    <w:rsid w:val="00B525B9"/>
    <w:rsid w:val="00B5265A"/>
    <w:rsid w:val="00B5448B"/>
    <w:rsid w:val="00B546BB"/>
    <w:rsid w:val="00B576AE"/>
    <w:rsid w:val="00B57F22"/>
    <w:rsid w:val="00B6020C"/>
    <w:rsid w:val="00B60316"/>
    <w:rsid w:val="00B6221E"/>
    <w:rsid w:val="00B62823"/>
    <w:rsid w:val="00B6390B"/>
    <w:rsid w:val="00B63AFF"/>
    <w:rsid w:val="00B647F8"/>
    <w:rsid w:val="00B64BAD"/>
    <w:rsid w:val="00B6519E"/>
    <w:rsid w:val="00B65973"/>
    <w:rsid w:val="00B66917"/>
    <w:rsid w:val="00B66B4E"/>
    <w:rsid w:val="00B67618"/>
    <w:rsid w:val="00B7070D"/>
    <w:rsid w:val="00B717D6"/>
    <w:rsid w:val="00B7216B"/>
    <w:rsid w:val="00B72499"/>
    <w:rsid w:val="00B72EF4"/>
    <w:rsid w:val="00B7371A"/>
    <w:rsid w:val="00B74B14"/>
    <w:rsid w:val="00B76F70"/>
    <w:rsid w:val="00B76F7F"/>
    <w:rsid w:val="00B77BB3"/>
    <w:rsid w:val="00B80067"/>
    <w:rsid w:val="00B81C7C"/>
    <w:rsid w:val="00B82038"/>
    <w:rsid w:val="00B8229E"/>
    <w:rsid w:val="00B8287A"/>
    <w:rsid w:val="00B82D01"/>
    <w:rsid w:val="00B83513"/>
    <w:rsid w:val="00B83785"/>
    <w:rsid w:val="00B8394E"/>
    <w:rsid w:val="00B8419A"/>
    <w:rsid w:val="00B841C3"/>
    <w:rsid w:val="00B845FD"/>
    <w:rsid w:val="00B850FC"/>
    <w:rsid w:val="00B8689C"/>
    <w:rsid w:val="00B87224"/>
    <w:rsid w:val="00B87BC7"/>
    <w:rsid w:val="00B87CE5"/>
    <w:rsid w:val="00B87D7C"/>
    <w:rsid w:val="00B87D8B"/>
    <w:rsid w:val="00B90110"/>
    <w:rsid w:val="00B901E7"/>
    <w:rsid w:val="00B906BF"/>
    <w:rsid w:val="00B914FE"/>
    <w:rsid w:val="00B9265B"/>
    <w:rsid w:val="00B9283B"/>
    <w:rsid w:val="00B92BA2"/>
    <w:rsid w:val="00B92C64"/>
    <w:rsid w:val="00B93230"/>
    <w:rsid w:val="00B95730"/>
    <w:rsid w:val="00B95B45"/>
    <w:rsid w:val="00B95BAE"/>
    <w:rsid w:val="00B964B1"/>
    <w:rsid w:val="00B96579"/>
    <w:rsid w:val="00B96713"/>
    <w:rsid w:val="00B96731"/>
    <w:rsid w:val="00B97538"/>
    <w:rsid w:val="00B9755C"/>
    <w:rsid w:val="00B97575"/>
    <w:rsid w:val="00B978EC"/>
    <w:rsid w:val="00B97C74"/>
    <w:rsid w:val="00BA126A"/>
    <w:rsid w:val="00BA170C"/>
    <w:rsid w:val="00BA1726"/>
    <w:rsid w:val="00BA17EC"/>
    <w:rsid w:val="00BA2139"/>
    <w:rsid w:val="00BA31A5"/>
    <w:rsid w:val="00BA38DA"/>
    <w:rsid w:val="00BA39FE"/>
    <w:rsid w:val="00BA3F08"/>
    <w:rsid w:val="00BA534B"/>
    <w:rsid w:val="00BA784B"/>
    <w:rsid w:val="00BB0030"/>
    <w:rsid w:val="00BB033A"/>
    <w:rsid w:val="00BB1503"/>
    <w:rsid w:val="00BB282F"/>
    <w:rsid w:val="00BB2AD0"/>
    <w:rsid w:val="00BB30DB"/>
    <w:rsid w:val="00BB6385"/>
    <w:rsid w:val="00BB795C"/>
    <w:rsid w:val="00BC03D7"/>
    <w:rsid w:val="00BC10FF"/>
    <w:rsid w:val="00BC158D"/>
    <w:rsid w:val="00BC2733"/>
    <w:rsid w:val="00BC33BA"/>
    <w:rsid w:val="00BC4A53"/>
    <w:rsid w:val="00BC6819"/>
    <w:rsid w:val="00BD08DA"/>
    <w:rsid w:val="00BD1267"/>
    <w:rsid w:val="00BD1688"/>
    <w:rsid w:val="00BD17BC"/>
    <w:rsid w:val="00BD2AA6"/>
    <w:rsid w:val="00BD2C25"/>
    <w:rsid w:val="00BD456B"/>
    <w:rsid w:val="00BD6CAD"/>
    <w:rsid w:val="00BD77F6"/>
    <w:rsid w:val="00BD7BD5"/>
    <w:rsid w:val="00BE005E"/>
    <w:rsid w:val="00BE0249"/>
    <w:rsid w:val="00BE0F68"/>
    <w:rsid w:val="00BE0FD9"/>
    <w:rsid w:val="00BE291B"/>
    <w:rsid w:val="00BE2E9E"/>
    <w:rsid w:val="00BE3768"/>
    <w:rsid w:val="00BE5AAB"/>
    <w:rsid w:val="00BE5DBE"/>
    <w:rsid w:val="00BE5EBC"/>
    <w:rsid w:val="00BF0920"/>
    <w:rsid w:val="00BF09E9"/>
    <w:rsid w:val="00BF0CCF"/>
    <w:rsid w:val="00BF13B9"/>
    <w:rsid w:val="00BF24F4"/>
    <w:rsid w:val="00BF2A01"/>
    <w:rsid w:val="00BF48FD"/>
    <w:rsid w:val="00BF65EE"/>
    <w:rsid w:val="00BF695E"/>
    <w:rsid w:val="00BF79DB"/>
    <w:rsid w:val="00C014DB"/>
    <w:rsid w:val="00C02263"/>
    <w:rsid w:val="00C02E0A"/>
    <w:rsid w:val="00C0448B"/>
    <w:rsid w:val="00C05E27"/>
    <w:rsid w:val="00C06FEB"/>
    <w:rsid w:val="00C078DB"/>
    <w:rsid w:val="00C07BC5"/>
    <w:rsid w:val="00C10B3A"/>
    <w:rsid w:val="00C114BD"/>
    <w:rsid w:val="00C116BA"/>
    <w:rsid w:val="00C11ACD"/>
    <w:rsid w:val="00C11DA9"/>
    <w:rsid w:val="00C1342E"/>
    <w:rsid w:val="00C14155"/>
    <w:rsid w:val="00C14349"/>
    <w:rsid w:val="00C149E1"/>
    <w:rsid w:val="00C14D98"/>
    <w:rsid w:val="00C159A7"/>
    <w:rsid w:val="00C172EE"/>
    <w:rsid w:val="00C20198"/>
    <w:rsid w:val="00C2044A"/>
    <w:rsid w:val="00C20F1D"/>
    <w:rsid w:val="00C2204C"/>
    <w:rsid w:val="00C2440A"/>
    <w:rsid w:val="00C255C7"/>
    <w:rsid w:val="00C2591C"/>
    <w:rsid w:val="00C26F91"/>
    <w:rsid w:val="00C27676"/>
    <w:rsid w:val="00C276B5"/>
    <w:rsid w:val="00C27BE0"/>
    <w:rsid w:val="00C27BF2"/>
    <w:rsid w:val="00C31A11"/>
    <w:rsid w:val="00C31E35"/>
    <w:rsid w:val="00C3210C"/>
    <w:rsid w:val="00C32B22"/>
    <w:rsid w:val="00C32D45"/>
    <w:rsid w:val="00C33013"/>
    <w:rsid w:val="00C33919"/>
    <w:rsid w:val="00C3690D"/>
    <w:rsid w:val="00C36A96"/>
    <w:rsid w:val="00C37527"/>
    <w:rsid w:val="00C37B57"/>
    <w:rsid w:val="00C401AD"/>
    <w:rsid w:val="00C411A8"/>
    <w:rsid w:val="00C4208E"/>
    <w:rsid w:val="00C421A4"/>
    <w:rsid w:val="00C42AEF"/>
    <w:rsid w:val="00C436A9"/>
    <w:rsid w:val="00C439B5"/>
    <w:rsid w:val="00C44ECF"/>
    <w:rsid w:val="00C44FE9"/>
    <w:rsid w:val="00C46066"/>
    <w:rsid w:val="00C466DE"/>
    <w:rsid w:val="00C46957"/>
    <w:rsid w:val="00C46EB1"/>
    <w:rsid w:val="00C47AFF"/>
    <w:rsid w:val="00C5091D"/>
    <w:rsid w:val="00C5096B"/>
    <w:rsid w:val="00C50B5A"/>
    <w:rsid w:val="00C51D78"/>
    <w:rsid w:val="00C51DB9"/>
    <w:rsid w:val="00C5386B"/>
    <w:rsid w:val="00C538E8"/>
    <w:rsid w:val="00C53EDF"/>
    <w:rsid w:val="00C53FA8"/>
    <w:rsid w:val="00C54370"/>
    <w:rsid w:val="00C54838"/>
    <w:rsid w:val="00C55F60"/>
    <w:rsid w:val="00C574C5"/>
    <w:rsid w:val="00C609FF"/>
    <w:rsid w:val="00C619EF"/>
    <w:rsid w:val="00C61CC3"/>
    <w:rsid w:val="00C626DE"/>
    <w:rsid w:val="00C63424"/>
    <w:rsid w:val="00C6365C"/>
    <w:rsid w:val="00C64343"/>
    <w:rsid w:val="00C647E3"/>
    <w:rsid w:val="00C65682"/>
    <w:rsid w:val="00C66A02"/>
    <w:rsid w:val="00C66AED"/>
    <w:rsid w:val="00C67FC3"/>
    <w:rsid w:val="00C70F83"/>
    <w:rsid w:val="00C71211"/>
    <w:rsid w:val="00C71722"/>
    <w:rsid w:val="00C721F5"/>
    <w:rsid w:val="00C72245"/>
    <w:rsid w:val="00C72630"/>
    <w:rsid w:val="00C72A71"/>
    <w:rsid w:val="00C72DE6"/>
    <w:rsid w:val="00C735F6"/>
    <w:rsid w:val="00C73C87"/>
    <w:rsid w:val="00C73D79"/>
    <w:rsid w:val="00C73F3C"/>
    <w:rsid w:val="00C74516"/>
    <w:rsid w:val="00C75B37"/>
    <w:rsid w:val="00C7614B"/>
    <w:rsid w:val="00C763A6"/>
    <w:rsid w:val="00C76CCE"/>
    <w:rsid w:val="00C76CDD"/>
    <w:rsid w:val="00C76FEB"/>
    <w:rsid w:val="00C772E2"/>
    <w:rsid w:val="00C8029D"/>
    <w:rsid w:val="00C816CF"/>
    <w:rsid w:val="00C83E5E"/>
    <w:rsid w:val="00C85572"/>
    <w:rsid w:val="00C867C4"/>
    <w:rsid w:val="00C86905"/>
    <w:rsid w:val="00C876C7"/>
    <w:rsid w:val="00C87A87"/>
    <w:rsid w:val="00C90423"/>
    <w:rsid w:val="00C907B2"/>
    <w:rsid w:val="00C90C31"/>
    <w:rsid w:val="00C9178E"/>
    <w:rsid w:val="00C91D33"/>
    <w:rsid w:val="00C92243"/>
    <w:rsid w:val="00C92C2C"/>
    <w:rsid w:val="00C94905"/>
    <w:rsid w:val="00C94A84"/>
    <w:rsid w:val="00C94E61"/>
    <w:rsid w:val="00C9537C"/>
    <w:rsid w:val="00C957EC"/>
    <w:rsid w:val="00C95E6D"/>
    <w:rsid w:val="00C95F3D"/>
    <w:rsid w:val="00C96010"/>
    <w:rsid w:val="00CA0379"/>
    <w:rsid w:val="00CA05CE"/>
    <w:rsid w:val="00CA0C8D"/>
    <w:rsid w:val="00CA3376"/>
    <w:rsid w:val="00CA3BF9"/>
    <w:rsid w:val="00CA40EE"/>
    <w:rsid w:val="00CA4A57"/>
    <w:rsid w:val="00CA5123"/>
    <w:rsid w:val="00CA56B7"/>
    <w:rsid w:val="00CA5BDB"/>
    <w:rsid w:val="00CA6FA1"/>
    <w:rsid w:val="00CA7FC1"/>
    <w:rsid w:val="00CB045B"/>
    <w:rsid w:val="00CB3960"/>
    <w:rsid w:val="00CB4462"/>
    <w:rsid w:val="00CB4958"/>
    <w:rsid w:val="00CB5DFB"/>
    <w:rsid w:val="00CB5F7D"/>
    <w:rsid w:val="00CB6586"/>
    <w:rsid w:val="00CB7A8E"/>
    <w:rsid w:val="00CC0219"/>
    <w:rsid w:val="00CC051D"/>
    <w:rsid w:val="00CC1088"/>
    <w:rsid w:val="00CC124D"/>
    <w:rsid w:val="00CC1B90"/>
    <w:rsid w:val="00CC23C4"/>
    <w:rsid w:val="00CC3AE3"/>
    <w:rsid w:val="00CC3D62"/>
    <w:rsid w:val="00CC4D52"/>
    <w:rsid w:val="00CC5C71"/>
    <w:rsid w:val="00CC6CAD"/>
    <w:rsid w:val="00CC76A6"/>
    <w:rsid w:val="00CC7B8D"/>
    <w:rsid w:val="00CD1B54"/>
    <w:rsid w:val="00CD2A1A"/>
    <w:rsid w:val="00CD37EE"/>
    <w:rsid w:val="00CD3ED1"/>
    <w:rsid w:val="00CD4CE7"/>
    <w:rsid w:val="00CD6159"/>
    <w:rsid w:val="00CD6607"/>
    <w:rsid w:val="00CD7D2F"/>
    <w:rsid w:val="00CD7F3E"/>
    <w:rsid w:val="00CE15E1"/>
    <w:rsid w:val="00CE1DA8"/>
    <w:rsid w:val="00CE2B1B"/>
    <w:rsid w:val="00CE7782"/>
    <w:rsid w:val="00CF14C0"/>
    <w:rsid w:val="00CF1837"/>
    <w:rsid w:val="00CF29AB"/>
    <w:rsid w:val="00CF2C85"/>
    <w:rsid w:val="00CF4EF5"/>
    <w:rsid w:val="00CF577D"/>
    <w:rsid w:val="00CF595A"/>
    <w:rsid w:val="00CF6234"/>
    <w:rsid w:val="00CF627B"/>
    <w:rsid w:val="00CF72EE"/>
    <w:rsid w:val="00CF7424"/>
    <w:rsid w:val="00CF7A82"/>
    <w:rsid w:val="00D01439"/>
    <w:rsid w:val="00D019D1"/>
    <w:rsid w:val="00D03853"/>
    <w:rsid w:val="00D046FC"/>
    <w:rsid w:val="00D05434"/>
    <w:rsid w:val="00D05818"/>
    <w:rsid w:val="00D05BBE"/>
    <w:rsid w:val="00D076F9"/>
    <w:rsid w:val="00D07912"/>
    <w:rsid w:val="00D07F12"/>
    <w:rsid w:val="00D10B19"/>
    <w:rsid w:val="00D110BD"/>
    <w:rsid w:val="00D12296"/>
    <w:rsid w:val="00D12CDE"/>
    <w:rsid w:val="00D12D32"/>
    <w:rsid w:val="00D135FA"/>
    <w:rsid w:val="00D1377C"/>
    <w:rsid w:val="00D13843"/>
    <w:rsid w:val="00D14170"/>
    <w:rsid w:val="00D162EC"/>
    <w:rsid w:val="00D16A87"/>
    <w:rsid w:val="00D17018"/>
    <w:rsid w:val="00D2007B"/>
    <w:rsid w:val="00D21C09"/>
    <w:rsid w:val="00D21C9F"/>
    <w:rsid w:val="00D21EBA"/>
    <w:rsid w:val="00D230C4"/>
    <w:rsid w:val="00D23FE7"/>
    <w:rsid w:val="00D24AE1"/>
    <w:rsid w:val="00D24F8A"/>
    <w:rsid w:val="00D2589A"/>
    <w:rsid w:val="00D259C4"/>
    <w:rsid w:val="00D26F47"/>
    <w:rsid w:val="00D27CBC"/>
    <w:rsid w:val="00D31048"/>
    <w:rsid w:val="00D32110"/>
    <w:rsid w:val="00D339EF"/>
    <w:rsid w:val="00D3448A"/>
    <w:rsid w:val="00D348E3"/>
    <w:rsid w:val="00D35616"/>
    <w:rsid w:val="00D404A9"/>
    <w:rsid w:val="00D40F67"/>
    <w:rsid w:val="00D41CA9"/>
    <w:rsid w:val="00D429A9"/>
    <w:rsid w:val="00D44548"/>
    <w:rsid w:val="00D44914"/>
    <w:rsid w:val="00D44BA6"/>
    <w:rsid w:val="00D45CB2"/>
    <w:rsid w:val="00D45D10"/>
    <w:rsid w:val="00D45E74"/>
    <w:rsid w:val="00D45EC8"/>
    <w:rsid w:val="00D46633"/>
    <w:rsid w:val="00D4738F"/>
    <w:rsid w:val="00D47A03"/>
    <w:rsid w:val="00D509A0"/>
    <w:rsid w:val="00D52F99"/>
    <w:rsid w:val="00D537C7"/>
    <w:rsid w:val="00D54896"/>
    <w:rsid w:val="00D54DFE"/>
    <w:rsid w:val="00D55A3F"/>
    <w:rsid w:val="00D55D2E"/>
    <w:rsid w:val="00D562EF"/>
    <w:rsid w:val="00D5657A"/>
    <w:rsid w:val="00D565F4"/>
    <w:rsid w:val="00D60A6B"/>
    <w:rsid w:val="00D6378D"/>
    <w:rsid w:val="00D63BFD"/>
    <w:rsid w:val="00D65293"/>
    <w:rsid w:val="00D66011"/>
    <w:rsid w:val="00D66A5B"/>
    <w:rsid w:val="00D678B8"/>
    <w:rsid w:val="00D67B19"/>
    <w:rsid w:val="00D67DB0"/>
    <w:rsid w:val="00D709EC"/>
    <w:rsid w:val="00D715D6"/>
    <w:rsid w:val="00D72FF1"/>
    <w:rsid w:val="00D736D6"/>
    <w:rsid w:val="00D74BDF"/>
    <w:rsid w:val="00D7552F"/>
    <w:rsid w:val="00D75CA4"/>
    <w:rsid w:val="00D776DC"/>
    <w:rsid w:val="00D77AAD"/>
    <w:rsid w:val="00D8029D"/>
    <w:rsid w:val="00D80B9F"/>
    <w:rsid w:val="00D80D19"/>
    <w:rsid w:val="00D81F39"/>
    <w:rsid w:val="00D823CD"/>
    <w:rsid w:val="00D83743"/>
    <w:rsid w:val="00D859BF"/>
    <w:rsid w:val="00D86102"/>
    <w:rsid w:val="00D86827"/>
    <w:rsid w:val="00D87196"/>
    <w:rsid w:val="00D87C98"/>
    <w:rsid w:val="00D91171"/>
    <w:rsid w:val="00D91286"/>
    <w:rsid w:val="00D92227"/>
    <w:rsid w:val="00D92443"/>
    <w:rsid w:val="00D92D05"/>
    <w:rsid w:val="00D9353B"/>
    <w:rsid w:val="00D94751"/>
    <w:rsid w:val="00D947DB"/>
    <w:rsid w:val="00D94932"/>
    <w:rsid w:val="00D95369"/>
    <w:rsid w:val="00D96473"/>
    <w:rsid w:val="00DA0BBF"/>
    <w:rsid w:val="00DA0FC3"/>
    <w:rsid w:val="00DA19A7"/>
    <w:rsid w:val="00DA1ED1"/>
    <w:rsid w:val="00DA1EFF"/>
    <w:rsid w:val="00DA1FE2"/>
    <w:rsid w:val="00DA3340"/>
    <w:rsid w:val="00DA4353"/>
    <w:rsid w:val="00DA4B46"/>
    <w:rsid w:val="00DA548A"/>
    <w:rsid w:val="00DA5E92"/>
    <w:rsid w:val="00DB0604"/>
    <w:rsid w:val="00DB1852"/>
    <w:rsid w:val="00DB3BC3"/>
    <w:rsid w:val="00DB4281"/>
    <w:rsid w:val="00DB44D3"/>
    <w:rsid w:val="00DB45F9"/>
    <w:rsid w:val="00DB46E1"/>
    <w:rsid w:val="00DB4970"/>
    <w:rsid w:val="00DB4BFC"/>
    <w:rsid w:val="00DB4C4C"/>
    <w:rsid w:val="00DB5343"/>
    <w:rsid w:val="00DB5FC6"/>
    <w:rsid w:val="00DB6F5F"/>
    <w:rsid w:val="00DB73D5"/>
    <w:rsid w:val="00DB74F6"/>
    <w:rsid w:val="00DC05D0"/>
    <w:rsid w:val="00DC1E5E"/>
    <w:rsid w:val="00DC2FC0"/>
    <w:rsid w:val="00DC42D6"/>
    <w:rsid w:val="00DC567B"/>
    <w:rsid w:val="00DC5FB5"/>
    <w:rsid w:val="00DC61AF"/>
    <w:rsid w:val="00DC7446"/>
    <w:rsid w:val="00DC76D7"/>
    <w:rsid w:val="00DD08F9"/>
    <w:rsid w:val="00DD11A7"/>
    <w:rsid w:val="00DD125F"/>
    <w:rsid w:val="00DD25B5"/>
    <w:rsid w:val="00DD2689"/>
    <w:rsid w:val="00DD2E8A"/>
    <w:rsid w:val="00DD3156"/>
    <w:rsid w:val="00DD4139"/>
    <w:rsid w:val="00DD44CB"/>
    <w:rsid w:val="00DD4DF8"/>
    <w:rsid w:val="00DD6A57"/>
    <w:rsid w:val="00DD7A05"/>
    <w:rsid w:val="00DE0961"/>
    <w:rsid w:val="00DE169E"/>
    <w:rsid w:val="00DE1B66"/>
    <w:rsid w:val="00DE2948"/>
    <w:rsid w:val="00DE3411"/>
    <w:rsid w:val="00DE3D57"/>
    <w:rsid w:val="00DE41BF"/>
    <w:rsid w:val="00DE4703"/>
    <w:rsid w:val="00DE491C"/>
    <w:rsid w:val="00DE4ABD"/>
    <w:rsid w:val="00DE61C3"/>
    <w:rsid w:val="00DE71AB"/>
    <w:rsid w:val="00DF0E13"/>
    <w:rsid w:val="00DF1EEA"/>
    <w:rsid w:val="00DF27F0"/>
    <w:rsid w:val="00DF407B"/>
    <w:rsid w:val="00DF40FB"/>
    <w:rsid w:val="00DF421C"/>
    <w:rsid w:val="00DF46C5"/>
    <w:rsid w:val="00DF53B5"/>
    <w:rsid w:val="00DF733F"/>
    <w:rsid w:val="00DF7BD5"/>
    <w:rsid w:val="00DF7C4A"/>
    <w:rsid w:val="00DF7C6D"/>
    <w:rsid w:val="00DF7D72"/>
    <w:rsid w:val="00DF7F87"/>
    <w:rsid w:val="00E00967"/>
    <w:rsid w:val="00E00FEA"/>
    <w:rsid w:val="00E025DB"/>
    <w:rsid w:val="00E02FAB"/>
    <w:rsid w:val="00E03BA0"/>
    <w:rsid w:val="00E03FBD"/>
    <w:rsid w:val="00E047C7"/>
    <w:rsid w:val="00E04ECA"/>
    <w:rsid w:val="00E05F00"/>
    <w:rsid w:val="00E0623E"/>
    <w:rsid w:val="00E0795D"/>
    <w:rsid w:val="00E07B39"/>
    <w:rsid w:val="00E10015"/>
    <w:rsid w:val="00E13A91"/>
    <w:rsid w:val="00E13E00"/>
    <w:rsid w:val="00E14A68"/>
    <w:rsid w:val="00E15B2B"/>
    <w:rsid w:val="00E15F38"/>
    <w:rsid w:val="00E161B9"/>
    <w:rsid w:val="00E16350"/>
    <w:rsid w:val="00E201C4"/>
    <w:rsid w:val="00E21102"/>
    <w:rsid w:val="00E217D1"/>
    <w:rsid w:val="00E22660"/>
    <w:rsid w:val="00E22707"/>
    <w:rsid w:val="00E22826"/>
    <w:rsid w:val="00E22FF6"/>
    <w:rsid w:val="00E237BC"/>
    <w:rsid w:val="00E23ECB"/>
    <w:rsid w:val="00E243B1"/>
    <w:rsid w:val="00E24A27"/>
    <w:rsid w:val="00E25ABD"/>
    <w:rsid w:val="00E26FCB"/>
    <w:rsid w:val="00E30146"/>
    <w:rsid w:val="00E302A9"/>
    <w:rsid w:val="00E308FC"/>
    <w:rsid w:val="00E30B6E"/>
    <w:rsid w:val="00E30BE4"/>
    <w:rsid w:val="00E31E1A"/>
    <w:rsid w:val="00E31F29"/>
    <w:rsid w:val="00E33126"/>
    <w:rsid w:val="00E34B69"/>
    <w:rsid w:val="00E3522D"/>
    <w:rsid w:val="00E35C08"/>
    <w:rsid w:val="00E35DCA"/>
    <w:rsid w:val="00E361AE"/>
    <w:rsid w:val="00E36A45"/>
    <w:rsid w:val="00E37203"/>
    <w:rsid w:val="00E37259"/>
    <w:rsid w:val="00E3781A"/>
    <w:rsid w:val="00E37EE6"/>
    <w:rsid w:val="00E406C0"/>
    <w:rsid w:val="00E411B5"/>
    <w:rsid w:val="00E41D93"/>
    <w:rsid w:val="00E42321"/>
    <w:rsid w:val="00E43E8C"/>
    <w:rsid w:val="00E445EE"/>
    <w:rsid w:val="00E44664"/>
    <w:rsid w:val="00E45E34"/>
    <w:rsid w:val="00E4633C"/>
    <w:rsid w:val="00E473AE"/>
    <w:rsid w:val="00E50B15"/>
    <w:rsid w:val="00E5121C"/>
    <w:rsid w:val="00E52468"/>
    <w:rsid w:val="00E529D9"/>
    <w:rsid w:val="00E5479C"/>
    <w:rsid w:val="00E54DAB"/>
    <w:rsid w:val="00E54FBF"/>
    <w:rsid w:val="00E5544F"/>
    <w:rsid w:val="00E55771"/>
    <w:rsid w:val="00E55EF3"/>
    <w:rsid w:val="00E56A18"/>
    <w:rsid w:val="00E57A7F"/>
    <w:rsid w:val="00E60017"/>
    <w:rsid w:val="00E608C1"/>
    <w:rsid w:val="00E60D13"/>
    <w:rsid w:val="00E610F8"/>
    <w:rsid w:val="00E611E6"/>
    <w:rsid w:val="00E61620"/>
    <w:rsid w:val="00E618E6"/>
    <w:rsid w:val="00E61AC7"/>
    <w:rsid w:val="00E61B4A"/>
    <w:rsid w:val="00E63608"/>
    <w:rsid w:val="00E63C87"/>
    <w:rsid w:val="00E63DD9"/>
    <w:rsid w:val="00E63F55"/>
    <w:rsid w:val="00E6444E"/>
    <w:rsid w:val="00E6460E"/>
    <w:rsid w:val="00E64C0E"/>
    <w:rsid w:val="00E64CBB"/>
    <w:rsid w:val="00E65AB0"/>
    <w:rsid w:val="00E67502"/>
    <w:rsid w:val="00E70226"/>
    <w:rsid w:val="00E70299"/>
    <w:rsid w:val="00E70A75"/>
    <w:rsid w:val="00E71958"/>
    <w:rsid w:val="00E71C6B"/>
    <w:rsid w:val="00E7218B"/>
    <w:rsid w:val="00E7365A"/>
    <w:rsid w:val="00E736F6"/>
    <w:rsid w:val="00E74B07"/>
    <w:rsid w:val="00E755B6"/>
    <w:rsid w:val="00E75745"/>
    <w:rsid w:val="00E75D1B"/>
    <w:rsid w:val="00E764EB"/>
    <w:rsid w:val="00E7654C"/>
    <w:rsid w:val="00E76C04"/>
    <w:rsid w:val="00E76D0D"/>
    <w:rsid w:val="00E77800"/>
    <w:rsid w:val="00E77E59"/>
    <w:rsid w:val="00E77EF5"/>
    <w:rsid w:val="00E80738"/>
    <w:rsid w:val="00E81972"/>
    <w:rsid w:val="00E822AF"/>
    <w:rsid w:val="00E83175"/>
    <w:rsid w:val="00E8349D"/>
    <w:rsid w:val="00E83757"/>
    <w:rsid w:val="00E838EA"/>
    <w:rsid w:val="00E83DDE"/>
    <w:rsid w:val="00E84038"/>
    <w:rsid w:val="00E8437C"/>
    <w:rsid w:val="00E84C33"/>
    <w:rsid w:val="00E866DB"/>
    <w:rsid w:val="00E86932"/>
    <w:rsid w:val="00E86F45"/>
    <w:rsid w:val="00E87A81"/>
    <w:rsid w:val="00E904F7"/>
    <w:rsid w:val="00E905C1"/>
    <w:rsid w:val="00E905C7"/>
    <w:rsid w:val="00E9079B"/>
    <w:rsid w:val="00E907C4"/>
    <w:rsid w:val="00E90A7D"/>
    <w:rsid w:val="00E90A90"/>
    <w:rsid w:val="00E90F37"/>
    <w:rsid w:val="00E919D9"/>
    <w:rsid w:val="00E91A4D"/>
    <w:rsid w:val="00E920DA"/>
    <w:rsid w:val="00E922F5"/>
    <w:rsid w:val="00E9279D"/>
    <w:rsid w:val="00E9282E"/>
    <w:rsid w:val="00E92A1C"/>
    <w:rsid w:val="00E92D86"/>
    <w:rsid w:val="00E9425D"/>
    <w:rsid w:val="00E95FDB"/>
    <w:rsid w:val="00E969EA"/>
    <w:rsid w:val="00E96CFD"/>
    <w:rsid w:val="00E96FF4"/>
    <w:rsid w:val="00E977B1"/>
    <w:rsid w:val="00EA2819"/>
    <w:rsid w:val="00EA3356"/>
    <w:rsid w:val="00EA5FED"/>
    <w:rsid w:val="00EA6243"/>
    <w:rsid w:val="00EA642F"/>
    <w:rsid w:val="00EA702F"/>
    <w:rsid w:val="00EA78B4"/>
    <w:rsid w:val="00EB0989"/>
    <w:rsid w:val="00EB1B6A"/>
    <w:rsid w:val="00EB3046"/>
    <w:rsid w:val="00EB39B5"/>
    <w:rsid w:val="00EB3BF9"/>
    <w:rsid w:val="00EB60E0"/>
    <w:rsid w:val="00EB61AB"/>
    <w:rsid w:val="00EB6E45"/>
    <w:rsid w:val="00EB7150"/>
    <w:rsid w:val="00EB7D85"/>
    <w:rsid w:val="00EB7DB2"/>
    <w:rsid w:val="00EC0710"/>
    <w:rsid w:val="00EC101A"/>
    <w:rsid w:val="00EC15B1"/>
    <w:rsid w:val="00EC1CA4"/>
    <w:rsid w:val="00EC33AF"/>
    <w:rsid w:val="00EC33ED"/>
    <w:rsid w:val="00EC3B64"/>
    <w:rsid w:val="00EC3DAD"/>
    <w:rsid w:val="00EC402B"/>
    <w:rsid w:val="00EC4030"/>
    <w:rsid w:val="00EC4338"/>
    <w:rsid w:val="00ED118A"/>
    <w:rsid w:val="00ED1413"/>
    <w:rsid w:val="00ED298A"/>
    <w:rsid w:val="00ED3387"/>
    <w:rsid w:val="00ED4339"/>
    <w:rsid w:val="00ED50D6"/>
    <w:rsid w:val="00ED5993"/>
    <w:rsid w:val="00ED5F3F"/>
    <w:rsid w:val="00ED675D"/>
    <w:rsid w:val="00ED6A57"/>
    <w:rsid w:val="00EE1ACB"/>
    <w:rsid w:val="00EE271F"/>
    <w:rsid w:val="00EE2D1B"/>
    <w:rsid w:val="00EE39D4"/>
    <w:rsid w:val="00EE419C"/>
    <w:rsid w:val="00EE458B"/>
    <w:rsid w:val="00EE46C5"/>
    <w:rsid w:val="00EE50DF"/>
    <w:rsid w:val="00EE558C"/>
    <w:rsid w:val="00EE5721"/>
    <w:rsid w:val="00EE58F0"/>
    <w:rsid w:val="00EE71E0"/>
    <w:rsid w:val="00EE7616"/>
    <w:rsid w:val="00EE7982"/>
    <w:rsid w:val="00EE7F26"/>
    <w:rsid w:val="00EF0233"/>
    <w:rsid w:val="00EF223B"/>
    <w:rsid w:val="00EF2A57"/>
    <w:rsid w:val="00EF2C94"/>
    <w:rsid w:val="00EF3B7B"/>
    <w:rsid w:val="00EF3C81"/>
    <w:rsid w:val="00EF4500"/>
    <w:rsid w:val="00EF491C"/>
    <w:rsid w:val="00EF4B40"/>
    <w:rsid w:val="00EF4BE3"/>
    <w:rsid w:val="00EF4D1E"/>
    <w:rsid w:val="00EF657D"/>
    <w:rsid w:val="00F00303"/>
    <w:rsid w:val="00F0091C"/>
    <w:rsid w:val="00F019AF"/>
    <w:rsid w:val="00F021F9"/>
    <w:rsid w:val="00F0256F"/>
    <w:rsid w:val="00F03FE8"/>
    <w:rsid w:val="00F04001"/>
    <w:rsid w:val="00F05D64"/>
    <w:rsid w:val="00F07106"/>
    <w:rsid w:val="00F07107"/>
    <w:rsid w:val="00F0734A"/>
    <w:rsid w:val="00F07878"/>
    <w:rsid w:val="00F07AD3"/>
    <w:rsid w:val="00F07C7B"/>
    <w:rsid w:val="00F106B3"/>
    <w:rsid w:val="00F1209E"/>
    <w:rsid w:val="00F12698"/>
    <w:rsid w:val="00F12AD5"/>
    <w:rsid w:val="00F12C85"/>
    <w:rsid w:val="00F12DFF"/>
    <w:rsid w:val="00F14998"/>
    <w:rsid w:val="00F14A0D"/>
    <w:rsid w:val="00F14C65"/>
    <w:rsid w:val="00F14CF5"/>
    <w:rsid w:val="00F150EF"/>
    <w:rsid w:val="00F161F5"/>
    <w:rsid w:val="00F16D13"/>
    <w:rsid w:val="00F16D37"/>
    <w:rsid w:val="00F17652"/>
    <w:rsid w:val="00F20CDB"/>
    <w:rsid w:val="00F22E56"/>
    <w:rsid w:val="00F237C3"/>
    <w:rsid w:val="00F23910"/>
    <w:rsid w:val="00F246E3"/>
    <w:rsid w:val="00F25600"/>
    <w:rsid w:val="00F26491"/>
    <w:rsid w:val="00F264B0"/>
    <w:rsid w:val="00F26853"/>
    <w:rsid w:val="00F27911"/>
    <w:rsid w:val="00F27D3C"/>
    <w:rsid w:val="00F30166"/>
    <w:rsid w:val="00F3228F"/>
    <w:rsid w:val="00F32F53"/>
    <w:rsid w:val="00F33179"/>
    <w:rsid w:val="00F3465F"/>
    <w:rsid w:val="00F34C32"/>
    <w:rsid w:val="00F36718"/>
    <w:rsid w:val="00F36C56"/>
    <w:rsid w:val="00F4155D"/>
    <w:rsid w:val="00F41AEC"/>
    <w:rsid w:val="00F42A38"/>
    <w:rsid w:val="00F43695"/>
    <w:rsid w:val="00F43F43"/>
    <w:rsid w:val="00F44C28"/>
    <w:rsid w:val="00F4529A"/>
    <w:rsid w:val="00F46AA6"/>
    <w:rsid w:val="00F479FA"/>
    <w:rsid w:val="00F51587"/>
    <w:rsid w:val="00F5286E"/>
    <w:rsid w:val="00F52C92"/>
    <w:rsid w:val="00F532DE"/>
    <w:rsid w:val="00F53A86"/>
    <w:rsid w:val="00F53FCE"/>
    <w:rsid w:val="00F542D5"/>
    <w:rsid w:val="00F547A0"/>
    <w:rsid w:val="00F5536F"/>
    <w:rsid w:val="00F5674C"/>
    <w:rsid w:val="00F56BE1"/>
    <w:rsid w:val="00F57336"/>
    <w:rsid w:val="00F57520"/>
    <w:rsid w:val="00F57918"/>
    <w:rsid w:val="00F604F9"/>
    <w:rsid w:val="00F613C9"/>
    <w:rsid w:val="00F63481"/>
    <w:rsid w:val="00F652E3"/>
    <w:rsid w:val="00F65392"/>
    <w:rsid w:val="00F65560"/>
    <w:rsid w:val="00F72167"/>
    <w:rsid w:val="00F725B7"/>
    <w:rsid w:val="00F7286D"/>
    <w:rsid w:val="00F7334F"/>
    <w:rsid w:val="00F739F2"/>
    <w:rsid w:val="00F75997"/>
    <w:rsid w:val="00F75D4E"/>
    <w:rsid w:val="00F75F36"/>
    <w:rsid w:val="00F7607A"/>
    <w:rsid w:val="00F8030B"/>
    <w:rsid w:val="00F80C26"/>
    <w:rsid w:val="00F81145"/>
    <w:rsid w:val="00F81159"/>
    <w:rsid w:val="00F81B09"/>
    <w:rsid w:val="00F8218E"/>
    <w:rsid w:val="00F82971"/>
    <w:rsid w:val="00F82E2A"/>
    <w:rsid w:val="00F845C5"/>
    <w:rsid w:val="00F85B3E"/>
    <w:rsid w:val="00F87354"/>
    <w:rsid w:val="00F900C1"/>
    <w:rsid w:val="00F90203"/>
    <w:rsid w:val="00F90437"/>
    <w:rsid w:val="00F9094B"/>
    <w:rsid w:val="00F909F6"/>
    <w:rsid w:val="00F915CE"/>
    <w:rsid w:val="00F91E6B"/>
    <w:rsid w:val="00F92132"/>
    <w:rsid w:val="00F939A9"/>
    <w:rsid w:val="00F93B4D"/>
    <w:rsid w:val="00F94FD6"/>
    <w:rsid w:val="00F95509"/>
    <w:rsid w:val="00F95E90"/>
    <w:rsid w:val="00F970CB"/>
    <w:rsid w:val="00F9731A"/>
    <w:rsid w:val="00F976DB"/>
    <w:rsid w:val="00FA0122"/>
    <w:rsid w:val="00FA03A3"/>
    <w:rsid w:val="00FA062E"/>
    <w:rsid w:val="00FA0C81"/>
    <w:rsid w:val="00FA0FED"/>
    <w:rsid w:val="00FA11A0"/>
    <w:rsid w:val="00FA1425"/>
    <w:rsid w:val="00FA38BC"/>
    <w:rsid w:val="00FA3FB1"/>
    <w:rsid w:val="00FA46C0"/>
    <w:rsid w:val="00FA4E6F"/>
    <w:rsid w:val="00FA4F59"/>
    <w:rsid w:val="00FA5AF7"/>
    <w:rsid w:val="00FA6370"/>
    <w:rsid w:val="00FA6989"/>
    <w:rsid w:val="00FA6E38"/>
    <w:rsid w:val="00FA7278"/>
    <w:rsid w:val="00FA7C02"/>
    <w:rsid w:val="00FA7D6A"/>
    <w:rsid w:val="00FB0FA4"/>
    <w:rsid w:val="00FB281B"/>
    <w:rsid w:val="00FB5005"/>
    <w:rsid w:val="00FB50F6"/>
    <w:rsid w:val="00FB5F23"/>
    <w:rsid w:val="00FB60E8"/>
    <w:rsid w:val="00FB672B"/>
    <w:rsid w:val="00FB6A28"/>
    <w:rsid w:val="00FB7301"/>
    <w:rsid w:val="00FB7996"/>
    <w:rsid w:val="00FC0EF6"/>
    <w:rsid w:val="00FC14CF"/>
    <w:rsid w:val="00FC19B1"/>
    <w:rsid w:val="00FC26FA"/>
    <w:rsid w:val="00FC34A2"/>
    <w:rsid w:val="00FC3542"/>
    <w:rsid w:val="00FC4828"/>
    <w:rsid w:val="00FC5215"/>
    <w:rsid w:val="00FC6253"/>
    <w:rsid w:val="00FC7BAF"/>
    <w:rsid w:val="00FC7FCF"/>
    <w:rsid w:val="00FD063E"/>
    <w:rsid w:val="00FD17EB"/>
    <w:rsid w:val="00FD1DB6"/>
    <w:rsid w:val="00FD1E31"/>
    <w:rsid w:val="00FD2269"/>
    <w:rsid w:val="00FD4A3F"/>
    <w:rsid w:val="00FD51A1"/>
    <w:rsid w:val="00FD5559"/>
    <w:rsid w:val="00FD58AE"/>
    <w:rsid w:val="00FD5BA8"/>
    <w:rsid w:val="00FD5C2E"/>
    <w:rsid w:val="00FD724D"/>
    <w:rsid w:val="00FE0EB0"/>
    <w:rsid w:val="00FE0F35"/>
    <w:rsid w:val="00FE1E90"/>
    <w:rsid w:val="00FE1F15"/>
    <w:rsid w:val="00FE2614"/>
    <w:rsid w:val="00FE45B7"/>
    <w:rsid w:val="00FE6348"/>
    <w:rsid w:val="00FE6933"/>
    <w:rsid w:val="00FF014C"/>
    <w:rsid w:val="00FF082C"/>
    <w:rsid w:val="00FF2E28"/>
    <w:rsid w:val="00FF3153"/>
    <w:rsid w:val="00FF375E"/>
    <w:rsid w:val="00FF46C2"/>
    <w:rsid w:val="00FF5282"/>
    <w:rsid w:val="00FF5759"/>
    <w:rsid w:val="00FF58A3"/>
    <w:rsid w:val="00FF7A51"/>
    <w:rsid w:val="00FF7C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01AC5E"/>
  <w15:chartTrackingRefBased/>
  <w15:docId w15:val="{1CDC1146-F544-40ED-9814-8521A465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43"/>
  </w:style>
  <w:style w:type="paragraph" w:styleId="Heading1">
    <w:name w:val="heading 1"/>
    <w:basedOn w:val="Normal"/>
    <w:link w:val="Heading1Char"/>
    <w:uiPriority w:val="9"/>
    <w:qFormat/>
    <w:rsid w:val="002A5C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74B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74B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D32110"/>
  </w:style>
  <w:style w:type="character" w:customStyle="1" w:styleId="uos-sighted">
    <w:name w:val="uos-sighted"/>
    <w:basedOn w:val="DefaultParagraphFont"/>
    <w:rsid w:val="00D32110"/>
  </w:style>
  <w:style w:type="character" w:styleId="Hyperlink">
    <w:name w:val="Hyperlink"/>
    <w:basedOn w:val="DefaultParagraphFont"/>
    <w:uiPriority w:val="99"/>
    <w:unhideWhenUsed/>
    <w:rsid w:val="00D32110"/>
    <w:rPr>
      <w:color w:val="0563C1" w:themeColor="hyperlink"/>
      <w:u w:val="single"/>
    </w:rPr>
  </w:style>
  <w:style w:type="character" w:styleId="FollowedHyperlink">
    <w:name w:val="FollowedHyperlink"/>
    <w:basedOn w:val="DefaultParagraphFont"/>
    <w:uiPriority w:val="99"/>
    <w:semiHidden/>
    <w:unhideWhenUsed/>
    <w:rsid w:val="00D32110"/>
    <w:rPr>
      <w:color w:val="954F72" w:themeColor="followedHyperlink"/>
      <w:u w:val="single"/>
    </w:rPr>
  </w:style>
  <w:style w:type="character" w:customStyle="1" w:styleId="personname">
    <w:name w:val="person_name"/>
    <w:basedOn w:val="DefaultParagraphFont"/>
    <w:rsid w:val="00D32110"/>
  </w:style>
  <w:style w:type="table" w:customStyle="1" w:styleId="TableGrid2">
    <w:name w:val="Table Grid2"/>
    <w:basedOn w:val="TableNormal"/>
    <w:next w:val="TableGrid"/>
    <w:uiPriority w:val="59"/>
    <w:rsid w:val="00D3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3211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110"/>
    <w:rPr>
      <w:rFonts w:ascii="Segoe UI" w:hAnsi="Segoe UI" w:cs="Segoe UI"/>
      <w:sz w:val="18"/>
      <w:szCs w:val="18"/>
    </w:rPr>
  </w:style>
  <w:style w:type="paragraph" w:styleId="FootnoteText">
    <w:name w:val="footnote text"/>
    <w:basedOn w:val="Normal"/>
    <w:link w:val="FootnoteTextChar"/>
    <w:uiPriority w:val="99"/>
    <w:unhideWhenUsed/>
    <w:rsid w:val="00D32110"/>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D32110"/>
    <w:rPr>
      <w:rFonts w:eastAsiaTheme="minorEastAsia"/>
      <w:sz w:val="20"/>
      <w:szCs w:val="20"/>
      <w:lang w:eastAsia="en-GB"/>
    </w:rPr>
  </w:style>
  <w:style w:type="character" w:styleId="FootnoteReference">
    <w:name w:val="footnote reference"/>
    <w:basedOn w:val="DefaultParagraphFont"/>
    <w:unhideWhenUsed/>
    <w:rsid w:val="00D32110"/>
    <w:rPr>
      <w:vertAlign w:val="superscript"/>
    </w:rPr>
  </w:style>
  <w:style w:type="paragraph" w:customStyle="1" w:styleId="NoteLevel11">
    <w:name w:val="Note Level 11"/>
    <w:basedOn w:val="Normal"/>
    <w:uiPriority w:val="99"/>
    <w:unhideWhenUsed/>
    <w:rsid w:val="00D32110"/>
    <w:pPr>
      <w:keepNext/>
      <w:numPr>
        <w:numId w:val="1"/>
      </w:numPr>
      <w:spacing w:before="120" w:after="0" w:line="360" w:lineRule="auto"/>
      <w:contextualSpacing/>
      <w:jc w:val="both"/>
      <w:outlineLvl w:val="0"/>
    </w:pPr>
    <w:rPr>
      <w:rFonts w:ascii="Verdana" w:eastAsia="MS Gothic" w:hAnsi="Verdana"/>
      <w:sz w:val="24"/>
    </w:rPr>
  </w:style>
  <w:style w:type="paragraph" w:customStyle="1" w:styleId="NoteLevel21">
    <w:name w:val="Note Level 21"/>
    <w:basedOn w:val="Normal"/>
    <w:uiPriority w:val="99"/>
    <w:unhideWhenUsed/>
    <w:rsid w:val="00D32110"/>
    <w:pPr>
      <w:keepNext/>
      <w:numPr>
        <w:ilvl w:val="1"/>
        <w:numId w:val="1"/>
      </w:numPr>
      <w:spacing w:before="120" w:after="0" w:line="360" w:lineRule="auto"/>
      <w:contextualSpacing/>
      <w:jc w:val="both"/>
      <w:outlineLvl w:val="1"/>
    </w:pPr>
    <w:rPr>
      <w:rFonts w:ascii="Verdana" w:eastAsia="MS Gothic" w:hAnsi="Verdana"/>
      <w:sz w:val="24"/>
    </w:rPr>
  </w:style>
  <w:style w:type="paragraph" w:customStyle="1" w:styleId="NoteLevel31">
    <w:name w:val="Note Level 31"/>
    <w:basedOn w:val="Normal"/>
    <w:uiPriority w:val="99"/>
    <w:semiHidden/>
    <w:unhideWhenUsed/>
    <w:rsid w:val="00D32110"/>
    <w:pPr>
      <w:keepNext/>
      <w:numPr>
        <w:ilvl w:val="2"/>
        <w:numId w:val="1"/>
      </w:numPr>
      <w:tabs>
        <w:tab w:val="clear" w:pos="1440"/>
        <w:tab w:val="num" w:pos="360"/>
      </w:tabs>
      <w:spacing w:before="120" w:after="0" w:line="360" w:lineRule="auto"/>
      <w:ind w:left="0" w:firstLine="0"/>
      <w:contextualSpacing/>
      <w:jc w:val="both"/>
      <w:outlineLvl w:val="2"/>
    </w:pPr>
    <w:rPr>
      <w:rFonts w:ascii="Verdana" w:eastAsia="MS Gothic" w:hAnsi="Verdana"/>
      <w:sz w:val="24"/>
    </w:rPr>
  </w:style>
  <w:style w:type="paragraph" w:customStyle="1" w:styleId="NoteLevel41">
    <w:name w:val="Note Level 41"/>
    <w:basedOn w:val="Normal"/>
    <w:uiPriority w:val="99"/>
    <w:semiHidden/>
    <w:unhideWhenUsed/>
    <w:rsid w:val="00D32110"/>
    <w:pPr>
      <w:keepNext/>
      <w:numPr>
        <w:ilvl w:val="3"/>
        <w:numId w:val="1"/>
      </w:numPr>
      <w:spacing w:before="120" w:after="0" w:line="360" w:lineRule="auto"/>
      <w:contextualSpacing/>
      <w:jc w:val="both"/>
      <w:outlineLvl w:val="3"/>
    </w:pPr>
    <w:rPr>
      <w:rFonts w:ascii="Verdana" w:eastAsia="MS Gothic" w:hAnsi="Verdana"/>
      <w:sz w:val="24"/>
    </w:rPr>
  </w:style>
  <w:style w:type="paragraph" w:customStyle="1" w:styleId="NoteLevel51">
    <w:name w:val="Note Level 51"/>
    <w:basedOn w:val="Normal"/>
    <w:uiPriority w:val="99"/>
    <w:semiHidden/>
    <w:unhideWhenUsed/>
    <w:rsid w:val="00D32110"/>
    <w:pPr>
      <w:keepNext/>
      <w:numPr>
        <w:ilvl w:val="4"/>
        <w:numId w:val="1"/>
      </w:numPr>
      <w:spacing w:before="120" w:after="0" w:line="360" w:lineRule="auto"/>
      <w:contextualSpacing/>
      <w:jc w:val="both"/>
      <w:outlineLvl w:val="4"/>
    </w:pPr>
    <w:rPr>
      <w:rFonts w:ascii="Verdana" w:eastAsia="MS Gothic" w:hAnsi="Verdana"/>
      <w:sz w:val="24"/>
    </w:rPr>
  </w:style>
  <w:style w:type="paragraph" w:customStyle="1" w:styleId="NoteLevel61">
    <w:name w:val="Note Level 61"/>
    <w:basedOn w:val="Normal"/>
    <w:uiPriority w:val="99"/>
    <w:semiHidden/>
    <w:unhideWhenUsed/>
    <w:rsid w:val="00D32110"/>
    <w:pPr>
      <w:keepNext/>
      <w:numPr>
        <w:ilvl w:val="5"/>
        <w:numId w:val="1"/>
      </w:numPr>
      <w:spacing w:before="120" w:after="0" w:line="360" w:lineRule="auto"/>
      <w:contextualSpacing/>
      <w:jc w:val="both"/>
      <w:outlineLvl w:val="5"/>
    </w:pPr>
    <w:rPr>
      <w:rFonts w:ascii="Verdana" w:eastAsia="MS Gothic" w:hAnsi="Verdana"/>
      <w:sz w:val="24"/>
    </w:rPr>
  </w:style>
  <w:style w:type="paragraph" w:customStyle="1" w:styleId="NoteLevel71">
    <w:name w:val="Note Level 71"/>
    <w:basedOn w:val="Normal"/>
    <w:uiPriority w:val="99"/>
    <w:semiHidden/>
    <w:unhideWhenUsed/>
    <w:rsid w:val="00D32110"/>
    <w:pPr>
      <w:keepNext/>
      <w:numPr>
        <w:ilvl w:val="6"/>
        <w:numId w:val="1"/>
      </w:numPr>
      <w:spacing w:before="120" w:after="0" w:line="360" w:lineRule="auto"/>
      <w:contextualSpacing/>
      <w:jc w:val="both"/>
      <w:outlineLvl w:val="6"/>
    </w:pPr>
    <w:rPr>
      <w:rFonts w:ascii="Verdana" w:eastAsia="MS Gothic" w:hAnsi="Verdana"/>
      <w:sz w:val="24"/>
    </w:rPr>
  </w:style>
  <w:style w:type="paragraph" w:customStyle="1" w:styleId="NoteLevel81">
    <w:name w:val="Note Level 81"/>
    <w:basedOn w:val="Normal"/>
    <w:uiPriority w:val="99"/>
    <w:semiHidden/>
    <w:unhideWhenUsed/>
    <w:rsid w:val="00D32110"/>
    <w:pPr>
      <w:keepNext/>
      <w:numPr>
        <w:ilvl w:val="7"/>
        <w:numId w:val="1"/>
      </w:numPr>
      <w:spacing w:before="120" w:after="0" w:line="360" w:lineRule="auto"/>
      <w:contextualSpacing/>
      <w:jc w:val="both"/>
      <w:outlineLvl w:val="7"/>
    </w:pPr>
    <w:rPr>
      <w:rFonts w:ascii="Verdana" w:eastAsia="MS Gothic" w:hAnsi="Verdana"/>
      <w:sz w:val="24"/>
    </w:rPr>
  </w:style>
  <w:style w:type="paragraph" w:customStyle="1" w:styleId="NoteLevel91">
    <w:name w:val="Note Level 91"/>
    <w:basedOn w:val="Normal"/>
    <w:uiPriority w:val="99"/>
    <w:semiHidden/>
    <w:unhideWhenUsed/>
    <w:rsid w:val="00D32110"/>
    <w:pPr>
      <w:keepNext/>
      <w:numPr>
        <w:ilvl w:val="8"/>
        <w:numId w:val="1"/>
      </w:numPr>
      <w:spacing w:before="120" w:after="0" w:line="360" w:lineRule="auto"/>
      <w:contextualSpacing/>
      <w:jc w:val="both"/>
      <w:outlineLvl w:val="8"/>
    </w:pPr>
    <w:rPr>
      <w:rFonts w:ascii="Verdana" w:eastAsia="MS Gothic" w:hAnsi="Verdana"/>
      <w:sz w:val="24"/>
    </w:rPr>
  </w:style>
  <w:style w:type="paragraph" w:styleId="Header">
    <w:name w:val="header"/>
    <w:basedOn w:val="Normal"/>
    <w:link w:val="HeaderChar"/>
    <w:uiPriority w:val="99"/>
    <w:unhideWhenUsed/>
    <w:rsid w:val="00D32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110"/>
  </w:style>
  <w:style w:type="paragraph" w:styleId="Footer">
    <w:name w:val="footer"/>
    <w:basedOn w:val="Normal"/>
    <w:link w:val="FooterChar"/>
    <w:uiPriority w:val="99"/>
    <w:unhideWhenUsed/>
    <w:rsid w:val="00D32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110"/>
  </w:style>
  <w:style w:type="character" w:styleId="Emphasis">
    <w:name w:val="Emphasis"/>
    <w:basedOn w:val="DefaultParagraphFont"/>
    <w:uiPriority w:val="20"/>
    <w:qFormat/>
    <w:rsid w:val="00D32110"/>
    <w:rPr>
      <w:i/>
      <w:iCs/>
    </w:rPr>
  </w:style>
  <w:style w:type="character" w:styleId="CommentReference">
    <w:name w:val="annotation reference"/>
    <w:basedOn w:val="DefaultParagraphFont"/>
    <w:uiPriority w:val="99"/>
    <w:semiHidden/>
    <w:unhideWhenUsed/>
    <w:rsid w:val="00D32110"/>
    <w:rPr>
      <w:sz w:val="16"/>
      <w:szCs w:val="16"/>
    </w:rPr>
  </w:style>
  <w:style w:type="paragraph" w:styleId="CommentText">
    <w:name w:val="annotation text"/>
    <w:basedOn w:val="Normal"/>
    <w:link w:val="CommentTextChar"/>
    <w:uiPriority w:val="99"/>
    <w:semiHidden/>
    <w:unhideWhenUsed/>
    <w:rsid w:val="00D32110"/>
    <w:pPr>
      <w:spacing w:line="240" w:lineRule="auto"/>
    </w:pPr>
    <w:rPr>
      <w:sz w:val="20"/>
      <w:szCs w:val="20"/>
    </w:rPr>
  </w:style>
  <w:style w:type="character" w:customStyle="1" w:styleId="CommentTextChar">
    <w:name w:val="Comment Text Char"/>
    <w:basedOn w:val="DefaultParagraphFont"/>
    <w:link w:val="CommentText"/>
    <w:uiPriority w:val="99"/>
    <w:semiHidden/>
    <w:rsid w:val="00D32110"/>
    <w:rPr>
      <w:sz w:val="20"/>
      <w:szCs w:val="20"/>
    </w:rPr>
  </w:style>
  <w:style w:type="paragraph" w:styleId="CommentSubject">
    <w:name w:val="annotation subject"/>
    <w:basedOn w:val="CommentText"/>
    <w:next w:val="CommentText"/>
    <w:link w:val="CommentSubjectChar"/>
    <w:uiPriority w:val="99"/>
    <w:semiHidden/>
    <w:unhideWhenUsed/>
    <w:rsid w:val="00D32110"/>
    <w:rPr>
      <w:b/>
      <w:bCs/>
    </w:rPr>
  </w:style>
  <w:style w:type="character" w:customStyle="1" w:styleId="CommentSubjectChar">
    <w:name w:val="Comment Subject Char"/>
    <w:basedOn w:val="CommentTextChar"/>
    <w:link w:val="CommentSubject"/>
    <w:uiPriority w:val="99"/>
    <w:semiHidden/>
    <w:rsid w:val="00D32110"/>
    <w:rPr>
      <w:b/>
      <w:bCs/>
      <w:sz w:val="20"/>
      <w:szCs w:val="20"/>
    </w:rPr>
  </w:style>
  <w:style w:type="paragraph" w:styleId="ListParagraph">
    <w:name w:val="List Paragraph"/>
    <w:basedOn w:val="Normal"/>
    <w:uiPriority w:val="34"/>
    <w:qFormat/>
    <w:rsid w:val="00D32110"/>
    <w:pPr>
      <w:ind w:left="720"/>
      <w:contextualSpacing/>
    </w:pPr>
  </w:style>
  <w:style w:type="table" w:customStyle="1" w:styleId="TableGrid1">
    <w:name w:val="Table Grid1"/>
    <w:basedOn w:val="TableNormal"/>
    <w:next w:val="TableGrid"/>
    <w:uiPriority w:val="59"/>
    <w:rsid w:val="009F142E"/>
    <w:pPr>
      <w:spacing w:after="0" w:line="240" w:lineRule="auto"/>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CE1"/>
    <w:rPr>
      <w:rFonts w:ascii="Times New Roman" w:eastAsia="Times New Roman" w:hAnsi="Times New Roman" w:cs="Times New Roman"/>
      <w:b/>
      <w:bCs/>
      <w:kern w:val="36"/>
      <w:sz w:val="48"/>
      <w:szCs w:val="48"/>
      <w:lang w:eastAsia="en-GB"/>
    </w:rPr>
  </w:style>
  <w:style w:type="character" w:styleId="PlaceholderText">
    <w:name w:val="Placeholder Text"/>
    <w:basedOn w:val="DefaultParagraphFont"/>
    <w:uiPriority w:val="99"/>
    <w:semiHidden/>
    <w:rsid w:val="005D645B"/>
    <w:rPr>
      <w:color w:val="808080"/>
    </w:rPr>
  </w:style>
  <w:style w:type="character" w:customStyle="1" w:styleId="inline-clock">
    <w:name w:val="inline-clock"/>
    <w:basedOn w:val="DefaultParagraphFont"/>
    <w:rsid w:val="004E0731"/>
  </w:style>
  <w:style w:type="character" w:styleId="Strong">
    <w:name w:val="Strong"/>
    <w:basedOn w:val="DefaultParagraphFont"/>
    <w:uiPriority w:val="22"/>
    <w:qFormat/>
    <w:rsid w:val="004E0731"/>
    <w:rPr>
      <w:b/>
      <w:bCs/>
    </w:rPr>
  </w:style>
  <w:style w:type="character" w:customStyle="1" w:styleId="article-classifiergap">
    <w:name w:val="article-classifier__gap"/>
    <w:basedOn w:val="DefaultParagraphFont"/>
    <w:rsid w:val="004E0731"/>
  </w:style>
  <w:style w:type="table" w:customStyle="1" w:styleId="TableGrid3">
    <w:name w:val="Table Grid3"/>
    <w:basedOn w:val="TableNormal"/>
    <w:next w:val="TableGrid"/>
    <w:uiPriority w:val="39"/>
    <w:rsid w:val="00BC1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77092"/>
    <w:rPr>
      <w:color w:val="605E5C"/>
      <w:shd w:val="clear" w:color="auto" w:fill="E1DFDD"/>
    </w:rPr>
  </w:style>
  <w:style w:type="table" w:customStyle="1" w:styleId="TableGrid21">
    <w:name w:val="Table Grid21"/>
    <w:basedOn w:val="TableNormal"/>
    <w:next w:val="TableGrid"/>
    <w:uiPriority w:val="59"/>
    <w:rsid w:val="00855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uthor-listitem">
    <w:name w:val="c-author-list__item"/>
    <w:basedOn w:val="Normal"/>
    <w:rsid w:val="00D54D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774BF3"/>
    <w:rPr>
      <w:rFonts w:asciiTheme="majorHAnsi" w:eastAsiaTheme="majorEastAsia" w:hAnsiTheme="majorHAnsi" w:cstheme="majorBidi"/>
      <w:color w:val="2E74B5" w:themeColor="accent1" w:themeShade="BF"/>
      <w:sz w:val="26"/>
      <w:szCs w:val="26"/>
    </w:rPr>
  </w:style>
  <w:style w:type="character" w:customStyle="1" w:styleId="DefaultParagraphFont0">
    <w:name w:val="DefaultParagraphFont"/>
    <w:rsid w:val="00774BF3"/>
  </w:style>
  <w:style w:type="character" w:customStyle="1" w:styleId="Heading3Char">
    <w:name w:val="Heading 3 Char"/>
    <w:basedOn w:val="DefaultParagraphFont"/>
    <w:link w:val="Heading3"/>
    <w:uiPriority w:val="9"/>
    <w:semiHidden/>
    <w:rsid w:val="00774BF3"/>
    <w:rPr>
      <w:rFonts w:asciiTheme="majorHAnsi" w:eastAsiaTheme="majorEastAsia" w:hAnsiTheme="majorHAnsi" w:cstheme="majorBidi"/>
      <w:color w:val="1F4D78" w:themeColor="accent1" w:themeShade="7F"/>
      <w:sz w:val="24"/>
      <w:szCs w:val="24"/>
    </w:rPr>
  </w:style>
  <w:style w:type="table" w:customStyle="1" w:styleId="TableGrid211">
    <w:name w:val="Table Grid211"/>
    <w:basedOn w:val="TableNormal"/>
    <w:next w:val="TableGrid"/>
    <w:uiPriority w:val="59"/>
    <w:rsid w:val="00C72A71"/>
    <w:pPr>
      <w:spacing w:after="0" w:line="240" w:lineRule="auto"/>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4F3"/>
    <w:rPr>
      <w:color w:val="605E5C"/>
      <w:shd w:val="clear" w:color="auto" w:fill="E1DFDD"/>
    </w:rPr>
  </w:style>
  <w:style w:type="paragraph" w:styleId="Revision">
    <w:name w:val="Revision"/>
    <w:hidden/>
    <w:uiPriority w:val="99"/>
    <w:semiHidden/>
    <w:rsid w:val="005624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05">
      <w:bodyDiv w:val="1"/>
      <w:marLeft w:val="0"/>
      <w:marRight w:val="0"/>
      <w:marTop w:val="0"/>
      <w:marBottom w:val="0"/>
      <w:divBdr>
        <w:top w:val="none" w:sz="0" w:space="0" w:color="auto"/>
        <w:left w:val="none" w:sz="0" w:space="0" w:color="auto"/>
        <w:bottom w:val="none" w:sz="0" w:space="0" w:color="auto"/>
        <w:right w:val="none" w:sz="0" w:space="0" w:color="auto"/>
      </w:divBdr>
    </w:div>
    <w:div w:id="37049685">
      <w:bodyDiv w:val="1"/>
      <w:marLeft w:val="0"/>
      <w:marRight w:val="0"/>
      <w:marTop w:val="0"/>
      <w:marBottom w:val="0"/>
      <w:divBdr>
        <w:top w:val="none" w:sz="0" w:space="0" w:color="auto"/>
        <w:left w:val="none" w:sz="0" w:space="0" w:color="auto"/>
        <w:bottom w:val="none" w:sz="0" w:space="0" w:color="auto"/>
        <w:right w:val="none" w:sz="0" w:space="0" w:color="auto"/>
      </w:divBdr>
      <w:divsChild>
        <w:div w:id="1867254871">
          <w:marLeft w:val="0"/>
          <w:marRight w:val="0"/>
          <w:marTop w:val="0"/>
          <w:marBottom w:val="0"/>
          <w:divBdr>
            <w:top w:val="none" w:sz="0" w:space="0" w:color="auto"/>
            <w:left w:val="none" w:sz="0" w:space="0" w:color="auto"/>
            <w:bottom w:val="none" w:sz="0" w:space="0" w:color="auto"/>
            <w:right w:val="none" w:sz="0" w:space="0" w:color="auto"/>
          </w:divBdr>
          <w:divsChild>
            <w:div w:id="1024675541">
              <w:marLeft w:val="0"/>
              <w:marRight w:val="0"/>
              <w:marTop w:val="0"/>
              <w:marBottom w:val="0"/>
              <w:divBdr>
                <w:top w:val="none" w:sz="0" w:space="0" w:color="auto"/>
                <w:left w:val="none" w:sz="0" w:space="0" w:color="auto"/>
                <w:bottom w:val="none" w:sz="0" w:space="0" w:color="auto"/>
                <w:right w:val="none" w:sz="0" w:space="0" w:color="auto"/>
              </w:divBdr>
              <w:divsChild>
                <w:div w:id="130831822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64771501">
      <w:bodyDiv w:val="1"/>
      <w:marLeft w:val="0"/>
      <w:marRight w:val="0"/>
      <w:marTop w:val="0"/>
      <w:marBottom w:val="0"/>
      <w:divBdr>
        <w:top w:val="none" w:sz="0" w:space="0" w:color="auto"/>
        <w:left w:val="none" w:sz="0" w:space="0" w:color="auto"/>
        <w:bottom w:val="none" w:sz="0" w:space="0" w:color="auto"/>
        <w:right w:val="none" w:sz="0" w:space="0" w:color="auto"/>
      </w:divBdr>
    </w:div>
    <w:div w:id="295571113">
      <w:bodyDiv w:val="1"/>
      <w:marLeft w:val="0"/>
      <w:marRight w:val="0"/>
      <w:marTop w:val="0"/>
      <w:marBottom w:val="0"/>
      <w:divBdr>
        <w:top w:val="none" w:sz="0" w:space="0" w:color="auto"/>
        <w:left w:val="none" w:sz="0" w:space="0" w:color="auto"/>
        <w:bottom w:val="none" w:sz="0" w:space="0" w:color="auto"/>
        <w:right w:val="none" w:sz="0" w:space="0" w:color="auto"/>
      </w:divBdr>
      <w:divsChild>
        <w:div w:id="852307320">
          <w:marLeft w:val="0"/>
          <w:marRight w:val="0"/>
          <w:marTop w:val="0"/>
          <w:marBottom w:val="0"/>
          <w:divBdr>
            <w:top w:val="none" w:sz="0" w:space="0" w:color="auto"/>
            <w:left w:val="none" w:sz="0" w:space="0" w:color="auto"/>
            <w:bottom w:val="none" w:sz="0" w:space="0" w:color="auto"/>
            <w:right w:val="none" w:sz="0" w:space="0" w:color="auto"/>
          </w:divBdr>
        </w:div>
      </w:divsChild>
    </w:div>
    <w:div w:id="323046639">
      <w:bodyDiv w:val="1"/>
      <w:marLeft w:val="0"/>
      <w:marRight w:val="0"/>
      <w:marTop w:val="0"/>
      <w:marBottom w:val="0"/>
      <w:divBdr>
        <w:top w:val="none" w:sz="0" w:space="0" w:color="auto"/>
        <w:left w:val="none" w:sz="0" w:space="0" w:color="auto"/>
        <w:bottom w:val="none" w:sz="0" w:space="0" w:color="auto"/>
        <w:right w:val="none" w:sz="0" w:space="0" w:color="auto"/>
      </w:divBdr>
      <w:divsChild>
        <w:div w:id="1892300881">
          <w:marLeft w:val="0"/>
          <w:marRight w:val="0"/>
          <w:marTop w:val="100"/>
          <w:marBottom w:val="100"/>
          <w:divBdr>
            <w:top w:val="none" w:sz="0" w:space="0" w:color="auto"/>
            <w:left w:val="none" w:sz="0" w:space="0" w:color="auto"/>
            <w:bottom w:val="none" w:sz="0" w:space="0" w:color="auto"/>
            <w:right w:val="none" w:sz="0" w:space="0" w:color="auto"/>
          </w:divBdr>
          <w:divsChild>
            <w:div w:id="1412002019">
              <w:marLeft w:val="0"/>
              <w:marRight w:val="0"/>
              <w:marTop w:val="0"/>
              <w:marBottom w:val="0"/>
              <w:divBdr>
                <w:top w:val="none" w:sz="0" w:space="0" w:color="auto"/>
                <w:left w:val="none" w:sz="0" w:space="0" w:color="auto"/>
                <w:bottom w:val="none" w:sz="0" w:space="0" w:color="auto"/>
                <w:right w:val="none" w:sz="0" w:space="0" w:color="auto"/>
              </w:divBdr>
              <w:divsChild>
                <w:div w:id="1393852020">
                  <w:marLeft w:val="105"/>
                  <w:marRight w:val="105"/>
                  <w:marTop w:val="105"/>
                  <w:marBottom w:val="105"/>
                  <w:divBdr>
                    <w:top w:val="none" w:sz="0" w:space="0" w:color="auto"/>
                    <w:left w:val="none" w:sz="0" w:space="0" w:color="auto"/>
                    <w:bottom w:val="none" w:sz="0" w:space="0" w:color="auto"/>
                    <w:right w:val="none" w:sz="0" w:space="0" w:color="auto"/>
                  </w:divBdr>
                  <w:divsChild>
                    <w:div w:id="1177040468">
                      <w:marLeft w:val="0"/>
                      <w:marRight w:val="0"/>
                      <w:marTop w:val="0"/>
                      <w:marBottom w:val="0"/>
                      <w:divBdr>
                        <w:top w:val="none" w:sz="0" w:space="0" w:color="auto"/>
                        <w:left w:val="none" w:sz="0" w:space="0" w:color="auto"/>
                        <w:bottom w:val="none" w:sz="0" w:space="0" w:color="auto"/>
                        <w:right w:val="none" w:sz="0" w:space="0" w:color="auto"/>
                      </w:divBdr>
                      <w:divsChild>
                        <w:div w:id="691493169">
                          <w:marLeft w:val="0"/>
                          <w:marRight w:val="0"/>
                          <w:marTop w:val="0"/>
                          <w:marBottom w:val="0"/>
                          <w:divBdr>
                            <w:top w:val="none" w:sz="0" w:space="0" w:color="auto"/>
                            <w:left w:val="none" w:sz="0" w:space="0" w:color="auto"/>
                            <w:bottom w:val="none" w:sz="0" w:space="0" w:color="auto"/>
                            <w:right w:val="none" w:sz="0" w:space="0" w:color="auto"/>
                          </w:divBdr>
                          <w:divsChild>
                            <w:div w:id="1251961444">
                              <w:marLeft w:val="105"/>
                              <w:marRight w:val="105"/>
                              <w:marTop w:val="105"/>
                              <w:marBottom w:val="105"/>
                              <w:divBdr>
                                <w:top w:val="none" w:sz="0" w:space="0" w:color="auto"/>
                                <w:left w:val="none" w:sz="0" w:space="0" w:color="auto"/>
                                <w:bottom w:val="none" w:sz="0" w:space="0" w:color="auto"/>
                                <w:right w:val="none" w:sz="0" w:space="0" w:color="auto"/>
                              </w:divBdr>
                              <w:divsChild>
                                <w:div w:id="1795828154">
                                  <w:marLeft w:val="0"/>
                                  <w:marRight w:val="0"/>
                                  <w:marTop w:val="0"/>
                                  <w:marBottom w:val="0"/>
                                  <w:divBdr>
                                    <w:top w:val="none" w:sz="0" w:space="0" w:color="auto"/>
                                    <w:left w:val="none" w:sz="0" w:space="0" w:color="auto"/>
                                    <w:bottom w:val="none" w:sz="0" w:space="0" w:color="auto"/>
                                    <w:right w:val="none" w:sz="0" w:space="0" w:color="auto"/>
                                  </w:divBdr>
                                  <w:divsChild>
                                    <w:div w:id="1821533941">
                                      <w:marLeft w:val="0"/>
                                      <w:marRight w:val="0"/>
                                      <w:marTop w:val="0"/>
                                      <w:marBottom w:val="0"/>
                                      <w:divBdr>
                                        <w:top w:val="none" w:sz="0" w:space="0" w:color="auto"/>
                                        <w:left w:val="none" w:sz="0" w:space="0" w:color="auto"/>
                                        <w:bottom w:val="none" w:sz="0" w:space="0" w:color="auto"/>
                                        <w:right w:val="none" w:sz="0" w:space="0" w:color="auto"/>
                                      </w:divBdr>
                                      <w:divsChild>
                                        <w:div w:id="1339772906">
                                          <w:marLeft w:val="0"/>
                                          <w:marRight w:val="0"/>
                                          <w:marTop w:val="0"/>
                                          <w:marBottom w:val="0"/>
                                          <w:divBdr>
                                            <w:top w:val="none" w:sz="0" w:space="0" w:color="auto"/>
                                            <w:left w:val="none" w:sz="0" w:space="0" w:color="auto"/>
                                            <w:bottom w:val="none" w:sz="0" w:space="0" w:color="auto"/>
                                            <w:right w:val="none" w:sz="0" w:space="0" w:color="auto"/>
                                          </w:divBdr>
                                          <w:divsChild>
                                            <w:div w:id="465902809">
                                              <w:marLeft w:val="0"/>
                                              <w:marRight w:val="0"/>
                                              <w:marTop w:val="0"/>
                                              <w:marBottom w:val="0"/>
                                              <w:divBdr>
                                                <w:top w:val="none" w:sz="0" w:space="0" w:color="auto"/>
                                                <w:left w:val="none" w:sz="0" w:space="0" w:color="auto"/>
                                                <w:bottom w:val="none" w:sz="0" w:space="0" w:color="auto"/>
                                                <w:right w:val="none" w:sz="0" w:space="0" w:color="auto"/>
                                              </w:divBdr>
                                              <w:divsChild>
                                                <w:div w:id="884021490">
                                                  <w:marLeft w:val="105"/>
                                                  <w:marRight w:val="105"/>
                                                  <w:marTop w:val="105"/>
                                                  <w:marBottom w:val="105"/>
                                                  <w:divBdr>
                                                    <w:top w:val="none" w:sz="0" w:space="0" w:color="auto"/>
                                                    <w:left w:val="none" w:sz="0" w:space="0" w:color="auto"/>
                                                    <w:bottom w:val="none" w:sz="0" w:space="0" w:color="auto"/>
                                                    <w:right w:val="none" w:sz="0" w:space="0" w:color="auto"/>
                                                  </w:divBdr>
                                                  <w:divsChild>
                                                    <w:div w:id="202402358">
                                                      <w:marLeft w:val="0"/>
                                                      <w:marRight w:val="0"/>
                                                      <w:marTop w:val="0"/>
                                                      <w:marBottom w:val="0"/>
                                                      <w:divBdr>
                                                        <w:top w:val="none" w:sz="0" w:space="0" w:color="auto"/>
                                                        <w:left w:val="none" w:sz="0" w:space="0" w:color="auto"/>
                                                        <w:bottom w:val="none" w:sz="0" w:space="0" w:color="auto"/>
                                                        <w:right w:val="none" w:sz="0" w:space="0" w:color="auto"/>
                                                      </w:divBdr>
                                                      <w:divsChild>
                                                        <w:div w:id="1236209211">
                                                          <w:marLeft w:val="0"/>
                                                          <w:marRight w:val="0"/>
                                                          <w:marTop w:val="0"/>
                                                          <w:marBottom w:val="0"/>
                                                          <w:divBdr>
                                                            <w:top w:val="none" w:sz="0" w:space="0" w:color="auto"/>
                                                            <w:left w:val="none" w:sz="0" w:space="0" w:color="auto"/>
                                                            <w:bottom w:val="none" w:sz="0" w:space="0" w:color="auto"/>
                                                            <w:right w:val="none" w:sz="0" w:space="0" w:color="auto"/>
                                                          </w:divBdr>
                                                          <w:divsChild>
                                                            <w:div w:id="932203797">
                                                              <w:marLeft w:val="0"/>
                                                              <w:marRight w:val="0"/>
                                                              <w:marTop w:val="0"/>
                                                              <w:marBottom w:val="0"/>
                                                              <w:divBdr>
                                                                <w:top w:val="none" w:sz="0" w:space="0" w:color="auto"/>
                                                                <w:left w:val="none" w:sz="0" w:space="0" w:color="auto"/>
                                                                <w:bottom w:val="none" w:sz="0" w:space="0" w:color="auto"/>
                                                                <w:right w:val="none" w:sz="0" w:space="0" w:color="auto"/>
                                                              </w:divBdr>
                                                              <w:divsChild>
                                                                <w:div w:id="452090818">
                                                                  <w:marLeft w:val="0"/>
                                                                  <w:marRight w:val="0"/>
                                                                  <w:marTop w:val="0"/>
                                                                  <w:marBottom w:val="0"/>
                                                                  <w:divBdr>
                                                                    <w:top w:val="none" w:sz="0" w:space="0" w:color="auto"/>
                                                                    <w:left w:val="none" w:sz="0" w:space="0" w:color="auto"/>
                                                                    <w:bottom w:val="none" w:sz="0" w:space="0" w:color="auto"/>
                                                                    <w:right w:val="none" w:sz="0" w:space="0" w:color="auto"/>
                                                                  </w:divBdr>
                                                                  <w:divsChild>
                                                                    <w:div w:id="979112712">
                                                                      <w:marLeft w:val="0"/>
                                                                      <w:marRight w:val="0"/>
                                                                      <w:marTop w:val="0"/>
                                                                      <w:marBottom w:val="0"/>
                                                                      <w:divBdr>
                                                                        <w:top w:val="none" w:sz="0" w:space="0" w:color="auto"/>
                                                                        <w:left w:val="none" w:sz="0" w:space="0" w:color="auto"/>
                                                                        <w:bottom w:val="none" w:sz="0" w:space="0" w:color="auto"/>
                                                                        <w:right w:val="none" w:sz="0" w:space="0" w:color="auto"/>
                                                                      </w:divBdr>
                                                                      <w:divsChild>
                                                                        <w:div w:id="988903290">
                                                                          <w:marLeft w:val="0"/>
                                                                          <w:marRight w:val="0"/>
                                                                          <w:marTop w:val="0"/>
                                                                          <w:marBottom w:val="0"/>
                                                                          <w:divBdr>
                                                                            <w:top w:val="none" w:sz="0" w:space="0" w:color="auto"/>
                                                                            <w:left w:val="none" w:sz="0" w:space="0" w:color="auto"/>
                                                                            <w:bottom w:val="none" w:sz="0" w:space="0" w:color="auto"/>
                                                                            <w:right w:val="none" w:sz="0" w:space="0" w:color="auto"/>
                                                                          </w:divBdr>
                                                                          <w:divsChild>
                                                                            <w:div w:id="1927766818">
                                                                              <w:marLeft w:val="105"/>
                                                                              <w:marRight w:val="105"/>
                                                                              <w:marTop w:val="105"/>
                                                                              <w:marBottom w:val="105"/>
                                                                              <w:divBdr>
                                                                                <w:top w:val="none" w:sz="0" w:space="0" w:color="auto"/>
                                                                                <w:left w:val="none" w:sz="0" w:space="0" w:color="auto"/>
                                                                                <w:bottom w:val="none" w:sz="0" w:space="0" w:color="auto"/>
                                                                                <w:right w:val="none" w:sz="0" w:space="0" w:color="auto"/>
                                                                              </w:divBdr>
                                                                              <w:divsChild>
                                                                                <w:div w:id="1286304679">
                                                                                  <w:marLeft w:val="0"/>
                                                                                  <w:marRight w:val="0"/>
                                                                                  <w:marTop w:val="0"/>
                                                                                  <w:marBottom w:val="0"/>
                                                                                  <w:divBdr>
                                                                                    <w:top w:val="none" w:sz="0" w:space="0" w:color="auto"/>
                                                                                    <w:left w:val="none" w:sz="0" w:space="0" w:color="auto"/>
                                                                                    <w:bottom w:val="none" w:sz="0" w:space="0" w:color="auto"/>
                                                                                    <w:right w:val="none" w:sz="0" w:space="0" w:color="auto"/>
                                                                                  </w:divBdr>
                                                                                  <w:divsChild>
                                                                                    <w:div w:id="128330864">
                                                                                      <w:marLeft w:val="0"/>
                                                                                      <w:marRight w:val="0"/>
                                                                                      <w:marTop w:val="0"/>
                                                                                      <w:marBottom w:val="0"/>
                                                                                      <w:divBdr>
                                                                                        <w:top w:val="none" w:sz="0" w:space="0" w:color="auto"/>
                                                                                        <w:left w:val="none" w:sz="0" w:space="0" w:color="auto"/>
                                                                                        <w:bottom w:val="none" w:sz="0" w:space="0" w:color="auto"/>
                                                                                        <w:right w:val="none" w:sz="0" w:space="0" w:color="auto"/>
                                                                                      </w:divBdr>
                                                                                      <w:divsChild>
                                                                                        <w:div w:id="1742827408">
                                                                                          <w:marLeft w:val="0"/>
                                                                                          <w:marRight w:val="0"/>
                                                                                          <w:marTop w:val="0"/>
                                                                                          <w:marBottom w:val="0"/>
                                                                                          <w:divBdr>
                                                                                            <w:top w:val="none" w:sz="0" w:space="0" w:color="auto"/>
                                                                                            <w:left w:val="none" w:sz="0" w:space="0" w:color="auto"/>
                                                                                            <w:bottom w:val="none" w:sz="0" w:space="0" w:color="auto"/>
                                                                                            <w:right w:val="none" w:sz="0" w:space="0" w:color="auto"/>
                                                                                          </w:divBdr>
                                                                                          <w:divsChild>
                                                                                            <w:div w:id="1235706302">
                                                                                              <w:marLeft w:val="0"/>
                                                                                              <w:marRight w:val="0"/>
                                                                                              <w:marTop w:val="0"/>
                                                                                              <w:marBottom w:val="0"/>
                                                                                              <w:divBdr>
                                                                                                <w:top w:val="none" w:sz="0" w:space="0" w:color="auto"/>
                                                                                                <w:left w:val="none" w:sz="0" w:space="0" w:color="auto"/>
                                                                                                <w:bottom w:val="none" w:sz="0" w:space="0" w:color="auto"/>
                                                                                                <w:right w:val="none" w:sz="0" w:space="0" w:color="auto"/>
                                                                                              </w:divBdr>
                                                                                              <w:divsChild>
                                                                                                <w:div w:id="766541518">
                                                                                                  <w:marLeft w:val="105"/>
                                                                                                  <w:marRight w:val="105"/>
                                                                                                  <w:marTop w:val="105"/>
                                                                                                  <w:marBottom w:val="105"/>
                                                                                                  <w:divBdr>
                                                                                                    <w:top w:val="none" w:sz="0" w:space="0" w:color="auto"/>
                                                                                                    <w:left w:val="none" w:sz="0" w:space="0" w:color="auto"/>
                                                                                                    <w:bottom w:val="none" w:sz="0" w:space="0" w:color="auto"/>
                                                                                                    <w:right w:val="none" w:sz="0" w:space="0" w:color="auto"/>
                                                                                                  </w:divBdr>
                                                                                                  <w:divsChild>
                                                                                                    <w:div w:id="1190801296">
                                                                                                      <w:marLeft w:val="0"/>
                                                                                                      <w:marRight w:val="0"/>
                                                                                                      <w:marTop w:val="0"/>
                                                                                                      <w:marBottom w:val="0"/>
                                                                                                      <w:divBdr>
                                                                                                        <w:top w:val="none" w:sz="0" w:space="0" w:color="auto"/>
                                                                                                        <w:left w:val="none" w:sz="0" w:space="0" w:color="auto"/>
                                                                                                        <w:bottom w:val="none" w:sz="0" w:space="0" w:color="auto"/>
                                                                                                        <w:right w:val="none" w:sz="0" w:space="0" w:color="auto"/>
                                                                                                      </w:divBdr>
                                                                                                      <w:divsChild>
                                                                                                        <w:div w:id="1758163120">
                                                                                                          <w:marLeft w:val="0"/>
                                                                                                          <w:marRight w:val="0"/>
                                                                                                          <w:marTop w:val="0"/>
                                                                                                          <w:marBottom w:val="0"/>
                                                                                                          <w:divBdr>
                                                                                                            <w:top w:val="none" w:sz="0" w:space="0" w:color="auto"/>
                                                                                                            <w:left w:val="none" w:sz="0" w:space="0" w:color="auto"/>
                                                                                                            <w:bottom w:val="none" w:sz="0" w:space="0" w:color="auto"/>
                                                                                                            <w:right w:val="none" w:sz="0" w:space="0" w:color="auto"/>
                                                                                                          </w:divBdr>
                                                                                                          <w:divsChild>
                                                                                                            <w:div w:id="1896238158">
                                                                                                              <w:marLeft w:val="0"/>
                                                                                                              <w:marRight w:val="0"/>
                                                                                                              <w:marTop w:val="0"/>
                                                                                                              <w:marBottom w:val="0"/>
                                                                                                              <w:divBdr>
                                                                                                                <w:top w:val="none" w:sz="0" w:space="0" w:color="auto"/>
                                                                                                                <w:left w:val="none" w:sz="0" w:space="0" w:color="auto"/>
                                                                                                                <w:bottom w:val="none" w:sz="0" w:space="0" w:color="auto"/>
                                                                                                                <w:right w:val="none" w:sz="0" w:space="0" w:color="auto"/>
                                                                                                              </w:divBdr>
                                                                                                              <w:divsChild>
                                                                                                                <w:div w:id="1888181241">
                                                                                                                  <w:marLeft w:val="0"/>
                                                                                                                  <w:marRight w:val="0"/>
                                                                                                                  <w:marTop w:val="0"/>
                                                                                                                  <w:marBottom w:val="0"/>
                                                                                                                  <w:divBdr>
                                                                                                                    <w:top w:val="none" w:sz="0" w:space="0" w:color="auto"/>
                                                                                                                    <w:left w:val="none" w:sz="0" w:space="0" w:color="auto"/>
                                                                                                                    <w:bottom w:val="none" w:sz="0" w:space="0" w:color="auto"/>
                                                                                                                    <w:right w:val="none" w:sz="0" w:space="0" w:color="auto"/>
                                                                                                                  </w:divBdr>
                                                                                                                  <w:divsChild>
                                                                                                                    <w:div w:id="656768172">
                                                                                                                      <w:marLeft w:val="0"/>
                                                                                                                      <w:marRight w:val="0"/>
                                                                                                                      <w:marTop w:val="0"/>
                                                                                                                      <w:marBottom w:val="0"/>
                                                                                                                      <w:divBdr>
                                                                                                                        <w:top w:val="none" w:sz="0" w:space="0" w:color="auto"/>
                                                                                                                        <w:left w:val="none" w:sz="0" w:space="0" w:color="auto"/>
                                                                                                                        <w:bottom w:val="none" w:sz="0" w:space="0" w:color="auto"/>
                                                                                                                        <w:right w:val="none" w:sz="0" w:space="0" w:color="auto"/>
                                                                                                                      </w:divBdr>
                                                                                                                      <w:divsChild>
                                                                                                                        <w:div w:id="1553540540">
                                                                                                                          <w:marLeft w:val="105"/>
                                                                                                                          <w:marRight w:val="105"/>
                                                                                                                          <w:marTop w:val="105"/>
                                                                                                                          <w:marBottom w:val="105"/>
                                                                                                                          <w:divBdr>
                                                                                                                            <w:top w:val="none" w:sz="0" w:space="0" w:color="auto"/>
                                                                                                                            <w:left w:val="none" w:sz="0" w:space="0" w:color="auto"/>
                                                                                                                            <w:bottom w:val="none" w:sz="0" w:space="0" w:color="auto"/>
                                                                                                                            <w:right w:val="none" w:sz="0" w:space="0" w:color="auto"/>
                                                                                                                          </w:divBdr>
                                                                                                                          <w:divsChild>
                                                                                                                            <w:div w:id="993950798">
                                                                                                                              <w:marLeft w:val="0"/>
                                                                                                                              <w:marRight w:val="0"/>
                                                                                                                              <w:marTop w:val="0"/>
                                                                                                                              <w:marBottom w:val="0"/>
                                                                                                                              <w:divBdr>
                                                                                                                                <w:top w:val="none" w:sz="0" w:space="0" w:color="auto"/>
                                                                                                                                <w:left w:val="none" w:sz="0" w:space="0" w:color="auto"/>
                                                                                                                                <w:bottom w:val="none" w:sz="0" w:space="0" w:color="auto"/>
                                                                                                                                <w:right w:val="none" w:sz="0" w:space="0" w:color="auto"/>
                                                                                                                              </w:divBdr>
                                                                                                                              <w:divsChild>
                                                                                                                                <w:div w:id="1219591655">
                                                                                                                                  <w:marLeft w:val="0"/>
                                                                                                                                  <w:marRight w:val="0"/>
                                                                                                                                  <w:marTop w:val="0"/>
                                                                                                                                  <w:marBottom w:val="0"/>
                                                                                                                                  <w:divBdr>
                                                                                                                                    <w:top w:val="none" w:sz="0" w:space="0" w:color="auto"/>
                                                                                                                                    <w:left w:val="none" w:sz="0" w:space="0" w:color="auto"/>
                                                                                                                                    <w:bottom w:val="none" w:sz="0" w:space="0" w:color="auto"/>
                                                                                                                                    <w:right w:val="none" w:sz="0" w:space="0" w:color="auto"/>
                                                                                                                                  </w:divBdr>
                                                                                                                                  <w:divsChild>
                                                                                                                                    <w:div w:id="1040863253">
                                                                                                                                      <w:marLeft w:val="0"/>
                                                                                                                                      <w:marRight w:val="0"/>
                                                                                                                                      <w:marTop w:val="0"/>
                                                                                                                                      <w:marBottom w:val="0"/>
                                                                                                                                      <w:divBdr>
                                                                                                                                        <w:top w:val="none" w:sz="0" w:space="0" w:color="auto"/>
                                                                                                                                        <w:left w:val="none" w:sz="0" w:space="0" w:color="auto"/>
                                                                                                                                        <w:bottom w:val="none" w:sz="0" w:space="0" w:color="auto"/>
                                                                                                                                        <w:right w:val="none" w:sz="0" w:space="0" w:color="auto"/>
                                                                                                                                      </w:divBdr>
                                                                                                                                      <w:divsChild>
                                                                                                                                        <w:div w:id="2001735939">
                                                                                                                                          <w:marLeft w:val="0"/>
                                                                                                                                          <w:marRight w:val="0"/>
                                                                                                                                          <w:marTop w:val="0"/>
                                                                                                                                          <w:marBottom w:val="0"/>
                                                                                                                                          <w:divBdr>
                                                                                                                                            <w:top w:val="none" w:sz="0" w:space="0" w:color="auto"/>
                                                                                                                                            <w:left w:val="none" w:sz="0" w:space="0" w:color="auto"/>
                                                                                                                                            <w:bottom w:val="none" w:sz="0" w:space="0" w:color="auto"/>
                                                                                                                                            <w:right w:val="none" w:sz="0" w:space="0" w:color="auto"/>
                                                                                                                                          </w:divBdr>
                                                                                                                                          <w:divsChild>
                                                                                                                                            <w:div w:id="464587216">
                                                                                                                                              <w:marLeft w:val="0"/>
                                                                                                                                              <w:marRight w:val="0"/>
                                                                                                                                              <w:marTop w:val="0"/>
                                                                                                                                              <w:marBottom w:val="0"/>
                                                                                                                                              <w:divBdr>
                                                                                                                                                <w:top w:val="none" w:sz="0" w:space="0" w:color="auto"/>
                                                                                                                                                <w:left w:val="none" w:sz="0" w:space="0" w:color="auto"/>
                                                                                                                                                <w:bottom w:val="none" w:sz="0" w:space="0" w:color="auto"/>
                                                                                                                                                <w:right w:val="none" w:sz="0" w:space="0" w:color="auto"/>
                                                                                                                                              </w:divBdr>
                                                                                                                                              <w:divsChild>
                                                                                                                                                <w:div w:id="609437241">
                                                                                                                                                  <w:marLeft w:val="105"/>
                                                                                                                                                  <w:marRight w:val="105"/>
                                                                                                                                                  <w:marTop w:val="105"/>
                                                                                                                                                  <w:marBottom w:val="105"/>
                                                                                                                                                  <w:divBdr>
                                                                                                                                                    <w:top w:val="none" w:sz="0" w:space="0" w:color="auto"/>
                                                                                                                                                    <w:left w:val="none" w:sz="0" w:space="0" w:color="auto"/>
                                                                                                                                                    <w:bottom w:val="none" w:sz="0" w:space="0" w:color="auto"/>
                                                                                                                                                    <w:right w:val="none" w:sz="0" w:space="0" w:color="auto"/>
                                                                                                                                                  </w:divBdr>
                                                                                                                                                  <w:divsChild>
                                                                                                                                                    <w:div w:id="705562435">
                                                                                                                                                      <w:marLeft w:val="0"/>
                                                                                                                                                      <w:marRight w:val="0"/>
                                                                                                                                                      <w:marTop w:val="0"/>
                                                                                                                                                      <w:marBottom w:val="0"/>
                                                                                                                                                      <w:divBdr>
                                                                                                                                                        <w:top w:val="none" w:sz="0" w:space="0" w:color="auto"/>
                                                                                                                                                        <w:left w:val="none" w:sz="0" w:space="0" w:color="auto"/>
                                                                                                                                                        <w:bottom w:val="none" w:sz="0" w:space="0" w:color="auto"/>
                                                                                                                                                        <w:right w:val="none" w:sz="0" w:space="0" w:color="auto"/>
                                                                                                                                                      </w:divBdr>
                                                                                                                                                      <w:divsChild>
                                                                                                                                                        <w:div w:id="1968119478">
                                                                                                                                                          <w:marLeft w:val="0"/>
                                                                                                                                                          <w:marRight w:val="0"/>
                                                                                                                                                          <w:marTop w:val="0"/>
                                                                                                                                                          <w:marBottom w:val="0"/>
                                                                                                                                                          <w:divBdr>
                                                                                                                                                            <w:top w:val="none" w:sz="0" w:space="0" w:color="auto"/>
                                                                                                                                                            <w:left w:val="none" w:sz="0" w:space="0" w:color="auto"/>
                                                                                                                                                            <w:bottom w:val="none" w:sz="0" w:space="0" w:color="auto"/>
                                                                                                                                                            <w:right w:val="none" w:sz="0" w:space="0" w:color="auto"/>
                                                                                                                                                          </w:divBdr>
                                                                                                                                                          <w:divsChild>
                                                                                                                                                            <w:div w:id="897593420">
                                                                                                                                                              <w:marLeft w:val="0"/>
                                                                                                                                                              <w:marRight w:val="0"/>
                                                                                                                                                              <w:marTop w:val="0"/>
                                                                                                                                                              <w:marBottom w:val="0"/>
                                                                                                                                                              <w:divBdr>
                                                                                                                                                                <w:top w:val="none" w:sz="0" w:space="0" w:color="auto"/>
                                                                                                                                                                <w:left w:val="none" w:sz="0" w:space="0" w:color="auto"/>
                                                                                                                                                                <w:bottom w:val="none" w:sz="0" w:space="0" w:color="auto"/>
                                                                                                                                                                <w:right w:val="none" w:sz="0" w:space="0" w:color="auto"/>
                                                                                                                                                              </w:divBdr>
                                                                                                                                                              <w:divsChild>
                                                                                                                                                                <w:div w:id="1956863214">
                                                                                                                                                                  <w:marLeft w:val="0"/>
                                                                                                                                                                  <w:marRight w:val="0"/>
                                                                                                                                                                  <w:marTop w:val="0"/>
                                                                                                                                                                  <w:marBottom w:val="0"/>
                                                                                                                                                                  <w:divBdr>
                                                                                                                                                                    <w:top w:val="none" w:sz="0" w:space="0" w:color="auto"/>
                                                                                                                                                                    <w:left w:val="none" w:sz="0" w:space="0" w:color="auto"/>
                                                                                                                                                                    <w:bottom w:val="none" w:sz="0" w:space="0" w:color="auto"/>
                                                                                                                                                                    <w:right w:val="none" w:sz="0" w:space="0" w:color="auto"/>
                                                                                                                                                                  </w:divBdr>
                                                                                                                                                                  <w:divsChild>
                                                                                                                                                                    <w:div w:id="925502294">
                                                                                                                                                                      <w:marLeft w:val="0"/>
                                                                                                                                                                      <w:marRight w:val="0"/>
                                                                                                                                                                      <w:marTop w:val="0"/>
                                                                                                                                                                      <w:marBottom w:val="0"/>
                                                                                                                                                                      <w:divBdr>
                                                                                                                                                                        <w:top w:val="none" w:sz="0" w:space="0" w:color="auto"/>
                                                                                                                                                                        <w:left w:val="none" w:sz="0" w:space="0" w:color="auto"/>
                                                                                                                                                                        <w:bottom w:val="none" w:sz="0" w:space="0" w:color="auto"/>
                                                                                                                                                                        <w:right w:val="none" w:sz="0" w:space="0" w:color="auto"/>
                                                                                                                                                                      </w:divBdr>
                                                                                                                                                                      <w:divsChild>
                                                                                                                                                                        <w:div w:id="715858664">
                                                                                                                                                                          <w:marLeft w:val="105"/>
                                                                                                                                                                          <w:marRight w:val="105"/>
                                                                                                                                                                          <w:marTop w:val="105"/>
                                                                                                                                                                          <w:marBottom w:val="105"/>
                                                                                                                                                                          <w:divBdr>
                                                                                                                                                                            <w:top w:val="none" w:sz="0" w:space="0" w:color="auto"/>
                                                                                                                                                                            <w:left w:val="none" w:sz="0" w:space="0" w:color="auto"/>
                                                                                                                                                                            <w:bottom w:val="none" w:sz="0" w:space="0" w:color="auto"/>
                                                                                                                                                                            <w:right w:val="none" w:sz="0" w:space="0" w:color="auto"/>
                                                                                                                                                                          </w:divBdr>
                                                                                                                                                                          <w:divsChild>
                                                                                                                                                                            <w:div w:id="1373461808">
                                                                                                                                                                              <w:marLeft w:val="0"/>
                                                                                                                                                                              <w:marRight w:val="0"/>
                                                                                                                                                                              <w:marTop w:val="0"/>
                                                                                                                                                                              <w:marBottom w:val="0"/>
                                                                                                                                                                              <w:divBdr>
                                                                                                                                                                                <w:top w:val="none" w:sz="0" w:space="0" w:color="auto"/>
                                                                                                                                                                                <w:left w:val="none" w:sz="0" w:space="0" w:color="auto"/>
                                                                                                                                                                                <w:bottom w:val="none" w:sz="0" w:space="0" w:color="auto"/>
                                                                                                                                                                                <w:right w:val="none" w:sz="0" w:space="0" w:color="auto"/>
                                                                                                                                                                              </w:divBdr>
                                                                                                                                                                              <w:divsChild>
                                                                                                                                                                                <w:div w:id="905845637">
                                                                                                                                                                                  <w:marLeft w:val="0"/>
                                                                                                                                                                                  <w:marRight w:val="0"/>
                                                                                                                                                                                  <w:marTop w:val="0"/>
                                                                                                                                                                                  <w:marBottom w:val="0"/>
                                                                                                                                                                                  <w:divBdr>
                                                                                                                                                                                    <w:top w:val="none" w:sz="0" w:space="0" w:color="auto"/>
                                                                                                                                                                                    <w:left w:val="none" w:sz="0" w:space="0" w:color="auto"/>
                                                                                                                                                                                    <w:bottom w:val="none" w:sz="0" w:space="0" w:color="auto"/>
                                                                                                                                                                                    <w:right w:val="none" w:sz="0" w:space="0" w:color="auto"/>
                                                                                                                                                                                  </w:divBdr>
                                                                                                                                                                                  <w:divsChild>
                                                                                                                                                                                    <w:div w:id="1266380799">
                                                                                                                                                                                      <w:marLeft w:val="0"/>
                                                                                                                                                                                      <w:marRight w:val="0"/>
                                                                                                                                                                                      <w:marTop w:val="0"/>
                                                                                                                                                                                      <w:marBottom w:val="0"/>
                                                                                                                                                                                      <w:divBdr>
                                                                                                                                                                                        <w:top w:val="none" w:sz="0" w:space="0" w:color="auto"/>
                                                                                                                                                                                        <w:left w:val="none" w:sz="0" w:space="0" w:color="auto"/>
                                                                                                                                                                                        <w:bottom w:val="none" w:sz="0" w:space="0" w:color="auto"/>
                                                                                                                                                                                        <w:right w:val="none" w:sz="0" w:space="0" w:color="auto"/>
                                                                                                                                                                                      </w:divBdr>
                                                                                                                                                                                      <w:divsChild>
                                                                                                                                                                                        <w:div w:id="14790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8936">
                                                                                                                                                                          <w:marLeft w:val="0"/>
                                                                                                                                                                          <w:marRight w:val="0"/>
                                                                                                                                                                          <w:marTop w:val="0"/>
                                                                                                                                                                          <w:marBottom w:val="0"/>
                                                                                                                                                                          <w:divBdr>
                                                                                                                                                                            <w:top w:val="none" w:sz="0" w:space="0" w:color="auto"/>
                                                                                                                                                                            <w:left w:val="none" w:sz="0" w:space="0" w:color="auto"/>
                                                                                                                                                                            <w:bottom w:val="none" w:sz="0" w:space="0" w:color="auto"/>
                                                                                                                                                                            <w:right w:val="none" w:sz="0" w:space="0" w:color="auto"/>
                                                                                                                                                                          </w:divBdr>
                                                                                                                                                                        </w:div>
                                                                                                                                                                        <w:div w:id="1986079619">
                                                                                                                                                                          <w:marLeft w:val="105"/>
                                                                                                                                                                          <w:marRight w:val="105"/>
                                                                                                                                                                          <w:marTop w:val="105"/>
                                                                                                                                                                          <w:marBottom w:val="105"/>
                                                                                                                                                                          <w:divBdr>
                                                                                                                                                                            <w:top w:val="none" w:sz="0" w:space="0" w:color="auto"/>
                                                                                                                                                                            <w:left w:val="none" w:sz="0" w:space="0" w:color="auto"/>
                                                                                                                                                                            <w:bottom w:val="none" w:sz="0" w:space="0" w:color="auto"/>
                                                                                                                                                                            <w:right w:val="none" w:sz="0" w:space="0" w:color="auto"/>
                                                                                                                                                                          </w:divBdr>
                                                                                                                                                                          <w:divsChild>
                                                                                                                                                                            <w:div w:id="1733500776">
                                                                                                                                                                              <w:marLeft w:val="0"/>
                                                                                                                                                                              <w:marRight w:val="0"/>
                                                                                                                                                                              <w:marTop w:val="0"/>
                                                                                                                                                                              <w:marBottom w:val="0"/>
                                                                                                                                                                              <w:divBdr>
                                                                                                                                                                                <w:top w:val="none" w:sz="0" w:space="0" w:color="auto"/>
                                                                                                                                                                                <w:left w:val="none" w:sz="0" w:space="0" w:color="auto"/>
                                                                                                                                                                                <w:bottom w:val="none" w:sz="0" w:space="0" w:color="auto"/>
                                                                                                                                                                                <w:right w:val="none" w:sz="0" w:space="0" w:color="auto"/>
                                                                                                                                                                              </w:divBdr>
                                                                                                                                                                              <w:divsChild>
                                                                                                                                                                                <w:div w:id="257451068">
                                                                                                                                                                                  <w:marLeft w:val="0"/>
                                                                                                                                                                                  <w:marRight w:val="0"/>
                                                                                                                                                                                  <w:marTop w:val="0"/>
                                                                                                                                                                                  <w:marBottom w:val="0"/>
                                                                                                                                                                                  <w:divBdr>
                                                                                                                                                                                    <w:top w:val="none" w:sz="0" w:space="0" w:color="auto"/>
                                                                                                                                                                                    <w:left w:val="none" w:sz="0" w:space="0" w:color="auto"/>
                                                                                                                                                                                    <w:bottom w:val="none" w:sz="0" w:space="0" w:color="auto"/>
                                                                                                                                                                                    <w:right w:val="none" w:sz="0" w:space="0" w:color="auto"/>
                                                                                                                                                                                  </w:divBdr>
                                                                                                                                                                                  <w:divsChild>
                                                                                                                                                                                    <w:div w:id="510679943">
                                                                                                                                                                                      <w:marLeft w:val="0"/>
                                                                                                                                                                                      <w:marRight w:val="0"/>
                                                                                                                                                                                      <w:marTop w:val="0"/>
                                                                                                                                                                                      <w:marBottom w:val="0"/>
                                                                                                                                                                                      <w:divBdr>
                                                                                                                                                                                        <w:top w:val="none" w:sz="0" w:space="0" w:color="auto"/>
                                                                                                                                                                                        <w:left w:val="none" w:sz="0" w:space="0" w:color="auto"/>
                                                                                                                                                                                        <w:bottom w:val="none" w:sz="0" w:space="0" w:color="auto"/>
                                                                                                                                                                                        <w:right w:val="none" w:sz="0" w:space="0" w:color="auto"/>
                                                                                                                                                                                      </w:divBdr>
                                                                                                                                                                                      <w:divsChild>
                                                                                                                                                                                        <w:div w:id="1695883721">
                                                                                                                                                                                          <w:marLeft w:val="0"/>
                                                                                                                                                                                          <w:marRight w:val="0"/>
                                                                                                                                                                                          <w:marTop w:val="0"/>
                                                                                                                                                                                          <w:marBottom w:val="0"/>
                                                                                                                                                                                          <w:divBdr>
                                                                                                                                                                                            <w:top w:val="none" w:sz="0" w:space="0" w:color="auto"/>
                                                                                                                                                                                            <w:left w:val="none" w:sz="0" w:space="0" w:color="auto"/>
                                                                                                                                                                                            <w:bottom w:val="none" w:sz="0" w:space="0" w:color="auto"/>
                                                                                                                                                                                            <w:right w:val="none" w:sz="0" w:space="0" w:color="auto"/>
                                                                                                                                                                                          </w:divBdr>
                                                                                                                                                                                          <w:divsChild>
                                                                                                                                                                                            <w:div w:id="578292602">
                                                                                                                                                                                              <w:marLeft w:val="105"/>
                                                                                                                                                                                              <w:marRight w:val="105"/>
                                                                                                                                                                                              <w:marTop w:val="105"/>
                                                                                                                                                                                              <w:marBottom w:val="105"/>
                                                                                                                                                                                              <w:divBdr>
                                                                                                                                                                                                <w:top w:val="none" w:sz="0" w:space="0" w:color="auto"/>
                                                                                                                                                                                                <w:left w:val="none" w:sz="0" w:space="0" w:color="auto"/>
                                                                                                                                                                                                <w:bottom w:val="none" w:sz="0" w:space="0" w:color="auto"/>
                                                                                                                                                                                                <w:right w:val="none" w:sz="0" w:space="0" w:color="auto"/>
                                                                                                                                                                                              </w:divBdr>
                                                                                                                                                                                              <w:divsChild>
                                                                                                                                                                                                <w:div w:id="235555289">
                                                                                                                                                                                                  <w:marLeft w:val="0"/>
                                                                                                                                                                                                  <w:marRight w:val="0"/>
                                                                                                                                                                                                  <w:marTop w:val="0"/>
                                                                                                                                                                                                  <w:marBottom w:val="0"/>
                                                                                                                                                                                                  <w:divBdr>
                                                                                                                                                                                                    <w:top w:val="none" w:sz="0" w:space="0" w:color="auto"/>
                                                                                                                                                                                                    <w:left w:val="none" w:sz="0" w:space="0" w:color="auto"/>
                                                                                                                                                                                                    <w:bottom w:val="none" w:sz="0" w:space="0" w:color="auto"/>
                                                                                                                                                                                                    <w:right w:val="none" w:sz="0" w:space="0" w:color="auto"/>
                                                                                                                                                                                                  </w:divBdr>
                                                                                                                                                                                                  <w:divsChild>
                                                                                                                                                                                                    <w:div w:id="1060635465">
                                                                                                                                                                                                      <w:marLeft w:val="0"/>
                                                                                                                                                                                                      <w:marRight w:val="0"/>
                                                                                                                                                                                                      <w:marTop w:val="0"/>
                                                                                                                                                                                                      <w:marBottom w:val="0"/>
                                                                                                                                                                                                      <w:divBdr>
                                                                                                                                                                                                        <w:top w:val="none" w:sz="0" w:space="0" w:color="auto"/>
                                                                                                                                                                                                        <w:left w:val="none" w:sz="0" w:space="0" w:color="auto"/>
                                                                                                                                                                                                        <w:bottom w:val="none" w:sz="0" w:space="0" w:color="auto"/>
                                                                                                                                                                                                        <w:right w:val="none" w:sz="0" w:space="0" w:color="auto"/>
                                                                                                                                                                                                      </w:divBdr>
                                                                                                                                                                                                      <w:divsChild>
                                                                                                                                                                                                        <w:div w:id="1359234691">
                                                                                                                                                                                                          <w:marLeft w:val="0"/>
                                                                                                                                                                                                          <w:marRight w:val="0"/>
                                                                                                                                                                                                          <w:marTop w:val="0"/>
                                                                                                                                                                                                          <w:marBottom w:val="0"/>
                                                                                                                                                                                                          <w:divBdr>
                                                                                                                                                                                                            <w:top w:val="none" w:sz="0" w:space="0" w:color="auto"/>
                                                                                                                                                                                                            <w:left w:val="none" w:sz="0" w:space="0" w:color="auto"/>
                                                                                                                                                                                                            <w:bottom w:val="none" w:sz="0" w:space="0" w:color="auto"/>
                                                                                                                                                                                                            <w:right w:val="none" w:sz="0" w:space="0" w:color="auto"/>
                                                                                                                                                                                                          </w:divBdr>
                                                                                                                                                                                                          <w:divsChild>
                                                                                                                                                                                                            <w:div w:id="720592291">
                                                                                                                                                                                                              <w:marLeft w:val="0"/>
                                                                                                                                                                                                              <w:marRight w:val="0"/>
                                                                                                                                                                                                              <w:marTop w:val="0"/>
                                                                                                                                                                                                              <w:marBottom w:val="0"/>
                                                                                                                                                                                                              <w:divBdr>
                                                                                                                                                                                                                <w:top w:val="none" w:sz="0" w:space="0" w:color="auto"/>
                                                                                                                                                                                                                <w:left w:val="none" w:sz="0" w:space="0" w:color="auto"/>
                                                                                                                                                                                                                <w:bottom w:val="none" w:sz="0" w:space="0" w:color="auto"/>
                                                                                                                                                                                                                <w:right w:val="none" w:sz="0" w:space="0" w:color="auto"/>
                                                                                                                                                                                                              </w:divBdr>
                                                                                                                                                                                                              <w:divsChild>
                                                                                                                                                                                                                <w:div w:id="1372923549">
                                                                                                                                                                                                                  <w:marLeft w:val="0"/>
                                                                                                                                                                                                                  <w:marRight w:val="0"/>
                                                                                                                                                                                                                  <w:marTop w:val="0"/>
                                                                                                                                                                                                                  <w:marBottom w:val="0"/>
                                                                                                                                                                                                                  <w:divBdr>
                                                                                                                                                                                                                    <w:top w:val="none" w:sz="0" w:space="0" w:color="auto"/>
                                                                                                                                                                                                                    <w:left w:val="none" w:sz="0" w:space="0" w:color="auto"/>
                                                                                                                                                                                                                    <w:bottom w:val="none" w:sz="0" w:space="0" w:color="auto"/>
                                                                                                                                                                                                                    <w:right w:val="none" w:sz="0" w:space="0" w:color="auto"/>
                                                                                                                                                                                                                  </w:divBdr>
                                                                                                                                                                                                                </w:div>
                                                                                                                                                                                                                <w:div w:id="1899126438">
                                                                                                                                                                                                                  <w:marLeft w:val="0"/>
                                                                                                                                                                                                                  <w:marRight w:val="0"/>
                                                                                                                                                                                                                  <w:marTop w:val="0"/>
                                                                                                                                                                                                                  <w:marBottom w:val="0"/>
                                                                                                                                                                                                                  <w:divBdr>
                                                                                                                                                                                                                    <w:top w:val="none" w:sz="0" w:space="0" w:color="auto"/>
                                                                                                                                                                                                                    <w:left w:val="none" w:sz="0" w:space="0" w:color="auto"/>
                                                                                                                                                                                                                    <w:bottom w:val="none" w:sz="0" w:space="0" w:color="auto"/>
                                                                                                                                                                                                                    <w:right w:val="none" w:sz="0" w:space="0" w:color="auto"/>
                                                                                                                                                                                                                  </w:divBdr>
                                                                                                                                                                                                                </w:div>
                                                                                                                                                                                                                <w:div w:id="1928492857">
                                                                                                                                                                                                                  <w:marLeft w:val="0"/>
                                                                                                                                                                                                                  <w:marRight w:val="0"/>
                                                                                                                                                                                                                  <w:marTop w:val="0"/>
                                                                                                                                                                                                                  <w:marBottom w:val="0"/>
                                                                                                                                                                                                                  <w:divBdr>
                                                                                                                                                                                                                    <w:top w:val="none" w:sz="0" w:space="0" w:color="auto"/>
                                                                                                                                                                                                                    <w:left w:val="none" w:sz="0" w:space="0" w:color="auto"/>
                                                                                                                                                                                                                    <w:bottom w:val="none" w:sz="0" w:space="0" w:color="auto"/>
                                                                                                                                                                                                                    <w:right w:val="none" w:sz="0" w:space="0" w:color="auto"/>
                                                                                                                                                                                                                  </w:divBdr>
                                                                                                                                                                                                                  <w:divsChild>
                                                                                                                                                                                                                    <w:div w:id="55054185">
                                                                                                                                                                                                                      <w:marLeft w:val="105"/>
                                                                                                                                                                                                                      <w:marRight w:val="105"/>
                                                                                                                                                                                                                      <w:marTop w:val="105"/>
                                                                                                                                                                                                                      <w:marBottom w:val="105"/>
                                                                                                                                                                                                                      <w:divBdr>
                                                                                                                                                                                                                        <w:top w:val="none" w:sz="0" w:space="0" w:color="auto"/>
                                                                                                                                                                                                                        <w:left w:val="none" w:sz="0" w:space="0" w:color="auto"/>
                                                                                                                                                                                                                        <w:bottom w:val="none" w:sz="0" w:space="0" w:color="auto"/>
                                                                                                                                                                                                                        <w:right w:val="none" w:sz="0" w:space="0" w:color="auto"/>
                                                                                                                                                                                                                      </w:divBdr>
                                                                                                                                                                                                                      <w:divsChild>
                                                                                                                                                                                                                        <w:div w:id="1457068774">
                                                                                                                                                                                                                          <w:marLeft w:val="0"/>
                                                                                                                                                                                                                          <w:marRight w:val="0"/>
                                                                                                                                                                                                                          <w:marTop w:val="0"/>
                                                                                                                                                                                                                          <w:marBottom w:val="0"/>
                                                                                                                                                                                                                          <w:divBdr>
                                                                                                                                                                                                                            <w:top w:val="none" w:sz="0" w:space="0" w:color="auto"/>
                                                                                                                                                                                                                            <w:left w:val="none" w:sz="0" w:space="0" w:color="auto"/>
                                                                                                                                                                                                                            <w:bottom w:val="none" w:sz="0" w:space="0" w:color="auto"/>
                                                                                                                                                                                                                            <w:right w:val="none" w:sz="0" w:space="0" w:color="auto"/>
                                                                                                                                                                                                                          </w:divBdr>
                                                                                                                                                                                                                          <w:divsChild>
                                                                                                                                                                                                                            <w:div w:id="215631782">
                                                                                                                                                                                                                              <w:marLeft w:val="0"/>
                                                                                                                                                                                                                              <w:marRight w:val="0"/>
                                                                                                                                                                                                                              <w:marTop w:val="0"/>
                                                                                                                                                                                                                              <w:marBottom w:val="0"/>
                                                                                                                                                                                                                              <w:divBdr>
                                                                                                                                                                                                                                <w:top w:val="none" w:sz="0" w:space="0" w:color="auto"/>
                                                                                                                                                                                                                                <w:left w:val="none" w:sz="0" w:space="0" w:color="auto"/>
                                                                                                                                                                                                                                <w:bottom w:val="none" w:sz="0" w:space="0" w:color="auto"/>
                                                                                                                                                                                                                                <w:right w:val="none" w:sz="0" w:space="0" w:color="auto"/>
                                                                                                                                                                                                                              </w:divBdr>
                                                                                                                                                                                                                              <w:divsChild>
                                                                                                                                                                                                                                <w:div w:id="18761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6763">
                                                                                                                                                                                                                      <w:marLeft w:val="0"/>
                                                                                                                                                                                                                      <w:marRight w:val="0"/>
                                                                                                                                                                                                                      <w:marTop w:val="0"/>
                                                                                                                                                                                                                      <w:marBottom w:val="0"/>
                                                                                                                                                                                                                      <w:divBdr>
                                                                                                                                                                                                                        <w:top w:val="none" w:sz="0" w:space="0" w:color="auto"/>
                                                                                                                                                                                                                        <w:left w:val="none" w:sz="0" w:space="0" w:color="auto"/>
                                                                                                                                                                                                                        <w:bottom w:val="none" w:sz="0" w:space="0" w:color="auto"/>
                                                                                                                                                                                                                        <w:right w:val="none" w:sz="0" w:space="0" w:color="auto"/>
                                                                                                                                                                                                                      </w:divBdr>
                                                                                                                                                                                                                      <w:divsChild>
                                                                                                                                                                                                                        <w:div w:id="1740907076">
                                                                                                                                                                                                                          <w:marLeft w:val="0"/>
                                                                                                                                                                                                                          <w:marRight w:val="0"/>
                                                                                                                                                                                                                          <w:marTop w:val="0"/>
                                                                                                                                                                                                                          <w:marBottom w:val="0"/>
                                                                                                                                                                                                                          <w:divBdr>
                                                                                                                                                                                                                            <w:top w:val="none" w:sz="0" w:space="0" w:color="auto"/>
                                                                                                                                                                                                                            <w:left w:val="none" w:sz="0" w:space="0" w:color="auto"/>
                                                                                                                                                                                                                            <w:bottom w:val="none" w:sz="0" w:space="0" w:color="auto"/>
                                                                                                                                                                                                                            <w:right w:val="none" w:sz="0" w:space="0" w:color="auto"/>
                                                                                                                                                                                                                          </w:divBdr>
                                                                                                                                                                                                                          <w:divsChild>
                                                                                                                                                                                                                            <w:div w:id="45639968">
                                                                                                                                                                                                                              <w:marLeft w:val="105"/>
                                                                                                                                                                                                                              <w:marRight w:val="105"/>
                                                                                                                                                                                                                              <w:marTop w:val="105"/>
                                                                                                                                                                                                                              <w:marBottom w:val="105"/>
                                                                                                                                                                                                                              <w:divBdr>
                                                                                                                                                                                                                                <w:top w:val="none" w:sz="0" w:space="0" w:color="auto"/>
                                                                                                                                                                                                                                <w:left w:val="none" w:sz="0" w:space="0" w:color="auto"/>
                                                                                                                                                                                                                                <w:bottom w:val="none" w:sz="0" w:space="0" w:color="auto"/>
                                                                                                                                                                                                                                <w:right w:val="none" w:sz="0" w:space="0" w:color="auto"/>
                                                                                                                                                                                                                              </w:divBdr>
                                                                                                                                                                                                                              <w:divsChild>
                                                                                                                                                                                                                                <w:div w:id="885919498">
                                                                                                                                                                                                                                  <w:marLeft w:val="0"/>
                                                                                                                                                                                                                                  <w:marRight w:val="0"/>
                                                                                                                                                                                                                                  <w:marTop w:val="0"/>
                                                                                                                                                                                                                                  <w:marBottom w:val="0"/>
                                                                                                                                                                                                                                  <w:divBdr>
                                                                                                                                                                                                                                    <w:top w:val="none" w:sz="0" w:space="0" w:color="auto"/>
                                                                                                                                                                                                                                    <w:left w:val="none" w:sz="0" w:space="0" w:color="auto"/>
                                                                                                                                                                                                                                    <w:bottom w:val="none" w:sz="0" w:space="0" w:color="auto"/>
                                                                                                                                                                                                                                    <w:right w:val="none" w:sz="0" w:space="0" w:color="auto"/>
                                                                                                                                                                                                                                  </w:divBdr>
                                                                                                                                                                                                                                  <w:divsChild>
                                                                                                                                                                                                                                    <w:div w:id="1363482387">
                                                                                                                                                                                                                                      <w:marLeft w:val="0"/>
                                                                                                                                                                                                                                      <w:marRight w:val="0"/>
                                                                                                                                                                                                                                      <w:marTop w:val="0"/>
                                                                                                                                                                                                                                      <w:marBottom w:val="0"/>
                                                                                                                                                                                                                                      <w:divBdr>
                                                                                                                                                                                                                                        <w:top w:val="none" w:sz="0" w:space="0" w:color="auto"/>
                                                                                                                                                                                                                                        <w:left w:val="none" w:sz="0" w:space="0" w:color="auto"/>
                                                                                                                                                                                                                                        <w:bottom w:val="none" w:sz="0" w:space="0" w:color="auto"/>
                                                                                                                                                                                                                                        <w:right w:val="none" w:sz="0" w:space="0" w:color="auto"/>
                                                                                                                                                                                                                                      </w:divBdr>
                                                                                                                                                                                                                                      <w:divsChild>
                                                                                                                                                                                                                                        <w:div w:id="8674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2595">
                                                                                                                                                                                                                              <w:marLeft w:val="0"/>
                                                                                                                                                                                                                              <w:marRight w:val="0"/>
                                                                                                                                                                                                                              <w:marTop w:val="0"/>
                                                                                                                                                                                                                              <w:marBottom w:val="0"/>
                                                                                                                                                                                                                              <w:divBdr>
                                                                                                                                                                                                                                <w:top w:val="none" w:sz="0" w:space="0" w:color="auto"/>
                                                                                                                                                                                                                                <w:left w:val="none" w:sz="0" w:space="0" w:color="auto"/>
                                                                                                                                                                                                                                <w:bottom w:val="none" w:sz="0" w:space="0" w:color="auto"/>
                                                                                                                                                                                                                                <w:right w:val="none" w:sz="0" w:space="0" w:color="auto"/>
                                                                                                                                                                                                                              </w:divBdr>
                                                                                                                                                                                                                            </w:div>
                                                                                                                                                                                                                            <w:div w:id="1706100813">
                                                                                                                                                                                                                              <w:marLeft w:val="0"/>
                                                                                                                                                                                                                              <w:marRight w:val="0"/>
                                                                                                                                                                                                                              <w:marTop w:val="0"/>
                                                                                                                                                                                                                              <w:marBottom w:val="0"/>
                                                                                                                                                                                                                              <w:divBdr>
                                                                                                                                                                                                                                <w:top w:val="none" w:sz="0" w:space="0" w:color="auto"/>
                                                                                                                                                                                                                                <w:left w:val="none" w:sz="0" w:space="0" w:color="auto"/>
                                                                                                                                                                                                                                <w:bottom w:val="none" w:sz="0" w:space="0" w:color="auto"/>
                                                                                                                                                                                                                                <w:right w:val="none" w:sz="0" w:space="0" w:color="auto"/>
                                                                                                                                                                                                                              </w:divBdr>
                                                                                                                                                                                                                            </w:div>
                                                                                                                                                                                                                            <w:div w:id="2064331078">
                                                                                                                                                                                                                              <w:marLeft w:val="0"/>
                                                                                                                                                                                                                              <w:marRight w:val="0"/>
                                                                                                                                                                                                                              <w:marTop w:val="0"/>
                                                                                                                                                                                                                              <w:marBottom w:val="0"/>
                                                                                                                                                                                                                              <w:divBdr>
                                                                                                                                                                                                                                <w:top w:val="single" w:sz="6" w:space="11" w:color="777777"/>
                                                                                                                                                                                                                                <w:left w:val="single" w:sz="6" w:space="11" w:color="777777"/>
                                                                                                                                                                                                                                <w:bottom w:val="single" w:sz="6" w:space="11" w:color="777777"/>
                                                                                                                                                                                                                                <w:right w:val="single" w:sz="6" w:space="11" w:color="777777"/>
                                                                                                                                                                                                                              </w:divBdr>
                                                                                                                                                                                                                            </w:div>
                                                                                                                                                                                                                          </w:divsChild>
                                                                                                                                                                                                                        </w:div>
                                                                                                                                                                                                                        <w:div w:id="2056076760">
                                                                                                                                                                                                                          <w:marLeft w:val="0"/>
                                                                                                                                                                                                                          <w:marRight w:val="0"/>
                                                                                                                                                                                                                          <w:marTop w:val="0"/>
                                                                                                                                                                                                                          <w:marBottom w:val="0"/>
                                                                                                                                                                                                                          <w:divBdr>
                                                                                                                                                                                                                            <w:top w:val="none" w:sz="0" w:space="0" w:color="auto"/>
                                                                                                                                                                                                                            <w:left w:val="none" w:sz="0" w:space="0" w:color="auto"/>
                                                                                                                                                                                                                            <w:bottom w:val="none" w:sz="0" w:space="0" w:color="auto"/>
                                                                                                                                                                                                                            <w:right w:val="none" w:sz="0" w:space="0" w:color="auto"/>
                                                                                                                                                                                                                          </w:divBdr>
                                                                                                                                                                                                                        </w:div>
                                                                                                                                                                                                                      </w:divsChild>
                                                                                                                                                                                                                    </w:div>
                                                                                                                                                                                                                    <w:div w:id="460618118">
                                                                                                                                                                                                                      <w:marLeft w:val="0"/>
                                                                                                                                                                                                                      <w:marRight w:val="0"/>
                                                                                                                                                                                                                      <w:marTop w:val="0"/>
                                                                                                                                                                                                                      <w:marBottom w:val="0"/>
                                                                                                                                                                                                                      <w:divBdr>
                                                                                                                                                                                                                        <w:top w:val="none" w:sz="0" w:space="0" w:color="auto"/>
                                                                                                                                                                                                                        <w:left w:val="none" w:sz="0" w:space="0" w:color="auto"/>
                                                                                                                                                                                                                        <w:bottom w:val="none" w:sz="0" w:space="0" w:color="auto"/>
                                                                                                                                                                                                                        <w:right w:val="none" w:sz="0" w:space="0" w:color="auto"/>
                                                                                                                                                                                                                      </w:divBdr>
                                                                                                                                                                                                                      <w:divsChild>
                                                                                                                                                                                                                        <w:div w:id="379717630">
                                                                                                                                                                                                                          <w:marLeft w:val="0"/>
                                                                                                                                                                                                                          <w:marRight w:val="0"/>
                                                                                                                                                                                                                          <w:marTop w:val="0"/>
                                                                                                                                                                                                                          <w:marBottom w:val="0"/>
                                                                                                                                                                                                                          <w:divBdr>
                                                                                                                                                                                                                            <w:top w:val="none" w:sz="0" w:space="0" w:color="auto"/>
                                                                                                                                                                                                                            <w:left w:val="none" w:sz="0" w:space="0" w:color="auto"/>
                                                                                                                                                                                                                            <w:bottom w:val="none" w:sz="0" w:space="0" w:color="auto"/>
                                                                                                                                                                                                                            <w:right w:val="none" w:sz="0" w:space="0" w:color="auto"/>
                                                                                                                                                                                                                          </w:divBdr>
                                                                                                                                                                                                                          <w:divsChild>
                                                                                                                                                                                                                            <w:div w:id="922028727">
                                                                                                                                                                                                                              <w:marLeft w:val="0"/>
                                                                                                                                                                                                                              <w:marRight w:val="0"/>
                                                                                                                                                                                                                              <w:marTop w:val="75"/>
                                                                                                                                                                                                                              <w:marBottom w:val="75"/>
                                                                                                                                                                                                                              <w:divBdr>
                                                                                                                                                                                                                                <w:top w:val="none" w:sz="0" w:space="0" w:color="auto"/>
                                                                                                                                                                                                                                <w:left w:val="none" w:sz="0" w:space="0" w:color="auto"/>
                                                                                                                                                                                                                                <w:bottom w:val="none" w:sz="0" w:space="0" w:color="auto"/>
                                                                                                                                                                                                                                <w:right w:val="none" w:sz="0" w:space="0" w:color="auto"/>
                                                                                                                                                                                                                              </w:divBdr>
                                                                                                                                                                                                                            </w:div>
                                                                                                                                                                                                                            <w:div w:id="11262676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0946411">
                                                                                                                                                                                                                      <w:marLeft w:val="0"/>
                                                                                                                                                                                                                      <w:marRight w:val="0"/>
                                                                                                                                                                                                                      <w:marTop w:val="0"/>
                                                                                                                                                                                                                      <w:marBottom w:val="0"/>
                                                                                                                                                                                                                      <w:divBdr>
                                                                                                                                                                                                                        <w:top w:val="none" w:sz="0" w:space="0" w:color="auto"/>
                                                                                                                                                                                                                        <w:left w:val="none" w:sz="0" w:space="0" w:color="auto"/>
                                                                                                                                                                                                                        <w:bottom w:val="none" w:sz="0" w:space="0" w:color="auto"/>
                                                                                                                                                                                                                        <w:right w:val="none" w:sz="0" w:space="0" w:color="auto"/>
                                                                                                                                                                                                                      </w:divBdr>
                                                                                                                                                                                                                      <w:divsChild>
                                                                                                                                                                                                                        <w:div w:id="1404180836">
                                                                                                                                                                                                                          <w:marLeft w:val="105"/>
                                                                                                                                                                                                                          <w:marRight w:val="105"/>
                                                                                                                                                                                                                          <w:marTop w:val="105"/>
                                                                                                                                                                                                                          <w:marBottom w:val="105"/>
                                                                                                                                                                                                                          <w:divBdr>
                                                                                                                                                                                                                            <w:top w:val="none" w:sz="0" w:space="0" w:color="auto"/>
                                                                                                                                                                                                                            <w:left w:val="none" w:sz="0" w:space="0" w:color="auto"/>
                                                                                                                                                                                                                            <w:bottom w:val="none" w:sz="0" w:space="0" w:color="auto"/>
                                                                                                                                                                                                                            <w:right w:val="none" w:sz="0" w:space="0" w:color="auto"/>
                                                                                                                                                                                                                          </w:divBdr>
                                                                                                                                                                                                                          <w:divsChild>
                                                                                                                                                                                                                            <w:div w:id="709106869">
                                                                                                                                                                                                                              <w:marLeft w:val="0"/>
                                                                                                                                                                                                                              <w:marRight w:val="0"/>
                                                                                                                                                                                                                              <w:marTop w:val="0"/>
                                                                                                                                                                                                                              <w:marBottom w:val="0"/>
                                                                                                                                                                                                                              <w:divBdr>
                                                                                                                                                                                                                                <w:top w:val="none" w:sz="0" w:space="0" w:color="auto"/>
                                                                                                                                                                                                                                <w:left w:val="none" w:sz="0" w:space="0" w:color="auto"/>
                                                                                                                                                                                                                                <w:bottom w:val="none" w:sz="0" w:space="0" w:color="auto"/>
                                                                                                                                                                                                                                <w:right w:val="none" w:sz="0" w:space="0" w:color="auto"/>
                                                                                                                                                                                                                              </w:divBdr>
                                                                                                                                                                                                                              <w:divsChild>
                                                                                                                                                                                                                                <w:div w:id="1820225068">
                                                                                                                                                                                                                                  <w:marLeft w:val="0"/>
                                                                                                                                                                                                                                  <w:marRight w:val="0"/>
                                                                                                                                                                                                                                  <w:marTop w:val="0"/>
                                                                                                                                                                                                                                  <w:marBottom w:val="0"/>
                                                                                                                                                                                                                                  <w:divBdr>
                                                                                                                                                                                                                                    <w:top w:val="none" w:sz="0" w:space="0" w:color="auto"/>
                                                                                                                                                                                                                                    <w:left w:val="none" w:sz="0" w:space="0" w:color="auto"/>
                                                                                                                                                                                                                                    <w:bottom w:val="none" w:sz="0" w:space="0" w:color="auto"/>
                                                                                                                                                                                                                                    <w:right w:val="none" w:sz="0" w:space="0" w:color="auto"/>
                                                                                                                                                                                                                                  </w:divBdr>
                                                                                                                                                                                                                                  <w:divsChild>
                                                                                                                                                                                                                                    <w:div w:id="1600065930">
                                                                                                                                                                                                                                      <w:marLeft w:val="0"/>
                                                                                                                                                                                                                                      <w:marRight w:val="0"/>
                                                                                                                                                                                                                                      <w:marTop w:val="0"/>
                                                                                                                                                                                                                                      <w:marBottom w:val="0"/>
                                                                                                                                                                                                                                      <w:divBdr>
                                                                                                                                                                                                                                        <w:top w:val="none" w:sz="0" w:space="0" w:color="auto"/>
                                                                                                                                                                                                                                        <w:left w:val="none" w:sz="0" w:space="0" w:color="auto"/>
                                                                                                                                                                                                                                        <w:bottom w:val="none" w:sz="0" w:space="0" w:color="auto"/>
                                                                                                                                                                                                                                        <w:right w:val="none" w:sz="0" w:space="0" w:color="auto"/>
                                                                                                                                                                                                                                      </w:divBdr>
                                                                                                                                                                                                                                      <w:divsChild>
                                                                                                                                                                                                                                        <w:div w:id="1740782218">
                                                                                                                                                                                                                                          <w:marLeft w:val="0"/>
                                                                                                                                                                                                                                          <w:marRight w:val="0"/>
                                                                                                                                                                                                                                          <w:marTop w:val="0"/>
                                                                                                                                                                                                                                          <w:marBottom w:val="0"/>
                                                                                                                                                                                                                                          <w:divBdr>
                                                                                                                                                                                                                                            <w:top w:val="none" w:sz="0" w:space="0" w:color="auto"/>
                                                                                                                                                                                                                                            <w:left w:val="none" w:sz="0" w:space="0" w:color="auto"/>
                                                                                                                                                                                                                                            <w:bottom w:val="none" w:sz="0" w:space="0" w:color="auto"/>
                                                                                                                                                                                                                                            <w:right w:val="none" w:sz="0" w:space="0" w:color="auto"/>
                                                                                                                                                                                                                                          </w:divBdr>
                                                                                                                                                                                                                                          <w:divsChild>
                                                                                                                                                                                                                                            <w:div w:id="1637756850">
                                                                                                                                                                                                                                              <w:marLeft w:val="0"/>
                                                                                                                                                                                                                                              <w:marRight w:val="0"/>
                                                                                                                                                                                                                                              <w:marTop w:val="0"/>
                                                                                                                                                                                                                                              <w:marBottom w:val="0"/>
                                                                                                                                                                                                                                              <w:divBdr>
                                                                                                                                                                                                                                                <w:top w:val="none" w:sz="0" w:space="0" w:color="auto"/>
                                                                                                                                                                                                                                                <w:left w:val="none" w:sz="0" w:space="0" w:color="auto"/>
                                                                                                                                                                                                                                                <w:bottom w:val="none" w:sz="0" w:space="0" w:color="auto"/>
                                                                                                                                                                                                                                                <w:right w:val="none" w:sz="0" w:space="0" w:color="auto"/>
                                                                                                                                                                                                                                              </w:divBdr>
                                                                                                                                                                                                                                              <w:divsChild>
                                                                                                                                                                                                                                                <w:div w:id="246620298">
                                                                                                                                                                                                                                                  <w:marLeft w:val="105"/>
                                                                                                                                                                                                                                                  <w:marRight w:val="105"/>
                                                                                                                                                                                                                                                  <w:marTop w:val="105"/>
                                                                                                                                                                                                                                                  <w:marBottom w:val="105"/>
                                                                                                                                                                                                                                                  <w:divBdr>
                                                                                                                                                                                                                                                    <w:top w:val="none" w:sz="0" w:space="0" w:color="auto"/>
                                                                                                                                                                                                                                                    <w:left w:val="none" w:sz="0" w:space="0" w:color="auto"/>
                                                                                                                                                                                                                                                    <w:bottom w:val="none" w:sz="0" w:space="0" w:color="auto"/>
                                                                                                                                                                                                                                                    <w:right w:val="none" w:sz="0" w:space="0" w:color="auto"/>
                                                                                                                                                                                                                                                  </w:divBdr>
                                                                                                                                                                                                                                                  <w:divsChild>
                                                                                                                                                                                                                                                    <w:div w:id="57482322">
                                                                                                                                                                                                                                                      <w:marLeft w:val="0"/>
                                                                                                                                                                                                                                                      <w:marRight w:val="0"/>
                                                                                                                                                                                                                                                      <w:marTop w:val="0"/>
                                                                                                                                                                                                                                                      <w:marBottom w:val="0"/>
                                                                                                                                                                                                                                                      <w:divBdr>
                                                                                                                                                                                                                                                        <w:top w:val="none" w:sz="0" w:space="0" w:color="auto"/>
                                                                                                                                                                                                                                                        <w:left w:val="none" w:sz="0" w:space="0" w:color="auto"/>
                                                                                                                                                                                                                                                        <w:bottom w:val="none" w:sz="0" w:space="0" w:color="auto"/>
                                                                                                                                                                                                                                                        <w:right w:val="none" w:sz="0" w:space="0" w:color="auto"/>
                                                                                                                                                                                                                                                      </w:divBdr>
                                                                                                                                                                                                                                                      <w:divsChild>
                                                                                                                                                                                                                                                        <w:div w:id="444421866">
                                                                                                                                                                                                                                                          <w:marLeft w:val="0"/>
                                                                                                                                                                                                                                                          <w:marRight w:val="0"/>
                                                                                                                                                                                                                                                          <w:marTop w:val="0"/>
                                                                                                                                                                                                                                                          <w:marBottom w:val="0"/>
                                                                                                                                                                                                                                                          <w:divBdr>
                                                                                                                                                                                                                                                            <w:top w:val="none" w:sz="0" w:space="0" w:color="auto"/>
                                                                                                                                                                                                                                                            <w:left w:val="none" w:sz="0" w:space="0" w:color="auto"/>
                                                                                                                                                                                                                                                            <w:bottom w:val="none" w:sz="0" w:space="0" w:color="auto"/>
                                                                                                                                                                                                                                                            <w:right w:val="none" w:sz="0" w:space="0" w:color="auto"/>
                                                                                                                                                                                                                                                          </w:divBdr>
                                                                                                                                                                                                                                                          <w:divsChild>
                                                                                                                                                                                                                                                            <w:div w:id="2948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207491">
                                                                                                                                                                                                                      <w:marLeft w:val="0"/>
                                                                                                                                                                                                                      <w:marRight w:val="0"/>
                                                                                                                                                                                                                      <w:marTop w:val="0"/>
                                                                                                                                                                                                                      <w:marBottom w:val="0"/>
                                                                                                                                                                                                                      <w:divBdr>
                                                                                                                                                                                                                        <w:top w:val="none" w:sz="0" w:space="0" w:color="auto"/>
                                                                                                                                                                                                                        <w:left w:val="none" w:sz="0" w:space="0" w:color="auto"/>
                                                                                                                                                                                                                        <w:bottom w:val="none" w:sz="0" w:space="0" w:color="auto"/>
                                                                                                                                                                                                                        <w:right w:val="none" w:sz="0" w:space="0" w:color="auto"/>
                                                                                                                                                                                                                      </w:divBdr>
                                                                                                                                                                                                                      <w:divsChild>
                                                                                                                                                                                                                        <w:div w:id="204679083">
                                                                                                                                                                                                                          <w:marLeft w:val="0"/>
                                                                                                                                                                                                                          <w:marRight w:val="0"/>
                                                                                                                                                                                                                          <w:marTop w:val="0"/>
                                                                                                                                                                                                                          <w:marBottom w:val="0"/>
                                                                                                                                                                                                                          <w:divBdr>
                                                                                                                                                                                                                            <w:top w:val="single" w:sz="6" w:space="11" w:color="777777"/>
                                                                                                                                                                                                                            <w:left w:val="single" w:sz="6" w:space="11" w:color="777777"/>
                                                                                                                                                                                                                            <w:bottom w:val="single" w:sz="6" w:space="11" w:color="777777"/>
                                                                                                                                                                                                                            <w:right w:val="single" w:sz="6" w:space="11" w:color="777777"/>
                                                                                                                                                                                                                          </w:divBdr>
                                                                                                                                                                                                                        </w:div>
                                                                                                                                                                                                                        <w:div w:id="1658343488">
                                                                                                                                                                                                                          <w:marLeft w:val="0"/>
                                                                                                                                                                                                                          <w:marRight w:val="0"/>
                                                                                                                                                                                                                          <w:marTop w:val="0"/>
                                                                                                                                                                                                                          <w:marBottom w:val="0"/>
                                                                                                                                                                                                                          <w:divBdr>
                                                                                                                                                                                                                            <w:top w:val="none" w:sz="0" w:space="0" w:color="auto"/>
                                                                                                                                                                                                                            <w:left w:val="none" w:sz="0" w:space="0" w:color="auto"/>
                                                                                                                                                                                                                            <w:bottom w:val="none" w:sz="0" w:space="0" w:color="auto"/>
                                                                                                                                                                                                                            <w:right w:val="none" w:sz="0" w:space="0" w:color="auto"/>
                                                                                                                                                                                                                          </w:divBdr>
                                                                                                                                                                                                                          <w:divsChild>
                                                                                                                                                                                                                            <w:div w:id="834998161">
                                                                                                                                                                                                                              <w:marLeft w:val="0"/>
                                                                                                                                                                                                                              <w:marRight w:val="0"/>
                                                                                                                                                                                                                              <w:marTop w:val="300"/>
                                                                                                                                                                                                                              <w:marBottom w:val="0"/>
                                                                                                                                                                                                                              <w:divBdr>
                                                                                                                                                                                                                                <w:top w:val="none" w:sz="0" w:space="0" w:color="auto"/>
                                                                                                                                                                                                                                <w:left w:val="none" w:sz="0" w:space="0" w:color="auto"/>
                                                                                                                                                                                                                                <w:bottom w:val="none" w:sz="0" w:space="0" w:color="auto"/>
                                                                                                                                                                                                                                <w:right w:val="none" w:sz="0" w:space="0" w:color="auto"/>
                                                                                                                                                                                                                              </w:divBdr>
                                                                                                                                                                                                                            </w:div>
                                                                                                                                                                                                                            <w:div w:id="10652264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15577246">
                                                                                                                                                                                                                      <w:marLeft w:val="-225"/>
                                                                                                                                                                                                                      <w:marRight w:val="-225"/>
                                                                                                                                                                                                                      <w:marTop w:val="0"/>
                                                                                                                                                                                                                      <w:marBottom w:val="0"/>
                                                                                                                                                                                                                      <w:divBdr>
                                                                                                                                                                                                                        <w:top w:val="none" w:sz="0" w:space="0" w:color="auto"/>
                                                                                                                                                                                                                        <w:left w:val="none" w:sz="0" w:space="0" w:color="auto"/>
                                                                                                                                                                                                                        <w:bottom w:val="single" w:sz="6" w:space="6" w:color="CCCCCC"/>
                                                                                                                                                                                                                        <w:right w:val="none" w:sz="0" w:space="0" w:color="auto"/>
                                                                                                                                                                                                                      </w:divBdr>
                                                                                                                                                                                                                      <w:divsChild>
                                                                                                                                                                                                                        <w:div w:id="1858999699">
                                                                                                                                                                                                                          <w:marLeft w:val="0"/>
                                                                                                                                                                                                                          <w:marRight w:val="0"/>
                                                                                                                                                                                                                          <w:marTop w:val="0"/>
                                                                                                                                                                                                                          <w:marBottom w:val="0"/>
                                                                                                                                                                                                                          <w:divBdr>
                                                                                                                                                                                                                            <w:top w:val="none" w:sz="0" w:space="0" w:color="auto"/>
                                                                                                                                                                                                                            <w:left w:val="none" w:sz="0" w:space="0" w:color="auto"/>
                                                                                                                                                                                                                            <w:bottom w:val="none" w:sz="0" w:space="0" w:color="auto"/>
                                                                                                                                                                                                                            <w:right w:val="none" w:sz="0" w:space="0" w:color="auto"/>
                                                                                                                                                                                                                          </w:divBdr>
                                                                                                                                                                                                                          <w:divsChild>
                                                                                                                                                                                                                            <w:div w:id="586111549">
                                                                                                                                                                                                                              <w:marLeft w:val="105"/>
                                                                                                                                                                                                                              <w:marRight w:val="105"/>
                                                                                                                                                                                                                              <w:marTop w:val="105"/>
                                                                                                                                                                                                                              <w:marBottom w:val="105"/>
                                                                                                                                                                                                                              <w:divBdr>
                                                                                                                                                                                                                                <w:top w:val="none" w:sz="0" w:space="0" w:color="auto"/>
                                                                                                                                                                                                                                <w:left w:val="none" w:sz="0" w:space="0" w:color="auto"/>
                                                                                                                                                                                                                                <w:bottom w:val="none" w:sz="0" w:space="0" w:color="auto"/>
                                                                                                                                                                                                                                <w:right w:val="none" w:sz="0" w:space="0" w:color="auto"/>
                                                                                                                                                                                                                              </w:divBdr>
                                                                                                                                                                                                                              <w:divsChild>
                                                                                                                                                                                                                                <w:div w:id="1666665261">
                                                                                                                                                                                                                                  <w:marLeft w:val="0"/>
                                                                                                                                                                                                                                  <w:marRight w:val="0"/>
                                                                                                                                                                                                                                  <w:marTop w:val="0"/>
                                                                                                                                                                                                                                  <w:marBottom w:val="0"/>
                                                                                                                                                                                                                                  <w:divBdr>
                                                                                                                                                                                                                                    <w:top w:val="none" w:sz="0" w:space="0" w:color="auto"/>
                                                                                                                                                                                                                                    <w:left w:val="none" w:sz="0" w:space="0" w:color="auto"/>
                                                                                                                                                                                                                                    <w:bottom w:val="none" w:sz="0" w:space="0" w:color="auto"/>
                                                                                                                                                                                                                                    <w:right w:val="none" w:sz="0" w:space="0" w:color="auto"/>
                                                                                                                                                                                                                                  </w:divBdr>
                                                                                                                                                                                                                                  <w:divsChild>
                                                                                                                                                                                                                                    <w:div w:id="19921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03001">
                                                                                                                                                                                                                      <w:marLeft w:val="105"/>
                                                                                                                                                                                                                      <w:marRight w:val="105"/>
                                                                                                                                                                                                                      <w:marTop w:val="105"/>
                                                                                                                                                                                                                      <w:marBottom w:val="105"/>
                                                                                                                                                                                                                      <w:divBdr>
                                                                                                                                                                                                                        <w:top w:val="none" w:sz="0" w:space="0" w:color="auto"/>
                                                                                                                                                                                                                        <w:left w:val="none" w:sz="0" w:space="0" w:color="auto"/>
                                                                                                                                                                                                                        <w:bottom w:val="none" w:sz="0" w:space="0" w:color="auto"/>
                                                                                                                                                                                                                        <w:right w:val="none" w:sz="0" w:space="0" w:color="auto"/>
                                                                                                                                                                                                                      </w:divBdr>
                                                                                                                                                                                                                      <w:divsChild>
                                                                                                                                                                                                                        <w:div w:id="1919972012">
                                                                                                                                                                                                                          <w:marLeft w:val="0"/>
                                                                                                                                                                                                                          <w:marRight w:val="0"/>
                                                                                                                                                                                                                          <w:marTop w:val="0"/>
                                                                                                                                                                                                                          <w:marBottom w:val="0"/>
                                                                                                                                                                                                                          <w:divBdr>
                                                                                                                                                                                                                            <w:top w:val="none" w:sz="0" w:space="0" w:color="auto"/>
                                                                                                                                                                                                                            <w:left w:val="none" w:sz="0" w:space="0" w:color="auto"/>
                                                                                                                                                                                                                            <w:bottom w:val="none" w:sz="0" w:space="0" w:color="auto"/>
                                                                                                                                                                                                                            <w:right w:val="none" w:sz="0" w:space="0" w:color="auto"/>
                                                                                                                                                                                                                          </w:divBdr>
                                                                                                                                                                                                                          <w:divsChild>
                                                                                                                                                                                                                            <w:div w:id="2085447226">
                                                                                                                                                                                                                              <w:marLeft w:val="0"/>
                                                                                                                                                                                                                              <w:marRight w:val="0"/>
                                                                                                                                                                                                                              <w:marTop w:val="0"/>
                                                                                                                                                                                                                              <w:marBottom w:val="0"/>
                                                                                                                                                                                                                              <w:divBdr>
                                                                                                                                                                                                                                <w:top w:val="none" w:sz="0" w:space="0" w:color="auto"/>
                                                                                                                                                                                                                                <w:left w:val="none" w:sz="0" w:space="0" w:color="auto"/>
                                                                                                                                                                                                                                <w:bottom w:val="none" w:sz="0" w:space="0" w:color="auto"/>
                                                                                                                                                                                                                                <w:right w:val="none" w:sz="0" w:space="0" w:color="auto"/>
                                                                                                                                                                                                                              </w:divBdr>
                                                                                                                                                                                                                              <w:divsChild>
                                                                                                                                                                                                                                <w:div w:id="8759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14664">
                                                                                                                                                                                                                      <w:marLeft w:val="-225"/>
                                                                                                                                                                                                                      <w:marRight w:val="-225"/>
                                                                                                                                                                                                                      <w:marTop w:val="0"/>
                                                                                                                                                                                                                      <w:marBottom w:val="0"/>
                                                                                                                                                                                                                      <w:divBdr>
                                                                                                                                                                                                                        <w:top w:val="none" w:sz="0" w:space="0" w:color="auto"/>
                                                                                                                                                                                                                        <w:left w:val="none" w:sz="0" w:space="0" w:color="auto"/>
                                                                                                                                                                                                                        <w:bottom w:val="single" w:sz="6" w:space="6" w:color="CCCCCC"/>
                                                                                                                                                                                                                        <w:right w:val="none" w:sz="0" w:space="0" w:color="auto"/>
                                                                                                                                                                                                                      </w:divBdr>
                                                                                                                                                                                                                      <w:divsChild>
                                                                                                                                                                                                                        <w:div w:id="1337615463">
                                                                                                                                                                                                                          <w:marLeft w:val="105"/>
                                                                                                                                                                                                                          <w:marRight w:val="105"/>
                                                                                                                                                                                                                          <w:marTop w:val="105"/>
                                                                                                                                                                                                                          <w:marBottom w:val="105"/>
                                                                                                                                                                                                                          <w:divBdr>
                                                                                                                                                                                                                            <w:top w:val="none" w:sz="0" w:space="0" w:color="auto"/>
                                                                                                                                                                                                                            <w:left w:val="none" w:sz="0" w:space="0" w:color="auto"/>
                                                                                                                                                                                                                            <w:bottom w:val="none" w:sz="0" w:space="0" w:color="auto"/>
                                                                                                                                                                                                                            <w:right w:val="none" w:sz="0" w:space="0" w:color="auto"/>
                                                                                                                                                                                                                          </w:divBdr>
                                                                                                                                                                                                                          <w:divsChild>
                                                                                                                                                                                                                            <w:div w:id="1319842234">
                                                                                                                                                                                                                              <w:marLeft w:val="0"/>
                                                                                                                                                                                                                              <w:marRight w:val="0"/>
                                                                                                                                                                                                                              <w:marTop w:val="0"/>
                                                                                                                                                                                                                              <w:marBottom w:val="0"/>
                                                                                                                                                                                                                              <w:divBdr>
                                                                                                                                                                                                                                <w:top w:val="none" w:sz="0" w:space="0" w:color="auto"/>
                                                                                                                                                                                                                                <w:left w:val="none" w:sz="0" w:space="0" w:color="auto"/>
                                                                                                                                                                                                                                <w:bottom w:val="none" w:sz="0" w:space="0" w:color="auto"/>
                                                                                                                                                                                                                                <w:right w:val="none" w:sz="0" w:space="0" w:color="auto"/>
                                                                                                                                                                                                                              </w:divBdr>
                                                                                                                                                                                                                              <w:divsChild>
                                                                                                                                                                                                                                <w:div w:id="19354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58721">
                                                                                                                                                                                                                      <w:marLeft w:val="105"/>
                                                                                                                                                                                                                      <w:marRight w:val="105"/>
                                                                                                                                                                                                                      <w:marTop w:val="105"/>
                                                                                                                                                                                                                      <w:marBottom w:val="105"/>
                                                                                                                                                                                                                      <w:divBdr>
                                                                                                                                                                                                                        <w:top w:val="none" w:sz="0" w:space="0" w:color="auto"/>
                                                                                                                                                                                                                        <w:left w:val="none" w:sz="0" w:space="0" w:color="auto"/>
                                                                                                                                                                                                                        <w:bottom w:val="none" w:sz="0" w:space="0" w:color="auto"/>
                                                                                                                                                                                                                        <w:right w:val="none" w:sz="0" w:space="0" w:color="auto"/>
                                                                                                                                                                                                                      </w:divBdr>
                                                                                                                                                                                                                      <w:divsChild>
                                                                                                                                                                                                                        <w:div w:id="104930122">
                                                                                                                                                                                                                          <w:marLeft w:val="0"/>
                                                                                                                                                                                                                          <w:marRight w:val="0"/>
                                                                                                                                                                                                                          <w:marTop w:val="0"/>
                                                                                                                                                                                                                          <w:marBottom w:val="150"/>
                                                                                                                                                                                                                          <w:divBdr>
                                                                                                                                                                                                                            <w:top w:val="none" w:sz="0" w:space="0" w:color="auto"/>
                                                                                                                                                                                                                            <w:left w:val="none" w:sz="0" w:space="0" w:color="auto"/>
                                                                                                                                                                                                                            <w:bottom w:val="none" w:sz="0" w:space="0" w:color="auto"/>
                                                                                                                                                                                                                            <w:right w:val="none" w:sz="0" w:space="0" w:color="auto"/>
                                                                                                                                                                                                                          </w:divBdr>
                                                                                                                                                                                                                          <w:divsChild>
                                                                                                                                                                                                                            <w:div w:id="1550993583">
                                                                                                                                                                                                                              <w:marLeft w:val="0"/>
                                                                                                                                                                                                                              <w:marRight w:val="0"/>
                                                                                                                                                                                                                              <w:marTop w:val="0"/>
                                                                                                                                                                                                                              <w:marBottom w:val="0"/>
                                                                                                                                                                                                                              <w:divBdr>
                                                                                                                                                                                                                                <w:top w:val="none" w:sz="0" w:space="0" w:color="auto"/>
                                                                                                                                                                                                                                <w:left w:val="none" w:sz="0" w:space="0" w:color="auto"/>
                                                                                                                                                                                                                                <w:bottom w:val="none" w:sz="0" w:space="0" w:color="auto"/>
                                                                                                                                                                                                                                <w:right w:val="none" w:sz="0" w:space="0" w:color="auto"/>
                                                                                                                                                                                                                              </w:divBdr>
                                                                                                                                                                                                                              <w:divsChild>
                                                                                                                                                                                                                                <w:div w:id="821122717">
                                                                                                                                                                                                                                  <w:marLeft w:val="0"/>
                                                                                                                                                                                                                                  <w:marRight w:val="0"/>
                                                                                                                                                                                                                                  <w:marTop w:val="0"/>
                                                                                                                                                                                                                                  <w:marBottom w:val="0"/>
                                                                                                                                                                                                                                  <w:divBdr>
                                                                                                                                                                                                                                    <w:top w:val="none" w:sz="0" w:space="0" w:color="auto"/>
                                                                                                                                                                                                                                    <w:left w:val="none" w:sz="0" w:space="0" w:color="auto"/>
                                                                                                                                                                                                                                    <w:bottom w:val="none" w:sz="0" w:space="0" w:color="auto"/>
                                                                                                                                                                                                                                    <w:right w:val="none" w:sz="0" w:space="0" w:color="auto"/>
                                                                                                                                                                                                                                  </w:divBdr>
                                                                                                                                                                                                                                  <w:divsChild>
                                                                                                                                                                                                                                    <w:div w:id="328481023">
                                                                                                                                                                                                                                      <w:marLeft w:val="0"/>
                                                                                                                                                                                                                                      <w:marRight w:val="0"/>
                                                                                                                                                                                                                                      <w:marTop w:val="0"/>
                                                                                                                                                                                                                                      <w:marBottom w:val="0"/>
                                                                                                                                                                                                                                      <w:divBdr>
                                                                                                                                                                                                                                        <w:top w:val="none" w:sz="0" w:space="0" w:color="auto"/>
                                                                                                                                                                                                                                        <w:left w:val="none" w:sz="0" w:space="0" w:color="auto"/>
                                                                                                                                                                                                                                        <w:bottom w:val="none" w:sz="0" w:space="0" w:color="auto"/>
                                                                                                                                                                                                                                        <w:right w:val="none" w:sz="0" w:space="0" w:color="auto"/>
                                                                                                                                                                                                                                      </w:divBdr>
                                                                                                                                                                                                                                    </w:div>
                                                                                                                                                                                                                                    <w:div w:id="679084884">
                                                                                                                                                                                                                                      <w:marLeft w:val="0"/>
                                                                                                                                                                                                                                      <w:marRight w:val="0"/>
                                                                                                                                                                                                                                      <w:marTop w:val="0"/>
                                                                                                                                                                                                                                      <w:marBottom w:val="0"/>
                                                                                                                                                                                                                                      <w:divBdr>
                                                                                                                                                                                                                                        <w:top w:val="none" w:sz="0" w:space="0" w:color="auto"/>
                                                                                                                                                                                                                                        <w:left w:val="none" w:sz="0" w:space="0" w:color="auto"/>
                                                                                                                                                                                                                                        <w:bottom w:val="none" w:sz="0" w:space="0" w:color="auto"/>
                                                                                                                                                                                                                                        <w:right w:val="none" w:sz="0" w:space="0" w:color="auto"/>
                                                                                                                                                                                                                                      </w:divBdr>
                                                                                                                                                                                                                                      <w:divsChild>
                                                                                                                                                                                                                                        <w:div w:id="984705134">
                                                                                                                                                                                                                                          <w:marLeft w:val="0"/>
                                                                                                                                                                                                                                          <w:marRight w:val="0"/>
                                                                                                                                                                                                                                          <w:marTop w:val="0"/>
                                                                                                                                                                                                                                          <w:marBottom w:val="0"/>
                                                                                                                                                                                                                                          <w:divBdr>
                                                                                                                                                                                                                                            <w:top w:val="none" w:sz="0" w:space="0" w:color="auto"/>
                                                                                                                                                                                                                                            <w:left w:val="none" w:sz="0" w:space="0" w:color="auto"/>
                                                                                                                                                                                                                                            <w:bottom w:val="none" w:sz="0" w:space="0" w:color="auto"/>
                                                                                                                                                                                                                                            <w:right w:val="none" w:sz="0" w:space="0" w:color="auto"/>
                                                                                                                                                                                                                                          </w:divBdr>
                                                                                                                                                                                                                                        </w:div>
                                                                                                                                                                                                                                        <w:div w:id="1095515622">
                                                                                                                                                                                                                                          <w:marLeft w:val="30"/>
                                                                                                                                                                                                                                          <w:marRight w:val="30"/>
                                                                                                                                                                                                                                          <w:marTop w:val="0"/>
                                                                                                                                                                                                                                          <w:marBottom w:val="0"/>
                                                                                                                                                                                                                                          <w:divBdr>
                                                                                                                                                                                                                                            <w:top w:val="none" w:sz="0" w:space="0" w:color="auto"/>
                                                                                                                                                                                                                                            <w:left w:val="none" w:sz="0" w:space="0" w:color="auto"/>
                                                                                                                                                                                                                                            <w:bottom w:val="none" w:sz="0" w:space="0" w:color="auto"/>
                                                                                                                                                                                                                                            <w:right w:val="none" w:sz="0" w:space="0" w:color="auto"/>
                                                                                                                                                                                                                                          </w:divBdr>
                                                                                                                                                                                                                                          <w:divsChild>
                                                                                                                                                                                                                                            <w:div w:id="20555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1986">
                                                                                                                                                                                                                                      <w:marLeft w:val="0"/>
                                                                                                                                                                                                                                      <w:marRight w:val="0"/>
                                                                                                                                                                                                                                      <w:marTop w:val="0"/>
                                                                                                                                                                                                                                      <w:marBottom w:val="0"/>
                                                                                                                                                                                                                                      <w:divBdr>
                                                                                                                                                                                                                                        <w:top w:val="none" w:sz="0" w:space="0" w:color="auto"/>
                                                                                                                                                                                                                                        <w:left w:val="none" w:sz="0" w:space="0" w:color="auto"/>
                                                                                                                                                                                                                                        <w:bottom w:val="none" w:sz="0" w:space="0" w:color="auto"/>
                                                                                                                                                                                                                                        <w:right w:val="none" w:sz="0" w:space="0" w:color="auto"/>
                                                                                                                                                                                                                                      </w:divBdr>
                                                                                                                                                                                                                                    </w:div>
                                                                                                                                                                                                                                    <w:div w:id="19978008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4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093529">
                                                                  <w:marLeft w:val="0"/>
                                                                  <w:marRight w:val="0"/>
                                                                  <w:marTop w:val="0"/>
                                                                  <w:marBottom w:val="0"/>
                                                                  <w:divBdr>
                                                                    <w:top w:val="none" w:sz="0" w:space="0" w:color="auto"/>
                                                                    <w:left w:val="none" w:sz="0" w:space="0" w:color="auto"/>
                                                                    <w:bottom w:val="none" w:sz="0" w:space="0" w:color="auto"/>
                                                                    <w:right w:val="none" w:sz="0" w:space="0" w:color="auto"/>
                                                                  </w:divBdr>
                                                                  <w:divsChild>
                                                                    <w:div w:id="457259358">
                                                                      <w:marLeft w:val="0"/>
                                                                      <w:marRight w:val="0"/>
                                                                      <w:marTop w:val="0"/>
                                                                      <w:marBottom w:val="0"/>
                                                                      <w:divBdr>
                                                                        <w:top w:val="none" w:sz="0" w:space="0" w:color="auto"/>
                                                                        <w:left w:val="none" w:sz="0" w:space="0" w:color="auto"/>
                                                                        <w:bottom w:val="none" w:sz="0" w:space="0" w:color="auto"/>
                                                                        <w:right w:val="none" w:sz="0" w:space="0" w:color="auto"/>
                                                                      </w:divBdr>
                                                                      <w:divsChild>
                                                                        <w:div w:id="968785843">
                                                                          <w:marLeft w:val="105"/>
                                                                          <w:marRight w:val="105"/>
                                                                          <w:marTop w:val="105"/>
                                                                          <w:marBottom w:val="105"/>
                                                                          <w:divBdr>
                                                                            <w:top w:val="none" w:sz="0" w:space="0" w:color="auto"/>
                                                                            <w:left w:val="none" w:sz="0" w:space="0" w:color="auto"/>
                                                                            <w:bottom w:val="none" w:sz="0" w:space="0" w:color="auto"/>
                                                                            <w:right w:val="none" w:sz="0" w:space="0" w:color="auto"/>
                                                                          </w:divBdr>
                                                                          <w:divsChild>
                                                                            <w:div w:id="287783868">
                                                                              <w:marLeft w:val="0"/>
                                                                              <w:marRight w:val="0"/>
                                                                              <w:marTop w:val="0"/>
                                                                              <w:marBottom w:val="0"/>
                                                                              <w:divBdr>
                                                                                <w:top w:val="none" w:sz="0" w:space="0" w:color="auto"/>
                                                                                <w:left w:val="none" w:sz="0" w:space="0" w:color="auto"/>
                                                                                <w:bottom w:val="none" w:sz="0" w:space="0" w:color="auto"/>
                                                                                <w:right w:val="none" w:sz="0" w:space="0" w:color="auto"/>
                                                                              </w:divBdr>
                                                                              <w:divsChild>
                                                                                <w:div w:id="91366056">
                                                                                  <w:marLeft w:val="0"/>
                                                                                  <w:marRight w:val="0"/>
                                                                                  <w:marTop w:val="0"/>
                                                                                  <w:marBottom w:val="0"/>
                                                                                  <w:divBdr>
                                                                                    <w:top w:val="none" w:sz="0" w:space="0" w:color="auto"/>
                                                                                    <w:left w:val="none" w:sz="0" w:space="0" w:color="auto"/>
                                                                                    <w:bottom w:val="none" w:sz="0" w:space="0" w:color="auto"/>
                                                                                    <w:right w:val="none" w:sz="0" w:space="0" w:color="auto"/>
                                                                                  </w:divBdr>
                                                                                  <w:divsChild>
                                                                                    <w:div w:id="2046637150">
                                                                                      <w:marLeft w:val="0"/>
                                                                                      <w:marRight w:val="0"/>
                                                                                      <w:marTop w:val="0"/>
                                                                                      <w:marBottom w:val="0"/>
                                                                                      <w:divBdr>
                                                                                        <w:top w:val="none" w:sz="0" w:space="0" w:color="auto"/>
                                                                                        <w:left w:val="none" w:sz="0" w:space="0" w:color="auto"/>
                                                                                        <w:bottom w:val="none" w:sz="0" w:space="0" w:color="auto"/>
                                                                                        <w:right w:val="none" w:sz="0" w:space="0" w:color="auto"/>
                                                                                      </w:divBdr>
                                                                                      <w:divsChild>
                                                                                        <w:div w:id="1791897403">
                                                                                          <w:marLeft w:val="0"/>
                                                                                          <w:marRight w:val="0"/>
                                                                                          <w:marTop w:val="0"/>
                                                                                          <w:marBottom w:val="0"/>
                                                                                          <w:divBdr>
                                                                                            <w:top w:val="none" w:sz="0" w:space="0" w:color="auto"/>
                                                                                            <w:left w:val="none" w:sz="0" w:space="0" w:color="auto"/>
                                                                                            <w:bottom w:val="none" w:sz="0" w:space="0" w:color="auto"/>
                                                                                            <w:right w:val="none" w:sz="0" w:space="0" w:color="auto"/>
                                                                                          </w:divBdr>
                                                                                          <w:divsChild>
                                                                                            <w:div w:id="1260719988">
                                                                                              <w:marLeft w:val="0"/>
                                                                                              <w:marRight w:val="0"/>
                                                                                              <w:marTop w:val="0"/>
                                                                                              <w:marBottom w:val="0"/>
                                                                                              <w:divBdr>
                                                                                                <w:top w:val="none" w:sz="0" w:space="0" w:color="auto"/>
                                                                                                <w:left w:val="none" w:sz="0" w:space="0" w:color="auto"/>
                                                                                                <w:bottom w:val="none" w:sz="0" w:space="0" w:color="auto"/>
                                                                                                <w:right w:val="none" w:sz="0" w:space="0" w:color="auto"/>
                                                                                              </w:divBdr>
                                                                                              <w:divsChild>
                                                                                                <w:div w:id="1320310802">
                                                                                                  <w:marLeft w:val="0"/>
                                                                                                  <w:marRight w:val="0"/>
                                                                                                  <w:marTop w:val="0"/>
                                                                                                  <w:marBottom w:val="0"/>
                                                                                                  <w:divBdr>
                                                                                                    <w:top w:val="none" w:sz="0" w:space="0" w:color="auto"/>
                                                                                                    <w:left w:val="none" w:sz="0" w:space="0" w:color="auto"/>
                                                                                                    <w:bottom w:val="none" w:sz="0" w:space="0" w:color="auto"/>
                                                                                                    <w:right w:val="none" w:sz="0" w:space="0" w:color="auto"/>
                                                                                                  </w:divBdr>
                                                                                                  <w:divsChild>
                                                                                                    <w:div w:id="705907102">
                                                                                                      <w:marLeft w:val="105"/>
                                                                                                      <w:marRight w:val="105"/>
                                                                                                      <w:marTop w:val="105"/>
                                                                                                      <w:marBottom w:val="105"/>
                                                                                                      <w:divBdr>
                                                                                                        <w:top w:val="none" w:sz="0" w:space="0" w:color="auto"/>
                                                                                                        <w:left w:val="none" w:sz="0" w:space="0" w:color="auto"/>
                                                                                                        <w:bottom w:val="none" w:sz="0" w:space="0" w:color="auto"/>
                                                                                                        <w:right w:val="none" w:sz="0" w:space="0" w:color="auto"/>
                                                                                                      </w:divBdr>
                                                                                                      <w:divsChild>
                                                                                                        <w:div w:id="2088844443">
                                                                                                          <w:marLeft w:val="0"/>
                                                                                                          <w:marRight w:val="0"/>
                                                                                                          <w:marTop w:val="0"/>
                                                                                                          <w:marBottom w:val="0"/>
                                                                                                          <w:divBdr>
                                                                                                            <w:top w:val="none" w:sz="0" w:space="0" w:color="auto"/>
                                                                                                            <w:left w:val="none" w:sz="0" w:space="0" w:color="auto"/>
                                                                                                            <w:bottom w:val="none" w:sz="0" w:space="0" w:color="auto"/>
                                                                                                            <w:right w:val="none" w:sz="0" w:space="0" w:color="auto"/>
                                                                                                          </w:divBdr>
                                                                                                          <w:divsChild>
                                                                                                            <w:div w:id="1703825961">
                                                                                                              <w:marLeft w:val="0"/>
                                                                                                              <w:marRight w:val="0"/>
                                                                                                              <w:marTop w:val="0"/>
                                                                                                              <w:marBottom w:val="0"/>
                                                                                                              <w:divBdr>
                                                                                                                <w:top w:val="none" w:sz="0" w:space="0" w:color="auto"/>
                                                                                                                <w:left w:val="none" w:sz="0" w:space="0" w:color="auto"/>
                                                                                                                <w:bottom w:val="none" w:sz="0" w:space="0" w:color="auto"/>
                                                                                                                <w:right w:val="none" w:sz="0" w:space="0" w:color="auto"/>
                                                                                                              </w:divBdr>
                                                                                                              <w:divsChild>
                                                                                                                <w:div w:id="659041753">
                                                                                                                  <w:marLeft w:val="0"/>
                                                                                                                  <w:marRight w:val="0"/>
                                                                                                                  <w:marTop w:val="0"/>
                                                                                                                  <w:marBottom w:val="0"/>
                                                                                                                  <w:divBdr>
                                                                                                                    <w:top w:val="none" w:sz="0" w:space="0" w:color="auto"/>
                                                                                                                    <w:left w:val="none" w:sz="0" w:space="0" w:color="auto"/>
                                                                                                                    <w:bottom w:val="none" w:sz="0" w:space="0" w:color="auto"/>
                                                                                                                    <w:right w:val="none" w:sz="0" w:space="0" w:color="auto"/>
                                                                                                                  </w:divBdr>
                                                                                                                  <w:divsChild>
                                                                                                                    <w:div w:id="391542526">
                                                                                                                      <w:marLeft w:val="0"/>
                                                                                                                      <w:marRight w:val="0"/>
                                                                                                                      <w:marTop w:val="0"/>
                                                                                                                      <w:marBottom w:val="0"/>
                                                                                                                      <w:divBdr>
                                                                                                                        <w:top w:val="none" w:sz="0" w:space="0" w:color="auto"/>
                                                                                                                        <w:left w:val="none" w:sz="0" w:space="0" w:color="auto"/>
                                                                                                                        <w:bottom w:val="single" w:sz="6" w:space="0" w:color="CCCCCC"/>
                                                                                                                        <w:right w:val="none" w:sz="0" w:space="0" w:color="auto"/>
                                                                                                                      </w:divBdr>
                                                                                                                      <w:divsChild>
                                                                                                                        <w:div w:id="172959670">
                                                                                                                          <w:marLeft w:val="0"/>
                                                                                                                          <w:marRight w:val="0"/>
                                                                                                                          <w:marTop w:val="0"/>
                                                                                                                          <w:marBottom w:val="0"/>
                                                                                                                          <w:divBdr>
                                                                                                                            <w:top w:val="none" w:sz="0" w:space="0" w:color="auto"/>
                                                                                                                            <w:left w:val="none" w:sz="0" w:space="0" w:color="auto"/>
                                                                                                                            <w:bottom w:val="none" w:sz="0" w:space="0" w:color="auto"/>
                                                                                                                            <w:right w:val="none" w:sz="0" w:space="0" w:color="auto"/>
                                                                                                                          </w:divBdr>
                                                                                                                          <w:divsChild>
                                                                                                                            <w:div w:id="12761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229728">
                                                  <w:marLeft w:val="0"/>
                                                  <w:marRight w:val="0"/>
                                                  <w:marTop w:val="0"/>
                                                  <w:marBottom w:val="0"/>
                                                  <w:divBdr>
                                                    <w:top w:val="none" w:sz="0" w:space="0" w:color="auto"/>
                                                    <w:left w:val="none" w:sz="0" w:space="0" w:color="auto"/>
                                                    <w:bottom w:val="none" w:sz="0" w:space="0" w:color="auto"/>
                                                    <w:right w:val="none" w:sz="0" w:space="0" w:color="auto"/>
                                                  </w:divBdr>
                                                  <w:divsChild>
                                                    <w:div w:id="7619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673626">
                              <w:marLeft w:val="105"/>
                              <w:marRight w:val="105"/>
                              <w:marTop w:val="105"/>
                              <w:marBottom w:val="105"/>
                              <w:divBdr>
                                <w:top w:val="none" w:sz="0" w:space="0" w:color="auto"/>
                                <w:left w:val="none" w:sz="0" w:space="0" w:color="auto"/>
                                <w:bottom w:val="none" w:sz="0" w:space="0" w:color="auto"/>
                                <w:right w:val="none" w:sz="0" w:space="0" w:color="auto"/>
                              </w:divBdr>
                              <w:divsChild>
                                <w:div w:id="1459103335">
                                  <w:marLeft w:val="0"/>
                                  <w:marRight w:val="0"/>
                                  <w:marTop w:val="0"/>
                                  <w:marBottom w:val="0"/>
                                  <w:divBdr>
                                    <w:top w:val="none" w:sz="0" w:space="0" w:color="auto"/>
                                    <w:left w:val="none" w:sz="0" w:space="0" w:color="auto"/>
                                    <w:bottom w:val="none" w:sz="0" w:space="0" w:color="auto"/>
                                    <w:right w:val="none" w:sz="0" w:space="0" w:color="auto"/>
                                  </w:divBdr>
                                  <w:divsChild>
                                    <w:div w:id="1879315383">
                                      <w:marLeft w:val="0"/>
                                      <w:marRight w:val="0"/>
                                      <w:marTop w:val="0"/>
                                      <w:marBottom w:val="0"/>
                                      <w:divBdr>
                                        <w:top w:val="none" w:sz="0" w:space="0" w:color="auto"/>
                                        <w:left w:val="none" w:sz="0" w:space="0" w:color="auto"/>
                                        <w:bottom w:val="none" w:sz="0" w:space="0" w:color="auto"/>
                                        <w:right w:val="none" w:sz="0" w:space="0" w:color="auto"/>
                                      </w:divBdr>
                                      <w:divsChild>
                                        <w:div w:id="15156201">
                                          <w:marLeft w:val="0"/>
                                          <w:marRight w:val="0"/>
                                          <w:marTop w:val="0"/>
                                          <w:marBottom w:val="0"/>
                                          <w:divBdr>
                                            <w:top w:val="none" w:sz="0" w:space="0" w:color="auto"/>
                                            <w:left w:val="none" w:sz="0" w:space="0" w:color="auto"/>
                                            <w:bottom w:val="none" w:sz="0" w:space="0" w:color="auto"/>
                                            <w:right w:val="none" w:sz="0" w:space="0" w:color="auto"/>
                                          </w:divBdr>
                                          <w:divsChild>
                                            <w:div w:id="52965880">
                                              <w:marLeft w:val="0"/>
                                              <w:marRight w:val="0"/>
                                              <w:marTop w:val="0"/>
                                              <w:marBottom w:val="0"/>
                                              <w:divBdr>
                                                <w:top w:val="none" w:sz="0" w:space="0" w:color="auto"/>
                                                <w:left w:val="none" w:sz="0" w:space="0" w:color="auto"/>
                                                <w:bottom w:val="none" w:sz="0" w:space="0" w:color="auto"/>
                                                <w:right w:val="none" w:sz="0" w:space="0" w:color="auto"/>
                                              </w:divBdr>
                                              <w:divsChild>
                                                <w:div w:id="463888421">
                                                  <w:marLeft w:val="0"/>
                                                  <w:marRight w:val="0"/>
                                                  <w:marTop w:val="0"/>
                                                  <w:marBottom w:val="0"/>
                                                  <w:divBdr>
                                                    <w:top w:val="none" w:sz="0" w:space="0" w:color="auto"/>
                                                    <w:left w:val="none" w:sz="0" w:space="0" w:color="auto"/>
                                                    <w:bottom w:val="none" w:sz="0" w:space="0" w:color="auto"/>
                                                    <w:right w:val="none" w:sz="0" w:space="0" w:color="auto"/>
                                                  </w:divBdr>
                                                  <w:divsChild>
                                                    <w:div w:id="1585140899">
                                                      <w:marLeft w:val="105"/>
                                                      <w:marRight w:val="105"/>
                                                      <w:marTop w:val="105"/>
                                                      <w:marBottom w:val="105"/>
                                                      <w:divBdr>
                                                        <w:top w:val="none" w:sz="0" w:space="0" w:color="auto"/>
                                                        <w:left w:val="none" w:sz="0" w:space="0" w:color="auto"/>
                                                        <w:bottom w:val="none" w:sz="0" w:space="0" w:color="auto"/>
                                                        <w:right w:val="none" w:sz="0" w:space="0" w:color="auto"/>
                                                      </w:divBdr>
                                                      <w:divsChild>
                                                        <w:div w:id="1056854384">
                                                          <w:marLeft w:val="0"/>
                                                          <w:marRight w:val="0"/>
                                                          <w:marTop w:val="0"/>
                                                          <w:marBottom w:val="0"/>
                                                          <w:divBdr>
                                                            <w:top w:val="none" w:sz="0" w:space="0" w:color="auto"/>
                                                            <w:left w:val="none" w:sz="0" w:space="0" w:color="auto"/>
                                                            <w:bottom w:val="none" w:sz="0" w:space="0" w:color="auto"/>
                                                            <w:right w:val="none" w:sz="0" w:space="0" w:color="auto"/>
                                                          </w:divBdr>
                                                          <w:divsChild>
                                                            <w:div w:id="1235163583">
                                                              <w:marLeft w:val="0"/>
                                                              <w:marRight w:val="0"/>
                                                              <w:marTop w:val="0"/>
                                                              <w:marBottom w:val="0"/>
                                                              <w:divBdr>
                                                                <w:top w:val="none" w:sz="0" w:space="0" w:color="auto"/>
                                                                <w:left w:val="none" w:sz="0" w:space="0" w:color="auto"/>
                                                                <w:bottom w:val="none" w:sz="0" w:space="0" w:color="auto"/>
                                                                <w:right w:val="none" w:sz="0" w:space="0" w:color="auto"/>
                                                              </w:divBdr>
                                                              <w:divsChild>
                                                                <w:div w:id="2221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352934">
                              <w:marLeft w:val="105"/>
                              <w:marRight w:val="105"/>
                              <w:marTop w:val="105"/>
                              <w:marBottom w:val="105"/>
                              <w:divBdr>
                                <w:top w:val="none" w:sz="0" w:space="0" w:color="auto"/>
                                <w:left w:val="none" w:sz="0" w:space="0" w:color="auto"/>
                                <w:bottom w:val="none" w:sz="0" w:space="0" w:color="auto"/>
                                <w:right w:val="none" w:sz="0" w:space="0" w:color="auto"/>
                              </w:divBdr>
                              <w:divsChild>
                                <w:div w:id="1806850033">
                                  <w:marLeft w:val="0"/>
                                  <w:marRight w:val="0"/>
                                  <w:marTop w:val="0"/>
                                  <w:marBottom w:val="0"/>
                                  <w:divBdr>
                                    <w:top w:val="none" w:sz="0" w:space="0" w:color="auto"/>
                                    <w:left w:val="none" w:sz="0" w:space="0" w:color="auto"/>
                                    <w:bottom w:val="none" w:sz="0" w:space="0" w:color="auto"/>
                                    <w:right w:val="none" w:sz="0" w:space="0" w:color="auto"/>
                                  </w:divBdr>
                                  <w:divsChild>
                                    <w:div w:id="1237596113">
                                      <w:marLeft w:val="0"/>
                                      <w:marRight w:val="0"/>
                                      <w:marTop w:val="0"/>
                                      <w:marBottom w:val="0"/>
                                      <w:divBdr>
                                        <w:top w:val="none" w:sz="0" w:space="0" w:color="auto"/>
                                        <w:left w:val="none" w:sz="0" w:space="0" w:color="auto"/>
                                        <w:bottom w:val="none" w:sz="0" w:space="0" w:color="auto"/>
                                        <w:right w:val="none" w:sz="0" w:space="0" w:color="auto"/>
                                      </w:divBdr>
                                      <w:divsChild>
                                        <w:div w:id="2861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884880">
      <w:bodyDiv w:val="1"/>
      <w:marLeft w:val="0"/>
      <w:marRight w:val="0"/>
      <w:marTop w:val="0"/>
      <w:marBottom w:val="0"/>
      <w:divBdr>
        <w:top w:val="none" w:sz="0" w:space="0" w:color="auto"/>
        <w:left w:val="none" w:sz="0" w:space="0" w:color="auto"/>
        <w:bottom w:val="none" w:sz="0" w:space="0" w:color="auto"/>
        <w:right w:val="none" w:sz="0" w:space="0" w:color="auto"/>
      </w:divBdr>
      <w:divsChild>
        <w:div w:id="951325364">
          <w:marLeft w:val="0"/>
          <w:marRight w:val="0"/>
          <w:marTop w:val="0"/>
          <w:marBottom w:val="0"/>
          <w:divBdr>
            <w:top w:val="none" w:sz="0" w:space="0" w:color="auto"/>
            <w:left w:val="none" w:sz="0" w:space="0" w:color="auto"/>
            <w:bottom w:val="none" w:sz="0" w:space="0" w:color="auto"/>
            <w:right w:val="none" w:sz="0" w:space="0" w:color="auto"/>
          </w:divBdr>
          <w:divsChild>
            <w:div w:id="845366405">
              <w:marLeft w:val="0"/>
              <w:marRight w:val="0"/>
              <w:marTop w:val="0"/>
              <w:marBottom w:val="0"/>
              <w:divBdr>
                <w:top w:val="none" w:sz="0" w:space="0" w:color="auto"/>
                <w:left w:val="none" w:sz="0" w:space="0" w:color="auto"/>
                <w:bottom w:val="none" w:sz="0" w:space="0" w:color="auto"/>
                <w:right w:val="none" w:sz="0" w:space="0" w:color="auto"/>
              </w:divBdr>
              <w:divsChild>
                <w:div w:id="1364093470">
                  <w:marLeft w:val="0"/>
                  <w:marRight w:val="0"/>
                  <w:marTop w:val="0"/>
                  <w:marBottom w:val="0"/>
                  <w:divBdr>
                    <w:top w:val="none" w:sz="0" w:space="0" w:color="auto"/>
                    <w:left w:val="none" w:sz="0" w:space="0" w:color="auto"/>
                    <w:bottom w:val="none" w:sz="0" w:space="0" w:color="auto"/>
                    <w:right w:val="none" w:sz="0" w:space="0" w:color="auto"/>
                  </w:divBdr>
                  <w:divsChild>
                    <w:div w:id="758409235">
                      <w:marLeft w:val="0"/>
                      <w:marRight w:val="0"/>
                      <w:marTop w:val="0"/>
                      <w:marBottom w:val="0"/>
                      <w:divBdr>
                        <w:top w:val="none" w:sz="0" w:space="0" w:color="auto"/>
                        <w:left w:val="none" w:sz="0" w:space="0" w:color="auto"/>
                        <w:bottom w:val="none" w:sz="0" w:space="0" w:color="auto"/>
                        <w:right w:val="none" w:sz="0" w:space="0" w:color="auto"/>
                      </w:divBdr>
                      <w:divsChild>
                        <w:div w:id="578758770">
                          <w:marLeft w:val="13380"/>
                          <w:marRight w:val="0"/>
                          <w:marTop w:val="0"/>
                          <w:marBottom w:val="0"/>
                          <w:divBdr>
                            <w:top w:val="none" w:sz="0" w:space="0" w:color="auto"/>
                            <w:left w:val="none" w:sz="0" w:space="0" w:color="auto"/>
                            <w:bottom w:val="none" w:sz="0" w:space="0" w:color="auto"/>
                            <w:right w:val="none" w:sz="0" w:space="0" w:color="auto"/>
                          </w:divBdr>
                          <w:divsChild>
                            <w:div w:id="2023968421">
                              <w:marLeft w:val="0"/>
                              <w:marRight w:val="0"/>
                              <w:marTop w:val="0"/>
                              <w:marBottom w:val="0"/>
                              <w:divBdr>
                                <w:top w:val="none" w:sz="0" w:space="0" w:color="auto"/>
                                <w:left w:val="none" w:sz="0" w:space="0" w:color="auto"/>
                                <w:bottom w:val="none" w:sz="0" w:space="0" w:color="auto"/>
                                <w:right w:val="none" w:sz="0" w:space="0" w:color="auto"/>
                              </w:divBdr>
                              <w:divsChild>
                                <w:div w:id="1567374880">
                                  <w:marLeft w:val="0"/>
                                  <w:marRight w:val="0"/>
                                  <w:marTop w:val="0"/>
                                  <w:marBottom w:val="0"/>
                                  <w:divBdr>
                                    <w:top w:val="none" w:sz="0" w:space="0" w:color="auto"/>
                                    <w:left w:val="none" w:sz="0" w:space="0" w:color="auto"/>
                                    <w:bottom w:val="none" w:sz="0" w:space="0" w:color="auto"/>
                                    <w:right w:val="none" w:sz="0" w:space="0" w:color="auto"/>
                                  </w:divBdr>
                                  <w:divsChild>
                                    <w:div w:id="1051151871">
                                      <w:marLeft w:val="0"/>
                                      <w:marRight w:val="0"/>
                                      <w:marTop w:val="0"/>
                                      <w:marBottom w:val="0"/>
                                      <w:divBdr>
                                        <w:top w:val="none" w:sz="0" w:space="0" w:color="auto"/>
                                        <w:left w:val="none" w:sz="0" w:space="0" w:color="auto"/>
                                        <w:bottom w:val="none" w:sz="0" w:space="0" w:color="auto"/>
                                        <w:right w:val="none" w:sz="0" w:space="0" w:color="auto"/>
                                      </w:divBdr>
                                      <w:divsChild>
                                        <w:div w:id="1755081387">
                                          <w:marLeft w:val="0"/>
                                          <w:marRight w:val="0"/>
                                          <w:marTop w:val="0"/>
                                          <w:marBottom w:val="0"/>
                                          <w:divBdr>
                                            <w:top w:val="none" w:sz="0" w:space="0" w:color="auto"/>
                                            <w:left w:val="none" w:sz="0" w:space="0" w:color="auto"/>
                                            <w:bottom w:val="none" w:sz="0" w:space="0" w:color="auto"/>
                                            <w:right w:val="none" w:sz="0" w:space="0" w:color="auto"/>
                                          </w:divBdr>
                                          <w:divsChild>
                                            <w:div w:id="1842431674">
                                              <w:marLeft w:val="0"/>
                                              <w:marRight w:val="0"/>
                                              <w:marTop w:val="0"/>
                                              <w:marBottom w:val="0"/>
                                              <w:divBdr>
                                                <w:top w:val="none" w:sz="0" w:space="0" w:color="auto"/>
                                                <w:left w:val="none" w:sz="0" w:space="0" w:color="auto"/>
                                                <w:bottom w:val="none" w:sz="0" w:space="0" w:color="auto"/>
                                                <w:right w:val="none" w:sz="0" w:space="0" w:color="auto"/>
                                              </w:divBdr>
                                              <w:divsChild>
                                                <w:div w:id="124155268">
                                                  <w:marLeft w:val="0"/>
                                                  <w:marRight w:val="0"/>
                                                  <w:marTop w:val="0"/>
                                                  <w:marBottom w:val="0"/>
                                                  <w:divBdr>
                                                    <w:top w:val="none" w:sz="0" w:space="0" w:color="auto"/>
                                                    <w:left w:val="none" w:sz="0" w:space="0" w:color="auto"/>
                                                    <w:bottom w:val="none" w:sz="0" w:space="0" w:color="auto"/>
                                                    <w:right w:val="none" w:sz="0" w:space="0" w:color="auto"/>
                                                  </w:divBdr>
                                                  <w:divsChild>
                                                    <w:div w:id="317921662">
                                                      <w:marLeft w:val="0"/>
                                                      <w:marRight w:val="0"/>
                                                      <w:marTop w:val="0"/>
                                                      <w:marBottom w:val="0"/>
                                                      <w:divBdr>
                                                        <w:top w:val="none" w:sz="0" w:space="0" w:color="auto"/>
                                                        <w:left w:val="none" w:sz="0" w:space="0" w:color="auto"/>
                                                        <w:bottom w:val="none" w:sz="0" w:space="0" w:color="auto"/>
                                                        <w:right w:val="none" w:sz="0" w:space="0" w:color="auto"/>
                                                      </w:divBdr>
                                                      <w:divsChild>
                                                        <w:div w:id="752509776">
                                                          <w:marLeft w:val="0"/>
                                                          <w:marRight w:val="0"/>
                                                          <w:marTop w:val="0"/>
                                                          <w:marBottom w:val="0"/>
                                                          <w:divBdr>
                                                            <w:top w:val="none" w:sz="0" w:space="0" w:color="auto"/>
                                                            <w:left w:val="none" w:sz="0" w:space="0" w:color="auto"/>
                                                            <w:bottom w:val="none" w:sz="0" w:space="0" w:color="auto"/>
                                                            <w:right w:val="none" w:sz="0" w:space="0" w:color="auto"/>
                                                          </w:divBdr>
                                                          <w:divsChild>
                                                            <w:div w:id="187374552">
                                                              <w:marLeft w:val="0"/>
                                                              <w:marRight w:val="0"/>
                                                              <w:marTop w:val="0"/>
                                                              <w:marBottom w:val="0"/>
                                                              <w:divBdr>
                                                                <w:top w:val="none" w:sz="0" w:space="0" w:color="auto"/>
                                                                <w:left w:val="none" w:sz="0" w:space="0" w:color="auto"/>
                                                                <w:bottom w:val="none" w:sz="0" w:space="0" w:color="auto"/>
                                                                <w:right w:val="none" w:sz="0" w:space="0" w:color="auto"/>
                                                              </w:divBdr>
                                                              <w:divsChild>
                                                                <w:div w:id="5356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3526365">
      <w:bodyDiv w:val="1"/>
      <w:marLeft w:val="0"/>
      <w:marRight w:val="0"/>
      <w:marTop w:val="0"/>
      <w:marBottom w:val="0"/>
      <w:divBdr>
        <w:top w:val="none" w:sz="0" w:space="0" w:color="auto"/>
        <w:left w:val="none" w:sz="0" w:space="0" w:color="auto"/>
        <w:bottom w:val="none" w:sz="0" w:space="0" w:color="auto"/>
        <w:right w:val="none" w:sz="0" w:space="0" w:color="auto"/>
      </w:divBdr>
      <w:divsChild>
        <w:div w:id="560676529">
          <w:marLeft w:val="0"/>
          <w:marRight w:val="0"/>
          <w:marTop w:val="0"/>
          <w:marBottom w:val="0"/>
          <w:divBdr>
            <w:top w:val="none" w:sz="0" w:space="0" w:color="auto"/>
            <w:left w:val="none" w:sz="0" w:space="0" w:color="auto"/>
            <w:bottom w:val="none" w:sz="0" w:space="0" w:color="auto"/>
            <w:right w:val="none" w:sz="0" w:space="0" w:color="auto"/>
          </w:divBdr>
          <w:divsChild>
            <w:div w:id="1688172393">
              <w:marLeft w:val="0"/>
              <w:marRight w:val="0"/>
              <w:marTop w:val="100"/>
              <w:marBottom w:val="100"/>
              <w:divBdr>
                <w:top w:val="none" w:sz="0" w:space="0" w:color="auto"/>
                <w:left w:val="none" w:sz="0" w:space="0" w:color="auto"/>
                <w:bottom w:val="none" w:sz="0" w:space="0" w:color="auto"/>
                <w:right w:val="none" w:sz="0" w:space="0" w:color="auto"/>
              </w:divBdr>
              <w:divsChild>
                <w:div w:id="85074739">
                  <w:marLeft w:val="0"/>
                  <w:marRight w:val="0"/>
                  <w:marTop w:val="0"/>
                  <w:marBottom w:val="0"/>
                  <w:divBdr>
                    <w:top w:val="none" w:sz="0" w:space="0" w:color="auto"/>
                    <w:left w:val="none" w:sz="0" w:space="0" w:color="auto"/>
                    <w:bottom w:val="none" w:sz="0" w:space="0" w:color="auto"/>
                    <w:right w:val="none" w:sz="0" w:space="0" w:color="auto"/>
                  </w:divBdr>
                  <w:divsChild>
                    <w:div w:id="557278952">
                      <w:marLeft w:val="0"/>
                      <w:marRight w:val="0"/>
                      <w:marTop w:val="0"/>
                      <w:marBottom w:val="0"/>
                      <w:divBdr>
                        <w:top w:val="none" w:sz="0" w:space="0" w:color="auto"/>
                        <w:left w:val="none" w:sz="0" w:space="0" w:color="auto"/>
                        <w:bottom w:val="none" w:sz="0" w:space="0" w:color="auto"/>
                        <w:right w:val="none" w:sz="0" w:space="0" w:color="auto"/>
                      </w:divBdr>
                      <w:divsChild>
                        <w:div w:id="1871991367">
                          <w:marLeft w:val="0"/>
                          <w:marRight w:val="0"/>
                          <w:marTop w:val="0"/>
                          <w:marBottom w:val="0"/>
                          <w:divBdr>
                            <w:top w:val="none" w:sz="0" w:space="0" w:color="auto"/>
                            <w:left w:val="none" w:sz="0" w:space="0" w:color="auto"/>
                            <w:bottom w:val="none" w:sz="0" w:space="0" w:color="auto"/>
                            <w:right w:val="none" w:sz="0" w:space="0" w:color="auto"/>
                          </w:divBdr>
                          <w:divsChild>
                            <w:div w:id="1202285305">
                              <w:marLeft w:val="0"/>
                              <w:marRight w:val="0"/>
                              <w:marTop w:val="0"/>
                              <w:marBottom w:val="0"/>
                              <w:divBdr>
                                <w:top w:val="none" w:sz="0" w:space="0" w:color="auto"/>
                                <w:left w:val="none" w:sz="0" w:space="0" w:color="auto"/>
                                <w:bottom w:val="none" w:sz="0" w:space="0" w:color="auto"/>
                                <w:right w:val="none" w:sz="0" w:space="0" w:color="auto"/>
                              </w:divBdr>
                              <w:divsChild>
                                <w:div w:id="1739522300">
                                  <w:marLeft w:val="0"/>
                                  <w:marRight w:val="0"/>
                                  <w:marTop w:val="0"/>
                                  <w:marBottom w:val="0"/>
                                  <w:divBdr>
                                    <w:top w:val="none" w:sz="0" w:space="0" w:color="auto"/>
                                    <w:left w:val="none" w:sz="0" w:space="0" w:color="auto"/>
                                    <w:bottom w:val="none" w:sz="0" w:space="0" w:color="auto"/>
                                    <w:right w:val="none" w:sz="0" w:space="0" w:color="auto"/>
                                  </w:divBdr>
                                  <w:divsChild>
                                    <w:div w:id="1263875772">
                                      <w:marLeft w:val="165"/>
                                      <w:marRight w:val="165"/>
                                      <w:marTop w:val="0"/>
                                      <w:marBottom w:val="0"/>
                                      <w:divBdr>
                                        <w:top w:val="none" w:sz="0" w:space="0" w:color="auto"/>
                                        <w:left w:val="none" w:sz="0" w:space="0" w:color="auto"/>
                                        <w:bottom w:val="none" w:sz="0" w:space="0" w:color="auto"/>
                                        <w:right w:val="none" w:sz="0" w:space="0" w:color="auto"/>
                                      </w:divBdr>
                                      <w:divsChild>
                                        <w:div w:id="1566719470">
                                          <w:marLeft w:val="0"/>
                                          <w:marRight w:val="0"/>
                                          <w:marTop w:val="0"/>
                                          <w:marBottom w:val="0"/>
                                          <w:divBdr>
                                            <w:top w:val="none" w:sz="0" w:space="0" w:color="auto"/>
                                            <w:left w:val="none" w:sz="0" w:space="0" w:color="auto"/>
                                            <w:bottom w:val="none" w:sz="0" w:space="0" w:color="auto"/>
                                            <w:right w:val="none" w:sz="0" w:space="0" w:color="auto"/>
                                          </w:divBdr>
                                        </w:div>
                                        <w:div w:id="15667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663322">
      <w:bodyDiv w:val="1"/>
      <w:marLeft w:val="0"/>
      <w:marRight w:val="0"/>
      <w:marTop w:val="0"/>
      <w:marBottom w:val="0"/>
      <w:divBdr>
        <w:top w:val="none" w:sz="0" w:space="0" w:color="auto"/>
        <w:left w:val="none" w:sz="0" w:space="0" w:color="auto"/>
        <w:bottom w:val="none" w:sz="0" w:space="0" w:color="auto"/>
        <w:right w:val="none" w:sz="0" w:space="0" w:color="auto"/>
      </w:divBdr>
    </w:div>
    <w:div w:id="466751203">
      <w:bodyDiv w:val="1"/>
      <w:marLeft w:val="0"/>
      <w:marRight w:val="0"/>
      <w:marTop w:val="0"/>
      <w:marBottom w:val="0"/>
      <w:divBdr>
        <w:top w:val="none" w:sz="0" w:space="0" w:color="auto"/>
        <w:left w:val="none" w:sz="0" w:space="0" w:color="auto"/>
        <w:bottom w:val="none" w:sz="0" w:space="0" w:color="auto"/>
        <w:right w:val="none" w:sz="0" w:space="0" w:color="auto"/>
      </w:divBdr>
      <w:divsChild>
        <w:div w:id="262736442">
          <w:marLeft w:val="0"/>
          <w:marRight w:val="0"/>
          <w:marTop w:val="0"/>
          <w:marBottom w:val="0"/>
          <w:divBdr>
            <w:top w:val="none" w:sz="0" w:space="0" w:color="auto"/>
            <w:left w:val="none" w:sz="0" w:space="0" w:color="auto"/>
            <w:bottom w:val="none" w:sz="0" w:space="0" w:color="auto"/>
            <w:right w:val="none" w:sz="0" w:space="0" w:color="auto"/>
          </w:divBdr>
        </w:div>
      </w:divsChild>
    </w:div>
    <w:div w:id="496926656">
      <w:bodyDiv w:val="1"/>
      <w:marLeft w:val="0"/>
      <w:marRight w:val="0"/>
      <w:marTop w:val="0"/>
      <w:marBottom w:val="0"/>
      <w:divBdr>
        <w:top w:val="none" w:sz="0" w:space="0" w:color="auto"/>
        <w:left w:val="none" w:sz="0" w:space="0" w:color="auto"/>
        <w:bottom w:val="none" w:sz="0" w:space="0" w:color="auto"/>
        <w:right w:val="none" w:sz="0" w:space="0" w:color="auto"/>
      </w:divBdr>
      <w:divsChild>
        <w:div w:id="1340237747">
          <w:marLeft w:val="0"/>
          <w:marRight w:val="0"/>
          <w:marTop w:val="0"/>
          <w:marBottom w:val="0"/>
          <w:divBdr>
            <w:top w:val="none" w:sz="0" w:space="0" w:color="auto"/>
            <w:left w:val="none" w:sz="0" w:space="0" w:color="auto"/>
            <w:bottom w:val="none" w:sz="0" w:space="0" w:color="auto"/>
            <w:right w:val="none" w:sz="0" w:space="0" w:color="auto"/>
          </w:divBdr>
          <w:divsChild>
            <w:div w:id="9224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91768">
      <w:bodyDiv w:val="1"/>
      <w:marLeft w:val="0"/>
      <w:marRight w:val="0"/>
      <w:marTop w:val="0"/>
      <w:marBottom w:val="0"/>
      <w:divBdr>
        <w:top w:val="none" w:sz="0" w:space="0" w:color="auto"/>
        <w:left w:val="none" w:sz="0" w:space="0" w:color="auto"/>
        <w:bottom w:val="none" w:sz="0" w:space="0" w:color="auto"/>
        <w:right w:val="none" w:sz="0" w:space="0" w:color="auto"/>
      </w:divBdr>
      <w:divsChild>
        <w:div w:id="1044212944">
          <w:marLeft w:val="0"/>
          <w:marRight w:val="0"/>
          <w:marTop w:val="0"/>
          <w:marBottom w:val="0"/>
          <w:divBdr>
            <w:top w:val="none" w:sz="0" w:space="0" w:color="auto"/>
            <w:left w:val="none" w:sz="0" w:space="0" w:color="auto"/>
            <w:bottom w:val="none" w:sz="0" w:space="0" w:color="auto"/>
            <w:right w:val="none" w:sz="0" w:space="0" w:color="auto"/>
          </w:divBdr>
        </w:div>
      </w:divsChild>
    </w:div>
    <w:div w:id="671613925">
      <w:bodyDiv w:val="1"/>
      <w:marLeft w:val="0"/>
      <w:marRight w:val="0"/>
      <w:marTop w:val="0"/>
      <w:marBottom w:val="0"/>
      <w:divBdr>
        <w:top w:val="none" w:sz="0" w:space="0" w:color="auto"/>
        <w:left w:val="none" w:sz="0" w:space="0" w:color="auto"/>
        <w:bottom w:val="none" w:sz="0" w:space="0" w:color="auto"/>
        <w:right w:val="none" w:sz="0" w:space="0" w:color="auto"/>
      </w:divBdr>
    </w:div>
    <w:div w:id="757797543">
      <w:bodyDiv w:val="1"/>
      <w:marLeft w:val="0"/>
      <w:marRight w:val="0"/>
      <w:marTop w:val="0"/>
      <w:marBottom w:val="0"/>
      <w:divBdr>
        <w:top w:val="none" w:sz="0" w:space="0" w:color="auto"/>
        <w:left w:val="none" w:sz="0" w:space="0" w:color="auto"/>
        <w:bottom w:val="none" w:sz="0" w:space="0" w:color="auto"/>
        <w:right w:val="none" w:sz="0" w:space="0" w:color="auto"/>
      </w:divBdr>
      <w:divsChild>
        <w:div w:id="1762333038">
          <w:marLeft w:val="0"/>
          <w:marRight w:val="0"/>
          <w:marTop w:val="0"/>
          <w:marBottom w:val="0"/>
          <w:divBdr>
            <w:top w:val="none" w:sz="0" w:space="0" w:color="auto"/>
            <w:left w:val="none" w:sz="0" w:space="0" w:color="auto"/>
            <w:bottom w:val="none" w:sz="0" w:space="0" w:color="auto"/>
            <w:right w:val="none" w:sz="0" w:space="0" w:color="auto"/>
          </w:divBdr>
        </w:div>
      </w:divsChild>
    </w:div>
    <w:div w:id="811211581">
      <w:bodyDiv w:val="1"/>
      <w:marLeft w:val="0"/>
      <w:marRight w:val="0"/>
      <w:marTop w:val="0"/>
      <w:marBottom w:val="0"/>
      <w:divBdr>
        <w:top w:val="none" w:sz="0" w:space="0" w:color="auto"/>
        <w:left w:val="none" w:sz="0" w:space="0" w:color="auto"/>
        <w:bottom w:val="none" w:sz="0" w:space="0" w:color="auto"/>
        <w:right w:val="none" w:sz="0" w:space="0" w:color="auto"/>
      </w:divBdr>
      <w:divsChild>
        <w:div w:id="1978026963">
          <w:marLeft w:val="0"/>
          <w:marRight w:val="0"/>
          <w:marTop w:val="0"/>
          <w:marBottom w:val="0"/>
          <w:divBdr>
            <w:top w:val="none" w:sz="0" w:space="0" w:color="auto"/>
            <w:left w:val="none" w:sz="0" w:space="0" w:color="auto"/>
            <w:bottom w:val="none" w:sz="0" w:space="0" w:color="auto"/>
            <w:right w:val="none" w:sz="0" w:space="0" w:color="auto"/>
          </w:divBdr>
        </w:div>
      </w:divsChild>
    </w:div>
    <w:div w:id="1196386840">
      <w:bodyDiv w:val="1"/>
      <w:marLeft w:val="0"/>
      <w:marRight w:val="0"/>
      <w:marTop w:val="0"/>
      <w:marBottom w:val="0"/>
      <w:divBdr>
        <w:top w:val="none" w:sz="0" w:space="0" w:color="auto"/>
        <w:left w:val="none" w:sz="0" w:space="0" w:color="auto"/>
        <w:bottom w:val="none" w:sz="0" w:space="0" w:color="auto"/>
        <w:right w:val="none" w:sz="0" w:space="0" w:color="auto"/>
      </w:divBdr>
    </w:div>
    <w:div w:id="1413040926">
      <w:bodyDiv w:val="1"/>
      <w:marLeft w:val="0"/>
      <w:marRight w:val="0"/>
      <w:marTop w:val="0"/>
      <w:marBottom w:val="0"/>
      <w:divBdr>
        <w:top w:val="none" w:sz="0" w:space="0" w:color="auto"/>
        <w:left w:val="none" w:sz="0" w:space="0" w:color="auto"/>
        <w:bottom w:val="none" w:sz="0" w:space="0" w:color="auto"/>
        <w:right w:val="none" w:sz="0" w:space="0" w:color="auto"/>
      </w:divBdr>
      <w:divsChild>
        <w:div w:id="1938710787">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8831">
      <w:bodyDiv w:val="1"/>
      <w:marLeft w:val="0"/>
      <w:marRight w:val="0"/>
      <w:marTop w:val="0"/>
      <w:marBottom w:val="0"/>
      <w:divBdr>
        <w:top w:val="none" w:sz="0" w:space="0" w:color="auto"/>
        <w:left w:val="none" w:sz="0" w:space="0" w:color="auto"/>
        <w:bottom w:val="none" w:sz="0" w:space="0" w:color="auto"/>
        <w:right w:val="none" w:sz="0" w:space="0" w:color="auto"/>
      </w:divBdr>
    </w:div>
    <w:div w:id="1802728916">
      <w:bodyDiv w:val="1"/>
      <w:marLeft w:val="0"/>
      <w:marRight w:val="0"/>
      <w:marTop w:val="0"/>
      <w:marBottom w:val="0"/>
      <w:divBdr>
        <w:top w:val="none" w:sz="0" w:space="0" w:color="auto"/>
        <w:left w:val="none" w:sz="0" w:space="0" w:color="auto"/>
        <w:bottom w:val="none" w:sz="0" w:space="0" w:color="auto"/>
        <w:right w:val="none" w:sz="0" w:space="0" w:color="auto"/>
      </w:divBdr>
      <w:divsChild>
        <w:div w:id="1676761364">
          <w:marLeft w:val="1800"/>
          <w:marRight w:val="0"/>
          <w:marTop w:val="96"/>
          <w:marBottom w:val="0"/>
          <w:divBdr>
            <w:top w:val="none" w:sz="0" w:space="0" w:color="auto"/>
            <w:left w:val="none" w:sz="0" w:space="0" w:color="auto"/>
            <w:bottom w:val="none" w:sz="0" w:space="0" w:color="auto"/>
            <w:right w:val="none" w:sz="0" w:space="0" w:color="auto"/>
          </w:divBdr>
        </w:div>
      </w:divsChild>
    </w:div>
    <w:div w:id="1922715708">
      <w:bodyDiv w:val="1"/>
      <w:marLeft w:val="0"/>
      <w:marRight w:val="0"/>
      <w:marTop w:val="0"/>
      <w:marBottom w:val="0"/>
      <w:divBdr>
        <w:top w:val="none" w:sz="0" w:space="0" w:color="auto"/>
        <w:left w:val="none" w:sz="0" w:space="0" w:color="auto"/>
        <w:bottom w:val="none" w:sz="0" w:space="0" w:color="auto"/>
        <w:right w:val="none" w:sz="0" w:space="0" w:color="auto"/>
      </w:divBdr>
      <w:divsChild>
        <w:div w:id="807934607">
          <w:marLeft w:val="1800"/>
          <w:marRight w:val="0"/>
          <w:marTop w:val="96"/>
          <w:marBottom w:val="0"/>
          <w:divBdr>
            <w:top w:val="none" w:sz="0" w:space="0" w:color="auto"/>
            <w:left w:val="none" w:sz="0" w:space="0" w:color="auto"/>
            <w:bottom w:val="none" w:sz="0" w:space="0" w:color="auto"/>
            <w:right w:val="none" w:sz="0" w:space="0" w:color="auto"/>
          </w:divBdr>
        </w:div>
      </w:divsChild>
    </w:div>
    <w:div w:id="1924214783">
      <w:bodyDiv w:val="1"/>
      <w:marLeft w:val="0"/>
      <w:marRight w:val="0"/>
      <w:marTop w:val="0"/>
      <w:marBottom w:val="0"/>
      <w:divBdr>
        <w:top w:val="none" w:sz="0" w:space="0" w:color="auto"/>
        <w:left w:val="none" w:sz="0" w:space="0" w:color="auto"/>
        <w:bottom w:val="none" w:sz="0" w:space="0" w:color="auto"/>
        <w:right w:val="none" w:sz="0" w:space="0" w:color="auto"/>
      </w:divBdr>
    </w:div>
    <w:div w:id="1942057287">
      <w:bodyDiv w:val="1"/>
      <w:marLeft w:val="0"/>
      <w:marRight w:val="0"/>
      <w:marTop w:val="0"/>
      <w:marBottom w:val="0"/>
      <w:divBdr>
        <w:top w:val="none" w:sz="0" w:space="0" w:color="auto"/>
        <w:left w:val="none" w:sz="0" w:space="0" w:color="auto"/>
        <w:bottom w:val="none" w:sz="0" w:space="0" w:color="auto"/>
        <w:right w:val="none" w:sz="0" w:space="0" w:color="auto"/>
      </w:divBdr>
      <w:divsChild>
        <w:div w:id="770009060">
          <w:marLeft w:val="0"/>
          <w:marRight w:val="0"/>
          <w:marTop w:val="0"/>
          <w:marBottom w:val="150"/>
          <w:divBdr>
            <w:top w:val="none" w:sz="0" w:space="0" w:color="auto"/>
            <w:left w:val="none" w:sz="0" w:space="0" w:color="auto"/>
            <w:bottom w:val="none" w:sz="0" w:space="0" w:color="auto"/>
            <w:right w:val="none" w:sz="0" w:space="0" w:color="auto"/>
          </w:divBdr>
        </w:div>
      </w:divsChild>
    </w:div>
    <w:div w:id="20580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timeshighereducation.com/features/times-higher-education-v-c-pay-survey-2018" TargetMode="External"/><Relationship Id="rId4" Type="http://schemas.openxmlformats.org/officeDocument/2006/relationships/settings" Target="settings.xml"/><Relationship Id="rId9" Type="http://schemas.openxmlformats.org/officeDocument/2006/relationships/hyperlink" Target="https://www.annualreviews.org/journal/s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C547-EA96-4BF6-BF9E-669A0487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10358</Words>
  <Characters>59047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Elmagrhi</dc:creator>
  <cp:keywords/>
  <dc:description/>
  <cp:lastModifiedBy>Collins Ntim</cp:lastModifiedBy>
  <cp:revision>5</cp:revision>
  <cp:lastPrinted>2022-05-28T09:19:00Z</cp:lastPrinted>
  <dcterms:created xsi:type="dcterms:W3CDTF">2022-06-09T16:06:00Z</dcterms:created>
  <dcterms:modified xsi:type="dcterms:W3CDTF">2022-06-09T16:39:00Z</dcterms:modified>
</cp:coreProperties>
</file>