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1"/>
        <w:tblpPr w:leftFromText="180" w:rightFromText="180" w:vertAnchor="page" w:horzAnchor="margin" w:tblpXSpec="center" w:tblpY="787"/>
        <w:tblW w:w="1658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gridCol w:w="5814"/>
      </w:tblGrid>
      <w:tr w:rsidR="00974DC3" w:rsidRPr="00974DC3" w14:paraId="699CEE4A" w14:textId="77777777" w:rsidTr="0039569F">
        <w:tc>
          <w:tcPr>
            <w:tcW w:w="10773" w:type="dxa"/>
            <w:tcBorders>
              <w:top w:val="nil"/>
              <w:bottom w:val="single" w:sz="12" w:space="0" w:color="auto"/>
            </w:tcBorders>
          </w:tcPr>
          <w:p w14:paraId="70B9B3AE" w14:textId="763122C0" w:rsidR="00974DC3" w:rsidRPr="00974DC3" w:rsidRDefault="0051717F" w:rsidP="00974DC3">
            <w:pPr>
              <w:contextualSpacing/>
              <w:rPr>
                <w:rFonts w:ascii="Times New Roman" w:eastAsia="Calibri" w:hAnsi="Times New Roman" w:cs="Arial"/>
                <w:b/>
                <w:sz w:val="20"/>
                <w:szCs w:val="20"/>
              </w:rPr>
            </w:pPr>
            <w:r>
              <w:rPr>
                <w:rFonts w:ascii="Times New Roman" w:eastAsia="Calibri" w:hAnsi="Times New Roman" w:cs="Arial"/>
                <w:b/>
                <w:sz w:val="20"/>
                <w:szCs w:val="20"/>
              </w:rPr>
              <w:t xml:space="preserve">Online </w:t>
            </w:r>
            <w:r w:rsidR="004D65E3">
              <w:rPr>
                <w:rFonts w:ascii="Times New Roman" w:eastAsia="Calibri" w:hAnsi="Times New Roman" w:cs="Arial"/>
                <w:b/>
                <w:sz w:val="20"/>
                <w:szCs w:val="20"/>
              </w:rPr>
              <w:t>Appendix</w:t>
            </w:r>
            <w:r w:rsidR="00974DC3" w:rsidRPr="00974DC3">
              <w:rPr>
                <w:rFonts w:ascii="Times New Roman" w:eastAsia="Calibri" w:hAnsi="Times New Roman" w:cs="Arial"/>
                <w:b/>
                <w:sz w:val="20"/>
                <w:szCs w:val="20"/>
              </w:rPr>
              <w:t xml:space="preserve"> 1. </w:t>
            </w:r>
            <w:r w:rsidR="00974DC3" w:rsidRPr="00974DC3">
              <w:rPr>
                <w:rFonts w:ascii="Times New Roman" w:eastAsia="Calibri" w:hAnsi="Times New Roman" w:cs="Arial"/>
                <w:sz w:val="20"/>
                <w:szCs w:val="20"/>
              </w:rPr>
              <w:t>Summary of measures and variables</w:t>
            </w:r>
          </w:p>
        </w:tc>
        <w:tc>
          <w:tcPr>
            <w:tcW w:w="5814" w:type="dxa"/>
            <w:tcBorders>
              <w:top w:val="nil"/>
              <w:bottom w:val="single" w:sz="12" w:space="0" w:color="auto"/>
            </w:tcBorders>
          </w:tcPr>
          <w:p w14:paraId="1F2F0343" w14:textId="77777777" w:rsidR="00974DC3" w:rsidRPr="00974DC3" w:rsidRDefault="00974DC3" w:rsidP="00974DC3">
            <w:pPr>
              <w:contextualSpacing/>
              <w:rPr>
                <w:rFonts w:ascii="Times New Roman" w:eastAsia="Calibri" w:hAnsi="Times New Roman" w:cs="Arial"/>
                <w:b/>
                <w:sz w:val="20"/>
                <w:szCs w:val="20"/>
              </w:rPr>
            </w:pPr>
          </w:p>
        </w:tc>
      </w:tr>
      <w:tr w:rsidR="00974DC3" w:rsidRPr="00974DC3" w14:paraId="021E30A0" w14:textId="77777777" w:rsidTr="0039569F">
        <w:trPr>
          <w:trHeight w:val="290"/>
        </w:trPr>
        <w:tc>
          <w:tcPr>
            <w:tcW w:w="10773" w:type="dxa"/>
            <w:tcBorders>
              <w:top w:val="single" w:sz="12" w:space="0" w:color="auto"/>
              <w:bottom w:val="single" w:sz="2" w:space="0" w:color="auto"/>
            </w:tcBorders>
          </w:tcPr>
          <w:p w14:paraId="446E7BA0" w14:textId="77777777" w:rsidR="00974DC3" w:rsidRPr="00974DC3" w:rsidRDefault="00974DC3" w:rsidP="00974DC3">
            <w:pPr>
              <w:contextualSpacing/>
              <w:rPr>
                <w:rFonts w:ascii="Times New Roman" w:eastAsia="Calibri" w:hAnsi="Times New Roman" w:cs="Arial"/>
                <w:bCs/>
                <w:sz w:val="20"/>
                <w:szCs w:val="20"/>
              </w:rPr>
            </w:pPr>
            <w:r w:rsidRPr="00974DC3">
              <w:rPr>
                <w:rFonts w:ascii="Times New Roman" w:eastAsia="Calibri" w:hAnsi="Times New Roman" w:cs="Arial"/>
                <w:bCs/>
                <w:sz w:val="20"/>
                <w:szCs w:val="20"/>
              </w:rPr>
              <w:t xml:space="preserve">Study’s variables </w:t>
            </w:r>
          </w:p>
        </w:tc>
        <w:tc>
          <w:tcPr>
            <w:tcW w:w="5814" w:type="dxa"/>
            <w:tcBorders>
              <w:top w:val="single" w:sz="12" w:space="0" w:color="auto"/>
              <w:bottom w:val="single" w:sz="2" w:space="0" w:color="auto"/>
            </w:tcBorders>
          </w:tcPr>
          <w:p w14:paraId="5D8994CC" w14:textId="77777777" w:rsidR="00974DC3" w:rsidRPr="00974DC3" w:rsidRDefault="00974DC3" w:rsidP="00974DC3">
            <w:pPr>
              <w:contextualSpacing/>
              <w:rPr>
                <w:rFonts w:ascii="Times New Roman" w:eastAsia="Calibri" w:hAnsi="Times New Roman" w:cs="Arial"/>
                <w:bCs/>
                <w:sz w:val="20"/>
                <w:szCs w:val="20"/>
              </w:rPr>
            </w:pPr>
            <w:r w:rsidRPr="00974DC3">
              <w:rPr>
                <w:rFonts w:ascii="Times New Roman" w:eastAsia="Calibri" w:hAnsi="Times New Roman" w:cs="Arial"/>
                <w:bCs/>
                <w:sz w:val="20"/>
                <w:szCs w:val="20"/>
              </w:rPr>
              <w:t xml:space="preserve">Data sources </w:t>
            </w:r>
          </w:p>
        </w:tc>
      </w:tr>
      <w:tr w:rsidR="00974DC3" w:rsidRPr="00974DC3" w14:paraId="7D31EC2C" w14:textId="77777777" w:rsidTr="0039569F">
        <w:trPr>
          <w:trHeight w:val="350"/>
        </w:trPr>
        <w:tc>
          <w:tcPr>
            <w:tcW w:w="16587" w:type="dxa"/>
            <w:gridSpan w:val="2"/>
            <w:tcBorders>
              <w:top w:val="single" w:sz="2" w:space="0" w:color="auto"/>
              <w:bottom w:val="nil"/>
            </w:tcBorders>
          </w:tcPr>
          <w:p w14:paraId="5B3C2DC9" w14:textId="77777777" w:rsidR="00974DC3" w:rsidRPr="00974DC3" w:rsidRDefault="00974DC3" w:rsidP="00974DC3">
            <w:pPr>
              <w:contextualSpacing/>
              <w:rPr>
                <w:rFonts w:ascii="Times New Roman" w:eastAsia="Calibri" w:hAnsi="Times New Roman" w:cs="Arial"/>
                <w:bCs/>
                <w:i/>
                <w:iCs/>
                <w:sz w:val="10"/>
                <w:szCs w:val="10"/>
              </w:rPr>
            </w:pPr>
          </w:p>
          <w:p w14:paraId="2EB552B0" w14:textId="77777777" w:rsidR="00974DC3" w:rsidRPr="00974DC3" w:rsidRDefault="00974DC3" w:rsidP="00974DC3">
            <w:pPr>
              <w:contextualSpacing/>
              <w:rPr>
                <w:rFonts w:ascii="Times New Roman" w:eastAsia="Calibri" w:hAnsi="Times New Roman" w:cs="Arial"/>
                <w:bCs/>
                <w:i/>
                <w:iCs/>
                <w:sz w:val="20"/>
                <w:szCs w:val="20"/>
              </w:rPr>
            </w:pPr>
            <w:r w:rsidRPr="00974DC3">
              <w:rPr>
                <w:rFonts w:ascii="Times New Roman" w:eastAsia="Calibri" w:hAnsi="Times New Roman" w:cs="Arial"/>
                <w:bCs/>
                <w:i/>
                <w:iCs/>
                <w:sz w:val="20"/>
                <w:szCs w:val="20"/>
              </w:rPr>
              <w:t>HEIs’ performance – independent variables</w:t>
            </w:r>
          </w:p>
        </w:tc>
      </w:tr>
      <w:tr w:rsidR="007B16DF" w:rsidRPr="00974DC3" w14:paraId="406EBDB1" w14:textId="77777777" w:rsidTr="0039569F">
        <w:trPr>
          <w:trHeight w:val="359"/>
        </w:trPr>
        <w:tc>
          <w:tcPr>
            <w:tcW w:w="16587" w:type="dxa"/>
            <w:gridSpan w:val="2"/>
            <w:tcBorders>
              <w:top w:val="nil"/>
            </w:tcBorders>
          </w:tcPr>
          <w:p w14:paraId="12B823A4" w14:textId="77777777" w:rsidR="007B16DF" w:rsidRPr="00974DC3" w:rsidRDefault="007B16DF" w:rsidP="00974DC3">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Higher education institution performance consisting of long- and short-term performance proxies:</w:t>
            </w:r>
          </w:p>
          <w:p w14:paraId="3D3BF690" w14:textId="77777777" w:rsidR="007B16DF" w:rsidRPr="00974DC3" w:rsidRDefault="007B16DF" w:rsidP="00974DC3">
            <w:pPr>
              <w:contextualSpacing/>
              <w:rPr>
                <w:rFonts w:ascii="Times New Roman" w:eastAsia="Calibri" w:hAnsi="Times New Roman" w:cs="Arial"/>
                <w:bCs/>
                <w:i/>
                <w:iCs/>
                <w:sz w:val="2"/>
                <w:szCs w:val="2"/>
              </w:rPr>
            </w:pPr>
          </w:p>
        </w:tc>
      </w:tr>
      <w:tr w:rsidR="007B16DF" w:rsidRPr="00974DC3" w14:paraId="100A4D53" w14:textId="77777777" w:rsidTr="0039569F">
        <w:trPr>
          <w:trHeight w:val="196"/>
        </w:trPr>
        <w:tc>
          <w:tcPr>
            <w:tcW w:w="10773" w:type="dxa"/>
            <w:tcBorders>
              <w:top w:val="nil"/>
            </w:tcBorders>
          </w:tcPr>
          <w:p w14:paraId="2A8ECD99" w14:textId="77777777" w:rsidR="007B16DF" w:rsidRPr="00974DC3" w:rsidRDefault="007B16DF" w:rsidP="00974DC3">
            <w:pPr>
              <w:numPr>
                <w:ilvl w:val="0"/>
                <w:numId w:val="1"/>
              </w:numPr>
              <w:autoSpaceDE w:val="0"/>
              <w:adjustRightInd w:val="0"/>
              <w:ind w:left="316"/>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Long-term performance proxies:</w:t>
            </w:r>
          </w:p>
        </w:tc>
        <w:tc>
          <w:tcPr>
            <w:tcW w:w="5814" w:type="dxa"/>
            <w:tcBorders>
              <w:top w:val="nil"/>
            </w:tcBorders>
          </w:tcPr>
          <w:p w14:paraId="4372393A" w14:textId="77777777" w:rsidR="007B16DF" w:rsidRPr="00974DC3" w:rsidRDefault="007B16DF" w:rsidP="00974DC3">
            <w:pPr>
              <w:contextualSpacing/>
              <w:rPr>
                <w:rFonts w:ascii="Times New Roman" w:eastAsia="Calibri" w:hAnsi="Times New Roman" w:cs="Arial"/>
                <w:bCs/>
                <w:i/>
                <w:iCs/>
                <w:sz w:val="20"/>
                <w:szCs w:val="20"/>
              </w:rPr>
            </w:pPr>
          </w:p>
        </w:tc>
      </w:tr>
      <w:tr w:rsidR="007B16DF" w:rsidRPr="00974DC3" w14:paraId="447FD1F9" w14:textId="77777777" w:rsidTr="0039569F">
        <w:trPr>
          <w:trHeight w:val="359"/>
        </w:trPr>
        <w:tc>
          <w:tcPr>
            <w:tcW w:w="10773" w:type="dxa"/>
            <w:tcBorders>
              <w:top w:val="nil"/>
            </w:tcBorders>
          </w:tcPr>
          <w:p w14:paraId="5622CA3E" w14:textId="0D204E84" w:rsidR="007B16DF" w:rsidRPr="00974DC3" w:rsidRDefault="007B16DF" w:rsidP="00974DC3">
            <w:pPr>
              <w:numPr>
                <w:ilvl w:val="0"/>
                <w:numId w:val="2"/>
              </w:numPr>
              <w:autoSpaceDE w:val="0"/>
              <w:adjustRightInd w:val="0"/>
              <w:ind w:left="458"/>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Non-continuation in HE (NLHE) – natural log of the total number of students, who</w:t>
            </w:r>
            <w:r w:rsidR="00727023">
              <w:rPr>
                <w:rFonts w:ascii="Times New Roman" w:eastAsia="Calibri" w:hAnsi="Times New Roman" w:cs="Arial"/>
                <w:bCs/>
                <w:sz w:val="20"/>
                <w:szCs w:val="20"/>
              </w:rPr>
              <w:t xml:space="preserve"> are</w:t>
            </w:r>
            <w:r w:rsidRPr="00974DC3">
              <w:rPr>
                <w:rFonts w:ascii="Times New Roman" w:eastAsia="Calibri" w:hAnsi="Times New Roman" w:cs="Arial"/>
                <w:bCs/>
                <w:sz w:val="20"/>
                <w:szCs w:val="20"/>
              </w:rPr>
              <w:t xml:space="preserve"> no longer in HE.</w:t>
            </w:r>
          </w:p>
        </w:tc>
        <w:tc>
          <w:tcPr>
            <w:tcW w:w="5814" w:type="dxa"/>
            <w:tcBorders>
              <w:top w:val="nil"/>
            </w:tcBorders>
          </w:tcPr>
          <w:p w14:paraId="0FB59773" w14:textId="77777777" w:rsidR="007B16DF" w:rsidRPr="00974DC3" w:rsidRDefault="007B16DF" w:rsidP="00974DC3">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HESA webpage: </w:t>
            </w:r>
            <w:r w:rsidRPr="00974DC3">
              <w:rPr>
                <w:rFonts w:ascii="Times New Roman" w:eastAsia="Calibri" w:hAnsi="Times New Roman" w:cs="Arial"/>
                <w:sz w:val="20"/>
                <w:szCs w:val="20"/>
              </w:rPr>
              <w:t xml:space="preserve"> </w:t>
            </w:r>
            <w:hyperlink r:id="rId8" w:history="1">
              <w:r w:rsidRPr="00974DC3">
                <w:rPr>
                  <w:rFonts w:ascii="Times New Roman" w:eastAsia="Calibri" w:hAnsi="Times New Roman" w:cs="Arial"/>
                  <w:color w:val="0563C1"/>
                  <w:sz w:val="20"/>
                  <w:szCs w:val="20"/>
                  <w:u w:val="single"/>
                </w:rPr>
                <w:t>https://www.hesa.ac.uk/data-and-analysis/publications</w:t>
              </w:r>
            </w:hyperlink>
          </w:p>
        </w:tc>
      </w:tr>
      <w:tr w:rsidR="007B16DF" w:rsidRPr="00974DC3" w14:paraId="225F3BC6" w14:textId="77777777" w:rsidTr="0039569F">
        <w:trPr>
          <w:trHeight w:val="359"/>
        </w:trPr>
        <w:tc>
          <w:tcPr>
            <w:tcW w:w="10773" w:type="dxa"/>
            <w:tcBorders>
              <w:top w:val="nil"/>
            </w:tcBorders>
          </w:tcPr>
          <w:p w14:paraId="004FF1A7" w14:textId="0C4FF36B" w:rsidR="007B16DF" w:rsidRPr="00974DC3" w:rsidRDefault="007B16DF" w:rsidP="00974DC3">
            <w:pPr>
              <w:numPr>
                <w:ilvl w:val="0"/>
                <w:numId w:val="2"/>
              </w:numPr>
              <w:autoSpaceDE w:val="0"/>
              <w:adjustRightInd w:val="0"/>
              <w:ind w:left="458"/>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Community Contribution Index (CCI) – it contains 7 provisions relating to: (i</w:t>
            </w:r>
            <w:bookmarkStart w:id="0" w:name="_Hlk44930132"/>
            <w:r w:rsidRPr="00974DC3">
              <w:rPr>
                <w:rFonts w:ascii="Times New Roman" w:eastAsia="Calibri" w:hAnsi="Times New Roman" w:cs="Arial"/>
                <w:bCs/>
                <w:sz w:val="20"/>
                <w:szCs w:val="20"/>
              </w:rPr>
              <w:t xml:space="preserve">) communication with influential stakeholders; (ii) health/safety of employees; (iii) environmental investment; (iv) social investment and local community support; (v) national community support; (vi) international community support; and (vii) alumni participation/involvement/activities. </w:t>
            </w:r>
            <w:bookmarkEnd w:id="0"/>
            <w:r w:rsidRPr="00974DC3">
              <w:rPr>
                <w:rFonts w:ascii="Times New Roman" w:eastAsia="Calibri" w:hAnsi="Times New Roman" w:cs="Arial"/>
                <w:bCs/>
                <w:sz w:val="20"/>
                <w:szCs w:val="20"/>
              </w:rPr>
              <w:t>A value of “1” is awarded to each provision that is disclosed in the annual reports of HEIs and 0 otherwise.</w:t>
            </w:r>
            <w:r w:rsidRPr="00DE566C">
              <w:rPr>
                <w:rFonts w:ascii="Times New Roman" w:eastAsia="Calibri" w:hAnsi="Times New Roman" w:cs="Arial"/>
                <w:bCs/>
                <w:sz w:val="20"/>
                <w:szCs w:val="20"/>
              </w:rPr>
              <w:t xml:space="preserve"> Following this coding method, a HEI’s community/social contribution score can range from 0 to 7, which is then expressed as a percentage that </w:t>
            </w:r>
            <w:r w:rsidR="00727023">
              <w:rPr>
                <w:rFonts w:ascii="Times New Roman" w:eastAsia="Calibri" w:hAnsi="Times New Roman" w:cs="Arial"/>
                <w:bCs/>
                <w:sz w:val="20"/>
                <w:szCs w:val="20"/>
              </w:rPr>
              <w:t>can</w:t>
            </w:r>
            <w:r w:rsidRPr="00DE566C">
              <w:rPr>
                <w:rFonts w:ascii="Times New Roman" w:eastAsia="Calibri" w:hAnsi="Times New Roman" w:cs="Arial"/>
                <w:bCs/>
                <w:sz w:val="20"/>
                <w:szCs w:val="20"/>
              </w:rPr>
              <w:t xml:space="preserve"> range from 0% (0 out of the 7 items included in our CCI – indicating poor community contribution) </w:t>
            </w:r>
            <w:r w:rsidR="00452D55">
              <w:rPr>
                <w:rFonts w:ascii="Times New Roman" w:eastAsia="Calibri" w:hAnsi="Times New Roman" w:cs="Arial"/>
                <w:bCs/>
                <w:sz w:val="20"/>
                <w:szCs w:val="20"/>
              </w:rPr>
              <w:t>to</w:t>
            </w:r>
            <w:r w:rsidRPr="00DE566C">
              <w:rPr>
                <w:rFonts w:ascii="Times New Roman" w:eastAsia="Calibri" w:hAnsi="Times New Roman" w:cs="Arial"/>
                <w:bCs/>
                <w:sz w:val="20"/>
                <w:szCs w:val="20"/>
              </w:rPr>
              <w:t xml:space="preserve"> 100% (7 out of the 7 items included in our CCI – indicating strong community contribution</w:t>
            </w:r>
          </w:p>
        </w:tc>
        <w:tc>
          <w:tcPr>
            <w:tcW w:w="5814" w:type="dxa"/>
            <w:tcBorders>
              <w:top w:val="nil"/>
              <w:bottom w:val="nil"/>
            </w:tcBorders>
          </w:tcPr>
          <w:p w14:paraId="15F63BC2" w14:textId="77777777" w:rsidR="007B16DF" w:rsidRPr="00974DC3" w:rsidRDefault="007B16DF" w:rsidP="00974DC3">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Self-constructed index – data extracted from HEIs’ annual reports.</w:t>
            </w:r>
          </w:p>
        </w:tc>
      </w:tr>
      <w:tr w:rsidR="007B16DF" w:rsidRPr="00974DC3" w14:paraId="20615870" w14:textId="77777777" w:rsidTr="0039569F">
        <w:trPr>
          <w:trHeight w:val="396"/>
        </w:trPr>
        <w:tc>
          <w:tcPr>
            <w:tcW w:w="10773" w:type="dxa"/>
            <w:tcBorders>
              <w:top w:val="nil"/>
            </w:tcBorders>
          </w:tcPr>
          <w:p w14:paraId="17E817BA" w14:textId="1BFF6144" w:rsidR="007B16DF" w:rsidRPr="00974DC3" w:rsidRDefault="007B16DF" w:rsidP="0039569F">
            <w:pPr>
              <w:numPr>
                <w:ilvl w:val="0"/>
                <w:numId w:val="2"/>
              </w:numPr>
              <w:autoSpaceDE w:val="0"/>
              <w:adjustRightInd w:val="0"/>
              <w:ind w:left="458"/>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Gender Pay Gap (GPG) – is calculated as </w:t>
            </w:r>
            <w:bookmarkStart w:id="1" w:name="_Hlk44924782"/>
            <w:r w:rsidRPr="00974DC3">
              <w:rPr>
                <w:rFonts w:ascii="Times New Roman" w:eastAsia="Calibri" w:hAnsi="Times New Roman" w:cs="Arial"/>
                <w:bCs/>
                <w:sz w:val="20"/>
                <w:szCs w:val="20"/>
              </w:rPr>
              <w:t xml:space="preserve">the </w:t>
            </w:r>
            <w:r w:rsidR="00452D55">
              <w:rPr>
                <w:rFonts w:ascii="Times New Roman" w:eastAsia="Calibri" w:hAnsi="Times New Roman" w:cs="Arial"/>
                <w:bCs/>
                <w:sz w:val="20"/>
                <w:szCs w:val="20"/>
              </w:rPr>
              <w:t>mean</w:t>
            </w:r>
            <w:r w:rsidRPr="00974DC3">
              <w:rPr>
                <w:rFonts w:ascii="Times New Roman" w:eastAsia="Calibri" w:hAnsi="Times New Roman" w:cs="Arial"/>
                <w:bCs/>
                <w:sz w:val="20"/>
                <w:szCs w:val="20"/>
              </w:rPr>
              <w:t xml:space="preserve"> difference between the men and women earning divided by men earning</w:t>
            </w:r>
            <w:bookmarkEnd w:id="1"/>
            <w:r w:rsidRPr="00974DC3">
              <w:rPr>
                <w:rFonts w:ascii="Times New Roman" w:eastAsia="Calibri" w:hAnsi="Times New Roman" w:cs="Arial"/>
                <w:bCs/>
                <w:sz w:val="20"/>
                <w:szCs w:val="20"/>
              </w:rPr>
              <w:t>.</w:t>
            </w:r>
          </w:p>
        </w:tc>
        <w:tc>
          <w:tcPr>
            <w:tcW w:w="5814" w:type="dxa"/>
            <w:tcBorders>
              <w:top w:val="nil"/>
            </w:tcBorders>
          </w:tcPr>
          <w:p w14:paraId="4603F1D5" w14:textId="5DDE5D2E" w:rsidR="007B16DF" w:rsidRPr="0039569F" w:rsidRDefault="007B16DF" w:rsidP="0039569F">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HEIs’ gender </w:t>
            </w:r>
            <w:proofErr w:type="gramStart"/>
            <w:r w:rsidRPr="00974DC3">
              <w:rPr>
                <w:rFonts w:ascii="Times New Roman" w:eastAsia="Calibri" w:hAnsi="Times New Roman" w:cs="Arial"/>
                <w:bCs/>
                <w:sz w:val="20"/>
                <w:szCs w:val="20"/>
              </w:rPr>
              <w:t>pay</w:t>
            </w:r>
            <w:proofErr w:type="gramEnd"/>
            <w:r w:rsidRPr="00974DC3">
              <w:rPr>
                <w:rFonts w:ascii="Times New Roman" w:eastAsia="Calibri" w:hAnsi="Times New Roman" w:cs="Arial"/>
                <w:bCs/>
                <w:sz w:val="20"/>
                <w:szCs w:val="20"/>
              </w:rPr>
              <w:t xml:space="preserve"> gap reports.</w:t>
            </w:r>
          </w:p>
        </w:tc>
      </w:tr>
      <w:tr w:rsidR="007B16DF" w:rsidRPr="00974DC3" w14:paraId="0102CA0C" w14:textId="77777777" w:rsidTr="0039569F">
        <w:trPr>
          <w:trHeight w:val="359"/>
        </w:trPr>
        <w:tc>
          <w:tcPr>
            <w:tcW w:w="10773" w:type="dxa"/>
            <w:tcBorders>
              <w:top w:val="nil"/>
            </w:tcBorders>
          </w:tcPr>
          <w:p w14:paraId="4C8DC7C4" w14:textId="4FE8758B" w:rsidR="007B16DF" w:rsidRPr="00974DC3" w:rsidRDefault="007B16DF" w:rsidP="00974DC3">
            <w:pPr>
              <w:numPr>
                <w:ilvl w:val="0"/>
                <w:numId w:val="2"/>
              </w:numPr>
              <w:autoSpaceDE w:val="0"/>
              <w:adjustRightInd w:val="0"/>
              <w:ind w:left="458"/>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Young Staff (PYS) – percentage of young </w:t>
            </w:r>
            <w:r>
              <w:rPr>
                <w:rFonts w:ascii="Times New Roman" w:eastAsia="Calibri" w:hAnsi="Times New Roman" w:cs="Arial"/>
                <w:bCs/>
                <w:sz w:val="20"/>
                <w:szCs w:val="20"/>
              </w:rPr>
              <w:t xml:space="preserve">academic and non-academic staff aged 35 and under </w:t>
            </w:r>
            <w:r w:rsidRPr="00974DC3">
              <w:rPr>
                <w:rFonts w:ascii="Times New Roman" w:eastAsia="Calibri" w:hAnsi="Times New Roman" w:cs="Arial"/>
                <w:bCs/>
                <w:sz w:val="20"/>
                <w:szCs w:val="20"/>
              </w:rPr>
              <w:t xml:space="preserve">to the total number of </w:t>
            </w:r>
            <w:r>
              <w:rPr>
                <w:rFonts w:ascii="Times New Roman" w:eastAsia="Calibri" w:hAnsi="Times New Roman" w:cs="Arial"/>
                <w:bCs/>
                <w:sz w:val="20"/>
                <w:szCs w:val="20"/>
              </w:rPr>
              <w:t xml:space="preserve">academic and non-academic </w:t>
            </w:r>
            <w:r w:rsidRPr="00974DC3">
              <w:rPr>
                <w:rFonts w:ascii="Times New Roman" w:eastAsia="Calibri" w:hAnsi="Times New Roman" w:cs="Arial"/>
                <w:bCs/>
                <w:sz w:val="20"/>
                <w:szCs w:val="20"/>
              </w:rPr>
              <w:t>staff.</w:t>
            </w:r>
          </w:p>
        </w:tc>
        <w:tc>
          <w:tcPr>
            <w:tcW w:w="5814" w:type="dxa"/>
            <w:tcBorders>
              <w:top w:val="nil"/>
            </w:tcBorders>
          </w:tcPr>
          <w:p w14:paraId="76359785" w14:textId="77777777" w:rsidR="007B16DF" w:rsidRPr="00974DC3" w:rsidRDefault="007B16DF" w:rsidP="00974DC3">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HESA webpage: </w:t>
            </w:r>
            <w:r w:rsidRPr="00974DC3">
              <w:rPr>
                <w:rFonts w:ascii="Times New Roman" w:eastAsia="Calibri" w:hAnsi="Times New Roman" w:cs="Arial"/>
                <w:sz w:val="20"/>
                <w:szCs w:val="20"/>
              </w:rPr>
              <w:t xml:space="preserve"> </w:t>
            </w:r>
            <w:hyperlink r:id="rId9" w:history="1">
              <w:r w:rsidRPr="00974DC3">
                <w:rPr>
                  <w:rFonts w:ascii="Times New Roman" w:eastAsia="Calibri" w:hAnsi="Times New Roman" w:cs="Arial"/>
                  <w:color w:val="0563C1"/>
                  <w:sz w:val="20"/>
                  <w:szCs w:val="20"/>
                  <w:u w:val="single"/>
                </w:rPr>
                <w:t>https://www.hesa.ac.uk/data-and-analysis/publications</w:t>
              </w:r>
            </w:hyperlink>
          </w:p>
        </w:tc>
      </w:tr>
      <w:tr w:rsidR="007B16DF" w:rsidRPr="00974DC3" w14:paraId="3485A77C" w14:textId="77777777" w:rsidTr="0039569F">
        <w:trPr>
          <w:trHeight w:val="178"/>
        </w:trPr>
        <w:tc>
          <w:tcPr>
            <w:tcW w:w="10773" w:type="dxa"/>
            <w:tcBorders>
              <w:top w:val="nil"/>
              <w:bottom w:val="nil"/>
            </w:tcBorders>
          </w:tcPr>
          <w:p w14:paraId="26F99C47" w14:textId="77777777" w:rsidR="007B16DF" w:rsidRPr="00974DC3" w:rsidRDefault="007B16DF" w:rsidP="00974DC3">
            <w:pPr>
              <w:numPr>
                <w:ilvl w:val="0"/>
                <w:numId w:val="1"/>
              </w:numPr>
              <w:autoSpaceDE w:val="0"/>
              <w:adjustRightInd w:val="0"/>
              <w:ind w:left="316"/>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Short-term performance proxies:</w:t>
            </w:r>
          </w:p>
        </w:tc>
        <w:tc>
          <w:tcPr>
            <w:tcW w:w="5814" w:type="dxa"/>
            <w:tcBorders>
              <w:top w:val="nil"/>
              <w:bottom w:val="nil"/>
            </w:tcBorders>
          </w:tcPr>
          <w:p w14:paraId="50ED23DD" w14:textId="77777777" w:rsidR="007B16DF" w:rsidRPr="00974DC3" w:rsidRDefault="007B16DF" w:rsidP="00974DC3">
            <w:pPr>
              <w:autoSpaceDE w:val="0"/>
              <w:adjustRightInd w:val="0"/>
              <w:jc w:val="both"/>
              <w:rPr>
                <w:rFonts w:ascii="Times New Roman" w:eastAsia="Calibri" w:hAnsi="Times New Roman" w:cs="Arial"/>
                <w:bCs/>
                <w:sz w:val="20"/>
                <w:szCs w:val="20"/>
              </w:rPr>
            </w:pPr>
          </w:p>
        </w:tc>
      </w:tr>
      <w:tr w:rsidR="007B16DF" w:rsidRPr="00974DC3" w14:paraId="1AD85830" w14:textId="77777777" w:rsidTr="0039569F">
        <w:trPr>
          <w:trHeight w:val="359"/>
        </w:trPr>
        <w:tc>
          <w:tcPr>
            <w:tcW w:w="10773" w:type="dxa"/>
            <w:tcBorders>
              <w:top w:val="nil"/>
              <w:bottom w:val="nil"/>
            </w:tcBorders>
          </w:tcPr>
          <w:p w14:paraId="1DE77C27" w14:textId="16B42864" w:rsidR="007B16DF" w:rsidRPr="00974DC3" w:rsidRDefault="007B16DF" w:rsidP="00974DC3">
            <w:pPr>
              <w:numPr>
                <w:ilvl w:val="0"/>
                <w:numId w:val="2"/>
              </w:numPr>
              <w:autoSpaceDE w:val="0"/>
              <w:adjustRightInd w:val="0"/>
              <w:ind w:left="458"/>
              <w:contextualSpacing/>
              <w:jc w:val="both"/>
              <w:rPr>
                <w:rFonts w:ascii="Times New Roman" w:eastAsia="Calibri" w:hAnsi="Times New Roman" w:cs="Arial"/>
                <w:bCs/>
                <w:sz w:val="20"/>
                <w:szCs w:val="20"/>
              </w:rPr>
            </w:pPr>
            <w:proofErr w:type="spellStart"/>
            <w:r w:rsidRPr="00974DC3">
              <w:rPr>
                <w:rFonts w:ascii="Times New Roman" w:eastAsia="Calibri" w:hAnsi="Times New Roman" w:cs="Arial"/>
                <w:bCs/>
                <w:sz w:val="20"/>
                <w:szCs w:val="20"/>
              </w:rPr>
              <w:t>Quacquarelli</w:t>
            </w:r>
            <w:proofErr w:type="spellEnd"/>
            <w:r w:rsidRPr="00974DC3">
              <w:rPr>
                <w:rFonts w:ascii="Times New Roman" w:eastAsia="Calibri" w:hAnsi="Times New Roman" w:cs="Arial"/>
                <w:bCs/>
                <w:sz w:val="20"/>
                <w:szCs w:val="20"/>
              </w:rPr>
              <w:t xml:space="preserve"> Symonds (QS) World University Ranking – it is measured</w:t>
            </w:r>
            <w:r w:rsidR="00452D55">
              <w:rPr>
                <w:rFonts w:ascii="Times New Roman" w:eastAsia="Calibri" w:hAnsi="Times New Roman" w:cs="Arial"/>
                <w:bCs/>
                <w:sz w:val="20"/>
                <w:szCs w:val="20"/>
              </w:rPr>
              <w:t xml:space="preserve"> by</w:t>
            </w:r>
            <w:r w:rsidRPr="00974DC3">
              <w:rPr>
                <w:rFonts w:ascii="Times New Roman" w:eastAsia="Calibri" w:hAnsi="Times New Roman" w:cs="Arial"/>
                <w:bCs/>
                <w:sz w:val="20"/>
                <w:szCs w:val="20"/>
              </w:rPr>
              <w:t xml:space="preserve"> using the natural log of </w:t>
            </w:r>
            <w:r w:rsidR="008B188F">
              <w:rPr>
                <w:rFonts w:ascii="Times New Roman" w:eastAsia="Calibri" w:hAnsi="Times New Roman" w:cs="Arial"/>
                <w:bCs/>
                <w:sz w:val="20"/>
                <w:szCs w:val="20"/>
              </w:rPr>
              <w:t xml:space="preserve">the </w:t>
            </w:r>
            <w:r w:rsidRPr="00974DC3">
              <w:rPr>
                <w:rFonts w:ascii="Times New Roman" w:eastAsia="Calibri" w:hAnsi="Times New Roman" w:cs="Arial"/>
                <w:bCs/>
                <w:sz w:val="20"/>
                <w:szCs w:val="20"/>
              </w:rPr>
              <w:t xml:space="preserve">QS ranking. This ranking consists of six components: academic reputation; employer reputation; international staff ratio; international student ratio; faculty to student ratio; and citations per faculty, with HEIs being ranked first if they have high quality of teaching, research and graduate quality, as well as with high international student/staff orientation. </w:t>
            </w:r>
          </w:p>
        </w:tc>
        <w:tc>
          <w:tcPr>
            <w:tcW w:w="5814" w:type="dxa"/>
            <w:tcBorders>
              <w:top w:val="nil"/>
              <w:bottom w:val="nil"/>
            </w:tcBorders>
          </w:tcPr>
          <w:p w14:paraId="5492B28B" w14:textId="77777777" w:rsidR="007B16DF" w:rsidRPr="00974DC3" w:rsidRDefault="007B16DF" w:rsidP="00974DC3">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QS ranking: </w:t>
            </w:r>
            <w:hyperlink r:id="rId10" w:history="1">
              <w:r w:rsidRPr="00974DC3">
                <w:rPr>
                  <w:rFonts w:ascii="Times New Roman" w:eastAsia="Calibri" w:hAnsi="Times New Roman" w:cs="Arial"/>
                  <w:color w:val="0563C1"/>
                  <w:sz w:val="20"/>
                  <w:szCs w:val="20"/>
                  <w:u w:val="single"/>
                </w:rPr>
                <w:t>https://www.topuniversities.com/qs-world-university-rankings</w:t>
              </w:r>
            </w:hyperlink>
          </w:p>
        </w:tc>
      </w:tr>
      <w:tr w:rsidR="007B16DF" w:rsidRPr="00974DC3" w14:paraId="5672C8B3" w14:textId="77777777" w:rsidTr="0039569F">
        <w:trPr>
          <w:trHeight w:val="359"/>
        </w:trPr>
        <w:tc>
          <w:tcPr>
            <w:tcW w:w="10773" w:type="dxa"/>
            <w:tcBorders>
              <w:top w:val="nil"/>
              <w:bottom w:val="nil"/>
            </w:tcBorders>
          </w:tcPr>
          <w:p w14:paraId="5C86929D" w14:textId="50458DFF" w:rsidR="007B16DF" w:rsidRPr="00974DC3" w:rsidRDefault="007B16DF" w:rsidP="00974DC3">
            <w:pPr>
              <w:numPr>
                <w:ilvl w:val="0"/>
                <w:numId w:val="2"/>
              </w:numPr>
              <w:autoSpaceDE w:val="0"/>
              <w:adjustRightInd w:val="0"/>
              <w:ind w:left="458"/>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Times Higher Education (THE) World University Ranking – it is measured </w:t>
            </w:r>
            <w:r w:rsidR="008B188F">
              <w:rPr>
                <w:rFonts w:ascii="Times New Roman" w:eastAsia="Calibri" w:hAnsi="Times New Roman" w:cs="Arial"/>
                <w:bCs/>
                <w:sz w:val="20"/>
                <w:szCs w:val="20"/>
              </w:rPr>
              <w:t xml:space="preserve">by </w:t>
            </w:r>
            <w:r w:rsidRPr="00974DC3">
              <w:rPr>
                <w:rFonts w:ascii="Times New Roman" w:eastAsia="Calibri" w:hAnsi="Times New Roman" w:cs="Arial"/>
                <w:bCs/>
                <w:sz w:val="20"/>
                <w:szCs w:val="20"/>
              </w:rPr>
              <w:t xml:space="preserve">using the natural log of </w:t>
            </w:r>
            <w:r w:rsidR="008B188F">
              <w:rPr>
                <w:rFonts w:ascii="Times New Roman" w:eastAsia="Calibri" w:hAnsi="Times New Roman" w:cs="Arial"/>
                <w:bCs/>
                <w:sz w:val="20"/>
                <w:szCs w:val="20"/>
              </w:rPr>
              <w:t xml:space="preserve">the </w:t>
            </w:r>
            <w:proofErr w:type="spellStart"/>
            <w:r w:rsidRPr="00974DC3">
              <w:rPr>
                <w:rFonts w:ascii="Times New Roman" w:eastAsia="Calibri" w:hAnsi="Times New Roman" w:cs="Arial"/>
                <w:bCs/>
                <w:sz w:val="20"/>
                <w:szCs w:val="20"/>
              </w:rPr>
              <w:t>THE</w:t>
            </w:r>
            <w:proofErr w:type="spellEnd"/>
            <w:r w:rsidRPr="00974DC3">
              <w:rPr>
                <w:rFonts w:ascii="Times New Roman" w:eastAsia="Calibri" w:hAnsi="Times New Roman" w:cs="Arial"/>
                <w:bCs/>
                <w:sz w:val="20"/>
                <w:szCs w:val="20"/>
              </w:rPr>
              <w:t xml:space="preserve"> ranking. This ranking comprises various dimensions, including student satisfaction; heads’/peer assessments; research quality; A-level/Higher points; unemployment; firsts/2:1s awarded; student to staff ratio; completion; student satisfaction; EU/overseas students; state school; lowest social classes; low-participation areas; and Graduate prospects, with HEIs being ranked first if they have high quality of teaching, research and graduate quality, as well as with high international student/staff orientation.</w:t>
            </w:r>
          </w:p>
        </w:tc>
        <w:tc>
          <w:tcPr>
            <w:tcW w:w="5814" w:type="dxa"/>
            <w:tcBorders>
              <w:top w:val="nil"/>
              <w:bottom w:val="nil"/>
            </w:tcBorders>
          </w:tcPr>
          <w:p w14:paraId="31B384F3" w14:textId="77777777" w:rsidR="007B16DF" w:rsidRPr="00974DC3" w:rsidRDefault="007B16DF" w:rsidP="00974DC3">
            <w:pPr>
              <w:autoSpaceDE w:val="0"/>
              <w:adjustRightInd w:val="0"/>
              <w:jc w:val="both"/>
              <w:rPr>
                <w:rFonts w:ascii="Times New Roman" w:eastAsia="Calibri" w:hAnsi="Times New Roman" w:cs="Arial"/>
                <w:sz w:val="20"/>
                <w:szCs w:val="20"/>
              </w:rPr>
            </w:pPr>
            <w:r w:rsidRPr="00974DC3">
              <w:rPr>
                <w:rFonts w:ascii="Times New Roman" w:eastAsia="Calibri" w:hAnsi="Times New Roman" w:cs="Arial"/>
                <w:bCs/>
                <w:sz w:val="20"/>
                <w:szCs w:val="20"/>
              </w:rPr>
              <w:t xml:space="preserve">THE ranking: </w:t>
            </w:r>
            <w:hyperlink r:id="rId11" w:history="1">
              <w:r w:rsidRPr="00974DC3">
                <w:rPr>
                  <w:rFonts w:ascii="Times New Roman" w:eastAsia="Calibri" w:hAnsi="Times New Roman" w:cs="Arial"/>
                  <w:color w:val="0563C1"/>
                  <w:sz w:val="20"/>
                  <w:szCs w:val="20"/>
                  <w:u w:val="single"/>
                </w:rPr>
                <w:t>https://www.timeshighereducation.com/world-university-rankings</w:t>
              </w:r>
            </w:hyperlink>
          </w:p>
          <w:p w14:paraId="4F00380A" w14:textId="77777777" w:rsidR="007B16DF" w:rsidRPr="00974DC3" w:rsidRDefault="007B16DF" w:rsidP="00974DC3">
            <w:pPr>
              <w:autoSpaceDE w:val="0"/>
              <w:adjustRightInd w:val="0"/>
              <w:jc w:val="both"/>
              <w:rPr>
                <w:rFonts w:ascii="Times New Roman" w:eastAsia="Calibri" w:hAnsi="Times New Roman" w:cs="Arial"/>
                <w:bCs/>
                <w:sz w:val="20"/>
                <w:szCs w:val="20"/>
              </w:rPr>
            </w:pPr>
          </w:p>
        </w:tc>
      </w:tr>
      <w:tr w:rsidR="007B16DF" w:rsidRPr="00974DC3" w14:paraId="23C3ADE0" w14:textId="77777777" w:rsidTr="0039569F">
        <w:trPr>
          <w:trHeight w:val="359"/>
        </w:trPr>
        <w:tc>
          <w:tcPr>
            <w:tcW w:w="10773" w:type="dxa"/>
            <w:tcBorders>
              <w:top w:val="nil"/>
              <w:bottom w:val="nil"/>
            </w:tcBorders>
          </w:tcPr>
          <w:p w14:paraId="327373FC" w14:textId="1C24B872" w:rsidR="007B16DF" w:rsidRPr="00974DC3" w:rsidRDefault="007B16DF" w:rsidP="00974DC3">
            <w:pPr>
              <w:numPr>
                <w:ilvl w:val="0"/>
                <w:numId w:val="2"/>
              </w:numPr>
              <w:autoSpaceDE w:val="0"/>
              <w:adjustRightInd w:val="0"/>
              <w:ind w:left="458"/>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The Complete University Guide (CUG) Ranking – it is measured </w:t>
            </w:r>
            <w:r w:rsidR="008B188F">
              <w:rPr>
                <w:rFonts w:ascii="Times New Roman" w:eastAsia="Calibri" w:hAnsi="Times New Roman" w:cs="Arial"/>
                <w:bCs/>
                <w:sz w:val="20"/>
                <w:szCs w:val="20"/>
              </w:rPr>
              <w:t xml:space="preserve">by </w:t>
            </w:r>
            <w:r w:rsidRPr="00974DC3">
              <w:rPr>
                <w:rFonts w:ascii="Times New Roman" w:eastAsia="Calibri" w:hAnsi="Times New Roman" w:cs="Arial"/>
                <w:bCs/>
                <w:sz w:val="20"/>
                <w:szCs w:val="20"/>
              </w:rPr>
              <w:t xml:space="preserve">using the natural log of </w:t>
            </w:r>
            <w:r w:rsidR="008B188F">
              <w:rPr>
                <w:rFonts w:ascii="Times New Roman" w:eastAsia="Calibri" w:hAnsi="Times New Roman" w:cs="Arial"/>
                <w:bCs/>
                <w:sz w:val="20"/>
                <w:szCs w:val="20"/>
              </w:rPr>
              <w:t xml:space="preserve">the </w:t>
            </w:r>
            <w:r w:rsidRPr="00974DC3">
              <w:rPr>
                <w:rFonts w:ascii="Times New Roman" w:eastAsia="Calibri" w:hAnsi="Times New Roman" w:cs="Arial"/>
                <w:bCs/>
                <w:sz w:val="20"/>
                <w:szCs w:val="20"/>
              </w:rPr>
              <w:t>CUG ranking. This ranking comprises ten dimensions: student/staff ratio; degree completion; student satisfaction; graduate prospects; good honours; facilities spend; academic services spend; entry standards; research intensity; and research quality, with HEIs being ranked first if they have high teaching quality.</w:t>
            </w:r>
          </w:p>
        </w:tc>
        <w:tc>
          <w:tcPr>
            <w:tcW w:w="5814" w:type="dxa"/>
            <w:tcBorders>
              <w:top w:val="nil"/>
              <w:bottom w:val="nil"/>
            </w:tcBorders>
          </w:tcPr>
          <w:p w14:paraId="123559D3" w14:textId="77777777" w:rsidR="007B16DF" w:rsidRPr="00974DC3" w:rsidRDefault="007B16DF" w:rsidP="00974DC3">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CUG ranking: </w:t>
            </w:r>
            <w:hyperlink r:id="rId12" w:history="1">
              <w:r w:rsidRPr="00974DC3">
                <w:rPr>
                  <w:rFonts w:ascii="Times New Roman" w:eastAsia="Calibri" w:hAnsi="Times New Roman" w:cs="Arial"/>
                  <w:color w:val="0563C1"/>
                  <w:sz w:val="20"/>
                  <w:szCs w:val="20"/>
                  <w:u w:val="single"/>
                </w:rPr>
                <w:t>https://www.thecompleteuniversityguide.co.uk/</w:t>
              </w:r>
            </w:hyperlink>
          </w:p>
        </w:tc>
      </w:tr>
      <w:tr w:rsidR="007B16DF" w:rsidRPr="00974DC3" w14:paraId="63B68C4C" w14:textId="77777777" w:rsidTr="0039569F">
        <w:trPr>
          <w:trHeight w:val="359"/>
        </w:trPr>
        <w:tc>
          <w:tcPr>
            <w:tcW w:w="10773" w:type="dxa"/>
            <w:tcBorders>
              <w:top w:val="nil"/>
              <w:bottom w:val="single" w:sz="2" w:space="0" w:color="auto"/>
            </w:tcBorders>
          </w:tcPr>
          <w:p w14:paraId="78365CF1" w14:textId="5A10CD7E" w:rsidR="007B16DF" w:rsidRPr="00974DC3" w:rsidRDefault="007B16DF" w:rsidP="00974DC3">
            <w:pPr>
              <w:numPr>
                <w:ilvl w:val="0"/>
                <w:numId w:val="2"/>
              </w:numPr>
              <w:autoSpaceDE w:val="0"/>
              <w:adjustRightInd w:val="0"/>
              <w:ind w:left="458"/>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Guardian (GUG) Ranking – it is measured</w:t>
            </w:r>
            <w:r w:rsidR="008B188F">
              <w:rPr>
                <w:rFonts w:ascii="Times New Roman" w:eastAsia="Calibri" w:hAnsi="Times New Roman" w:cs="Arial"/>
                <w:bCs/>
                <w:sz w:val="20"/>
                <w:szCs w:val="20"/>
              </w:rPr>
              <w:t xml:space="preserve"> by</w:t>
            </w:r>
            <w:r w:rsidRPr="00974DC3">
              <w:rPr>
                <w:rFonts w:ascii="Times New Roman" w:eastAsia="Calibri" w:hAnsi="Times New Roman" w:cs="Arial"/>
                <w:bCs/>
                <w:sz w:val="20"/>
                <w:szCs w:val="20"/>
              </w:rPr>
              <w:t xml:space="preserve"> using the natural log of </w:t>
            </w:r>
            <w:r w:rsidR="008B188F">
              <w:rPr>
                <w:rFonts w:ascii="Times New Roman" w:eastAsia="Calibri" w:hAnsi="Times New Roman" w:cs="Arial"/>
                <w:bCs/>
                <w:sz w:val="20"/>
                <w:szCs w:val="20"/>
              </w:rPr>
              <w:t xml:space="preserve">the </w:t>
            </w:r>
            <w:r w:rsidRPr="00974DC3">
              <w:rPr>
                <w:rFonts w:ascii="Times New Roman" w:eastAsia="Calibri" w:hAnsi="Times New Roman" w:cs="Arial"/>
                <w:bCs/>
                <w:sz w:val="20"/>
                <w:szCs w:val="20"/>
              </w:rPr>
              <w:t>GUG ranking. This ranking consists of nine dimensions: teaching; student to staff ratio; assessment and feedback; spending per student; overall quality rated by the final year students; continuation; teaching; value added; career prospects; and entry scores, with HEIs being ranked first if they have high teaching quality.</w:t>
            </w:r>
          </w:p>
        </w:tc>
        <w:tc>
          <w:tcPr>
            <w:tcW w:w="5814" w:type="dxa"/>
            <w:tcBorders>
              <w:top w:val="nil"/>
              <w:bottom w:val="single" w:sz="4" w:space="0" w:color="auto"/>
            </w:tcBorders>
          </w:tcPr>
          <w:p w14:paraId="5898797E" w14:textId="77777777" w:rsidR="007B16DF" w:rsidRPr="00974DC3" w:rsidRDefault="007B16DF" w:rsidP="00974DC3">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GUG ranking: </w:t>
            </w:r>
          </w:p>
          <w:p w14:paraId="6C79BEFF" w14:textId="77777777" w:rsidR="007B16DF" w:rsidRPr="00974DC3" w:rsidRDefault="005F6F18" w:rsidP="00974DC3">
            <w:pPr>
              <w:autoSpaceDE w:val="0"/>
              <w:adjustRightInd w:val="0"/>
              <w:jc w:val="both"/>
              <w:rPr>
                <w:rFonts w:ascii="Times New Roman" w:eastAsia="Calibri" w:hAnsi="Times New Roman" w:cs="Arial"/>
                <w:sz w:val="20"/>
                <w:szCs w:val="20"/>
              </w:rPr>
            </w:pPr>
            <w:hyperlink r:id="rId13" w:history="1">
              <w:r w:rsidR="007B16DF" w:rsidRPr="00974DC3">
                <w:rPr>
                  <w:rFonts w:ascii="Times New Roman" w:eastAsia="Calibri" w:hAnsi="Times New Roman" w:cs="Arial"/>
                  <w:color w:val="0563C1"/>
                  <w:sz w:val="20"/>
                  <w:szCs w:val="20"/>
                  <w:u w:val="single"/>
                </w:rPr>
                <w:t>https://www.theguardian.com/education/table/2009/may/12/university-league-table</w:t>
              </w:r>
            </w:hyperlink>
          </w:p>
          <w:p w14:paraId="15A12FE1" w14:textId="77777777" w:rsidR="007B16DF" w:rsidRPr="00974DC3" w:rsidRDefault="005F6F18" w:rsidP="00974DC3">
            <w:pPr>
              <w:autoSpaceDE w:val="0"/>
              <w:adjustRightInd w:val="0"/>
              <w:jc w:val="both"/>
              <w:rPr>
                <w:rFonts w:ascii="Times New Roman" w:eastAsia="Calibri" w:hAnsi="Times New Roman" w:cs="Arial"/>
                <w:bCs/>
                <w:sz w:val="20"/>
                <w:szCs w:val="20"/>
              </w:rPr>
            </w:pPr>
            <w:hyperlink r:id="rId14" w:history="1">
              <w:r w:rsidR="007B16DF" w:rsidRPr="00974DC3">
                <w:rPr>
                  <w:rFonts w:ascii="Times New Roman" w:eastAsia="Calibri" w:hAnsi="Times New Roman" w:cs="Arial"/>
                  <w:color w:val="0563C1"/>
                  <w:sz w:val="20"/>
                  <w:szCs w:val="20"/>
                  <w:u w:val="single"/>
                </w:rPr>
                <w:t>https://www.theguardian.com/education/table/2013/jun/03/university-league-table-2014</w:t>
              </w:r>
            </w:hyperlink>
          </w:p>
        </w:tc>
      </w:tr>
    </w:tbl>
    <w:p w14:paraId="56DBEEC0" w14:textId="150B0481" w:rsidR="004F0666" w:rsidRDefault="004F0666"/>
    <w:p w14:paraId="658066F7" w14:textId="77777777" w:rsidR="0099729D" w:rsidRDefault="0099729D"/>
    <w:p w14:paraId="35E2EB6A" w14:textId="59C1C31D" w:rsidR="0099729D" w:rsidRDefault="0099729D">
      <w:pPr>
        <w:sectPr w:rsidR="0099729D" w:rsidSect="00974DC3">
          <w:footerReference w:type="default" r:id="rId15"/>
          <w:pgSz w:w="16838" w:h="11906" w:orient="landscape"/>
          <w:pgMar w:top="1440" w:right="1440" w:bottom="1440" w:left="1440" w:header="708" w:footer="708" w:gutter="0"/>
          <w:cols w:space="708"/>
          <w:docGrid w:linePitch="360"/>
        </w:sectPr>
      </w:pPr>
    </w:p>
    <w:tbl>
      <w:tblPr>
        <w:tblStyle w:val="TableGrid21"/>
        <w:tblpPr w:leftFromText="180" w:rightFromText="180" w:vertAnchor="page" w:horzAnchor="margin" w:tblpXSpec="center" w:tblpY="1669"/>
        <w:tblW w:w="1488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511"/>
        <w:gridCol w:w="2266"/>
      </w:tblGrid>
      <w:tr w:rsidR="00434FD9" w:rsidRPr="00974DC3" w14:paraId="3741C51E" w14:textId="77777777" w:rsidTr="00434FD9">
        <w:trPr>
          <w:trHeight w:val="144"/>
        </w:trPr>
        <w:tc>
          <w:tcPr>
            <w:tcW w:w="12619" w:type="dxa"/>
            <w:gridSpan w:val="2"/>
            <w:tcBorders>
              <w:top w:val="nil"/>
              <w:bottom w:val="single" w:sz="12" w:space="0" w:color="auto"/>
            </w:tcBorders>
          </w:tcPr>
          <w:p w14:paraId="4460C25A" w14:textId="77777777" w:rsidR="00434FD9" w:rsidRPr="00974DC3" w:rsidRDefault="00434FD9" w:rsidP="00434FD9">
            <w:pPr>
              <w:contextualSpacing/>
              <w:rPr>
                <w:rFonts w:ascii="Times New Roman" w:eastAsia="Calibri" w:hAnsi="Times New Roman" w:cs="Arial"/>
                <w:b/>
                <w:sz w:val="20"/>
                <w:szCs w:val="20"/>
              </w:rPr>
            </w:pPr>
            <w:r>
              <w:rPr>
                <w:rFonts w:ascii="Times New Roman" w:eastAsia="Calibri" w:hAnsi="Times New Roman" w:cs="Arial"/>
                <w:b/>
                <w:sz w:val="20"/>
                <w:szCs w:val="20"/>
              </w:rPr>
              <w:lastRenderedPageBreak/>
              <w:t>Online Appendix</w:t>
            </w:r>
            <w:r w:rsidRPr="00974DC3">
              <w:rPr>
                <w:rFonts w:ascii="Times New Roman" w:eastAsia="Calibri" w:hAnsi="Times New Roman" w:cs="Arial"/>
                <w:b/>
                <w:sz w:val="20"/>
                <w:szCs w:val="20"/>
              </w:rPr>
              <w:t xml:space="preserve"> 1 (Continued). </w:t>
            </w:r>
            <w:r w:rsidRPr="00974DC3">
              <w:rPr>
                <w:rFonts w:ascii="Times New Roman" w:eastAsia="Calibri" w:hAnsi="Times New Roman" w:cs="Arial"/>
                <w:sz w:val="20"/>
                <w:szCs w:val="20"/>
              </w:rPr>
              <w:t>Summary of measures and variables</w:t>
            </w:r>
          </w:p>
        </w:tc>
        <w:tc>
          <w:tcPr>
            <w:tcW w:w="2266" w:type="dxa"/>
            <w:tcBorders>
              <w:top w:val="nil"/>
              <w:bottom w:val="single" w:sz="12" w:space="0" w:color="auto"/>
            </w:tcBorders>
          </w:tcPr>
          <w:p w14:paraId="4F0CC080" w14:textId="77777777" w:rsidR="00434FD9" w:rsidRPr="00974DC3" w:rsidRDefault="00434FD9" w:rsidP="00434FD9">
            <w:pPr>
              <w:contextualSpacing/>
              <w:rPr>
                <w:rFonts w:ascii="Times New Roman" w:eastAsia="Calibri" w:hAnsi="Times New Roman" w:cs="Arial"/>
                <w:b/>
                <w:sz w:val="20"/>
                <w:szCs w:val="20"/>
              </w:rPr>
            </w:pPr>
          </w:p>
        </w:tc>
      </w:tr>
      <w:tr w:rsidR="00434FD9" w:rsidRPr="00974DC3" w14:paraId="74DDA4BA" w14:textId="77777777" w:rsidTr="00434FD9">
        <w:trPr>
          <w:trHeight w:val="148"/>
        </w:trPr>
        <w:tc>
          <w:tcPr>
            <w:tcW w:w="12619" w:type="dxa"/>
            <w:gridSpan w:val="2"/>
            <w:tcBorders>
              <w:top w:val="single" w:sz="12" w:space="0" w:color="auto"/>
              <w:bottom w:val="single" w:sz="4" w:space="0" w:color="auto"/>
            </w:tcBorders>
          </w:tcPr>
          <w:p w14:paraId="7133E8D6" w14:textId="77777777" w:rsidR="00434FD9" w:rsidRPr="00974DC3" w:rsidRDefault="00434FD9" w:rsidP="00434FD9">
            <w:pPr>
              <w:contextualSpacing/>
              <w:rPr>
                <w:rFonts w:ascii="Times New Roman" w:eastAsia="Calibri" w:hAnsi="Times New Roman" w:cs="Arial"/>
                <w:bCs/>
                <w:sz w:val="20"/>
                <w:szCs w:val="20"/>
              </w:rPr>
            </w:pPr>
            <w:r w:rsidRPr="00974DC3">
              <w:rPr>
                <w:rFonts w:ascii="Times New Roman" w:eastAsia="Calibri" w:hAnsi="Times New Roman" w:cs="Arial"/>
                <w:bCs/>
                <w:sz w:val="20"/>
                <w:szCs w:val="20"/>
              </w:rPr>
              <w:t xml:space="preserve">Study’s variables </w:t>
            </w:r>
          </w:p>
        </w:tc>
        <w:tc>
          <w:tcPr>
            <w:tcW w:w="2266" w:type="dxa"/>
            <w:tcBorders>
              <w:top w:val="single" w:sz="12" w:space="0" w:color="auto"/>
              <w:bottom w:val="single" w:sz="4" w:space="0" w:color="auto"/>
            </w:tcBorders>
          </w:tcPr>
          <w:p w14:paraId="6F784AE2" w14:textId="77777777" w:rsidR="00434FD9" w:rsidRPr="00974DC3" w:rsidRDefault="00434FD9" w:rsidP="00434FD9">
            <w:pPr>
              <w:contextualSpacing/>
              <w:rPr>
                <w:rFonts w:ascii="Times New Roman" w:eastAsia="Calibri" w:hAnsi="Times New Roman" w:cs="Arial"/>
                <w:bCs/>
                <w:sz w:val="20"/>
                <w:szCs w:val="20"/>
              </w:rPr>
            </w:pPr>
            <w:r w:rsidRPr="00974DC3">
              <w:rPr>
                <w:rFonts w:ascii="Times New Roman" w:eastAsia="Calibri" w:hAnsi="Times New Roman" w:cs="Arial"/>
                <w:bCs/>
                <w:sz w:val="20"/>
                <w:szCs w:val="20"/>
              </w:rPr>
              <w:t xml:space="preserve">Data sources </w:t>
            </w:r>
          </w:p>
        </w:tc>
      </w:tr>
      <w:tr w:rsidR="00434FD9" w:rsidRPr="00974DC3" w14:paraId="2CDDB28D" w14:textId="77777777" w:rsidTr="00434FD9">
        <w:trPr>
          <w:trHeight w:val="68"/>
        </w:trPr>
        <w:tc>
          <w:tcPr>
            <w:tcW w:w="14885" w:type="dxa"/>
            <w:gridSpan w:val="3"/>
            <w:tcBorders>
              <w:top w:val="single" w:sz="4" w:space="0" w:color="auto"/>
              <w:bottom w:val="nil"/>
            </w:tcBorders>
          </w:tcPr>
          <w:p w14:paraId="760571AC" w14:textId="77777777" w:rsidR="00434FD9" w:rsidRPr="00974DC3" w:rsidRDefault="00434FD9" w:rsidP="00434FD9">
            <w:pPr>
              <w:contextualSpacing/>
              <w:rPr>
                <w:rFonts w:ascii="Times New Roman" w:eastAsia="Calibri" w:hAnsi="Times New Roman" w:cs="Arial"/>
                <w:bCs/>
                <w:i/>
                <w:iCs/>
                <w:sz w:val="2"/>
                <w:szCs w:val="2"/>
              </w:rPr>
            </w:pPr>
          </w:p>
          <w:p w14:paraId="49E6C84C" w14:textId="77777777" w:rsidR="00434FD9" w:rsidRPr="00974DC3" w:rsidRDefault="00434FD9" w:rsidP="00434FD9">
            <w:pPr>
              <w:contextualSpacing/>
              <w:rPr>
                <w:rFonts w:ascii="Times New Roman" w:eastAsia="Calibri" w:hAnsi="Times New Roman" w:cs="Arial"/>
                <w:bCs/>
                <w:i/>
                <w:iCs/>
                <w:sz w:val="10"/>
                <w:szCs w:val="10"/>
              </w:rPr>
            </w:pPr>
          </w:p>
          <w:p w14:paraId="359EEC58"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i/>
                <w:iCs/>
                <w:sz w:val="20"/>
                <w:szCs w:val="20"/>
              </w:rPr>
              <w:t>VC pay – dependent variables:</w:t>
            </w:r>
          </w:p>
        </w:tc>
      </w:tr>
      <w:tr w:rsidR="00434FD9" w:rsidRPr="00974DC3" w14:paraId="5DE0DFDC" w14:textId="77777777" w:rsidTr="00434FD9">
        <w:trPr>
          <w:trHeight w:val="68"/>
        </w:trPr>
        <w:tc>
          <w:tcPr>
            <w:tcW w:w="4111" w:type="dxa"/>
            <w:tcBorders>
              <w:top w:val="nil"/>
            </w:tcBorders>
          </w:tcPr>
          <w:p w14:paraId="5017A91B"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basic pay (</w:t>
            </w:r>
            <w:r w:rsidRPr="00974DC3">
              <w:rPr>
                <w:rFonts w:ascii="Times New Roman" w:eastAsia="Calibri" w:hAnsi="Times New Roman" w:cs="Arial"/>
                <w:bCs/>
                <w:sz w:val="20"/>
                <w:szCs w:val="20"/>
              </w:rPr>
              <w:t>VCBP</w:t>
            </w:r>
            <w:r>
              <w:rPr>
                <w:rFonts w:ascii="Times New Roman" w:eastAsia="Calibri" w:hAnsi="Times New Roman" w:cs="Arial"/>
                <w:bCs/>
                <w:sz w:val="20"/>
                <w:szCs w:val="20"/>
              </w:rPr>
              <w:t>)</w:t>
            </w:r>
          </w:p>
        </w:tc>
        <w:tc>
          <w:tcPr>
            <w:tcW w:w="8511" w:type="dxa"/>
          </w:tcPr>
          <w:p w14:paraId="36BF6180"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VC basic pay (salary) scaled by total income.</w:t>
            </w:r>
          </w:p>
        </w:tc>
        <w:tc>
          <w:tcPr>
            <w:tcW w:w="2266" w:type="dxa"/>
          </w:tcPr>
          <w:p w14:paraId="670C4C88"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251F2191" w14:textId="77777777" w:rsidTr="00434FD9">
        <w:trPr>
          <w:trHeight w:val="68"/>
        </w:trPr>
        <w:tc>
          <w:tcPr>
            <w:tcW w:w="4111" w:type="dxa"/>
            <w:tcBorders>
              <w:top w:val="nil"/>
            </w:tcBorders>
          </w:tcPr>
          <w:p w14:paraId="16F8EEB0"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non-basic pay (</w:t>
            </w:r>
            <w:r w:rsidRPr="00974DC3">
              <w:rPr>
                <w:rFonts w:ascii="Times New Roman" w:eastAsia="Calibri" w:hAnsi="Times New Roman" w:cs="Arial"/>
                <w:bCs/>
                <w:sz w:val="20"/>
                <w:szCs w:val="20"/>
              </w:rPr>
              <w:t>VCNP</w:t>
            </w:r>
            <w:r>
              <w:rPr>
                <w:rFonts w:ascii="Times New Roman" w:eastAsia="Calibri" w:hAnsi="Times New Roman" w:cs="Arial"/>
                <w:bCs/>
                <w:sz w:val="20"/>
                <w:szCs w:val="20"/>
              </w:rPr>
              <w:t>)</w:t>
            </w:r>
          </w:p>
        </w:tc>
        <w:tc>
          <w:tcPr>
            <w:tcW w:w="8511" w:type="dxa"/>
          </w:tcPr>
          <w:p w14:paraId="66E9A1C3"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VC non-basic pay (bonuses, health housing and transport allowance; pension contributions, and other in-kind benefits) scaled by total income.</w:t>
            </w:r>
          </w:p>
        </w:tc>
        <w:tc>
          <w:tcPr>
            <w:tcW w:w="2266" w:type="dxa"/>
          </w:tcPr>
          <w:p w14:paraId="2BEFAF26"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15B185CC" w14:textId="77777777" w:rsidTr="00434FD9">
        <w:trPr>
          <w:trHeight w:val="68"/>
        </w:trPr>
        <w:tc>
          <w:tcPr>
            <w:tcW w:w="4111" w:type="dxa"/>
            <w:tcBorders>
              <w:top w:val="nil"/>
            </w:tcBorders>
          </w:tcPr>
          <w:p w14:paraId="36578C92"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total pay (</w:t>
            </w:r>
            <w:r w:rsidRPr="00974DC3">
              <w:rPr>
                <w:rFonts w:ascii="Times New Roman" w:eastAsia="Calibri" w:hAnsi="Times New Roman" w:cs="Arial"/>
                <w:bCs/>
                <w:sz w:val="20"/>
                <w:szCs w:val="20"/>
              </w:rPr>
              <w:t>VCTP</w:t>
            </w:r>
            <w:r>
              <w:rPr>
                <w:rFonts w:ascii="Times New Roman" w:eastAsia="Calibri" w:hAnsi="Times New Roman" w:cs="Arial"/>
                <w:bCs/>
                <w:sz w:val="20"/>
                <w:szCs w:val="20"/>
              </w:rPr>
              <w:t>)</w:t>
            </w:r>
          </w:p>
        </w:tc>
        <w:tc>
          <w:tcPr>
            <w:tcW w:w="8511" w:type="dxa"/>
          </w:tcPr>
          <w:p w14:paraId="57B88F29"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VC total pay, consisting of both basic and non-basic pay scaled by total income.</w:t>
            </w:r>
          </w:p>
        </w:tc>
        <w:tc>
          <w:tcPr>
            <w:tcW w:w="2266" w:type="dxa"/>
          </w:tcPr>
          <w:p w14:paraId="5E58F4BB"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2ED5F3F2" w14:textId="77777777" w:rsidTr="00434FD9">
        <w:trPr>
          <w:trHeight w:val="68"/>
        </w:trPr>
        <w:tc>
          <w:tcPr>
            <w:tcW w:w="14885" w:type="dxa"/>
            <w:gridSpan w:val="3"/>
            <w:tcBorders>
              <w:top w:val="nil"/>
              <w:bottom w:val="nil"/>
            </w:tcBorders>
          </w:tcPr>
          <w:p w14:paraId="5666B11C" w14:textId="77777777" w:rsidR="00434FD9" w:rsidRPr="00974DC3" w:rsidRDefault="00434FD9" w:rsidP="00434FD9">
            <w:pPr>
              <w:autoSpaceDE w:val="0"/>
              <w:adjustRightInd w:val="0"/>
              <w:jc w:val="both"/>
              <w:rPr>
                <w:rFonts w:ascii="Times New Roman" w:eastAsia="Calibri" w:hAnsi="Times New Roman" w:cs="Arial"/>
                <w:bCs/>
                <w:i/>
                <w:iCs/>
                <w:sz w:val="10"/>
                <w:szCs w:val="10"/>
              </w:rPr>
            </w:pPr>
          </w:p>
          <w:p w14:paraId="3CA55C62"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i/>
                <w:iCs/>
                <w:sz w:val="20"/>
                <w:szCs w:val="20"/>
              </w:rPr>
              <w:t>VC characteristics:</w:t>
            </w:r>
          </w:p>
        </w:tc>
      </w:tr>
      <w:tr w:rsidR="00434FD9" w:rsidRPr="00974DC3" w14:paraId="6CD15392" w14:textId="77777777" w:rsidTr="00434FD9">
        <w:trPr>
          <w:trHeight w:val="68"/>
        </w:trPr>
        <w:tc>
          <w:tcPr>
            <w:tcW w:w="4111" w:type="dxa"/>
          </w:tcPr>
          <w:p w14:paraId="60FC444F"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damehood (</w:t>
            </w:r>
            <w:r w:rsidRPr="00974DC3">
              <w:rPr>
                <w:rFonts w:ascii="Times New Roman" w:eastAsia="Calibri" w:hAnsi="Times New Roman" w:cs="Arial"/>
                <w:bCs/>
                <w:sz w:val="20"/>
                <w:szCs w:val="20"/>
              </w:rPr>
              <w:t>DAM</w:t>
            </w:r>
            <w:r>
              <w:rPr>
                <w:rFonts w:ascii="Times New Roman" w:eastAsia="Calibri" w:hAnsi="Times New Roman" w:cs="Arial"/>
                <w:bCs/>
                <w:sz w:val="20"/>
                <w:szCs w:val="20"/>
              </w:rPr>
              <w:t>)</w:t>
            </w:r>
          </w:p>
        </w:tc>
        <w:tc>
          <w:tcPr>
            <w:tcW w:w="8511" w:type="dxa"/>
          </w:tcPr>
          <w:p w14:paraId="48D569C8"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Damehood/Knighthood (1 if a dame or knight, 0 otherwise).</w:t>
            </w:r>
          </w:p>
        </w:tc>
        <w:tc>
          <w:tcPr>
            <w:tcW w:w="2266" w:type="dxa"/>
          </w:tcPr>
          <w:p w14:paraId="3E480AC1"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webpages.</w:t>
            </w:r>
          </w:p>
        </w:tc>
      </w:tr>
      <w:tr w:rsidR="00434FD9" w:rsidRPr="00974DC3" w14:paraId="62455850" w14:textId="77777777" w:rsidTr="00434FD9">
        <w:trPr>
          <w:trHeight w:val="68"/>
        </w:trPr>
        <w:tc>
          <w:tcPr>
            <w:tcW w:w="4111" w:type="dxa"/>
          </w:tcPr>
          <w:p w14:paraId="357FF07D"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gender (</w:t>
            </w:r>
            <w:r w:rsidRPr="00974DC3">
              <w:rPr>
                <w:rFonts w:ascii="Times New Roman" w:eastAsia="Calibri" w:hAnsi="Times New Roman" w:cs="Arial"/>
                <w:bCs/>
                <w:sz w:val="20"/>
                <w:szCs w:val="20"/>
              </w:rPr>
              <w:t>GEN</w:t>
            </w:r>
            <w:r>
              <w:rPr>
                <w:rFonts w:ascii="Times New Roman" w:eastAsia="Calibri" w:hAnsi="Times New Roman" w:cs="Arial"/>
                <w:bCs/>
                <w:sz w:val="20"/>
                <w:szCs w:val="20"/>
              </w:rPr>
              <w:t>)</w:t>
            </w:r>
          </w:p>
        </w:tc>
        <w:tc>
          <w:tcPr>
            <w:tcW w:w="8511" w:type="dxa"/>
          </w:tcPr>
          <w:p w14:paraId="0839CD58"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Gender (1 if the VC is male, 0 otherwise).</w:t>
            </w:r>
          </w:p>
        </w:tc>
        <w:tc>
          <w:tcPr>
            <w:tcW w:w="2266" w:type="dxa"/>
          </w:tcPr>
          <w:p w14:paraId="2C876BF5"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50BC5C2D" w14:textId="77777777" w:rsidTr="00434FD9">
        <w:trPr>
          <w:trHeight w:val="68"/>
        </w:trPr>
        <w:tc>
          <w:tcPr>
            <w:tcW w:w="4111" w:type="dxa"/>
          </w:tcPr>
          <w:p w14:paraId="1959EBC0"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age (</w:t>
            </w:r>
            <w:r w:rsidRPr="00974DC3">
              <w:rPr>
                <w:rFonts w:ascii="Times New Roman" w:eastAsia="Calibri" w:hAnsi="Times New Roman" w:cs="Arial"/>
                <w:bCs/>
                <w:sz w:val="20"/>
                <w:szCs w:val="20"/>
              </w:rPr>
              <w:t>AGE</w:t>
            </w:r>
            <w:r>
              <w:rPr>
                <w:rFonts w:ascii="Times New Roman" w:eastAsia="Calibri" w:hAnsi="Times New Roman" w:cs="Arial"/>
                <w:bCs/>
                <w:sz w:val="20"/>
                <w:szCs w:val="20"/>
              </w:rPr>
              <w:t>)</w:t>
            </w:r>
          </w:p>
        </w:tc>
        <w:tc>
          <w:tcPr>
            <w:tcW w:w="8511" w:type="dxa"/>
          </w:tcPr>
          <w:p w14:paraId="29B5F3CD"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Age (natural log of VC age).</w:t>
            </w:r>
          </w:p>
        </w:tc>
        <w:tc>
          <w:tcPr>
            <w:tcW w:w="2266" w:type="dxa"/>
          </w:tcPr>
          <w:p w14:paraId="4456CB26"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webpages.</w:t>
            </w:r>
          </w:p>
        </w:tc>
      </w:tr>
      <w:tr w:rsidR="00434FD9" w:rsidRPr="00974DC3" w14:paraId="7A3A7EE5" w14:textId="77777777" w:rsidTr="00434FD9">
        <w:trPr>
          <w:trHeight w:val="68"/>
        </w:trPr>
        <w:tc>
          <w:tcPr>
            <w:tcW w:w="4111" w:type="dxa"/>
          </w:tcPr>
          <w:p w14:paraId="65290F59"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educational background (</w:t>
            </w:r>
            <w:r w:rsidRPr="00974DC3">
              <w:rPr>
                <w:rFonts w:ascii="Times New Roman" w:eastAsia="Calibri" w:hAnsi="Times New Roman" w:cs="Arial"/>
                <w:bCs/>
                <w:sz w:val="20"/>
                <w:szCs w:val="20"/>
              </w:rPr>
              <w:t>EDU</w:t>
            </w:r>
            <w:r>
              <w:rPr>
                <w:rFonts w:ascii="Times New Roman" w:eastAsia="Calibri" w:hAnsi="Times New Roman" w:cs="Arial"/>
                <w:bCs/>
                <w:sz w:val="20"/>
                <w:szCs w:val="20"/>
              </w:rPr>
              <w:t>)</w:t>
            </w:r>
          </w:p>
        </w:tc>
        <w:tc>
          <w:tcPr>
            <w:tcW w:w="8511" w:type="dxa"/>
          </w:tcPr>
          <w:p w14:paraId="733EC3D6"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Educational background (1 if VC is from a specialist background, such as medicine, engineering and pharmacy, 0 otherwise).</w:t>
            </w:r>
          </w:p>
        </w:tc>
        <w:tc>
          <w:tcPr>
            <w:tcW w:w="2266" w:type="dxa"/>
          </w:tcPr>
          <w:p w14:paraId="49EBE845"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webpages.</w:t>
            </w:r>
          </w:p>
        </w:tc>
      </w:tr>
      <w:tr w:rsidR="00434FD9" w:rsidRPr="00974DC3" w14:paraId="30867D68" w14:textId="77777777" w:rsidTr="00434FD9">
        <w:trPr>
          <w:trHeight w:val="68"/>
        </w:trPr>
        <w:tc>
          <w:tcPr>
            <w:tcW w:w="4111" w:type="dxa"/>
          </w:tcPr>
          <w:p w14:paraId="3123239C" w14:textId="77777777"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VC tenure (</w:t>
            </w:r>
            <w:r w:rsidRPr="00974DC3">
              <w:rPr>
                <w:rFonts w:ascii="Times New Roman" w:eastAsia="Calibri" w:hAnsi="Times New Roman" w:cs="Arial"/>
                <w:bCs/>
                <w:sz w:val="20"/>
                <w:szCs w:val="20"/>
              </w:rPr>
              <w:t>TEN</w:t>
            </w:r>
            <w:r>
              <w:rPr>
                <w:rFonts w:ascii="Times New Roman" w:eastAsia="Calibri" w:hAnsi="Times New Roman" w:cs="Arial"/>
                <w:bCs/>
                <w:sz w:val="20"/>
                <w:szCs w:val="20"/>
              </w:rPr>
              <w:t>)</w:t>
            </w:r>
          </w:p>
        </w:tc>
        <w:tc>
          <w:tcPr>
            <w:tcW w:w="8511" w:type="dxa"/>
          </w:tcPr>
          <w:p w14:paraId="2C19DA6F" w14:textId="3E9F9474"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Tenure (natural log of the total number of years a vice-chancellor of an HEI </w:t>
            </w:r>
            <w:r w:rsidR="008B188F">
              <w:rPr>
                <w:rFonts w:ascii="Times New Roman" w:eastAsia="Calibri" w:hAnsi="Times New Roman" w:cs="Arial"/>
                <w:bCs/>
                <w:sz w:val="20"/>
                <w:szCs w:val="20"/>
              </w:rPr>
              <w:t>has been</w:t>
            </w:r>
            <w:r w:rsidRPr="00974DC3">
              <w:rPr>
                <w:rFonts w:ascii="Times New Roman" w:eastAsia="Calibri" w:hAnsi="Times New Roman" w:cs="Arial"/>
                <w:bCs/>
                <w:sz w:val="20"/>
                <w:szCs w:val="20"/>
              </w:rPr>
              <w:t xml:space="preserve"> </w:t>
            </w:r>
            <w:r w:rsidR="008B188F">
              <w:rPr>
                <w:rFonts w:ascii="Times New Roman" w:eastAsia="Calibri" w:hAnsi="Times New Roman" w:cs="Arial"/>
                <w:bCs/>
                <w:sz w:val="20"/>
                <w:szCs w:val="20"/>
              </w:rPr>
              <w:t>in post</w:t>
            </w:r>
            <w:r w:rsidRPr="00974DC3">
              <w:rPr>
                <w:rFonts w:ascii="Times New Roman" w:eastAsia="Calibri" w:hAnsi="Times New Roman" w:cs="Arial"/>
                <w:bCs/>
                <w:sz w:val="20"/>
                <w:szCs w:val="20"/>
              </w:rPr>
              <w:t>).</w:t>
            </w:r>
          </w:p>
        </w:tc>
        <w:tc>
          <w:tcPr>
            <w:tcW w:w="2266" w:type="dxa"/>
          </w:tcPr>
          <w:p w14:paraId="76DDA817"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7C04A9FC" w14:textId="77777777" w:rsidTr="00434FD9">
        <w:trPr>
          <w:trHeight w:val="68"/>
        </w:trPr>
        <w:tc>
          <w:tcPr>
            <w:tcW w:w="14885" w:type="dxa"/>
            <w:gridSpan w:val="3"/>
            <w:tcBorders>
              <w:top w:val="nil"/>
              <w:bottom w:val="nil"/>
            </w:tcBorders>
          </w:tcPr>
          <w:p w14:paraId="3285CCC8" w14:textId="77777777" w:rsidR="00434FD9" w:rsidRPr="00974DC3" w:rsidRDefault="00434FD9" w:rsidP="00434FD9">
            <w:pPr>
              <w:autoSpaceDE w:val="0"/>
              <w:adjustRightInd w:val="0"/>
              <w:jc w:val="both"/>
              <w:rPr>
                <w:rFonts w:ascii="Times New Roman" w:eastAsia="Calibri" w:hAnsi="Times New Roman" w:cs="Arial"/>
                <w:bCs/>
                <w:i/>
                <w:iCs/>
                <w:sz w:val="10"/>
                <w:szCs w:val="10"/>
              </w:rPr>
            </w:pPr>
          </w:p>
          <w:p w14:paraId="520DF1DE"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i/>
                <w:iCs/>
                <w:sz w:val="20"/>
                <w:szCs w:val="20"/>
              </w:rPr>
              <w:t>Interaction variable - VC characteristics (VCPC)*performance</w:t>
            </w:r>
          </w:p>
        </w:tc>
      </w:tr>
      <w:tr w:rsidR="00434FD9" w:rsidRPr="00974DC3" w14:paraId="7F3F9B4C" w14:textId="77777777" w:rsidTr="00434FD9">
        <w:trPr>
          <w:trHeight w:val="68"/>
        </w:trPr>
        <w:tc>
          <w:tcPr>
            <w:tcW w:w="4111" w:type="dxa"/>
          </w:tcPr>
          <w:p w14:paraId="59FA2EAB" w14:textId="77777777" w:rsidR="00434FD9" w:rsidRPr="00974DC3" w:rsidRDefault="00434FD9" w:rsidP="00434FD9">
            <w:pPr>
              <w:contextualSpacing/>
              <w:rPr>
                <w:rFonts w:ascii="Times New Roman" w:eastAsia="Calibri" w:hAnsi="Times New Roman" w:cs="Arial"/>
                <w:bCs/>
                <w:sz w:val="20"/>
                <w:szCs w:val="20"/>
              </w:rPr>
            </w:pPr>
            <w:r w:rsidRPr="00974DC3">
              <w:rPr>
                <w:rFonts w:ascii="Times New Roman" w:eastAsia="Calibri" w:hAnsi="Times New Roman" w:cs="Arial"/>
                <w:bCs/>
                <w:sz w:val="20"/>
                <w:szCs w:val="20"/>
              </w:rPr>
              <w:t>VC</w:t>
            </w:r>
            <w:r>
              <w:rPr>
                <w:rFonts w:ascii="Times New Roman" w:eastAsia="Calibri" w:hAnsi="Times New Roman" w:cs="Arial"/>
                <w:bCs/>
                <w:sz w:val="20"/>
                <w:szCs w:val="20"/>
              </w:rPr>
              <w:t xml:space="preserve"> pay</w:t>
            </w:r>
            <w:r w:rsidRPr="00974DC3">
              <w:rPr>
                <w:rFonts w:ascii="Times New Roman" w:eastAsia="Calibri" w:hAnsi="Times New Roman" w:cs="Arial"/>
                <w:bCs/>
                <w:sz w:val="20"/>
                <w:szCs w:val="20"/>
              </w:rPr>
              <w:t>*HEI</w:t>
            </w:r>
            <w:r>
              <w:rPr>
                <w:rFonts w:ascii="Times New Roman" w:eastAsia="Calibri" w:hAnsi="Times New Roman" w:cs="Arial"/>
                <w:bCs/>
                <w:sz w:val="20"/>
                <w:szCs w:val="20"/>
              </w:rPr>
              <w:t xml:space="preserve"> performance</w:t>
            </w:r>
          </w:p>
        </w:tc>
        <w:tc>
          <w:tcPr>
            <w:tcW w:w="8511" w:type="dxa"/>
          </w:tcPr>
          <w:p w14:paraId="6DDD355A"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Interaction variable between </w:t>
            </w:r>
            <w:r>
              <w:rPr>
                <w:rFonts w:ascii="Times New Roman" w:eastAsia="Calibri" w:hAnsi="Times New Roman" w:cs="Arial"/>
                <w:bCs/>
                <w:sz w:val="20"/>
                <w:szCs w:val="20"/>
              </w:rPr>
              <w:t>VC pay</w:t>
            </w:r>
            <w:r w:rsidRPr="00974DC3">
              <w:rPr>
                <w:rFonts w:ascii="Times New Roman" w:eastAsia="Calibri" w:hAnsi="Times New Roman" w:cs="Arial"/>
                <w:bCs/>
                <w:sz w:val="20"/>
                <w:szCs w:val="20"/>
              </w:rPr>
              <w:t xml:space="preserve"> and performance (i.e., long- and short-term performance measures).</w:t>
            </w:r>
          </w:p>
        </w:tc>
        <w:tc>
          <w:tcPr>
            <w:tcW w:w="2266" w:type="dxa"/>
          </w:tcPr>
          <w:p w14:paraId="5A54B8BA"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w:t>
            </w:r>
          </w:p>
        </w:tc>
      </w:tr>
      <w:tr w:rsidR="00434FD9" w:rsidRPr="00974DC3" w14:paraId="74EF3528" w14:textId="77777777" w:rsidTr="00434FD9">
        <w:trPr>
          <w:trHeight w:val="68"/>
        </w:trPr>
        <w:tc>
          <w:tcPr>
            <w:tcW w:w="14885" w:type="dxa"/>
            <w:gridSpan w:val="3"/>
            <w:tcBorders>
              <w:top w:val="nil"/>
              <w:bottom w:val="nil"/>
            </w:tcBorders>
          </w:tcPr>
          <w:p w14:paraId="4635A9BF" w14:textId="77777777" w:rsidR="00434FD9" w:rsidRPr="00974DC3" w:rsidRDefault="00434FD9" w:rsidP="00434FD9">
            <w:pPr>
              <w:autoSpaceDE w:val="0"/>
              <w:adjustRightInd w:val="0"/>
              <w:jc w:val="both"/>
              <w:rPr>
                <w:rFonts w:ascii="Times New Roman" w:eastAsia="Calibri" w:hAnsi="Times New Roman" w:cs="Arial"/>
                <w:bCs/>
                <w:i/>
                <w:iCs/>
                <w:sz w:val="10"/>
                <w:szCs w:val="10"/>
              </w:rPr>
            </w:pPr>
          </w:p>
          <w:p w14:paraId="13BDD709"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i/>
                <w:iCs/>
                <w:sz w:val="20"/>
                <w:szCs w:val="20"/>
              </w:rPr>
              <w:t>Controls (governance mechanisms):</w:t>
            </w:r>
          </w:p>
        </w:tc>
      </w:tr>
      <w:tr w:rsidR="00434FD9" w:rsidRPr="00974DC3" w14:paraId="20AE9B93" w14:textId="77777777" w:rsidTr="00434FD9">
        <w:trPr>
          <w:trHeight w:val="68"/>
        </w:trPr>
        <w:tc>
          <w:tcPr>
            <w:tcW w:w="4111" w:type="dxa"/>
          </w:tcPr>
          <w:p w14:paraId="17D724E9" w14:textId="368A0D64" w:rsidR="00434FD9" w:rsidRPr="00974DC3" w:rsidRDefault="00434FD9" w:rsidP="00434FD9">
            <w:pPr>
              <w:contextualSpacing/>
              <w:rPr>
                <w:rFonts w:ascii="Times New Roman" w:eastAsia="Calibri" w:hAnsi="Times New Roman" w:cs="Arial"/>
                <w:bCs/>
                <w:sz w:val="20"/>
                <w:szCs w:val="20"/>
              </w:rPr>
            </w:pPr>
            <w:r w:rsidRPr="009D268A">
              <w:rPr>
                <w:rFonts w:ascii="Times New Roman" w:eastAsia="Calibri" w:hAnsi="Times New Roman" w:cs="Arial"/>
                <w:iCs/>
                <w:sz w:val="20"/>
                <w:szCs w:val="20"/>
                <w:lang w:val="en-US"/>
              </w:rPr>
              <w:t xml:space="preserve">Presence of </w:t>
            </w:r>
            <w:r>
              <w:rPr>
                <w:rFonts w:ascii="Times New Roman" w:eastAsia="Calibri" w:hAnsi="Times New Roman" w:cs="Arial"/>
                <w:iCs/>
                <w:sz w:val="20"/>
                <w:szCs w:val="20"/>
                <w:lang w:val="en-US"/>
              </w:rPr>
              <w:t>r</w:t>
            </w:r>
            <w:r w:rsidRPr="009D268A">
              <w:rPr>
                <w:rFonts w:ascii="Times New Roman" w:eastAsia="Calibri" w:hAnsi="Times New Roman" w:cs="Arial"/>
                <w:iCs/>
                <w:sz w:val="20"/>
                <w:szCs w:val="20"/>
                <w:lang w:val="en-US"/>
              </w:rPr>
              <w:t xml:space="preserve">emuneration </w:t>
            </w:r>
            <w:r>
              <w:rPr>
                <w:rFonts w:ascii="Times New Roman" w:eastAsia="Calibri" w:hAnsi="Times New Roman" w:cs="Arial"/>
                <w:iCs/>
                <w:sz w:val="20"/>
                <w:szCs w:val="20"/>
                <w:lang w:val="en-US"/>
              </w:rPr>
              <w:t>c</w:t>
            </w:r>
            <w:r w:rsidRPr="009D268A">
              <w:rPr>
                <w:rFonts w:ascii="Times New Roman" w:eastAsia="Calibri" w:hAnsi="Times New Roman" w:cs="Arial"/>
                <w:iCs/>
                <w:sz w:val="20"/>
                <w:szCs w:val="20"/>
                <w:lang w:val="en-US"/>
              </w:rPr>
              <w:t>ommittee</w:t>
            </w:r>
            <w:r w:rsidRPr="009D268A">
              <w:rPr>
                <w:rFonts w:ascii="Times New Roman" w:eastAsia="Calibri" w:hAnsi="Times New Roman" w:cs="Arial"/>
                <w:sz w:val="20"/>
                <w:szCs w:val="20"/>
              </w:rPr>
              <w:t xml:space="preserve"> </w:t>
            </w:r>
            <w:r>
              <w:rPr>
                <w:rFonts w:ascii="Times New Roman" w:eastAsia="Calibri" w:hAnsi="Times New Roman" w:cs="Arial"/>
                <w:sz w:val="20"/>
                <w:szCs w:val="20"/>
              </w:rPr>
              <w:t>(</w:t>
            </w:r>
            <w:r w:rsidRPr="00974DC3">
              <w:rPr>
                <w:rFonts w:ascii="Times New Roman" w:eastAsia="Calibri" w:hAnsi="Times New Roman" w:cs="Arial"/>
                <w:sz w:val="20"/>
                <w:szCs w:val="20"/>
              </w:rPr>
              <w:t>PRC</w:t>
            </w:r>
            <w:r>
              <w:rPr>
                <w:rFonts w:ascii="Times New Roman" w:eastAsia="Calibri" w:hAnsi="Times New Roman" w:cs="Arial"/>
                <w:sz w:val="20"/>
                <w:szCs w:val="20"/>
              </w:rPr>
              <w:t>)</w:t>
            </w:r>
          </w:p>
        </w:tc>
        <w:tc>
          <w:tcPr>
            <w:tcW w:w="8511" w:type="dxa"/>
          </w:tcPr>
          <w:p w14:paraId="33AFCF58"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sz w:val="20"/>
                <w:szCs w:val="20"/>
              </w:rPr>
              <w:t>1, if an HEI has a remuneration committee, 0 otherwise.</w:t>
            </w:r>
          </w:p>
        </w:tc>
        <w:tc>
          <w:tcPr>
            <w:tcW w:w="2266" w:type="dxa"/>
          </w:tcPr>
          <w:p w14:paraId="7AB22E7E"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3BB8A9B7" w14:textId="77777777" w:rsidTr="00434FD9">
        <w:trPr>
          <w:trHeight w:val="68"/>
        </w:trPr>
        <w:tc>
          <w:tcPr>
            <w:tcW w:w="4111" w:type="dxa"/>
          </w:tcPr>
          <w:p w14:paraId="65931D5C" w14:textId="280773E7" w:rsidR="00434FD9" w:rsidRPr="00974DC3" w:rsidRDefault="00434FD9" w:rsidP="00434FD9">
            <w:pPr>
              <w:contextualSpacing/>
              <w:rPr>
                <w:rFonts w:ascii="Times New Roman" w:eastAsia="Calibri" w:hAnsi="Times New Roman" w:cs="Arial"/>
                <w:bCs/>
                <w:sz w:val="20"/>
                <w:szCs w:val="20"/>
              </w:rPr>
            </w:pPr>
            <w:r w:rsidRPr="009D268A">
              <w:rPr>
                <w:rFonts w:ascii="Times New Roman" w:eastAsia="Calibri" w:hAnsi="Times New Roman" w:cs="Arial"/>
                <w:bCs/>
                <w:iCs/>
                <w:sz w:val="20"/>
                <w:szCs w:val="20"/>
                <w:lang w:val="en-US"/>
              </w:rPr>
              <w:t xml:space="preserve">Presence of </w:t>
            </w:r>
            <w:r>
              <w:rPr>
                <w:rFonts w:ascii="Times New Roman" w:eastAsia="Calibri" w:hAnsi="Times New Roman" w:cs="Arial"/>
                <w:bCs/>
                <w:iCs/>
                <w:sz w:val="20"/>
                <w:szCs w:val="20"/>
                <w:lang w:val="en-US"/>
              </w:rPr>
              <w:t>governance c</w:t>
            </w:r>
            <w:r w:rsidRPr="009D268A">
              <w:rPr>
                <w:rFonts w:ascii="Times New Roman" w:eastAsia="Calibri" w:hAnsi="Times New Roman" w:cs="Arial"/>
                <w:bCs/>
                <w:iCs/>
                <w:sz w:val="20"/>
                <w:szCs w:val="20"/>
                <w:lang w:val="en-US"/>
              </w:rPr>
              <w:t>ommittee</w:t>
            </w:r>
            <w:r w:rsidRPr="009D268A">
              <w:rPr>
                <w:rFonts w:ascii="Times New Roman" w:eastAsia="Calibri" w:hAnsi="Times New Roman" w:cs="Arial"/>
                <w:bCs/>
                <w:sz w:val="20"/>
                <w:szCs w:val="20"/>
              </w:rPr>
              <w:t xml:space="preserve"> </w:t>
            </w:r>
            <w:r>
              <w:rPr>
                <w:rFonts w:ascii="Times New Roman" w:eastAsia="Calibri" w:hAnsi="Times New Roman" w:cs="Arial"/>
                <w:bCs/>
                <w:sz w:val="20"/>
                <w:szCs w:val="20"/>
              </w:rPr>
              <w:t>(</w:t>
            </w:r>
            <w:r w:rsidRPr="00974DC3">
              <w:rPr>
                <w:rFonts w:ascii="Times New Roman" w:eastAsia="Calibri" w:hAnsi="Times New Roman" w:cs="Arial"/>
                <w:bCs/>
                <w:sz w:val="20"/>
                <w:szCs w:val="20"/>
              </w:rPr>
              <w:t>PGC</w:t>
            </w:r>
            <w:r>
              <w:rPr>
                <w:rFonts w:ascii="Times New Roman" w:eastAsia="Calibri" w:hAnsi="Times New Roman" w:cs="Arial"/>
                <w:bCs/>
                <w:sz w:val="20"/>
                <w:szCs w:val="20"/>
              </w:rPr>
              <w:t>)</w:t>
            </w:r>
          </w:p>
        </w:tc>
        <w:tc>
          <w:tcPr>
            <w:tcW w:w="8511" w:type="dxa"/>
          </w:tcPr>
          <w:p w14:paraId="57DA2CC9"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sz w:val="20"/>
                <w:szCs w:val="20"/>
              </w:rPr>
              <w:t>1, if an HEI has a governance committee, 0 otherwise.</w:t>
            </w:r>
          </w:p>
        </w:tc>
        <w:tc>
          <w:tcPr>
            <w:tcW w:w="2266" w:type="dxa"/>
          </w:tcPr>
          <w:p w14:paraId="67F4F71B"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44780BDF" w14:textId="77777777" w:rsidTr="00434FD9">
        <w:trPr>
          <w:trHeight w:val="68"/>
        </w:trPr>
        <w:tc>
          <w:tcPr>
            <w:tcW w:w="4111" w:type="dxa"/>
            <w:tcBorders>
              <w:top w:val="nil"/>
              <w:left w:val="nil"/>
              <w:bottom w:val="nil"/>
              <w:right w:val="nil"/>
            </w:tcBorders>
          </w:tcPr>
          <w:p w14:paraId="3653A254" w14:textId="6B129BF3" w:rsidR="00434FD9" w:rsidRPr="00974DC3" w:rsidRDefault="00434FD9" w:rsidP="00434FD9">
            <w:pPr>
              <w:contextualSpacing/>
              <w:rPr>
                <w:rFonts w:ascii="Times New Roman" w:eastAsia="Calibri" w:hAnsi="Times New Roman" w:cs="Arial"/>
                <w:bCs/>
                <w:sz w:val="20"/>
                <w:szCs w:val="20"/>
              </w:rPr>
            </w:pPr>
            <w:r w:rsidRPr="00434FD9">
              <w:rPr>
                <w:rFonts w:ascii="Times New Roman" w:eastAsia="Calibri" w:hAnsi="Times New Roman" w:cs="Arial"/>
                <w:bCs/>
                <w:iCs/>
                <w:sz w:val="20"/>
                <w:szCs w:val="20"/>
                <w:lang w:val="en-US"/>
              </w:rPr>
              <w:t xml:space="preserve">Executive </w:t>
            </w:r>
            <w:r>
              <w:rPr>
                <w:rFonts w:ascii="Times New Roman" w:eastAsia="Calibri" w:hAnsi="Times New Roman" w:cs="Arial"/>
                <w:bCs/>
                <w:iCs/>
                <w:sz w:val="20"/>
                <w:szCs w:val="20"/>
                <w:lang w:val="en-US"/>
              </w:rPr>
              <w:t>m</w:t>
            </w:r>
            <w:r w:rsidRPr="00434FD9">
              <w:rPr>
                <w:rFonts w:ascii="Times New Roman" w:eastAsia="Calibri" w:hAnsi="Times New Roman" w:cs="Arial"/>
                <w:bCs/>
                <w:iCs/>
                <w:sz w:val="20"/>
                <w:szCs w:val="20"/>
                <w:lang w:val="en-US"/>
              </w:rPr>
              <w:t xml:space="preserve">anagement </w:t>
            </w:r>
            <w:r>
              <w:rPr>
                <w:rFonts w:ascii="Times New Roman" w:eastAsia="Calibri" w:hAnsi="Times New Roman" w:cs="Arial"/>
                <w:bCs/>
                <w:iCs/>
                <w:sz w:val="20"/>
                <w:szCs w:val="20"/>
                <w:lang w:val="en-US"/>
              </w:rPr>
              <w:t>t</w:t>
            </w:r>
            <w:r w:rsidRPr="00434FD9">
              <w:rPr>
                <w:rFonts w:ascii="Times New Roman" w:eastAsia="Calibri" w:hAnsi="Times New Roman" w:cs="Arial"/>
                <w:bCs/>
                <w:iCs/>
                <w:sz w:val="20"/>
                <w:szCs w:val="20"/>
                <w:lang w:val="en-US"/>
              </w:rPr>
              <w:t xml:space="preserve">eam </w:t>
            </w:r>
            <w:r>
              <w:rPr>
                <w:rFonts w:ascii="Times New Roman" w:eastAsia="Calibri" w:hAnsi="Times New Roman" w:cs="Arial"/>
                <w:bCs/>
                <w:iCs/>
                <w:sz w:val="20"/>
                <w:szCs w:val="20"/>
                <w:lang w:val="en-US"/>
              </w:rPr>
              <w:t>s</w:t>
            </w:r>
            <w:r w:rsidRPr="00434FD9">
              <w:rPr>
                <w:rFonts w:ascii="Times New Roman" w:eastAsia="Calibri" w:hAnsi="Times New Roman" w:cs="Arial"/>
                <w:bCs/>
                <w:iCs/>
                <w:sz w:val="20"/>
                <w:szCs w:val="20"/>
                <w:lang w:val="en-US"/>
              </w:rPr>
              <w:t>ize</w:t>
            </w:r>
            <w:r w:rsidRPr="00434FD9">
              <w:rPr>
                <w:rFonts w:ascii="Times New Roman" w:eastAsia="Calibri" w:hAnsi="Times New Roman" w:cs="Arial"/>
                <w:bCs/>
                <w:sz w:val="20"/>
                <w:szCs w:val="20"/>
              </w:rPr>
              <w:t xml:space="preserve"> </w:t>
            </w:r>
            <w:r>
              <w:rPr>
                <w:rFonts w:ascii="Times New Roman" w:eastAsia="Calibri" w:hAnsi="Times New Roman" w:cs="Arial"/>
                <w:bCs/>
                <w:sz w:val="20"/>
                <w:szCs w:val="20"/>
              </w:rPr>
              <w:t>(</w:t>
            </w:r>
            <w:r w:rsidRPr="00974DC3">
              <w:rPr>
                <w:rFonts w:ascii="Times New Roman" w:eastAsia="Calibri" w:hAnsi="Times New Roman" w:cs="Arial"/>
                <w:bCs/>
                <w:sz w:val="20"/>
                <w:szCs w:val="20"/>
              </w:rPr>
              <w:t>EBSZ</w:t>
            </w:r>
            <w:r>
              <w:rPr>
                <w:rFonts w:ascii="Times New Roman" w:eastAsia="Calibri" w:hAnsi="Times New Roman" w:cs="Arial"/>
                <w:bCs/>
                <w:sz w:val="20"/>
                <w:szCs w:val="20"/>
              </w:rPr>
              <w:t>)</w:t>
            </w:r>
          </w:p>
        </w:tc>
        <w:tc>
          <w:tcPr>
            <w:tcW w:w="8511" w:type="dxa"/>
          </w:tcPr>
          <w:p w14:paraId="418749FB" w14:textId="63DD1E28"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Natural log of the number</w:t>
            </w:r>
            <w:r w:rsidR="008B188F">
              <w:rPr>
                <w:rFonts w:ascii="Times New Roman" w:eastAsia="Calibri" w:hAnsi="Times New Roman" w:cs="Arial"/>
                <w:bCs/>
                <w:sz w:val="20"/>
                <w:szCs w:val="20"/>
              </w:rPr>
              <w:t xml:space="preserve"> members of</w:t>
            </w:r>
            <w:r w:rsidRPr="00974DC3">
              <w:rPr>
                <w:rFonts w:ascii="Times New Roman" w:eastAsia="Calibri" w:hAnsi="Times New Roman" w:cs="Arial"/>
                <w:bCs/>
                <w:sz w:val="20"/>
                <w:szCs w:val="20"/>
              </w:rPr>
              <w:t xml:space="preserve"> a HEI executive/senior management team.</w:t>
            </w:r>
          </w:p>
        </w:tc>
        <w:tc>
          <w:tcPr>
            <w:tcW w:w="2266" w:type="dxa"/>
          </w:tcPr>
          <w:p w14:paraId="7E2DF760"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3C527A6F" w14:textId="77777777" w:rsidTr="00434FD9">
        <w:trPr>
          <w:trHeight w:val="68"/>
        </w:trPr>
        <w:tc>
          <w:tcPr>
            <w:tcW w:w="4111" w:type="dxa"/>
            <w:tcBorders>
              <w:top w:val="nil"/>
              <w:left w:val="nil"/>
              <w:bottom w:val="nil"/>
              <w:right w:val="nil"/>
            </w:tcBorders>
          </w:tcPr>
          <w:p w14:paraId="4C6C365D" w14:textId="41A7EE66" w:rsidR="00434FD9" w:rsidRPr="00974DC3" w:rsidRDefault="00434FD9" w:rsidP="00434FD9">
            <w:pPr>
              <w:contextualSpacing/>
              <w:rPr>
                <w:rFonts w:ascii="Times New Roman" w:eastAsia="Calibri" w:hAnsi="Times New Roman" w:cs="Arial"/>
                <w:bCs/>
                <w:sz w:val="20"/>
                <w:szCs w:val="20"/>
              </w:rPr>
            </w:pPr>
            <w:r w:rsidRPr="00434FD9">
              <w:rPr>
                <w:rFonts w:ascii="Times New Roman" w:eastAsia="Calibri" w:hAnsi="Times New Roman" w:cs="Arial"/>
                <w:bCs/>
                <w:iCs/>
                <w:sz w:val="20"/>
                <w:szCs w:val="20"/>
                <w:lang w:val="en-US"/>
              </w:rPr>
              <w:t xml:space="preserve">Executive </w:t>
            </w:r>
            <w:r>
              <w:rPr>
                <w:rFonts w:ascii="Times New Roman" w:eastAsia="Calibri" w:hAnsi="Times New Roman" w:cs="Arial"/>
                <w:bCs/>
                <w:iCs/>
                <w:sz w:val="20"/>
                <w:szCs w:val="20"/>
                <w:lang w:val="en-US"/>
              </w:rPr>
              <w:t>m</w:t>
            </w:r>
            <w:r w:rsidRPr="00434FD9">
              <w:rPr>
                <w:rFonts w:ascii="Times New Roman" w:eastAsia="Calibri" w:hAnsi="Times New Roman" w:cs="Arial"/>
                <w:bCs/>
                <w:iCs/>
                <w:sz w:val="20"/>
                <w:szCs w:val="20"/>
                <w:lang w:val="en-US"/>
              </w:rPr>
              <w:t xml:space="preserve">anagement </w:t>
            </w:r>
            <w:r>
              <w:rPr>
                <w:rFonts w:ascii="Times New Roman" w:eastAsia="Calibri" w:hAnsi="Times New Roman" w:cs="Arial"/>
                <w:bCs/>
                <w:iCs/>
                <w:sz w:val="20"/>
                <w:szCs w:val="20"/>
                <w:lang w:val="en-US"/>
              </w:rPr>
              <w:t>m</w:t>
            </w:r>
            <w:r w:rsidRPr="00434FD9">
              <w:rPr>
                <w:rFonts w:ascii="Times New Roman" w:eastAsia="Calibri" w:hAnsi="Times New Roman" w:cs="Arial"/>
                <w:bCs/>
                <w:iCs/>
                <w:sz w:val="20"/>
                <w:szCs w:val="20"/>
                <w:lang w:val="en-US"/>
              </w:rPr>
              <w:t>ea</w:t>
            </w:r>
            <w:r w:rsidR="00AC7759">
              <w:rPr>
                <w:rFonts w:ascii="Times New Roman" w:eastAsia="Calibri" w:hAnsi="Times New Roman" w:cs="Arial"/>
                <w:bCs/>
                <w:iCs/>
                <w:sz w:val="20"/>
                <w:szCs w:val="20"/>
                <w:lang w:val="en-US"/>
              </w:rPr>
              <w:t>n</w:t>
            </w:r>
            <w:r w:rsidRPr="00434FD9">
              <w:rPr>
                <w:rFonts w:ascii="Times New Roman" w:eastAsia="Calibri" w:hAnsi="Times New Roman" w:cs="Arial"/>
                <w:bCs/>
                <w:iCs/>
                <w:sz w:val="20"/>
                <w:szCs w:val="20"/>
                <w:lang w:val="en-US"/>
              </w:rPr>
              <w:t xml:space="preserve"> </w:t>
            </w:r>
            <w:r>
              <w:rPr>
                <w:rFonts w:ascii="Times New Roman" w:eastAsia="Calibri" w:hAnsi="Times New Roman" w:cs="Arial"/>
                <w:bCs/>
                <w:iCs/>
                <w:sz w:val="20"/>
                <w:szCs w:val="20"/>
                <w:lang w:val="en-US"/>
              </w:rPr>
              <w:t>diversity (</w:t>
            </w:r>
            <w:r w:rsidRPr="00974DC3">
              <w:rPr>
                <w:rFonts w:ascii="Times New Roman" w:eastAsia="Calibri" w:hAnsi="Times New Roman" w:cs="Arial"/>
                <w:bCs/>
                <w:sz w:val="20"/>
                <w:szCs w:val="20"/>
              </w:rPr>
              <w:t>EBDV</w:t>
            </w:r>
            <w:r>
              <w:rPr>
                <w:rFonts w:ascii="Times New Roman" w:eastAsia="Calibri" w:hAnsi="Times New Roman" w:cs="Arial"/>
                <w:bCs/>
                <w:sz w:val="20"/>
                <w:szCs w:val="20"/>
              </w:rPr>
              <w:t>)</w:t>
            </w:r>
          </w:p>
        </w:tc>
        <w:tc>
          <w:tcPr>
            <w:tcW w:w="8511" w:type="dxa"/>
          </w:tcPr>
          <w:p w14:paraId="6E6E6B25"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Percentage on women and ethnic minority in a HEI executive/senior management team.</w:t>
            </w:r>
          </w:p>
        </w:tc>
        <w:tc>
          <w:tcPr>
            <w:tcW w:w="2266" w:type="dxa"/>
          </w:tcPr>
          <w:p w14:paraId="1D1150B9"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1E5D4580" w14:textId="77777777" w:rsidTr="00434FD9">
        <w:trPr>
          <w:trHeight w:val="68"/>
        </w:trPr>
        <w:tc>
          <w:tcPr>
            <w:tcW w:w="4111" w:type="dxa"/>
            <w:tcBorders>
              <w:top w:val="nil"/>
              <w:left w:val="nil"/>
              <w:bottom w:val="nil"/>
              <w:right w:val="nil"/>
            </w:tcBorders>
          </w:tcPr>
          <w:p w14:paraId="432FDB20" w14:textId="156F97CB" w:rsidR="00434FD9" w:rsidRPr="00974DC3" w:rsidRDefault="00434FD9" w:rsidP="00434FD9">
            <w:pPr>
              <w:contextualSpacing/>
              <w:rPr>
                <w:rFonts w:ascii="Times New Roman" w:eastAsia="Calibri" w:hAnsi="Times New Roman" w:cs="Arial"/>
                <w:bCs/>
                <w:sz w:val="20"/>
                <w:szCs w:val="20"/>
              </w:rPr>
            </w:pPr>
            <w:r>
              <w:rPr>
                <w:rFonts w:ascii="Times New Roman" w:eastAsia="Times New Roman" w:hAnsi="Times New Roman" w:cs="Times New Roman"/>
                <w:iCs/>
                <w:color w:val="000000"/>
                <w:sz w:val="20"/>
                <w:szCs w:val="20"/>
                <w:lang w:val="en-US"/>
              </w:rPr>
              <w:t>Executive management team meeting (</w:t>
            </w:r>
            <w:r w:rsidRPr="00974DC3">
              <w:rPr>
                <w:rFonts w:ascii="Times New Roman" w:eastAsia="Calibri" w:hAnsi="Times New Roman" w:cs="Arial"/>
                <w:bCs/>
                <w:sz w:val="20"/>
                <w:szCs w:val="20"/>
              </w:rPr>
              <w:t>EBME</w:t>
            </w:r>
            <w:r>
              <w:rPr>
                <w:rFonts w:ascii="Times New Roman" w:eastAsia="Calibri" w:hAnsi="Times New Roman" w:cs="Arial"/>
                <w:bCs/>
                <w:sz w:val="20"/>
                <w:szCs w:val="20"/>
              </w:rPr>
              <w:t>)</w:t>
            </w:r>
          </w:p>
        </w:tc>
        <w:tc>
          <w:tcPr>
            <w:tcW w:w="8511" w:type="dxa"/>
            <w:tcBorders>
              <w:bottom w:val="nil"/>
            </w:tcBorders>
          </w:tcPr>
          <w:p w14:paraId="1DF63C8F" w14:textId="3B10D65A"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Natural log of </w:t>
            </w:r>
            <w:r w:rsidR="008B188F">
              <w:rPr>
                <w:rFonts w:ascii="Times New Roman" w:eastAsia="Calibri" w:hAnsi="Times New Roman" w:cs="Arial"/>
                <w:bCs/>
                <w:sz w:val="20"/>
                <w:szCs w:val="20"/>
              </w:rPr>
              <w:t xml:space="preserve">the number of </w:t>
            </w:r>
            <w:r w:rsidRPr="00974DC3">
              <w:rPr>
                <w:rFonts w:ascii="Times New Roman" w:eastAsia="Calibri" w:hAnsi="Times New Roman" w:cs="Arial"/>
                <w:bCs/>
                <w:sz w:val="20"/>
                <w:szCs w:val="20"/>
              </w:rPr>
              <w:t xml:space="preserve">a </w:t>
            </w:r>
            <w:proofErr w:type="gramStart"/>
            <w:r w:rsidRPr="00974DC3">
              <w:rPr>
                <w:rFonts w:ascii="Times New Roman" w:eastAsia="Calibri" w:hAnsi="Times New Roman" w:cs="Arial"/>
                <w:bCs/>
                <w:sz w:val="20"/>
                <w:szCs w:val="20"/>
              </w:rPr>
              <w:t>HEI executive/senior management team meetings</w:t>
            </w:r>
            <w:proofErr w:type="gramEnd"/>
            <w:r w:rsidRPr="00974DC3">
              <w:rPr>
                <w:rFonts w:ascii="Times New Roman" w:eastAsia="Calibri" w:hAnsi="Times New Roman" w:cs="Arial"/>
                <w:bCs/>
                <w:sz w:val="20"/>
                <w:szCs w:val="20"/>
              </w:rPr>
              <w:t>.</w:t>
            </w:r>
          </w:p>
        </w:tc>
        <w:tc>
          <w:tcPr>
            <w:tcW w:w="2266" w:type="dxa"/>
            <w:tcBorders>
              <w:bottom w:val="nil"/>
            </w:tcBorders>
          </w:tcPr>
          <w:p w14:paraId="0A7DFCF0"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2615C86C" w14:textId="77777777" w:rsidTr="00434FD9">
        <w:trPr>
          <w:trHeight w:val="68"/>
        </w:trPr>
        <w:tc>
          <w:tcPr>
            <w:tcW w:w="4111" w:type="dxa"/>
            <w:tcBorders>
              <w:top w:val="nil"/>
              <w:left w:val="nil"/>
              <w:bottom w:val="nil"/>
              <w:right w:val="nil"/>
            </w:tcBorders>
          </w:tcPr>
          <w:p w14:paraId="7B400FD2" w14:textId="285C73F2"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Change in VC (</w:t>
            </w:r>
            <w:r w:rsidRPr="00974DC3">
              <w:rPr>
                <w:rFonts w:ascii="Times New Roman" w:eastAsia="Calibri" w:hAnsi="Times New Roman" w:cs="Arial"/>
                <w:bCs/>
                <w:sz w:val="20"/>
                <w:szCs w:val="20"/>
              </w:rPr>
              <w:t>VC Change</w:t>
            </w:r>
            <w:r>
              <w:rPr>
                <w:rFonts w:ascii="Times New Roman" w:eastAsia="Calibri" w:hAnsi="Times New Roman" w:cs="Arial"/>
                <w:bCs/>
                <w:sz w:val="20"/>
                <w:szCs w:val="20"/>
              </w:rPr>
              <w:t>)</w:t>
            </w:r>
          </w:p>
        </w:tc>
        <w:tc>
          <w:tcPr>
            <w:tcW w:w="8511" w:type="dxa"/>
            <w:tcBorders>
              <w:top w:val="nil"/>
              <w:bottom w:val="nil"/>
            </w:tcBorders>
          </w:tcPr>
          <w:p w14:paraId="63ABE0B3"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 xml:space="preserve">1, if the VC has been on the board for six years or more, 0 otherwise. </w:t>
            </w:r>
          </w:p>
        </w:tc>
        <w:tc>
          <w:tcPr>
            <w:tcW w:w="2266" w:type="dxa"/>
            <w:tcBorders>
              <w:top w:val="nil"/>
              <w:bottom w:val="nil"/>
            </w:tcBorders>
          </w:tcPr>
          <w:p w14:paraId="53D82524"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3F34B57F" w14:textId="77777777" w:rsidTr="00434FD9">
        <w:trPr>
          <w:trHeight w:val="68"/>
        </w:trPr>
        <w:tc>
          <w:tcPr>
            <w:tcW w:w="14885" w:type="dxa"/>
            <w:gridSpan w:val="3"/>
            <w:tcBorders>
              <w:top w:val="nil"/>
              <w:left w:val="nil"/>
              <w:bottom w:val="nil"/>
            </w:tcBorders>
          </w:tcPr>
          <w:p w14:paraId="2CB691C1" w14:textId="77777777" w:rsidR="00434FD9" w:rsidRPr="00974DC3" w:rsidRDefault="00434FD9" w:rsidP="00434FD9">
            <w:pPr>
              <w:autoSpaceDE w:val="0"/>
              <w:adjustRightInd w:val="0"/>
              <w:jc w:val="both"/>
              <w:rPr>
                <w:rFonts w:ascii="Times New Roman" w:eastAsia="Calibri" w:hAnsi="Times New Roman" w:cs="Arial"/>
                <w:bCs/>
                <w:i/>
                <w:iCs/>
                <w:sz w:val="10"/>
                <w:szCs w:val="10"/>
              </w:rPr>
            </w:pPr>
          </w:p>
          <w:p w14:paraId="73026DA1"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i/>
                <w:iCs/>
                <w:sz w:val="20"/>
                <w:szCs w:val="20"/>
              </w:rPr>
              <w:t>Controls (general HEI characteristics):</w:t>
            </w:r>
          </w:p>
        </w:tc>
      </w:tr>
      <w:tr w:rsidR="00434FD9" w:rsidRPr="00974DC3" w14:paraId="27D352BE" w14:textId="77777777" w:rsidTr="00434FD9">
        <w:trPr>
          <w:trHeight w:val="68"/>
        </w:trPr>
        <w:tc>
          <w:tcPr>
            <w:tcW w:w="4111" w:type="dxa"/>
          </w:tcPr>
          <w:p w14:paraId="6423944A" w14:textId="38ED7EF0" w:rsidR="00434FD9" w:rsidRPr="00974DC3" w:rsidRDefault="00434FD9" w:rsidP="00434FD9">
            <w:pPr>
              <w:contextualSpacing/>
              <w:rPr>
                <w:rFonts w:ascii="Times New Roman" w:eastAsia="Calibri" w:hAnsi="Times New Roman" w:cs="Arial"/>
                <w:bCs/>
                <w:sz w:val="20"/>
                <w:szCs w:val="20"/>
              </w:rPr>
            </w:pPr>
            <w:r w:rsidRPr="00434FD9">
              <w:rPr>
                <w:rFonts w:ascii="Times New Roman" w:eastAsia="Calibri" w:hAnsi="Times New Roman" w:cs="Arial"/>
                <w:bCs/>
                <w:iCs/>
                <w:sz w:val="20"/>
                <w:szCs w:val="20"/>
                <w:lang w:val="en-US"/>
              </w:rPr>
              <w:t>POST_1992</w:t>
            </w:r>
            <w:r>
              <w:rPr>
                <w:rFonts w:ascii="Times New Roman" w:eastAsia="Calibri" w:hAnsi="Times New Roman" w:cs="Arial"/>
                <w:bCs/>
                <w:iCs/>
                <w:sz w:val="20"/>
                <w:szCs w:val="20"/>
                <w:lang w:val="en-US"/>
              </w:rPr>
              <w:t xml:space="preserve"> (</w:t>
            </w:r>
            <w:r w:rsidRPr="00974DC3">
              <w:rPr>
                <w:rFonts w:ascii="Times New Roman" w:eastAsia="Calibri" w:hAnsi="Times New Roman" w:cs="Arial"/>
                <w:bCs/>
                <w:sz w:val="20"/>
                <w:szCs w:val="20"/>
              </w:rPr>
              <w:t>PST_92</w:t>
            </w:r>
            <w:r>
              <w:rPr>
                <w:rFonts w:ascii="Times New Roman" w:eastAsia="Calibri" w:hAnsi="Times New Roman" w:cs="Arial"/>
                <w:bCs/>
                <w:sz w:val="20"/>
                <w:szCs w:val="20"/>
              </w:rPr>
              <w:t>)</w:t>
            </w:r>
          </w:p>
        </w:tc>
        <w:tc>
          <w:tcPr>
            <w:tcW w:w="8511" w:type="dxa"/>
          </w:tcPr>
          <w:p w14:paraId="43FCBBD7"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sz w:val="20"/>
                <w:szCs w:val="20"/>
              </w:rPr>
              <w:t>1, if an HEI is established after 1992, 0 otherwise.</w:t>
            </w:r>
          </w:p>
        </w:tc>
        <w:tc>
          <w:tcPr>
            <w:tcW w:w="2266" w:type="dxa"/>
          </w:tcPr>
          <w:p w14:paraId="51BF0298"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sz w:val="20"/>
                <w:szCs w:val="20"/>
              </w:rPr>
              <w:t>HEIs’ webpages.</w:t>
            </w:r>
          </w:p>
        </w:tc>
      </w:tr>
      <w:tr w:rsidR="00434FD9" w:rsidRPr="00974DC3" w14:paraId="1F2D0CBB" w14:textId="77777777" w:rsidTr="00434FD9">
        <w:trPr>
          <w:trHeight w:val="68"/>
        </w:trPr>
        <w:tc>
          <w:tcPr>
            <w:tcW w:w="4111" w:type="dxa"/>
          </w:tcPr>
          <w:p w14:paraId="711A0E79" w14:textId="2212B608"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Audit Firm Size (</w:t>
            </w:r>
            <w:r w:rsidRPr="00974DC3">
              <w:rPr>
                <w:rFonts w:ascii="Times New Roman" w:eastAsia="Calibri" w:hAnsi="Times New Roman" w:cs="Arial"/>
                <w:bCs/>
                <w:sz w:val="20"/>
                <w:szCs w:val="20"/>
              </w:rPr>
              <w:t>BIG4</w:t>
            </w:r>
            <w:r>
              <w:rPr>
                <w:rFonts w:ascii="Times New Roman" w:eastAsia="Calibri" w:hAnsi="Times New Roman" w:cs="Arial"/>
                <w:bCs/>
                <w:sz w:val="20"/>
                <w:szCs w:val="20"/>
              </w:rPr>
              <w:t>)</w:t>
            </w:r>
          </w:p>
        </w:tc>
        <w:tc>
          <w:tcPr>
            <w:tcW w:w="8511" w:type="dxa"/>
          </w:tcPr>
          <w:p w14:paraId="0FAA34CA"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sz w:val="20"/>
                <w:szCs w:val="20"/>
              </w:rPr>
              <w:t xml:space="preserve">1, if an HEI is audited by Deloitte, PwC, KPMG, and EY, 0 otherwise. </w:t>
            </w:r>
          </w:p>
        </w:tc>
        <w:tc>
          <w:tcPr>
            <w:tcW w:w="2266" w:type="dxa"/>
          </w:tcPr>
          <w:p w14:paraId="0FB7F48A"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4887931D" w14:textId="77777777" w:rsidTr="00434FD9">
        <w:trPr>
          <w:trHeight w:val="68"/>
        </w:trPr>
        <w:tc>
          <w:tcPr>
            <w:tcW w:w="4111" w:type="dxa"/>
          </w:tcPr>
          <w:p w14:paraId="1E4E170F" w14:textId="7F8DC88E"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Leverage (</w:t>
            </w:r>
            <w:r w:rsidRPr="00974DC3">
              <w:rPr>
                <w:rFonts w:ascii="Times New Roman" w:eastAsia="Calibri" w:hAnsi="Times New Roman" w:cs="Arial"/>
                <w:bCs/>
                <w:sz w:val="20"/>
                <w:szCs w:val="20"/>
              </w:rPr>
              <w:t>LVR</w:t>
            </w:r>
            <w:r>
              <w:rPr>
                <w:rFonts w:ascii="Times New Roman" w:eastAsia="Calibri" w:hAnsi="Times New Roman" w:cs="Arial"/>
                <w:bCs/>
                <w:sz w:val="20"/>
                <w:szCs w:val="20"/>
              </w:rPr>
              <w:t>)</w:t>
            </w:r>
          </w:p>
        </w:tc>
        <w:tc>
          <w:tcPr>
            <w:tcW w:w="8511" w:type="dxa"/>
          </w:tcPr>
          <w:p w14:paraId="34D76BF9"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sz w:val="20"/>
                <w:szCs w:val="20"/>
              </w:rPr>
              <w:t>Ratio of total debt/total assets.</w:t>
            </w:r>
          </w:p>
        </w:tc>
        <w:tc>
          <w:tcPr>
            <w:tcW w:w="2266" w:type="dxa"/>
          </w:tcPr>
          <w:p w14:paraId="4755FAE9"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67CC3253" w14:textId="77777777" w:rsidTr="00434FD9">
        <w:trPr>
          <w:trHeight w:val="68"/>
        </w:trPr>
        <w:tc>
          <w:tcPr>
            <w:tcW w:w="4111" w:type="dxa"/>
            <w:tcBorders>
              <w:bottom w:val="nil"/>
            </w:tcBorders>
          </w:tcPr>
          <w:p w14:paraId="14238A8B" w14:textId="69819525"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Liquidity (</w:t>
            </w:r>
            <w:r w:rsidRPr="00974DC3">
              <w:rPr>
                <w:rFonts w:ascii="Times New Roman" w:eastAsia="Calibri" w:hAnsi="Times New Roman" w:cs="Arial"/>
                <w:bCs/>
                <w:sz w:val="20"/>
                <w:szCs w:val="20"/>
              </w:rPr>
              <w:t>LQD</w:t>
            </w:r>
            <w:r>
              <w:rPr>
                <w:rFonts w:ascii="Times New Roman" w:eastAsia="Calibri" w:hAnsi="Times New Roman" w:cs="Arial"/>
                <w:bCs/>
                <w:sz w:val="20"/>
                <w:szCs w:val="20"/>
              </w:rPr>
              <w:t>)</w:t>
            </w:r>
          </w:p>
        </w:tc>
        <w:tc>
          <w:tcPr>
            <w:tcW w:w="8511" w:type="dxa"/>
            <w:tcBorders>
              <w:bottom w:val="nil"/>
            </w:tcBorders>
          </w:tcPr>
          <w:p w14:paraId="3286A328"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sz w:val="20"/>
                <w:szCs w:val="20"/>
              </w:rPr>
              <w:t>Ratio of net operating cash flow/total revenue.</w:t>
            </w:r>
          </w:p>
        </w:tc>
        <w:tc>
          <w:tcPr>
            <w:tcW w:w="2266" w:type="dxa"/>
          </w:tcPr>
          <w:p w14:paraId="722DF2E5"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05A943EA" w14:textId="77777777" w:rsidTr="00434FD9">
        <w:trPr>
          <w:trHeight w:val="68"/>
        </w:trPr>
        <w:tc>
          <w:tcPr>
            <w:tcW w:w="4111" w:type="dxa"/>
            <w:tcBorders>
              <w:bottom w:val="nil"/>
            </w:tcBorders>
          </w:tcPr>
          <w:p w14:paraId="1FB3932A" w14:textId="7380050F" w:rsidR="00434FD9" w:rsidRPr="00974DC3" w:rsidRDefault="00434FD9"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Size (</w:t>
            </w:r>
            <w:r w:rsidRPr="00974DC3">
              <w:rPr>
                <w:rFonts w:ascii="Times New Roman" w:eastAsia="Calibri" w:hAnsi="Times New Roman" w:cs="Arial"/>
                <w:bCs/>
                <w:sz w:val="20"/>
                <w:szCs w:val="20"/>
              </w:rPr>
              <w:t>HEIZE</w:t>
            </w:r>
            <w:r>
              <w:rPr>
                <w:rFonts w:ascii="Times New Roman" w:eastAsia="Calibri" w:hAnsi="Times New Roman" w:cs="Arial"/>
                <w:bCs/>
                <w:sz w:val="20"/>
                <w:szCs w:val="20"/>
              </w:rPr>
              <w:t>)</w:t>
            </w:r>
          </w:p>
        </w:tc>
        <w:tc>
          <w:tcPr>
            <w:tcW w:w="8511" w:type="dxa"/>
            <w:tcBorders>
              <w:bottom w:val="nil"/>
            </w:tcBorders>
          </w:tcPr>
          <w:p w14:paraId="47217325" w14:textId="12594AD4"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sz w:val="20"/>
                <w:szCs w:val="20"/>
              </w:rPr>
              <w:t>Natural log of total assets of an HEI.</w:t>
            </w:r>
          </w:p>
        </w:tc>
        <w:tc>
          <w:tcPr>
            <w:tcW w:w="2266" w:type="dxa"/>
          </w:tcPr>
          <w:p w14:paraId="694B37D1"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7AED1353" w14:textId="77777777" w:rsidTr="00434FD9">
        <w:trPr>
          <w:trHeight w:val="68"/>
        </w:trPr>
        <w:tc>
          <w:tcPr>
            <w:tcW w:w="4111" w:type="dxa"/>
            <w:tcBorders>
              <w:bottom w:val="nil"/>
            </w:tcBorders>
          </w:tcPr>
          <w:p w14:paraId="499F2C91" w14:textId="28CC9E19" w:rsidR="00434FD9" w:rsidRPr="00974DC3" w:rsidRDefault="00FA3A51"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Growth (</w:t>
            </w:r>
            <w:r w:rsidR="00434FD9" w:rsidRPr="00974DC3">
              <w:rPr>
                <w:rFonts w:ascii="Times New Roman" w:eastAsia="Calibri" w:hAnsi="Times New Roman" w:cs="Arial"/>
                <w:bCs/>
                <w:sz w:val="20"/>
                <w:szCs w:val="20"/>
              </w:rPr>
              <w:t>GRT</w:t>
            </w:r>
            <w:r>
              <w:rPr>
                <w:rFonts w:ascii="Times New Roman" w:eastAsia="Calibri" w:hAnsi="Times New Roman" w:cs="Arial"/>
                <w:bCs/>
                <w:sz w:val="20"/>
                <w:szCs w:val="20"/>
              </w:rPr>
              <w:t>)</w:t>
            </w:r>
          </w:p>
        </w:tc>
        <w:tc>
          <w:tcPr>
            <w:tcW w:w="8511" w:type="dxa"/>
            <w:tcBorders>
              <w:bottom w:val="nil"/>
            </w:tcBorders>
          </w:tcPr>
          <w:p w14:paraId="7A7D983B" w14:textId="3ECDA0EC" w:rsidR="00434FD9" w:rsidRPr="00974DC3" w:rsidRDefault="00432957" w:rsidP="00434FD9">
            <w:pPr>
              <w:autoSpaceDE w:val="0"/>
              <w:adjustRightInd w:val="0"/>
              <w:contextualSpacing/>
              <w:jc w:val="both"/>
              <w:rPr>
                <w:rFonts w:ascii="Times New Roman" w:eastAsia="Calibri" w:hAnsi="Times New Roman" w:cs="Arial"/>
                <w:bCs/>
                <w:sz w:val="20"/>
                <w:szCs w:val="20"/>
              </w:rPr>
            </w:pPr>
            <w:r>
              <w:rPr>
                <w:rFonts w:ascii="Times New Roman" w:eastAsia="Calibri" w:hAnsi="Times New Roman" w:cs="Arial"/>
                <w:bCs/>
                <w:sz w:val="20"/>
                <w:szCs w:val="20"/>
              </w:rPr>
              <w:t>Annual g</w:t>
            </w:r>
            <w:r w:rsidR="00434FD9" w:rsidRPr="00974DC3">
              <w:rPr>
                <w:rFonts w:ascii="Times New Roman" w:eastAsia="Calibri" w:hAnsi="Times New Roman" w:cs="Arial"/>
                <w:bCs/>
                <w:sz w:val="20"/>
                <w:szCs w:val="20"/>
              </w:rPr>
              <w:t xml:space="preserve">rowth rate </w:t>
            </w:r>
            <w:r>
              <w:rPr>
                <w:rFonts w:ascii="Times New Roman" w:eastAsia="Calibri" w:hAnsi="Times New Roman" w:cs="Arial"/>
                <w:bCs/>
                <w:sz w:val="20"/>
                <w:szCs w:val="20"/>
              </w:rPr>
              <w:t>in</w:t>
            </w:r>
            <w:r w:rsidR="00434FD9" w:rsidRPr="00974DC3">
              <w:rPr>
                <w:rFonts w:ascii="Times New Roman" w:eastAsia="Calibri" w:hAnsi="Times New Roman" w:cs="Arial"/>
                <w:bCs/>
                <w:sz w:val="20"/>
                <w:szCs w:val="20"/>
              </w:rPr>
              <w:t xml:space="preserve"> total income.</w:t>
            </w:r>
          </w:p>
        </w:tc>
        <w:tc>
          <w:tcPr>
            <w:tcW w:w="2266" w:type="dxa"/>
            <w:tcBorders>
              <w:bottom w:val="nil"/>
            </w:tcBorders>
          </w:tcPr>
          <w:p w14:paraId="3F45FC4E"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78126C5B" w14:textId="77777777" w:rsidTr="00434FD9">
        <w:trPr>
          <w:trHeight w:val="68"/>
        </w:trPr>
        <w:tc>
          <w:tcPr>
            <w:tcW w:w="4111" w:type="dxa"/>
            <w:tcBorders>
              <w:bottom w:val="nil"/>
            </w:tcBorders>
          </w:tcPr>
          <w:p w14:paraId="740B52EE" w14:textId="05A4BA7D" w:rsidR="00434FD9" w:rsidRPr="00974DC3" w:rsidRDefault="00FA3A51"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Expenditure (</w:t>
            </w:r>
            <w:r w:rsidR="00434FD9" w:rsidRPr="00974DC3">
              <w:rPr>
                <w:rFonts w:ascii="Times New Roman" w:eastAsia="Calibri" w:hAnsi="Times New Roman" w:cs="Arial"/>
                <w:bCs/>
                <w:sz w:val="20"/>
                <w:szCs w:val="20"/>
              </w:rPr>
              <w:t>CXP</w:t>
            </w:r>
            <w:r>
              <w:rPr>
                <w:rFonts w:ascii="Times New Roman" w:eastAsia="Calibri" w:hAnsi="Times New Roman" w:cs="Arial"/>
                <w:bCs/>
                <w:sz w:val="20"/>
                <w:szCs w:val="20"/>
              </w:rPr>
              <w:t>)</w:t>
            </w:r>
          </w:p>
        </w:tc>
        <w:tc>
          <w:tcPr>
            <w:tcW w:w="8511" w:type="dxa"/>
            <w:tcBorders>
              <w:bottom w:val="nil"/>
            </w:tcBorders>
          </w:tcPr>
          <w:p w14:paraId="7179775C" w14:textId="71A346C9"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Ratio of total expenditure</w:t>
            </w:r>
            <w:r w:rsidR="00507E52">
              <w:rPr>
                <w:rFonts w:ascii="Times New Roman" w:eastAsia="Calibri" w:hAnsi="Times New Roman" w:cs="Arial"/>
                <w:bCs/>
                <w:sz w:val="20"/>
                <w:szCs w:val="20"/>
              </w:rPr>
              <w:t xml:space="preserve"> to</w:t>
            </w:r>
            <w:r w:rsidRPr="00974DC3">
              <w:rPr>
                <w:rFonts w:ascii="Times New Roman" w:eastAsia="Calibri" w:hAnsi="Times New Roman" w:cs="Arial"/>
                <w:bCs/>
                <w:sz w:val="20"/>
                <w:szCs w:val="20"/>
              </w:rPr>
              <w:t xml:space="preserve"> total assets.</w:t>
            </w:r>
          </w:p>
        </w:tc>
        <w:tc>
          <w:tcPr>
            <w:tcW w:w="2266" w:type="dxa"/>
            <w:tcBorders>
              <w:top w:val="nil"/>
              <w:bottom w:val="nil"/>
            </w:tcBorders>
          </w:tcPr>
          <w:p w14:paraId="5BE4EAD9"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HEIs’ annual reports.</w:t>
            </w:r>
          </w:p>
        </w:tc>
      </w:tr>
      <w:tr w:rsidR="00434FD9" w:rsidRPr="00974DC3" w14:paraId="7E4D6055" w14:textId="77777777" w:rsidTr="00434FD9">
        <w:trPr>
          <w:trHeight w:val="68"/>
        </w:trPr>
        <w:tc>
          <w:tcPr>
            <w:tcW w:w="4111" w:type="dxa"/>
            <w:tcBorders>
              <w:top w:val="nil"/>
              <w:bottom w:val="nil"/>
            </w:tcBorders>
          </w:tcPr>
          <w:p w14:paraId="75D3E3FA" w14:textId="1F83E33F" w:rsidR="00434FD9" w:rsidRPr="00974DC3" w:rsidRDefault="00FA3A51"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Year dummies (</w:t>
            </w:r>
            <w:r w:rsidR="00434FD9" w:rsidRPr="00974DC3">
              <w:rPr>
                <w:rFonts w:ascii="Times New Roman" w:eastAsia="Calibri" w:hAnsi="Times New Roman" w:cs="Arial"/>
                <w:bCs/>
                <w:sz w:val="20"/>
                <w:szCs w:val="20"/>
              </w:rPr>
              <w:t>HEIYD</w:t>
            </w:r>
            <w:r>
              <w:rPr>
                <w:rFonts w:ascii="Times New Roman" w:eastAsia="Calibri" w:hAnsi="Times New Roman" w:cs="Arial"/>
                <w:bCs/>
                <w:sz w:val="20"/>
                <w:szCs w:val="20"/>
              </w:rPr>
              <w:t>)</w:t>
            </w:r>
          </w:p>
        </w:tc>
        <w:tc>
          <w:tcPr>
            <w:tcW w:w="8511" w:type="dxa"/>
            <w:tcBorders>
              <w:top w:val="nil"/>
              <w:bottom w:val="nil"/>
            </w:tcBorders>
          </w:tcPr>
          <w:p w14:paraId="5CDDF703" w14:textId="77777777" w:rsidR="00434FD9" w:rsidRPr="00974DC3" w:rsidRDefault="00434FD9" w:rsidP="00434FD9">
            <w:pPr>
              <w:autoSpaceDE w:val="0"/>
              <w:adjustRightInd w:val="0"/>
              <w:contextualSpacing/>
              <w:jc w:val="both"/>
              <w:rPr>
                <w:rFonts w:ascii="Times New Roman" w:eastAsia="Calibri" w:hAnsi="Times New Roman" w:cs="Arial"/>
                <w:bCs/>
                <w:sz w:val="20"/>
                <w:szCs w:val="20"/>
              </w:rPr>
            </w:pPr>
            <w:r w:rsidRPr="00974DC3">
              <w:rPr>
                <w:rFonts w:ascii="Times New Roman" w:eastAsia="Calibri" w:hAnsi="Times New Roman" w:cs="Arial"/>
                <w:bCs/>
                <w:sz w:val="20"/>
                <w:szCs w:val="20"/>
              </w:rPr>
              <w:t>Yearly dummies between 2009 and 2014, which take a value of 1 for the particular year and 0 otherwise.</w:t>
            </w:r>
          </w:p>
        </w:tc>
        <w:tc>
          <w:tcPr>
            <w:tcW w:w="2266" w:type="dxa"/>
            <w:tcBorders>
              <w:top w:val="nil"/>
              <w:bottom w:val="nil"/>
            </w:tcBorders>
          </w:tcPr>
          <w:p w14:paraId="4A5A1E68" w14:textId="77777777" w:rsidR="00434FD9" w:rsidRPr="00974DC3" w:rsidRDefault="00434FD9" w:rsidP="00434FD9">
            <w:pPr>
              <w:autoSpaceDE w:val="0"/>
              <w:adjustRightInd w:val="0"/>
              <w:jc w:val="both"/>
              <w:rPr>
                <w:rFonts w:ascii="Times New Roman" w:eastAsia="Calibri" w:hAnsi="Times New Roman" w:cs="Arial"/>
                <w:bCs/>
                <w:sz w:val="20"/>
                <w:szCs w:val="20"/>
              </w:rPr>
            </w:pPr>
            <w:r w:rsidRPr="00974DC3">
              <w:rPr>
                <w:rFonts w:ascii="Times New Roman" w:eastAsia="Calibri" w:hAnsi="Times New Roman" w:cs="Arial"/>
                <w:bCs/>
                <w:sz w:val="20"/>
                <w:szCs w:val="20"/>
              </w:rPr>
              <w:t>-</w:t>
            </w:r>
          </w:p>
        </w:tc>
      </w:tr>
      <w:tr w:rsidR="00434FD9" w:rsidRPr="00974DC3" w14:paraId="686BC608" w14:textId="77777777" w:rsidTr="00434FD9">
        <w:trPr>
          <w:trHeight w:val="68"/>
        </w:trPr>
        <w:tc>
          <w:tcPr>
            <w:tcW w:w="4111" w:type="dxa"/>
            <w:tcBorders>
              <w:top w:val="nil"/>
              <w:bottom w:val="single" w:sz="4" w:space="0" w:color="auto"/>
            </w:tcBorders>
          </w:tcPr>
          <w:p w14:paraId="797593F0" w14:textId="07FF8B48" w:rsidR="00434FD9" w:rsidRPr="00974DC3" w:rsidRDefault="00FA3A51" w:rsidP="00434FD9">
            <w:pPr>
              <w:contextualSpacing/>
              <w:rPr>
                <w:rFonts w:ascii="Times New Roman" w:eastAsia="Calibri" w:hAnsi="Times New Roman" w:cs="Arial"/>
                <w:bCs/>
                <w:sz w:val="20"/>
                <w:szCs w:val="20"/>
              </w:rPr>
            </w:pPr>
            <w:r>
              <w:rPr>
                <w:rFonts w:ascii="Times New Roman" w:eastAsia="Calibri" w:hAnsi="Times New Roman" w:cs="Arial"/>
                <w:bCs/>
                <w:sz w:val="20"/>
                <w:szCs w:val="20"/>
              </w:rPr>
              <w:t>Country dummies (</w:t>
            </w:r>
            <w:r w:rsidR="00434FD9">
              <w:rPr>
                <w:rFonts w:ascii="Times New Roman" w:eastAsia="Calibri" w:hAnsi="Times New Roman" w:cs="Arial"/>
                <w:bCs/>
                <w:sz w:val="20"/>
                <w:szCs w:val="20"/>
              </w:rPr>
              <w:t>HEICD</w:t>
            </w:r>
            <w:r>
              <w:rPr>
                <w:rFonts w:ascii="Times New Roman" w:eastAsia="Calibri" w:hAnsi="Times New Roman" w:cs="Arial"/>
                <w:bCs/>
                <w:sz w:val="20"/>
                <w:szCs w:val="20"/>
              </w:rPr>
              <w:t>)</w:t>
            </w:r>
          </w:p>
        </w:tc>
        <w:tc>
          <w:tcPr>
            <w:tcW w:w="8511" w:type="dxa"/>
            <w:tcBorders>
              <w:top w:val="nil"/>
              <w:bottom w:val="single" w:sz="4" w:space="0" w:color="auto"/>
            </w:tcBorders>
          </w:tcPr>
          <w:p w14:paraId="2EB95028" w14:textId="5A315BCB" w:rsidR="00434FD9" w:rsidRPr="00974DC3" w:rsidRDefault="00434FD9" w:rsidP="00434FD9">
            <w:pPr>
              <w:autoSpaceDE w:val="0"/>
              <w:adjustRightInd w:val="0"/>
              <w:contextualSpacing/>
              <w:jc w:val="both"/>
              <w:rPr>
                <w:rFonts w:ascii="Times New Roman" w:eastAsia="Calibri" w:hAnsi="Times New Roman" w:cs="Arial"/>
                <w:bCs/>
                <w:sz w:val="20"/>
                <w:szCs w:val="20"/>
              </w:rPr>
            </w:pPr>
            <w:r>
              <w:rPr>
                <w:rFonts w:ascii="Times New Roman" w:eastAsia="Calibri" w:hAnsi="Times New Roman" w:cs="Arial"/>
                <w:bCs/>
                <w:sz w:val="20"/>
                <w:szCs w:val="20"/>
              </w:rPr>
              <w:t>Count</w:t>
            </w:r>
            <w:r w:rsidR="00691E6B">
              <w:rPr>
                <w:rFonts w:ascii="Times New Roman" w:eastAsia="Calibri" w:hAnsi="Times New Roman" w:cs="Arial"/>
                <w:bCs/>
                <w:sz w:val="20"/>
                <w:szCs w:val="20"/>
              </w:rPr>
              <w:t>ry</w:t>
            </w:r>
            <w:r>
              <w:rPr>
                <w:rFonts w:ascii="Times New Roman" w:eastAsia="Calibri" w:hAnsi="Times New Roman" w:cs="Arial"/>
                <w:bCs/>
                <w:sz w:val="20"/>
                <w:szCs w:val="20"/>
              </w:rPr>
              <w:t xml:space="preserve"> dummies </w:t>
            </w:r>
            <w:r w:rsidR="00691E6B">
              <w:rPr>
                <w:rFonts w:ascii="Times New Roman" w:eastAsia="Calibri" w:hAnsi="Times New Roman" w:cs="Arial"/>
                <w:bCs/>
                <w:sz w:val="20"/>
                <w:szCs w:val="20"/>
              </w:rPr>
              <w:t xml:space="preserve">for England, </w:t>
            </w:r>
            <w:r w:rsidR="005800D4">
              <w:rPr>
                <w:rFonts w:ascii="Times New Roman" w:eastAsia="Calibri" w:hAnsi="Times New Roman" w:cs="Arial"/>
                <w:bCs/>
                <w:sz w:val="20"/>
                <w:szCs w:val="20"/>
              </w:rPr>
              <w:t xml:space="preserve">Northern Ireland, Scotland and </w:t>
            </w:r>
            <w:r>
              <w:rPr>
                <w:rFonts w:ascii="Times New Roman" w:eastAsia="Calibri" w:hAnsi="Times New Roman" w:cs="Arial"/>
                <w:bCs/>
                <w:sz w:val="20"/>
                <w:szCs w:val="20"/>
              </w:rPr>
              <w:t>Wales).</w:t>
            </w:r>
          </w:p>
        </w:tc>
        <w:tc>
          <w:tcPr>
            <w:tcW w:w="2266" w:type="dxa"/>
            <w:tcBorders>
              <w:top w:val="nil"/>
              <w:bottom w:val="single" w:sz="4" w:space="0" w:color="auto"/>
            </w:tcBorders>
          </w:tcPr>
          <w:p w14:paraId="1644CCA6" w14:textId="77777777" w:rsidR="00434FD9" w:rsidRPr="00974DC3" w:rsidRDefault="00434FD9" w:rsidP="00434FD9">
            <w:pPr>
              <w:autoSpaceDE w:val="0"/>
              <w:adjustRightInd w:val="0"/>
              <w:jc w:val="both"/>
              <w:rPr>
                <w:rFonts w:ascii="Times New Roman" w:eastAsia="Calibri" w:hAnsi="Times New Roman" w:cs="Arial"/>
                <w:bCs/>
                <w:sz w:val="20"/>
                <w:szCs w:val="20"/>
              </w:rPr>
            </w:pPr>
            <w:r>
              <w:rPr>
                <w:rFonts w:ascii="Times New Roman" w:eastAsia="Calibri" w:hAnsi="Times New Roman" w:cs="Arial"/>
                <w:bCs/>
                <w:sz w:val="20"/>
                <w:szCs w:val="20"/>
              </w:rPr>
              <w:t>-</w:t>
            </w:r>
          </w:p>
        </w:tc>
      </w:tr>
    </w:tbl>
    <w:p w14:paraId="62B890DE" w14:textId="186A0232" w:rsidR="00974DC3" w:rsidRDefault="00974DC3"/>
    <w:p w14:paraId="37B56A50" w14:textId="77777777" w:rsidR="004D65E3" w:rsidRDefault="004D65E3">
      <w:pPr>
        <w:sectPr w:rsidR="004D65E3" w:rsidSect="00974DC3">
          <w:pgSz w:w="16838" w:h="11906" w:orient="landscape"/>
          <w:pgMar w:top="1440" w:right="1440" w:bottom="1440" w:left="1440" w:header="708" w:footer="708" w:gutter="0"/>
          <w:cols w:space="708"/>
          <w:docGrid w:linePitch="360"/>
        </w:sectPr>
      </w:pPr>
    </w:p>
    <w:tbl>
      <w:tblPr>
        <w:tblStyle w:val="TableGrid11"/>
        <w:tblpPr w:leftFromText="180" w:rightFromText="180" w:vertAnchor="page" w:horzAnchor="margin" w:tblpY="2497"/>
        <w:tblW w:w="9524" w:type="dxa"/>
        <w:tblLook w:val="04A0" w:firstRow="1" w:lastRow="0" w:firstColumn="1" w:lastColumn="0" w:noHBand="0" w:noVBand="1"/>
      </w:tblPr>
      <w:tblGrid>
        <w:gridCol w:w="1795"/>
        <w:gridCol w:w="1210"/>
        <w:gridCol w:w="1023"/>
        <w:gridCol w:w="932"/>
        <w:gridCol w:w="1041"/>
        <w:gridCol w:w="1175"/>
        <w:gridCol w:w="1174"/>
        <w:gridCol w:w="1174"/>
      </w:tblGrid>
      <w:tr w:rsidR="004D65E3" w:rsidRPr="001C234D" w14:paraId="580284A6" w14:textId="77777777" w:rsidTr="0099729D">
        <w:trPr>
          <w:trHeight w:val="188"/>
        </w:trPr>
        <w:tc>
          <w:tcPr>
            <w:tcW w:w="9524" w:type="dxa"/>
            <w:gridSpan w:val="8"/>
            <w:tcBorders>
              <w:top w:val="nil"/>
              <w:left w:val="nil"/>
              <w:bottom w:val="single" w:sz="12" w:space="0" w:color="auto"/>
              <w:right w:val="nil"/>
            </w:tcBorders>
          </w:tcPr>
          <w:p w14:paraId="78971B62" w14:textId="3D713D95" w:rsidR="004D65E3" w:rsidRPr="001C234D" w:rsidRDefault="0051717F" w:rsidP="0099729D">
            <w:pPr>
              <w:rPr>
                <w:rFonts w:ascii="Times New Roman" w:hAnsi="Times New Roman"/>
                <w:bCs/>
                <w:sz w:val="20"/>
                <w:szCs w:val="20"/>
              </w:rPr>
            </w:pPr>
            <w:bookmarkStart w:id="2" w:name="_Hlk43893479"/>
            <w:r>
              <w:rPr>
                <w:rFonts w:ascii="Times New Roman" w:hAnsi="Times New Roman"/>
                <w:b/>
                <w:sz w:val="20"/>
                <w:szCs w:val="20"/>
              </w:rPr>
              <w:lastRenderedPageBreak/>
              <w:t xml:space="preserve">Online </w:t>
            </w:r>
            <w:r w:rsidR="004D65E3">
              <w:rPr>
                <w:rFonts w:ascii="Times New Roman" w:hAnsi="Times New Roman"/>
                <w:b/>
                <w:sz w:val="20"/>
                <w:szCs w:val="20"/>
              </w:rPr>
              <w:t xml:space="preserve">Appendix </w:t>
            </w:r>
            <w:r w:rsidR="004D65E3" w:rsidRPr="001C234D">
              <w:rPr>
                <w:rFonts w:ascii="Times New Roman" w:hAnsi="Times New Roman"/>
                <w:b/>
                <w:sz w:val="20"/>
                <w:szCs w:val="20"/>
              </w:rPr>
              <w:t xml:space="preserve">2. </w:t>
            </w:r>
            <w:r w:rsidR="004D65E3" w:rsidRPr="001C234D">
              <w:rPr>
                <w:rFonts w:ascii="Times New Roman" w:hAnsi="Times New Roman"/>
                <w:sz w:val="20"/>
                <w:szCs w:val="20"/>
              </w:rPr>
              <w:t xml:space="preserve">Descriptive analysis of </w:t>
            </w:r>
            <w:r w:rsidR="004D65E3">
              <w:rPr>
                <w:rFonts w:ascii="Times New Roman" w:hAnsi="Times New Roman"/>
                <w:sz w:val="20"/>
                <w:szCs w:val="20"/>
              </w:rPr>
              <w:t xml:space="preserve">UK </w:t>
            </w:r>
            <w:r w:rsidR="004D65E3" w:rsidRPr="001C234D">
              <w:rPr>
                <w:rFonts w:ascii="Times New Roman" w:hAnsi="Times New Roman"/>
                <w:sz w:val="20"/>
                <w:szCs w:val="20"/>
              </w:rPr>
              <w:t xml:space="preserve">VC </w:t>
            </w:r>
            <w:proofErr w:type="gramStart"/>
            <w:r w:rsidR="004D65E3" w:rsidRPr="001C234D">
              <w:rPr>
                <w:rFonts w:ascii="Times New Roman" w:hAnsi="Times New Roman"/>
                <w:sz w:val="20"/>
                <w:szCs w:val="20"/>
              </w:rPr>
              <w:t>pay</w:t>
            </w:r>
            <w:proofErr w:type="gramEnd"/>
            <w:r w:rsidR="004D65E3" w:rsidRPr="001C234D">
              <w:rPr>
                <w:rFonts w:ascii="Times New Roman" w:hAnsi="Times New Roman"/>
                <w:sz w:val="20"/>
                <w:szCs w:val="20"/>
              </w:rPr>
              <w:t xml:space="preserve"> and VC characteristics</w:t>
            </w:r>
          </w:p>
        </w:tc>
      </w:tr>
      <w:tr w:rsidR="004D65E3" w:rsidRPr="001C234D" w14:paraId="0632086D" w14:textId="77777777" w:rsidTr="0099729D">
        <w:trPr>
          <w:trHeight w:val="173"/>
        </w:trPr>
        <w:tc>
          <w:tcPr>
            <w:tcW w:w="1795" w:type="dxa"/>
            <w:tcBorders>
              <w:top w:val="single" w:sz="12" w:space="0" w:color="auto"/>
              <w:left w:val="nil"/>
              <w:bottom w:val="single" w:sz="2" w:space="0" w:color="auto"/>
              <w:right w:val="nil"/>
            </w:tcBorders>
          </w:tcPr>
          <w:p w14:paraId="73A7AC7E" w14:textId="77777777" w:rsidR="004D65E3" w:rsidRPr="001C234D" w:rsidRDefault="004D65E3" w:rsidP="0099729D">
            <w:pPr>
              <w:contextualSpacing/>
              <w:rPr>
                <w:rFonts w:ascii="Times New Roman" w:hAnsi="Times New Roman"/>
                <w:bCs/>
                <w:sz w:val="20"/>
                <w:szCs w:val="20"/>
              </w:rPr>
            </w:pPr>
          </w:p>
        </w:tc>
        <w:tc>
          <w:tcPr>
            <w:tcW w:w="1210" w:type="dxa"/>
            <w:tcBorders>
              <w:top w:val="single" w:sz="12" w:space="0" w:color="auto"/>
              <w:left w:val="nil"/>
              <w:bottom w:val="single" w:sz="2" w:space="0" w:color="auto"/>
              <w:right w:val="nil"/>
            </w:tcBorders>
          </w:tcPr>
          <w:p w14:paraId="029155F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All </w:t>
            </w:r>
          </w:p>
        </w:tc>
        <w:tc>
          <w:tcPr>
            <w:tcW w:w="1023" w:type="dxa"/>
            <w:tcBorders>
              <w:top w:val="single" w:sz="12" w:space="0" w:color="auto"/>
              <w:left w:val="nil"/>
              <w:bottom w:val="single" w:sz="2" w:space="0" w:color="auto"/>
              <w:right w:val="nil"/>
            </w:tcBorders>
          </w:tcPr>
          <w:p w14:paraId="1C9B7F5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2009</w:t>
            </w:r>
          </w:p>
        </w:tc>
        <w:tc>
          <w:tcPr>
            <w:tcW w:w="932" w:type="dxa"/>
            <w:tcBorders>
              <w:top w:val="single" w:sz="12" w:space="0" w:color="auto"/>
              <w:left w:val="nil"/>
              <w:bottom w:val="single" w:sz="2" w:space="0" w:color="auto"/>
              <w:right w:val="nil"/>
            </w:tcBorders>
          </w:tcPr>
          <w:p w14:paraId="1470A5D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2010</w:t>
            </w:r>
          </w:p>
        </w:tc>
        <w:tc>
          <w:tcPr>
            <w:tcW w:w="1041" w:type="dxa"/>
            <w:tcBorders>
              <w:top w:val="single" w:sz="12" w:space="0" w:color="auto"/>
              <w:left w:val="nil"/>
              <w:bottom w:val="single" w:sz="2" w:space="0" w:color="auto"/>
              <w:right w:val="nil"/>
            </w:tcBorders>
          </w:tcPr>
          <w:p w14:paraId="4097F2C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2011</w:t>
            </w:r>
          </w:p>
        </w:tc>
        <w:tc>
          <w:tcPr>
            <w:tcW w:w="1175" w:type="dxa"/>
            <w:tcBorders>
              <w:top w:val="single" w:sz="12" w:space="0" w:color="auto"/>
              <w:left w:val="nil"/>
              <w:bottom w:val="single" w:sz="2" w:space="0" w:color="auto"/>
              <w:right w:val="nil"/>
            </w:tcBorders>
          </w:tcPr>
          <w:p w14:paraId="204A119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2012</w:t>
            </w:r>
          </w:p>
        </w:tc>
        <w:tc>
          <w:tcPr>
            <w:tcW w:w="1174" w:type="dxa"/>
            <w:tcBorders>
              <w:top w:val="single" w:sz="12" w:space="0" w:color="auto"/>
              <w:left w:val="nil"/>
              <w:bottom w:val="single" w:sz="2" w:space="0" w:color="auto"/>
              <w:right w:val="nil"/>
            </w:tcBorders>
          </w:tcPr>
          <w:p w14:paraId="549292E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2013</w:t>
            </w:r>
          </w:p>
        </w:tc>
        <w:tc>
          <w:tcPr>
            <w:tcW w:w="1174" w:type="dxa"/>
            <w:tcBorders>
              <w:top w:val="single" w:sz="12" w:space="0" w:color="auto"/>
              <w:left w:val="nil"/>
              <w:right w:val="nil"/>
            </w:tcBorders>
          </w:tcPr>
          <w:p w14:paraId="161A336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2014</w:t>
            </w:r>
          </w:p>
        </w:tc>
      </w:tr>
      <w:tr w:rsidR="004D65E3" w:rsidRPr="001C234D" w14:paraId="6D372D77" w14:textId="77777777" w:rsidTr="0099729D">
        <w:trPr>
          <w:trHeight w:val="120"/>
        </w:trPr>
        <w:tc>
          <w:tcPr>
            <w:tcW w:w="7176" w:type="dxa"/>
            <w:gridSpan w:val="6"/>
            <w:tcBorders>
              <w:top w:val="single" w:sz="2" w:space="0" w:color="auto"/>
              <w:left w:val="nil"/>
              <w:bottom w:val="nil"/>
              <w:right w:val="nil"/>
            </w:tcBorders>
          </w:tcPr>
          <w:p w14:paraId="4879FE8F" w14:textId="77777777" w:rsidR="004D65E3" w:rsidRPr="001D6B3E" w:rsidRDefault="004D65E3" w:rsidP="0099729D">
            <w:pPr>
              <w:rPr>
                <w:rFonts w:ascii="Times New Roman" w:hAnsi="Times New Roman"/>
                <w:b/>
                <w:bCs/>
                <w:i/>
                <w:iCs/>
                <w:sz w:val="20"/>
                <w:szCs w:val="20"/>
              </w:rPr>
            </w:pPr>
            <w:r w:rsidRPr="001D6B3E">
              <w:rPr>
                <w:rFonts w:ascii="Times New Roman" w:hAnsi="Times New Roman"/>
                <w:b/>
                <w:bCs/>
                <w:i/>
                <w:iCs/>
                <w:sz w:val="20"/>
                <w:szCs w:val="20"/>
              </w:rPr>
              <w:t>Panel A – VC Basic Pay (£000)</w:t>
            </w:r>
          </w:p>
        </w:tc>
        <w:tc>
          <w:tcPr>
            <w:tcW w:w="1174" w:type="dxa"/>
            <w:tcBorders>
              <w:top w:val="single" w:sz="2" w:space="0" w:color="auto"/>
              <w:left w:val="nil"/>
              <w:bottom w:val="nil"/>
              <w:right w:val="nil"/>
            </w:tcBorders>
          </w:tcPr>
          <w:p w14:paraId="0B27A04D" w14:textId="77777777" w:rsidR="004D65E3" w:rsidRPr="001C234D" w:rsidRDefault="004D65E3" w:rsidP="0099729D">
            <w:pPr>
              <w:rPr>
                <w:rFonts w:ascii="Times New Roman" w:hAnsi="Times New Roman"/>
                <w:bCs/>
                <w:sz w:val="20"/>
                <w:szCs w:val="20"/>
              </w:rPr>
            </w:pPr>
          </w:p>
        </w:tc>
        <w:tc>
          <w:tcPr>
            <w:tcW w:w="1174" w:type="dxa"/>
            <w:tcBorders>
              <w:top w:val="single" w:sz="2" w:space="0" w:color="auto"/>
              <w:left w:val="nil"/>
              <w:bottom w:val="nil"/>
              <w:right w:val="nil"/>
            </w:tcBorders>
          </w:tcPr>
          <w:p w14:paraId="0A3D501D" w14:textId="77777777" w:rsidR="004D65E3" w:rsidRPr="001C234D" w:rsidRDefault="004D65E3" w:rsidP="0099729D">
            <w:pPr>
              <w:rPr>
                <w:rFonts w:ascii="Times New Roman" w:hAnsi="Times New Roman"/>
                <w:bCs/>
                <w:sz w:val="20"/>
                <w:szCs w:val="20"/>
              </w:rPr>
            </w:pPr>
          </w:p>
        </w:tc>
      </w:tr>
      <w:tr w:rsidR="004D65E3" w:rsidRPr="001C234D" w14:paraId="053B5225" w14:textId="77777777" w:rsidTr="0099729D">
        <w:trPr>
          <w:trHeight w:val="197"/>
        </w:trPr>
        <w:tc>
          <w:tcPr>
            <w:tcW w:w="1795" w:type="dxa"/>
            <w:tcBorders>
              <w:top w:val="nil"/>
              <w:left w:val="nil"/>
              <w:bottom w:val="nil"/>
              <w:right w:val="nil"/>
            </w:tcBorders>
          </w:tcPr>
          <w:p w14:paraId="78D832A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191B22D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225.03</w:t>
            </w:r>
          </w:p>
        </w:tc>
        <w:tc>
          <w:tcPr>
            <w:tcW w:w="1023" w:type="dxa"/>
            <w:tcBorders>
              <w:top w:val="nil"/>
              <w:left w:val="nil"/>
              <w:bottom w:val="nil"/>
              <w:right w:val="nil"/>
            </w:tcBorders>
          </w:tcPr>
          <w:p w14:paraId="4113FED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215.56</w:t>
            </w:r>
          </w:p>
        </w:tc>
        <w:tc>
          <w:tcPr>
            <w:tcW w:w="932" w:type="dxa"/>
            <w:tcBorders>
              <w:top w:val="nil"/>
              <w:left w:val="nil"/>
              <w:bottom w:val="nil"/>
              <w:right w:val="nil"/>
            </w:tcBorders>
          </w:tcPr>
          <w:p w14:paraId="3724B0E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218.83</w:t>
            </w:r>
          </w:p>
        </w:tc>
        <w:tc>
          <w:tcPr>
            <w:tcW w:w="1041" w:type="dxa"/>
            <w:tcBorders>
              <w:top w:val="nil"/>
              <w:left w:val="nil"/>
              <w:bottom w:val="nil"/>
              <w:right w:val="nil"/>
            </w:tcBorders>
          </w:tcPr>
          <w:p w14:paraId="15A2B71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217.65</w:t>
            </w:r>
          </w:p>
        </w:tc>
        <w:tc>
          <w:tcPr>
            <w:tcW w:w="1175" w:type="dxa"/>
            <w:tcBorders>
              <w:top w:val="nil"/>
              <w:left w:val="nil"/>
              <w:bottom w:val="nil"/>
              <w:right w:val="nil"/>
            </w:tcBorders>
          </w:tcPr>
          <w:p w14:paraId="1E56401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221.43</w:t>
            </w:r>
          </w:p>
        </w:tc>
        <w:tc>
          <w:tcPr>
            <w:tcW w:w="1174" w:type="dxa"/>
            <w:tcBorders>
              <w:top w:val="nil"/>
              <w:left w:val="nil"/>
              <w:bottom w:val="nil"/>
              <w:right w:val="nil"/>
            </w:tcBorders>
          </w:tcPr>
          <w:p w14:paraId="6DE5E40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233.92</w:t>
            </w:r>
          </w:p>
        </w:tc>
        <w:tc>
          <w:tcPr>
            <w:tcW w:w="1174" w:type="dxa"/>
            <w:tcBorders>
              <w:top w:val="nil"/>
              <w:left w:val="nil"/>
              <w:bottom w:val="nil"/>
              <w:right w:val="nil"/>
            </w:tcBorders>
          </w:tcPr>
          <w:p w14:paraId="2769144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242.82</w:t>
            </w:r>
          </w:p>
        </w:tc>
      </w:tr>
      <w:tr w:rsidR="004D65E3" w:rsidRPr="001C234D" w14:paraId="67258D5D" w14:textId="77777777" w:rsidTr="0099729D">
        <w:trPr>
          <w:trHeight w:val="184"/>
        </w:trPr>
        <w:tc>
          <w:tcPr>
            <w:tcW w:w="1795" w:type="dxa"/>
            <w:tcBorders>
              <w:top w:val="nil"/>
              <w:left w:val="nil"/>
              <w:bottom w:val="nil"/>
              <w:right w:val="nil"/>
            </w:tcBorders>
          </w:tcPr>
          <w:p w14:paraId="4FCAF5F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384AB1C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220.00</w:t>
            </w:r>
          </w:p>
        </w:tc>
        <w:tc>
          <w:tcPr>
            <w:tcW w:w="1023" w:type="dxa"/>
            <w:tcBorders>
              <w:top w:val="nil"/>
              <w:left w:val="nil"/>
              <w:bottom w:val="nil"/>
              <w:right w:val="nil"/>
            </w:tcBorders>
          </w:tcPr>
          <w:p w14:paraId="2492660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209.00</w:t>
            </w:r>
          </w:p>
        </w:tc>
        <w:tc>
          <w:tcPr>
            <w:tcW w:w="932" w:type="dxa"/>
            <w:tcBorders>
              <w:top w:val="nil"/>
              <w:left w:val="nil"/>
              <w:bottom w:val="nil"/>
              <w:right w:val="nil"/>
            </w:tcBorders>
          </w:tcPr>
          <w:p w14:paraId="1F61BCE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211.50</w:t>
            </w:r>
          </w:p>
        </w:tc>
        <w:tc>
          <w:tcPr>
            <w:tcW w:w="1041" w:type="dxa"/>
            <w:tcBorders>
              <w:top w:val="nil"/>
              <w:left w:val="nil"/>
              <w:bottom w:val="nil"/>
              <w:right w:val="nil"/>
            </w:tcBorders>
          </w:tcPr>
          <w:p w14:paraId="03984B3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215.00</w:t>
            </w:r>
          </w:p>
        </w:tc>
        <w:tc>
          <w:tcPr>
            <w:tcW w:w="1175" w:type="dxa"/>
            <w:tcBorders>
              <w:top w:val="nil"/>
              <w:left w:val="nil"/>
              <w:bottom w:val="nil"/>
              <w:right w:val="nil"/>
            </w:tcBorders>
          </w:tcPr>
          <w:p w14:paraId="0489AB3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261.50</w:t>
            </w:r>
          </w:p>
        </w:tc>
        <w:tc>
          <w:tcPr>
            <w:tcW w:w="1174" w:type="dxa"/>
            <w:tcBorders>
              <w:top w:val="nil"/>
              <w:left w:val="nil"/>
              <w:bottom w:val="nil"/>
              <w:right w:val="nil"/>
            </w:tcBorders>
          </w:tcPr>
          <w:p w14:paraId="307AF01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226.50</w:t>
            </w:r>
          </w:p>
        </w:tc>
        <w:tc>
          <w:tcPr>
            <w:tcW w:w="1174" w:type="dxa"/>
            <w:tcBorders>
              <w:top w:val="nil"/>
              <w:left w:val="nil"/>
              <w:bottom w:val="nil"/>
              <w:right w:val="nil"/>
            </w:tcBorders>
          </w:tcPr>
          <w:p w14:paraId="775A882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230.50</w:t>
            </w:r>
          </w:p>
        </w:tc>
      </w:tr>
      <w:tr w:rsidR="004D65E3" w:rsidRPr="001C234D" w14:paraId="02EAAAC7" w14:textId="77777777" w:rsidTr="0099729D">
        <w:trPr>
          <w:trHeight w:val="184"/>
        </w:trPr>
        <w:tc>
          <w:tcPr>
            <w:tcW w:w="1795" w:type="dxa"/>
            <w:tcBorders>
              <w:top w:val="nil"/>
              <w:left w:val="nil"/>
              <w:bottom w:val="nil"/>
              <w:right w:val="nil"/>
            </w:tcBorders>
          </w:tcPr>
          <w:p w14:paraId="26AD234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5B2FCD6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53.18</w:t>
            </w:r>
          </w:p>
        </w:tc>
        <w:tc>
          <w:tcPr>
            <w:tcW w:w="1023" w:type="dxa"/>
            <w:tcBorders>
              <w:top w:val="nil"/>
              <w:left w:val="nil"/>
              <w:bottom w:val="nil"/>
              <w:right w:val="nil"/>
            </w:tcBorders>
          </w:tcPr>
          <w:p w14:paraId="53E814D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44.08</w:t>
            </w:r>
          </w:p>
        </w:tc>
        <w:tc>
          <w:tcPr>
            <w:tcW w:w="932" w:type="dxa"/>
            <w:tcBorders>
              <w:top w:val="nil"/>
              <w:left w:val="nil"/>
              <w:bottom w:val="nil"/>
              <w:right w:val="nil"/>
            </w:tcBorders>
          </w:tcPr>
          <w:p w14:paraId="0973E12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48.58</w:t>
            </w:r>
          </w:p>
        </w:tc>
        <w:tc>
          <w:tcPr>
            <w:tcW w:w="1041" w:type="dxa"/>
            <w:tcBorders>
              <w:top w:val="nil"/>
              <w:left w:val="nil"/>
              <w:bottom w:val="nil"/>
              <w:right w:val="nil"/>
            </w:tcBorders>
          </w:tcPr>
          <w:p w14:paraId="3D90A03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49.19</w:t>
            </w:r>
          </w:p>
        </w:tc>
        <w:tc>
          <w:tcPr>
            <w:tcW w:w="1175" w:type="dxa"/>
            <w:tcBorders>
              <w:top w:val="nil"/>
              <w:left w:val="nil"/>
              <w:bottom w:val="nil"/>
              <w:right w:val="nil"/>
            </w:tcBorders>
          </w:tcPr>
          <w:p w14:paraId="705ED65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48.68</w:t>
            </w:r>
          </w:p>
        </w:tc>
        <w:tc>
          <w:tcPr>
            <w:tcW w:w="1174" w:type="dxa"/>
            <w:tcBorders>
              <w:top w:val="nil"/>
              <w:left w:val="nil"/>
              <w:bottom w:val="nil"/>
              <w:right w:val="nil"/>
            </w:tcBorders>
          </w:tcPr>
          <w:p w14:paraId="01518D3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55.67</w:t>
            </w:r>
          </w:p>
        </w:tc>
        <w:tc>
          <w:tcPr>
            <w:tcW w:w="1174" w:type="dxa"/>
            <w:tcBorders>
              <w:top w:val="nil"/>
              <w:left w:val="nil"/>
              <w:bottom w:val="nil"/>
              <w:right w:val="nil"/>
            </w:tcBorders>
          </w:tcPr>
          <w:p w14:paraId="30A3471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65.62</w:t>
            </w:r>
          </w:p>
        </w:tc>
      </w:tr>
      <w:tr w:rsidR="004D65E3" w:rsidRPr="001C234D" w14:paraId="036A9C88" w14:textId="77777777" w:rsidTr="0099729D">
        <w:trPr>
          <w:trHeight w:val="197"/>
        </w:trPr>
        <w:tc>
          <w:tcPr>
            <w:tcW w:w="1795" w:type="dxa"/>
            <w:tcBorders>
              <w:top w:val="nil"/>
              <w:left w:val="nil"/>
              <w:bottom w:val="nil"/>
              <w:right w:val="nil"/>
            </w:tcBorders>
          </w:tcPr>
          <w:p w14:paraId="7FA6517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2A90617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108.00</w:t>
            </w:r>
          </w:p>
        </w:tc>
        <w:tc>
          <w:tcPr>
            <w:tcW w:w="1023" w:type="dxa"/>
            <w:tcBorders>
              <w:top w:val="nil"/>
              <w:left w:val="nil"/>
              <w:bottom w:val="nil"/>
              <w:right w:val="nil"/>
            </w:tcBorders>
          </w:tcPr>
          <w:p w14:paraId="7FF8FF8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108.00</w:t>
            </w:r>
          </w:p>
        </w:tc>
        <w:tc>
          <w:tcPr>
            <w:tcW w:w="932" w:type="dxa"/>
            <w:tcBorders>
              <w:top w:val="nil"/>
              <w:left w:val="nil"/>
              <w:bottom w:val="nil"/>
              <w:right w:val="nil"/>
            </w:tcBorders>
          </w:tcPr>
          <w:p w14:paraId="0E6EE4D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113.00</w:t>
            </w:r>
          </w:p>
        </w:tc>
        <w:tc>
          <w:tcPr>
            <w:tcW w:w="1041" w:type="dxa"/>
            <w:tcBorders>
              <w:top w:val="nil"/>
              <w:left w:val="nil"/>
              <w:bottom w:val="nil"/>
              <w:right w:val="nil"/>
            </w:tcBorders>
          </w:tcPr>
          <w:p w14:paraId="4F4CB73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117.00</w:t>
            </w:r>
          </w:p>
        </w:tc>
        <w:tc>
          <w:tcPr>
            <w:tcW w:w="1175" w:type="dxa"/>
            <w:tcBorders>
              <w:top w:val="nil"/>
              <w:left w:val="nil"/>
              <w:bottom w:val="nil"/>
              <w:right w:val="nil"/>
            </w:tcBorders>
          </w:tcPr>
          <w:p w14:paraId="4D1E511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118.00</w:t>
            </w:r>
          </w:p>
        </w:tc>
        <w:tc>
          <w:tcPr>
            <w:tcW w:w="1174" w:type="dxa"/>
            <w:tcBorders>
              <w:top w:val="nil"/>
              <w:left w:val="nil"/>
              <w:bottom w:val="nil"/>
              <w:right w:val="nil"/>
            </w:tcBorders>
          </w:tcPr>
          <w:p w14:paraId="1F18AB9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119.00</w:t>
            </w:r>
          </w:p>
        </w:tc>
        <w:tc>
          <w:tcPr>
            <w:tcW w:w="1174" w:type="dxa"/>
            <w:tcBorders>
              <w:top w:val="nil"/>
              <w:left w:val="nil"/>
              <w:bottom w:val="nil"/>
              <w:right w:val="nil"/>
            </w:tcBorders>
          </w:tcPr>
          <w:p w14:paraId="107C162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123.00</w:t>
            </w:r>
          </w:p>
        </w:tc>
      </w:tr>
      <w:tr w:rsidR="004D65E3" w:rsidRPr="001C234D" w14:paraId="385833F0" w14:textId="77777777" w:rsidTr="0099729D">
        <w:trPr>
          <w:trHeight w:val="159"/>
        </w:trPr>
        <w:tc>
          <w:tcPr>
            <w:tcW w:w="1795" w:type="dxa"/>
            <w:tcBorders>
              <w:top w:val="nil"/>
              <w:left w:val="nil"/>
              <w:bottom w:val="nil"/>
              <w:right w:val="nil"/>
            </w:tcBorders>
          </w:tcPr>
          <w:p w14:paraId="2C03B00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nil"/>
              <w:right w:val="nil"/>
            </w:tcBorders>
          </w:tcPr>
          <w:p w14:paraId="2484ACE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577.00</w:t>
            </w:r>
          </w:p>
        </w:tc>
        <w:tc>
          <w:tcPr>
            <w:tcW w:w="1023" w:type="dxa"/>
            <w:tcBorders>
              <w:top w:val="nil"/>
              <w:left w:val="nil"/>
              <w:bottom w:val="nil"/>
              <w:right w:val="nil"/>
            </w:tcBorders>
          </w:tcPr>
          <w:p w14:paraId="10E8C6E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343.00</w:t>
            </w:r>
          </w:p>
        </w:tc>
        <w:tc>
          <w:tcPr>
            <w:tcW w:w="932" w:type="dxa"/>
            <w:tcBorders>
              <w:top w:val="nil"/>
              <w:left w:val="nil"/>
              <w:bottom w:val="nil"/>
              <w:right w:val="nil"/>
            </w:tcBorders>
          </w:tcPr>
          <w:p w14:paraId="4D24126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394.00</w:t>
            </w:r>
          </w:p>
        </w:tc>
        <w:tc>
          <w:tcPr>
            <w:tcW w:w="1041" w:type="dxa"/>
            <w:tcBorders>
              <w:top w:val="nil"/>
              <w:left w:val="nil"/>
              <w:bottom w:val="nil"/>
              <w:right w:val="nil"/>
            </w:tcBorders>
          </w:tcPr>
          <w:p w14:paraId="7BE26B2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371.00</w:t>
            </w:r>
          </w:p>
        </w:tc>
        <w:tc>
          <w:tcPr>
            <w:tcW w:w="1175" w:type="dxa"/>
            <w:tcBorders>
              <w:top w:val="nil"/>
              <w:left w:val="nil"/>
              <w:bottom w:val="nil"/>
              <w:right w:val="nil"/>
            </w:tcBorders>
          </w:tcPr>
          <w:p w14:paraId="3836B04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372.00</w:t>
            </w:r>
          </w:p>
        </w:tc>
        <w:tc>
          <w:tcPr>
            <w:tcW w:w="1174" w:type="dxa"/>
            <w:tcBorders>
              <w:top w:val="nil"/>
              <w:left w:val="nil"/>
              <w:bottom w:val="nil"/>
              <w:right w:val="nil"/>
            </w:tcBorders>
          </w:tcPr>
          <w:p w14:paraId="25159BA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400.00</w:t>
            </w:r>
          </w:p>
        </w:tc>
        <w:tc>
          <w:tcPr>
            <w:tcW w:w="1174" w:type="dxa"/>
            <w:tcBorders>
              <w:top w:val="nil"/>
              <w:left w:val="nil"/>
              <w:bottom w:val="nil"/>
              <w:right w:val="nil"/>
            </w:tcBorders>
          </w:tcPr>
          <w:p w14:paraId="4900A21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577.00</w:t>
            </w:r>
          </w:p>
        </w:tc>
      </w:tr>
      <w:tr w:rsidR="004D65E3" w:rsidRPr="001C234D" w14:paraId="20F38A85" w14:textId="77777777" w:rsidTr="0099729D">
        <w:trPr>
          <w:trHeight w:val="197"/>
        </w:trPr>
        <w:tc>
          <w:tcPr>
            <w:tcW w:w="9524" w:type="dxa"/>
            <w:gridSpan w:val="8"/>
            <w:tcBorders>
              <w:top w:val="nil"/>
              <w:left w:val="nil"/>
              <w:bottom w:val="nil"/>
              <w:right w:val="nil"/>
            </w:tcBorders>
          </w:tcPr>
          <w:p w14:paraId="2ACD4C44" w14:textId="77777777" w:rsidR="004D65E3" w:rsidRPr="001C234D" w:rsidRDefault="004D65E3" w:rsidP="0099729D">
            <w:pPr>
              <w:rPr>
                <w:rFonts w:ascii="Times New Roman" w:hAnsi="Times New Roman"/>
                <w:bCs/>
                <w:sz w:val="20"/>
                <w:szCs w:val="20"/>
              </w:rPr>
            </w:pPr>
            <w:r w:rsidRPr="001D6B3E">
              <w:rPr>
                <w:rFonts w:ascii="Times New Roman" w:hAnsi="Times New Roman"/>
                <w:b/>
                <w:bCs/>
                <w:i/>
                <w:iCs/>
                <w:sz w:val="20"/>
                <w:szCs w:val="20"/>
              </w:rPr>
              <w:t>Panel B – VC Non-Basic Pay (£000)</w:t>
            </w:r>
          </w:p>
        </w:tc>
      </w:tr>
      <w:tr w:rsidR="004D65E3" w:rsidRPr="001C234D" w14:paraId="277A9AF7" w14:textId="77777777" w:rsidTr="0099729D">
        <w:trPr>
          <w:trHeight w:val="184"/>
        </w:trPr>
        <w:tc>
          <w:tcPr>
            <w:tcW w:w="1795" w:type="dxa"/>
            <w:tcBorders>
              <w:top w:val="nil"/>
              <w:left w:val="nil"/>
              <w:bottom w:val="nil"/>
              <w:right w:val="nil"/>
            </w:tcBorders>
          </w:tcPr>
          <w:p w14:paraId="3A15E48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74ED3BE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36.68</w:t>
            </w:r>
          </w:p>
        </w:tc>
        <w:tc>
          <w:tcPr>
            <w:tcW w:w="1023" w:type="dxa"/>
            <w:tcBorders>
              <w:top w:val="nil"/>
              <w:left w:val="nil"/>
              <w:bottom w:val="nil"/>
              <w:right w:val="nil"/>
            </w:tcBorders>
          </w:tcPr>
          <w:p w14:paraId="4C1FE87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33.90</w:t>
            </w:r>
          </w:p>
        </w:tc>
        <w:tc>
          <w:tcPr>
            <w:tcW w:w="932" w:type="dxa"/>
            <w:tcBorders>
              <w:top w:val="nil"/>
              <w:left w:val="nil"/>
              <w:bottom w:val="nil"/>
              <w:right w:val="nil"/>
            </w:tcBorders>
          </w:tcPr>
          <w:p w14:paraId="7F268F5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37.35</w:t>
            </w:r>
          </w:p>
        </w:tc>
        <w:tc>
          <w:tcPr>
            <w:tcW w:w="1041" w:type="dxa"/>
            <w:tcBorders>
              <w:top w:val="nil"/>
              <w:left w:val="nil"/>
              <w:bottom w:val="nil"/>
              <w:right w:val="nil"/>
            </w:tcBorders>
          </w:tcPr>
          <w:p w14:paraId="0555386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38.33</w:t>
            </w:r>
          </w:p>
        </w:tc>
        <w:tc>
          <w:tcPr>
            <w:tcW w:w="1175" w:type="dxa"/>
            <w:tcBorders>
              <w:top w:val="nil"/>
              <w:left w:val="nil"/>
              <w:bottom w:val="nil"/>
              <w:right w:val="nil"/>
            </w:tcBorders>
          </w:tcPr>
          <w:p w14:paraId="316255F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36.68</w:t>
            </w:r>
          </w:p>
        </w:tc>
        <w:tc>
          <w:tcPr>
            <w:tcW w:w="1174" w:type="dxa"/>
            <w:tcBorders>
              <w:top w:val="nil"/>
              <w:left w:val="nil"/>
              <w:bottom w:val="nil"/>
              <w:right w:val="nil"/>
            </w:tcBorders>
          </w:tcPr>
          <w:p w14:paraId="24897AB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36.97</w:t>
            </w:r>
          </w:p>
        </w:tc>
        <w:tc>
          <w:tcPr>
            <w:tcW w:w="1174" w:type="dxa"/>
            <w:tcBorders>
              <w:top w:val="nil"/>
              <w:left w:val="nil"/>
              <w:bottom w:val="nil"/>
              <w:right w:val="nil"/>
            </w:tcBorders>
          </w:tcPr>
          <w:p w14:paraId="493593F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36.83</w:t>
            </w:r>
          </w:p>
        </w:tc>
      </w:tr>
      <w:tr w:rsidR="004D65E3" w:rsidRPr="001C234D" w14:paraId="61D52A34" w14:textId="77777777" w:rsidTr="0099729D">
        <w:trPr>
          <w:trHeight w:val="184"/>
        </w:trPr>
        <w:tc>
          <w:tcPr>
            <w:tcW w:w="1795" w:type="dxa"/>
            <w:tcBorders>
              <w:top w:val="nil"/>
              <w:left w:val="nil"/>
              <w:bottom w:val="nil"/>
              <w:right w:val="nil"/>
            </w:tcBorders>
          </w:tcPr>
          <w:p w14:paraId="2597B19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4785197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34.00</w:t>
            </w:r>
          </w:p>
        </w:tc>
        <w:tc>
          <w:tcPr>
            <w:tcW w:w="1023" w:type="dxa"/>
            <w:tcBorders>
              <w:top w:val="nil"/>
              <w:left w:val="nil"/>
              <w:bottom w:val="nil"/>
              <w:right w:val="nil"/>
            </w:tcBorders>
          </w:tcPr>
          <w:p w14:paraId="582DDC3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31.00</w:t>
            </w:r>
          </w:p>
        </w:tc>
        <w:tc>
          <w:tcPr>
            <w:tcW w:w="932" w:type="dxa"/>
            <w:tcBorders>
              <w:top w:val="nil"/>
              <w:left w:val="nil"/>
              <w:bottom w:val="nil"/>
              <w:right w:val="nil"/>
            </w:tcBorders>
          </w:tcPr>
          <w:p w14:paraId="7267085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34.00</w:t>
            </w:r>
          </w:p>
        </w:tc>
        <w:tc>
          <w:tcPr>
            <w:tcW w:w="1041" w:type="dxa"/>
            <w:tcBorders>
              <w:top w:val="nil"/>
              <w:left w:val="nil"/>
              <w:bottom w:val="nil"/>
              <w:right w:val="nil"/>
            </w:tcBorders>
          </w:tcPr>
          <w:p w14:paraId="75B7FF4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34.60</w:t>
            </w:r>
          </w:p>
        </w:tc>
        <w:tc>
          <w:tcPr>
            <w:tcW w:w="1175" w:type="dxa"/>
            <w:tcBorders>
              <w:top w:val="nil"/>
              <w:left w:val="nil"/>
              <w:bottom w:val="nil"/>
              <w:right w:val="nil"/>
            </w:tcBorders>
          </w:tcPr>
          <w:p w14:paraId="2EC9CCA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33.00</w:t>
            </w:r>
          </w:p>
        </w:tc>
        <w:tc>
          <w:tcPr>
            <w:tcW w:w="1174" w:type="dxa"/>
            <w:tcBorders>
              <w:top w:val="nil"/>
              <w:left w:val="nil"/>
              <w:bottom w:val="nil"/>
              <w:right w:val="nil"/>
            </w:tcBorders>
          </w:tcPr>
          <w:p w14:paraId="0EBD8FA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34.00</w:t>
            </w:r>
          </w:p>
        </w:tc>
        <w:tc>
          <w:tcPr>
            <w:tcW w:w="1174" w:type="dxa"/>
            <w:tcBorders>
              <w:top w:val="nil"/>
              <w:left w:val="nil"/>
              <w:bottom w:val="nil"/>
              <w:right w:val="nil"/>
            </w:tcBorders>
          </w:tcPr>
          <w:p w14:paraId="193D5AE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34.00</w:t>
            </w:r>
          </w:p>
        </w:tc>
      </w:tr>
      <w:tr w:rsidR="004D65E3" w:rsidRPr="001C234D" w14:paraId="29FBB342" w14:textId="77777777" w:rsidTr="0099729D">
        <w:trPr>
          <w:trHeight w:val="197"/>
        </w:trPr>
        <w:tc>
          <w:tcPr>
            <w:tcW w:w="1795" w:type="dxa"/>
            <w:tcBorders>
              <w:top w:val="nil"/>
              <w:left w:val="nil"/>
              <w:bottom w:val="nil"/>
              <w:right w:val="nil"/>
            </w:tcBorders>
          </w:tcPr>
          <w:p w14:paraId="49C1085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0D6B0B8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15.25</w:t>
            </w:r>
          </w:p>
        </w:tc>
        <w:tc>
          <w:tcPr>
            <w:tcW w:w="1023" w:type="dxa"/>
            <w:tcBorders>
              <w:top w:val="nil"/>
              <w:left w:val="nil"/>
              <w:bottom w:val="nil"/>
              <w:right w:val="nil"/>
            </w:tcBorders>
          </w:tcPr>
          <w:p w14:paraId="5EA67D9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13.20</w:t>
            </w:r>
          </w:p>
        </w:tc>
        <w:tc>
          <w:tcPr>
            <w:tcW w:w="932" w:type="dxa"/>
            <w:tcBorders>
              <w:top w:val="nil"/>
              <w:left w:val="nil"/>
              <w:bottom w:val="nil"/>
              <w:right w:val="nil"/>
            </w:tcBorders>
          </w:tcPr>
          <w:p w14:paraId="342D804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13.87</w:t>
            </w:r>
          </w:p>
        </w:tc>
        <w:tc>
          <w:tcPr>
            <w:tcW w:w="1041" w:type="dxa"/>
            <w:tcBorders>
              <w:top w:val="nil"/>
              <w:left w:val="nil"/>
              <w:bottom w:val="nil"/>
              <w:right w:val="nil"/>
            </w:tcBorders>
          </w:tcPr>
          <w:p w14:paraId="509FA70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15.43</w:t>
            </w:r>
          </w:p>
        </w:tc>
        <w:tc>
          <w:tcPr>
            <w:tcW w:w="1175" w:type="dxa"/>
            <w:tcBorders>
              <w:top w:val="nil"/>
              <w:left w:val="nil"/>
              <w:bottom w:val="nil"/>
              <w:right w:val="nil"/>
            </w:tcBorders>
          </w:tcPr>
          <w:p w14:paraId="17D83D1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16.96</w:t>
            </w:r>
          </w:p>
        </w:tc>
        <w:tc>
          <w:tcPr>
            <w:tcW w:w="1174" w:type="dxa"/>
            <w:tcBorders>
              <w:top w:val="nil"/>
              <w:left w:val="nil"/>
              <w:bottom w:val="nil"/>
              <w:right w:val="nil"/>
            </w:tcBorders>
          </w:tcPr>
          <w:p w14:paraId="5DAD85D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16.44</w:t>
            </w:r>
          </w:p>
        </w:tc>
        <w:tc>
          <w:tcPr>
            <w:tcW w:w="1174" w:type="dxa"/>
            <w:tcBorders>
              <w:top w:val="nil"/>
              <w:left w:val="nil"/>
              <w:bottom w:val="nil"/>
              <w:right w:val="nil"/>
            </w:tcBorders>
          </w:tcPr>
          <w:p w14:paraId="64F51A3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15.52</w:t>
            </w:r>
          </w:p>
        </w:tc>
      </w:tr>
      <w:tr w:rsidR="004D65E3" w:rsidRPr="001C234D" w14:paraId="091AE2FE" w14:textId="77777777" w:rsidTr="0099729D">
        <w:trPr>
          <w:trHeight w:val="184"/>
        </w:trPr>
        <w:tc>
          <w:tcPr>
            <w:tcW w:w="1795" w:type="dxa"/>
            <w:tcBorders>
              <w:top w:val="nil"/>
              <w:left w:val="nil"/>
              <w:bottom w:val="nil"/>
              <w:right w:val="nil"/>
            </w:tcBorders>
          </w:tcPr>
          <w:p w14:paraId="3818A77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24DC8A4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c>
          <w:tcPr>
            <w:tcW w:w="1023" w:type="dxa"/>
            <w:tcBorders>
              <w:top w:val="nil"/>
              <w:left w:val="nil"/>
              <w:bottom w:val="nil"/>
              <w:right w:val="nil"/>
            </w:tcBorders>
          </w:tcPr>
          <w:p w14:paraId="3BB23CD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c>
          <w:tcPr>
            <w:tcW w:w="932" w:type="dxa"/>
            <w:tcBorders>
              <w:top w:val="nil"/>
              <w:left w:val="nil"/>
              <w:bottom w:val="nil"/>
              <w:right w:val="nil"/>
            </w:tcBorders>
          </w:tcPr>
          <w:p w14:paraId="3FD48C3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c>
          <w:tcPr>
            <w:tcW w:w="1041" w:type="dxa"/>
            <w:tcBorders>
              <w:top w:val="nil"/>
              <w:left w:val="nil"/>
              <w:bottom w:val="nil"/>
              <w:right w:val="nil"/>
            </w:tcBorders>
          </w:tcPr>
          <w:p w14:paraId="58134BA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c>
          <w:tcPr>
            <w:tcW w:w="1175" w:type="dxa"/>
            <w:tcBorders>
              <w:top w:val="nil"/>
              <w:left w:val="nil"/>
              <w:bottom w:val="nil"/>
              <w:right w:val="nil"/>
            </w:tcBorders>
          </w:tcPr>
          <w:p w14:paraId="774B332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c>
          <w:tcPr>
            <w:tcW w:w="1174" w:type="dxa"/>
            <w:tcBorders>
              <w:top w:val="nil"/>
              <w:left w:val="nil"/>
              <w:bottom w:val="nil"/>
              <w:right w:val="nil"/>
            </w:tcBorders>
          </w:tcPr>
          <w:p w14:paraId="1AF6D41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c>
          <w:tcPr>
            <w:tcW w:w="1174" w:type="dxa"/>
            <w:tcBorders>
              <w:top w:val="nil"/>
              <w:left w:val="nil"/>
              <w:bottom w:val="nil"/>
              <w:right w:val="nil"/>
            </w:tcBorders>
          </w:tcPr>
          <w:p w14:paraId="0A3407C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r>
      <w:tr w:rsidR="004D65E3" w:rsidRPr="001C234D" w14:paraId="45EB5643" w14:textId="77777777" w:rsidTr="0099729D">
        <w:trPr>
          <w:trHeight w:val="253"/>
        </w:trPr>
        <w:tc>
          <w:tcPr>
            <w:tcW w:w="1795" w:type="dxa"/>
            <w:tcBorders>
              <w:top w:val="nil"/>
              <w:left w:val="nil"/>
              <w:bottom w:val="nil"/>
              <w:right w:val="nil"/>
            </w:tcBorders>
          </w:tcPr>
          <w:p w14:paraId="6782D64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nil"/>
              <w:right w:val="nil"/>
            </w:tcBorders>
          </w:tcPr>
          <w:p w14:paraId="21626D5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121.00</w:t>
            </w:r>
          </w:p>
        </w:tc>
        <w:tc>
          <w:tcPr>
            <w:tcW w:w="1023" w:type="dxa"/>
            <w:tcBorders>
              <w:top w:val="nil"/>
              <w:left w:val="nil"/>
              <w:bottom w:val="nil"/>
              <w:right w:val="nil"/>
            </w:tcBorders>
          </w:tcPr>
          <w:p w14:paraId="580A0B8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90.00</w:t>
            </w:r>
          </w:p>
        </w:tc>
        <w:tc>
          <w:tcPr>
            <w:tcW w:w="932" w:type="dxa"/>
            <w:tcBorders>
              <w:top w:val="nil"/>
              <w:left w:val="nil"/>
              <w:bottom w:val="nil"/>
              <w:right w:val="nil"/>
            </w:tcBorders>
          </w:tcPr>
          <w:p w14:paraId="146A3C1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95.00</w:t>
            </w:r>
          </w:p>
        </w:tc>
        <w:tc>
          <w:tcPr>
            <w:tcW w:w="1041" w:type="dxa"/>
            <w:tcBorders>
              <w:top w:val="nil"/>
              <w:left w:val="nil"/>
              <w:bottom w:val="nil"/>
              <w:right w:val="nil"/>
            </w:tcBorders>
          </w:tcPr>
          <w:p w14:paraId="4A8F778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121.00</w:t>
            </w:r>
          </w:p>
        </w:tc>
        <w:tc>
          <w:tcPr>
            <w:tcW w:w="1175" w:type="dxa"/>
            <w:tcBorders>
              <w:top w:val="nil"/>
              <w:left w:val="nil"/>
              <w:bottom w:val="nil"/>
              <w:right w:val="nil"/>
            </w:tcBorders>
          </w:tcPr>
          <w:p w14:paraId="7CEA1D1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119.00</w:t>
            </w:r>
          </w:p>
        </w:tc>
        <w:tc>
          <w:tcPr>
            <w:tcW w:w="1174" w:type="dxa"/>
            <w:tcBorders>
              <w:top w:val="nil"/>
              <w:left w:val="nil"/>
              <w:bottom w:val="nil"/>
              <w:right w:val="nil"/>
            </w:tcBorders>
          </w:tcPr>
          <w:p w14:paraId="3C6BA08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117.00</w:t>
            </w:r>
          </w:p>
        </w:tc>
        <w:tc>
          <w:tcPr>
            <w:tcW w:w="1174" w:type="dxa"/>
            <w:tcBorders>
              <w:top w:val="nil"/>
              <w:left w:val="nil"/>
              <w:bottom w:val="nil"/>
              <w:right w:val="nil"/>
            </w:tcBorders>
          </w:tcPr>
          <w:p w14:paraId="07FB11E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103.00</w:t>
            </w:r>
          </w:p>
        </w:tc>
      </w:tr>
      <w:tr w:rsidR="004D65E3" w:rsidRPr="001C234D" w14:paraId="270B0A2D" w14:textId="77777777" w:rsidTr="0099729D">
        <w:trPr>
          <w:trHeight w:val="184"/>
        </w:trPr>
        <w:tc>
          <w:tcPr>
            <w:tcW w:w="9524" w:type="dxa"/>
            <w:gridSpan w:val="8"/>
            <w:tcBorders>
              <w:top w:val="nil"/>
              <w:left w:val="nil"/>
              <w:bottom w:val="nil"/>
              <w:right w:val="nil"/>
            </w:tcBorders>
          </w:tcPr>
          <w:p w14:paraId="705925C6" w14:textId="77777777" w:rsidR="004D65E3" w:rsidRPr="001C234D" w:rsidRDefault="004D65E3" w:rsidP="0099729D">
            <w:pPr>
              <w:rPr>
                <w:rFonts w:ascii="Times New Roman" w:hAnsi="Times New Roman"/>
                <w:bCs/>
                <w:sz w:val="20"/>
                <w:szCs w:val="20"/>
              </w:rPr>
            </w:pPr>
            <w:r w:rsidRPr="001D6B3E">
              <w:rPr>
                <w:rFonts w:ascii="Times New Roman" w:hAnsi="Times New Roman"/>
                <w:b/>
                <w:bCs/>
                <w:i/>
                <w:iCs/>
                <w:sz w:val="20"/>
                <w:szCs w:val="20"/>
              </w:rPr>
              <w:t>Panel C – VC Total Pay (£000)</w:t>
            </w:r>
          </w:p>
        </w:tc>
      </w:tr>
      <w:tr w:rsidR="004D65E3" w:rsidRPr="001C234D" w14:paraId="2446786D" w14:textId="77777777" w:rsidTr="0099729D">
        <w:trPr>
          <w:trHeight w:val="184"/>
        </w:trPr>
        <w:tc>
          <w:tcPr>
            <w:tcW w:w="1795" w:type="dxa"/>
            <w:tcBorders>
              <w:top w:val="nil"/>
              <w:left w:val="nil"/>
              <w:bottom w:val="nil"/>
              <w:right w:val="nil"/>
            </w:tcBorders>
          </w:tcPr>
          <w:p w14:paraId="6D9233E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1CDD9FF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261.71</w:t>
            </w:r>
          </w:p>
        </w:tc>
        <w:tc>
          <w:tcPr>
            <w:tcW w:w="1023" w:type="dxa"/>
            <w:tcBorders>
              <w:top w:val="nil"/>
              <w:left w:val="nil"/>
              <w:bottom w:val="nil"/>
              <w:right w:val="nil"/>
            </w:tcBorders>
          </w:tcPr>
          <w:p w14:paraId="7D4EEDE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249.45</w:t>
            </w:r>
          </w:p>
        </w:tc>
        <w:tc>
          <w:tcPr>
            <w:tcW w:w="932" w:type="dxa"/>
            <w:tcBorders>
              <w:top w:val="nil"/>
              <w:left w:val="nil"/>
              <w:bottom w:val="nil"/>
              <w:right w:val="nil"/>
            </w:tcBorders>
          </w:tcPr>
          <w:p w14:paraId="58094D3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256.18</w:t>
            </w:r>
          </w:p>
        </w:tc>
        <w:tc>
          <w:tcPr>
            <w:tcW w:w="1041" w:type="dxa"/>
            <w:tcBorders>
              <w:top w:val="nil"/>
              <w:left w:val="nil"/>
              <w:bottom w:val="nil"/>
              <w:right w:val="nil"/>
            </w:tcBorders>
          </w:tcPr>
          <w:p w14:paraId="77E548D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255.98</w:t>
            </w:r>
          </w:p>
        </w:tc>
        <w:tc>
          <w:tcPr>
            <w:tcW w:w="1175" w:type="dxa"/>
            <w:tcBorders>
              <w:top w:val="nil"/>
              <w:left w:val="nil"/>
              <w:bottom w:val="nil"/>
              <w:right w:val="nil"/>
            </w:tcBorders>
          </w:tcPr>
          <w:p w14:paraId="32277F7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258.11</w:t>
            </w:r>
          </w:p>
        </w:tc>
        <w:tc>
          <w:tcPr>
            <w:tcW w:w="1174" w:type="dxa"/>
            <w:tcBorders>
              <w:top w:val="nil"/>
              <w:left w:val="nil"/>
              <w:bottom w:val="nil"/>
              <w:right w:val="nil"/>
            </w:tcBorders>
          </w:tcPr>
          <w:p w14:paraId="30512CA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270.89</w:t>
            </w:r>
          </w:p>
        </w:tc>
        <w:tc>
          <w:tcPr>
            <w:tcW w:w="1174" w:type="dxa"/>
            <w:tcBorders>
              <w:top w:val="nil"/>
              <w:left w:val="nil"/>
              <w:bottom w:val="nil"/>
              <w:right w:val="nil"/>
            </w:tcBorders>
          </w:tcPr>
          <w:p w14:paraId="3529EBC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279.66</w:t>
            </w:r>
          </w:p>
        </w:tc>
      </w:tr>
      <w:tr w:rsidR="004D65E3" w:rsidRPr="001C234D" w14:paraId="3648C92A" w14:textId="77777777" w:rsidTr="0099729D">
        <w:trPr>
          <w:trHeight w:val="197"/>
        </w:trPr>
        <w:tc>
          <w:tcPr>
            <w:tcW w:w="1795" w:type="dxa"/>
            <w:tcBorders>
              <w:top w:val="nil"/>
              <w:left w:val="nil"/>
              <w:bottom w:val="nil"/>
              <w:right w:val="nil"/>
            </w:tcBorders>
          </w:tcPr>
          <w:p w14:paraId="3E86A63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4EA47EA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254.00</w:t>
            </w:r>
          </w:p>
        </w:tc>
        <w:tc>
          <w:tcPr>
            <w:tcW w:w="1023" w:type="dxa"/>
            <w:tcBorders>
              <w:top w:val="nil"/>
              <w:left w:val="nil"/>
              <w:bottom w:val="nil"/>
              <w:right w:val="nil"/>
            </w:tcBorders>
          </w:tcPr>
          <w:p w14:paraId="179B964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244.00</w:t>
            </w:r>
          </w:p>
        </w:tc>
        <w:tc>
          <w:tcPr>
            <w:tcW w:w="932" w:type="dxa"/>
            <w:tcBorders>
              <w:top w:val="nil"/>
              <w:left w:val="nil"/>
              <w:bottom w:val="nil"/>
              <w:right w:val="nil"/>
            </w:tcBorders>
          </w:tcPr>
          <w:p w14:paraId="46DFD6F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249.50</w:t>
            </w:r>
          </w:p>
        </w:tc>
        <w:tc>
          <w:tcPr>
            <w:tcW w:w="1041" w:type="dxa"/>
            <w:tcBorders>
              <w:top w:val="nil"/>
              <w:left w:val="nil"/>
              <w:bottom w:val="nil"/>
              <w:right w:val="nil"/>
            </w:tcBorders>
          </w:tcPr>
          <w:p w14:paraId="144680A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249.00</w:t>
            </w:r>
          </w:p>
        </w:tc>
        <w:tc>
          <w:tcPr>
            <w:tcW w:w="1175" w:type="dxa"/>
            <w:tcBorders>
              <w:top w:val="nil"/>
              <w:left w:val="nil"/>
              <w:bottom w:val="nil"/>
              <w:right w:val="nil"/>
            </w:tcBorders>
          </w:tcPr>
          <w:p w14:paraId="6FC3102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252.50</w:t>
            </w:r>
          </w:p>
        </w:tc>
        <w:tc>
          <w:tcPr>
            <w:tcW w:w="1174" w:type="dxa"/>
            <w:tcBorders>
              <w:top w:val="nil"/>
              <w:left w:val="nil"/>
              <w:bottom w:val="nil"/>
              <w:right w:val="nil"/>
            </w:tcBorders>
          </w:tcPr>
          <w:p w14:paraId="294EFDC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264.00</w:t>
            </w:r>
          </w:p>
        </w:tc>
        <w:tc>
          <w:tcPr>
            <w:tcW w:w="1174" w:type="dxa"/>
            <w:tcBorders>
              <w:top w:val="nil"/>
              <w:left w:val="nil"/>
              <w:bottom w:val="nil"/>
              <w:right w:val="nil"/>
            </w:tcBorders>
          </w:tcPr>
          <w:p w14:paraId="5669DCC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272.46</w:t>
            </w:r>
          </w:p>
        </w:tc>
      </w:tr>
      <w:tr w:rsidR="004D65E3" w:rsidRPr="001C234D" w14:paraId="25FAC0E1" w14:textId="77777777" w:rsidTr="0099729D">
        <w:trPr>
          <w:trHeight w:val="184"/>
        </w:trPr>
        <w:tc>
          <w:tcPr>
            <w:tcW w:w="1795" w:type="dxa"/>
            <w:tcBorders>
              <w:top w:val="nil"/>
              <w:left w:val="nil"/>
              <w:bottom w:val="nil"/>
              <w:right w:val="nil"/>
            </w:tcBorders>
          </w:tcPr>
          <w:p w14:paraId="215A338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1C78027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59.08</w:t>
            </w:r>
          </w:p>
        </w:tc>
        <w:tc>
          <w:tcPr>
            <w:tcW w:w="1023" w:type="dxa"/>
            <w:tcBorders>
              <w:top w:val="nil"/>
              <w:left w:val="nil"/>
              <w:bottom w:val="nil"/>
              <w:right w:val="nil"/>
            </w:tcBorders>
          </w:tcPr>
          <w:p w14:paraId="43032DB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50.83</w:t>
            </w:r>
          </w:p>
        </w:tc>
        <w:tc>
          <w:tcPr>
            <w:tcW w:w="932" w:type="dxa"/>
            <w:tcBorders>
              <w:top w:val="nil"/>
              <w:left w:val="nil"/>
              <w:bottom w:val="nil"/>
              <w:right w:val="nil"/>
            </w:tcBorders>
          </w:tcPr>
          <w:p w14:paraId="6BFE0FA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54.81</w:t>
            </w:r>
          </w:p>
        </w:tc>
        <w:tc>
          <w:tcPr>
            <w:tcW w:w="1041" w:type="dxa"/>
            <w:tcBorders>
              <w:top w:val="nil"/>
              <w:left w:val="nil"/>
              <w:bottom w:val="nil"/>
              <w:right w:val="nil"/>
            </w:tcBorders>
          </w:tcPr>
          <w:p w14:paraId="0CAABC9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56.48</w:t>
            </w:r>
          </w:p>
        </w:tc>
        <w:tc>
          <w:tcPr>
            <w:tcW w:w="1175" w:type="dxa"/>
            <w:tcBorders>
              <w:top w:val="nil"/>
              <w:left w:val="nil"/>
              <w:bottom w:val="nil"/>
              <w:right w:val="nil"/>
            </w:tcBorders>
          </w:tcPr>
          <w:p w14:paraId="0D12387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54.98</w:t>
            </w:r>
          </w:p>
        </w:tc>
        <w:tc>
          <w:tcPr>
            <w:tcW w:w="1174" w:type="dxa"/>
            <w:tcBorders>
              <w:top w:val="nil"/>
              <w:left w:val="nil"/>
              <w:bottom w:val="nil"/>
              <w:right w:val="nil"/>
            </w:tcBorders>
          </w:tcPr>
          <w:p w14:paraId="0F0BE80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60.62</w:t>
            </w:r>
          </w:p>
        </w:tc>
        <w:tc>
          <w:tcPr>
            <w:tcW w:w="1174" w:type="dxa"/>
            <w:tcBorders>
              <w:top w:val="nil"/>
              <w:left w:val="nil"/>
              <w:bottom w:val="nil"/>
              <w:right w:val="nil"/>
            </w:tcBorders>
          </w:tcPr>
          <w:p w14:paraId="56D0DEA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70.59</w:t>
            </w:r>
          </w:p>
        </w:tc>
      </w:tr>
      <w:tr w:rsidR="004D65E3" w:rsidRPr="001C234D" w14:paraId="323F485E" w14:textId="77777777" w:rsidTr="0099729D">
        <w:trPr>
          <w:trHeight w:val="184"/>
        </w:trPr>
        <w:tc>
          <w:tcPr>
            <w:tcW w:w="1795" w:type="dxa"/>
            <w:tcBorders>
              <w:top w:val="nil"/>
              <w:left w:val="nil"/>
              <w:bottom w:val="nil"/>
              <w:right w:val="nil"/>
            </w:tcBorders>
          </w:tcPr>
          <w:p w14:paraId="1FC6362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12185BC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122.00</w:t>
            </w:r>
          </w:p>
        </w:tc>
        <w:tc>
          <w:tcPr>
            <w:tcW w:w="1023" w:type="dxa"/>
            <w:tcBorders>
              <w:top w:val="nil"/>
              <w:left w:val="nil"/>
              <w:bottom w:val="nil"/>
              <w:right w:val="nil"/>
            </w:tcBorders>
          </w:tcPr>
          <w:p w14:paraId="4B857A1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122.00</w:t>
            </w:r>
          </w:p>
        </w:tc>
        <w:tc>
          <w:tcPr>
            <w:tcW w:w="932" w:type="dxa"/>
            <w:tcBorders>
              <w:top w:val="nil"/>
              <w:left w:val="nil"/>
              <w:bottom w:val="nil"/>
              <w:right w:val="nil"/>
            </w:tcBorders>
          </w:tcPr>
          <w:p w14:paraId="5AA9C94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134.00</w:t>
            </w:r>
          </w:p>
        </w:tc>
        <w:tc>
          <w:tcPr>
            <w:tcW w:w="1041" w:type="dxa"/>
            <w:tcBorders>
              <w:top w:val="nil"/>
              <w:left w:val="nil"/>
              <w:bottom w:val="nil"/>
              <w:right w:val="nil"/>
            </w:tcBorders>
          </w:tcPr>
          <w:p w14:paraId="3E9B8B7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135.00</w:t>
            </w:r>
          </w:p>
        </w:tc>
        <w:tc>
          <w:tcPr>
            <w:tcW w:w="1175" w:type="dxa"/>
            <w:tcBorders>
              <w:top w:val="nil"/>
              <w:left w:val="nil"/>
              <w:bottom w:val="nil"/>
              <w:right w:val="nil"/>
            </w:tcBorders>
          </w:tcPr>
          <w:p w14:paraId="7042834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133.00</w:t>
            </w:r>
          </w:p>
        </w:tc>
        <w:tc>
          <w:tcPr>
            <w:tcW w:w="1174" w:type="dxa"/>
            <w:tcBorders>
              <w:top w:val="nil"/>
              <w:left w:val="nil"/>
              <w:bottom w:val="nil"/>
              <w:right w:val="nil"/>
            </w:tcBorders>
          </w:tcPr>
          <w:p w14:paraId="42B2872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136.00</w:t>
            </w:r>
          </w:p>
        </w:tc>
        <w:tc>
          <w:tcPr>
            <w:tcW w:w="1174" w:type="dxa"/>
            <w:tcBorders>
              <w:top w:val="nil"/>
              <w:left w:val="nil"/>
              <w:bottom w:val="nil"/>
              <w:right w:val="nil"/>
            </w:tcBorders>
          </w:tcPr>
          <w:p w14:paraId="55F850C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142.00</w:t>
            </w:r>
          </w:p>
        </w:tc>
      </w:tr>
      <w:tr w:rsidR="004D65E3" w:rsidRPr="001C234D" w14:paraId="666256C4" w14:textId="77777777" w:rsidTr="0099729D">
        <w:trPr>
          <w:trHeight w:val="68"/>
        </w:trPr>
        <w:tc>
          <w:tcPr>
            <w:tcW w:w="1795" w:type="dxa"/>
            <w:tcBorders>
              <w:top w:val="nil"/>
              <w:left w:val="nil"/>
              <w:bottom w:val="nil"/>
              <w:right w:val="nil"/>
            </w:tcBorders>
          </w:tcPr>
          <w:p w14:paraId="40C81DD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nil"/>
              <w:right w:val="nil"/>
            </w:tcBorders>
          </w:tcPr>
          <w:p w14:paraId="582D4C7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623.00</w:t>
            </w:r>
          </w:p>
        </w:tc>
        <w:tc>
          <w:tcPr>
            <w:tcW w:w="1023" w:type="dxa"/>
            <w:tcBorders>
              <w:top w:val="nil"/>
              <w:left w:val="nil"/>
              <w:bottom w:val="nil"/>
              <w:right w:val="nil"/>
            </w:tcBorders>
          </w:tcPr>
          <w:p w14:paraId="5CDC6EF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386.00</w:t>
            </w:r>
          </w:p>
        </w:tc>
        <w:tc>
          <w:tcPr>
            <w:tcW w:w="932" w:type="dxa"/>
            <w:tcBorders>
              <w:top w:val="nil"/>
              <w:left w:val="nil"/>
              <w:bottom w:val="nil"/>
              <w:right w:val="nil"/>
            </w:tcBorders>
          </w:tcPr>
          <w:p w14:paraId="0F9ACB5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423.00</w:t>
            </w:r>
          </w:p>
        </w:tc>
        <w:tc>
          <w:tcPr>
            <w:tcW w:w="1041" w:type="dxa"/>
            <w:tcBorders>
              <w:top w:val="nil"/>
              <w:left w:val="nil"/>
              <w:bottom w:val="nil"/>
              <w:right w:val="nil"/>
            </w:tcBorders>
          </w:tcPr>
          <w:p w14:paraId="40784E0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424.00</w:t>
            </w:r>
          </w:p>
        </w:tc>
        <w:tc>
          <w:tcPr>
            <w:tcW w:w="1175" w:type="dxa"/>
            <w:tcBorders>
              <w:top w:val="nil"/>
              <w:left w:val="nil"/>
              <w:bottom w:val="nil"/>
              <w:right w:val="nil"/>
            </w:tcBorders>
          </w:tcPr>
          <w:p w14:paraId="625658E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424.00</w:t>
            </w:r>
          </w:p>
        </w:tc>
        <w:tc>
          <w:tcPr>
            <w:tcW w:w="1174" w:type="dxa"/>
            <w:tcBorders>
              <w:top w:val="nil"/>
              <w:left w:val="nil"/>
              <w:bottom w:val="nil"/>
              <w:right w:val="nil"/>
            </w:tcBorders>
          </w:tcPr>
          <w:p w14:paraId="259E7C0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449.00</w:t>
            </w:r>
          </w:p>
        </w:tc>
        <w:tc>
          <w:tcPr>
            <w:tcW w:w="1174" w:type="dxa"/>
            <w:tcBorders>
              <w:top w:val="nil"/>
              <w:left w:val="nil"/>
              <w:bottom w:val="nil"/>
              <w:right w:val="nil"/>
            </w:tcBorders>
          </w:tcPr>
          <w:p w14:paraId="4C07E82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623.00</w:t>
            </w:r>
          </w:p>
        </w:tc>
      </w:tr>
      <w:tr w:rsidR="004D65E3" w:rsidRPr="001C234D" w14:paraId="68576715" w14:textId="77777777" w:rsidTr="0099729D">
        <w:trPr>
          <w:trHeight w:val="184"/>
        </w:trPr>
        <w:tc>
          <w:tcPr>
            <w:tcW w:w="9524" w:type="dxa"/>
            <w:gridSpan w:val="8"/>
            <w:tcBorders>
              <w:top w:val="nil"/>
              <w:left w:val="nil"/>
              <w:bottom w:val="nil"/>
              <w:right w:val="nil"/>
            </w:tcBorders>
          </w:tcPr>
          <w:p w14:paraId="65A7904A" w14:textId="336C77DC" w:rsidR="004D65E3" w:rsidRPr="001C234D" w:rsidRDefault="004D65E3" w:rsidP="0099729D">
            <w:pPr>
              <w:rPr>
                <w:rFonts w:ascii="Times New Roman" w:hAnsi="Times New Roman"/>
                <w:bCs/>
                <w:sz w:val="20"/>
                <w:szCs w:val="20"/>
              </w:rPr>
            </w:pPr>
            <w:r w:rsidRPr="001D6B3E">
              <w:rPr>
                <w:rFonts w:ascii="Times New Roman" w:hAnsi="Times New Roman"/>
                <w:b/>
                <w:bCs/>
                <w:i/>
                <w:iCs/>
                <w:sz w:val="20"/>
                <w:szCs w:val="20"/>
              </w:rPr>
              <w:t>Panel D – VC Damehood/</w:t>
            </w:r>
            <w:r w:rsidR="0051717F">
              <w:rPr>
                <w:rFonts w:ascii="Times New Roman" w:hAnsi="Times New Roman"/>
                <w:b/>
                <w:bCs/>
                <w:i/>
                <w:iCs/>
                <w:sz w:val="20"/>
                <w:szCs w:val="20"/>
              </w:rPr>
              <w:t>Kn</w:t>
            </w:r>
            <w:r w:rsidRPr="001D6B3E">
              <w:rPr>
                <w:rFonts w:ascii="Times New Roman" w:hAnsi="Times New Roman"/>
                <w:b/>
                <w:bCs/>
                <w:i/>
                <w:iCs/>
                <w:sz w:val="20"/>
                <w:szCs w:val="20"/>
              </w:rPr>
              <w:t>ighthood (Dummy)</w:t>
            </w:r>
          </w:p>
        </w:tc>
      </w:tr>
      <w:tr w:rsidR="004D65E3" w:rsidRPr="001C234D" w14:paraId="28D98A98" w14:textId="77777777" w:rsidTr="0099729D">
        <w:trPr>
          <w:trHeight w:val="197"/>
        </w:trPr>
        <w:tc>
          <w:tcPr>
            <w:tcW w:w="1795" w:type="dxa"/>
            <w:tcBorders>
              <w:top w:val="nil"/>
              <w:left w:val="nil"/>
              <w:bottom w:val="nil"/>
              <w:right w:val="nil"/>
            </w:tcBorders>
          </w:tcPr>
          <w:p w14:paraId="7C1A88A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20F9BB2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0.18</w:t>
            </w:r>
          </w:p>
        </w:tc>
        <w:tc>
          <w:tcPr>
            <w:tcW w:w="1023" w:type="dxa"/>
            <w:tcBorders>
              <w:top w:val="nil"/>
              <w:left w:val="nil"/>
              <w:bottom w:val="nil"/>
              <w:right w:val="nil"/>
            </w:tcBorders>
          </w:tcPr>
          <w:p w14:paraId="278D6F1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0.18</w:t>
            </w:r>
          </w:p>
        </w:tc>
        <w:tc>
          <w:tcPr>
            <w:tcW w:w="932" w:type="dxa"/>
            <w:tcBorders>
              <w:top w:val="nil"/>
              <w:left w:val="nil"/>
              <w:bottom w:val="nil"/>
              <w:right w:val="nil"/>
            </w:tcBorders>
          </w:tcPr>
          <w:p w14:paraId="77EC318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0.18</w:t>
            </w:r>
          </w:p>
        </w:tc>
        <w:tc>
          <w:tcPr>
            <w:tcW w:w="1041" w:type="dxa"/>
            <w:tcBorders>
              <w:top w:val="nil"/>
              <w:left w:val="nil"/>
              <w:bottom w:val="nil"/>
              <w:right w:val="nil"/>
            </w:tcBorders>
          </w:tcPr>
          <w:p w14:paraId="3B34F64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0.18</w:t>
            </w:r>
          </w:p>
        </w:tc>
        <w:tc>
          <w:tcPr>
            <w:tcW w:w="1175" w:type="dxa"/>
            <w:tcBorders>
              <w:top w:val="nil"/>
              <w:left w:val="nil"/>
              <w:bottom w:val="nil"/>
              <w:right w:val="nil"/>
            </w:tcBorders>
          </w:tcPr>
          <w:p w14:paraId="79D849A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0.18</w:t>
            </w:r>
          </w:p>
        </w:tc>
        <w:tc>
          <w:tcPr>
            <w:tcW w:w="1174" w:type="dxa"/>
            <w:tcBorders>
              <w:top w:val="nil"/>
              <w:left w:val="nil"/>
              <w:bottom w:val="nil"/>
              <w:right w:val="nil"/>
            </w:tcBorders>
          </w:tcPr>
          <w:p w14:paraId="798F237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0.18</w:t>
            </w:r>
          </w:p>
        </w:tc>
        <w:tc>
          <w:tcPr>
            <w:tcW w:w="1174" w:type="dxa"/>
            <w:tcBorders>
              <w:top w:val="nil"/>
              <w:left w:val="nil"/>
              <w:bottom w:val="nil"/>
              <w:right w:val="nil"/>
            </w:tcBorders>
          </w:tcPr>
          <w:p w14:paraId="034FD63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0.18</w:t>
            </w:r>
          </w:p>
        </w:tc>
      </w:tr>
      <w:tr w:rsidR="004D65E3" w:rsidRPr="001C234D" w14:paraId="35FE8D09" w14:textId="77777777" w:rsidTr="0099729D">
        <w:trPr>
          <w:trHeight w:val="184"/>
        </w:trPr>
        <w:tc>
          <w:tcPr>
            <w:tcW w:w="1795" w:type="dxa"/>
            <w:tcBorders>
              <w:top w:val="nil"/>
              <w:left w:val="nil"/>
              <w:bottom w:val="nil"/>
              <w:right w:val="nil"/>
            </w:tcBorders>
          </w:tcPr>
          <w:p w14:paraId="3CA6ACC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6140458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23" w:type="dxa"/>
            <w:tcBorders>
              <w:top w:val="nil"/>
              <w:left w:val="nil"/>
              <w:bottom w:val="nil"/>
              <w:right w:val="nil"/>
            </w:tcBorders>
          </w:tcPr>
          <w:p w14:paraId="79B8656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932" w:type="dxa"/>
            <w:tcBorders>
              <w:top w:val="nil"/>
              <w:left w:val="nil"/>
              <w:bottom w:val="nil"/>
              <w:right w:val="nil"/>
            </w:tcBorders>
          </w:tcPr>
          <w:p w14:paraId="3217B31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41" w:type="dxa"/>
            <w:tcBorders>
              <w:top w:val="nil"/>
              <w:left w:val="nil"/>
              <w:bottom w:val="nil"/>
              <w:right w:val="nil"/>
            </w:tcBorders>
          </w:tcPr>
          <w:p w14:paraId="523EE8C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5" w:type="dxa"/>
            <w:tcBorders>
              <w:top w:val="nil"/>
              <w:left w:val="nil"/>
              <w:bottom w:val="nil"/>
              <w:right w:val="nil"/>
            </w:tcBorders>
          </w:tcPr>
          <w:p w14:paraId="5273F4B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457F66E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439B404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r>
      <w:tr w:rsidR="004D65E3" w:rsidRPr="001C234D" w14:paraId="46F61EDA" w14:textId="77777777" w:rsidTr="0099729D">
        <w:trPr>
          <w:trHeight w:val="184"/>
        </w:trPr>
        <w:tc>
          <w:tcPr>
            <w:tcW w:w="1795" w:type="dxa"/>
            <w:tcBorders>
              <w:top w:val="nil"/>
              <w:left w:val="nil"/>
              <w:bottom w:val="nil"/>
              <w:right w:val="nil"/>
            </w:tcBorders>
          </w:tcPr>
          <w:p w14:paraId="01755B8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0E45FC6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1023" w:type="dxa"/>
            <w:tcBorders>
              <w:top w:val="nil"/>
              <w:left w:val="nil"/>
              <w:bottom w:val="nil"/>
              <w:right w:val="nil"/>
            </w:tcBorders>
          </w:tcPr>
          <w:p w14:paraId="2DF1B10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932" w:type="dxa"/>
            <w:tcBorders>
              <w:top w:val="nil"/>
              <w:left w:val="nil"/>
              <w:bottom w:val="nil"/>
              <w:right w:val="nil"/>
            </w:tcBorders>
          </w:tcPr>
          <w:p w14:paraId="2C2106D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1041" w:type="dxa"/>
            <w:tcBorders>
              <w:top w:val="nil"/>
              <w:left w:val="nil"/>
              <w:bottom w:val="nil"/>
              <w:right w:val="nil"/>
            </w:tcBorders>
          </w:tcPr>
          <w:p w14:paraId="0A10252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1175" w:type="dxa"/>
            <w:tcBorders>
              <w:top w:val="nil"/>
              <w:left w:val="nil"/>
              <w:bottom w:val="nil"/>
              <w:right w:val="nil"/>
            </w:tcBorders>
          </w:tcPr>
          <w:p w14:paraId="286E56D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1174" w:type="dxa"/>
            <w:tcBorders>
              <w:top w:val="nil"/>
              <w:left w:val="nil"/>
              <w:bottom w:val="nil"/>
              <w:right w:val="nil"/>
            </w:tcBorders>
          </w:tcPr>
          <w:p w14:paraId="2C058BF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1174" w:type="dxa"/>
            <w:tcBorders>
              <w:top w:val="nil"/>
              <w:left w:val="nil"/>
              <w:bottom w:val="nil"/>
              <w:right w:val="nil"/>
            </w:tcBorders>
          </w:tcPr>
          <w:p w14:paraId="6BD78AD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r>
      <w:tr w:rsidR="004D65E3" w:rsidRPr="001C234D" w14:paraId="6A39FD38" w14:textId="77777777" w:rsidTr="0099729D">
        <w:trPr>
          <w:trHeight w:val="197"/>
        </w:trPr>
        <w:tc>
          <w:tcPr>
            <w:tcW w:w="1795" w:type="dxa"/>
            <w:tcBorders>
              <w:top w:val="nil"/>
              <w:left w:val="nil"/>
              <w:bottom w:val="nil"/>
              <w:right w:val="nil"/>
            </w:tcBorders>
          </w:tcPr>
          <w:p w14:paraId="6B0A710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0A9EFF9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23" w:type="dxa"/>
            <w:tcBorders>
              <w:top w:val="nil"/>
              <w:left w:val="nil"/>
              <w:bottom w:val="nil"/>
              <w:right w:val="nil"/>
            </w:tcBorders>
          </w:tcPr>
          <w:p w14:paraId="10C0535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932" w:type="dxa"/>
            <w:tcBorders>
              <w:top w:val="nil"/>
              <w:left w:val="nil"/>
              <w:bottom w:val="nil"/>
              <w:right w:val="nil"/>
            </w:tcBorders>
          </w:tcPr>
          <w:p w14:paraId="3D4A2AB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41" w:type="dxa"/>
            <w:tcBorders>
              <w:top w:val="nil"/>
              <w:left w:val="nil"/>
              <w:bottom w:val="nil"/>
              <w:right w:val="nil"/>
            </w:tcBorders>
          </w:tcPr>
          <w:p w14:paraId="6156715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5" w:type="dxa"/>
            <w:tcBorders>
              <w:top w:val="nil"/>
              <w:left w:val="nil"/>
              <w:bottom w:val="nil"/>
              <w:right w:val="nil"/>
            </w:tcBorders>
          </w:tcPr>
          <w:p w14:paraId="4C47314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6239873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54054BC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r>
      <w:tr w:rsidR="004D65E3" w:rsidRPr="001C234D" w14:paraId="2E798139" w14:textId="77777777" w:rsidTr="0099729D">
        <w:trPr>
          <w:trHeight w:val="156"/>
        </w:trPr>
        <w:tc>
          <w:tcPr>
            <w:tcW w:w="1795" w:type="dxa"/>
            <w:tcBorders>
              <w:top w:val="nil"/>
              <w:left w:val="nil"/>
              <w:bottom w:val="nil"/>
              <w:right w:val="nil"/>
            </w:tcBorders>
          </w:tcPr>
          <w:p w14:paraId="4DB42FF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nil"/>
              <w:right w:val="nil"/>
            </w:tcBorders>
          </w:tcPr>
          <w:p w14:paraId="14A0589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23" w:type="dxa"/>
            <w:tcBorders>
              <w:top w:val="nil"/>
              <w:left w:val="nil"/>
              <w:bottom w:val="nil"/>
              <w:right w:val="nil"/>
            </w:tcBorders>
          </w:tcPr>
          <w:p w14:paraId="667468F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932" w:type="dxa"/>
            <w:tcBorders>
              <w:top w:val="nil"/>
              <w:left w:val="nil"/>
              <w:bottom w:val="nil"/>
              <w:right w:val="nil"/>
            </w:tcBorders>
          </w:tcPr>
          <w:p w14:paraId="1AEC5F3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41" w:type="dxa"/>
            <w:tcBorders>
              <w:top w:val="nil"/>
              <w:left w:val="nil"/>
              <w:bottom w:val="nil"/>
              <w:right w:val="nil"/>
            </w:tcBorders>
          </w:tcPr>
          <w:p w14:paraId="790EA33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5" w:type="dxa"/>
            <w:tcBorders>
              <w:top w:val="nil"/>
              <w:left w:val="nil"/>
              <w:bottom w:val="nil"/>
              <w:right w:val="nil"/>
            </w:tcBorders>
          </w:tcPr>
          <w:p w14:paraId="4199539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3227DDF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3E7BCD2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r>
      <w:tr w:rsidR="004D65E3" w:rsidRPr="00397DAC" w14:paraId="0AB97F34" w14:textId="77777777" w:rsidTr="0099729D">
        <w:trPr>
          <w:trHeight w:val="197"/>
        </w:trPr>
        <w:tc>
          <w:tcPr>
            <w:tcW w:w="9524" w:type="dxa"/>
            <w:gridSpan w:val="8"/>
            <w:tcBorders>
              <w:top w:val="nil"/>
              <w:left w:val="nil"/>
              <w:bottom w:val="nil"/>
              <w:right w:val="nil"/>
            </w:tcBorders>
          </w:tcPr>
          <w:p w14:paraId="065F2274" w14:textId="77777777" w:rsidR="004D65E3" w:rsidRPr="002D786F" w:rsidRDefault="004D65E3" w:rsidP="0099729D">
            <w:pPr>
              <w:rPr>
                <w:rFonts w:ascii="Times New Roman" w:hAnsi="Times New Roman"/>
                <w:bCs/>
                <w:sz w:val="20"/>
                <w:szCs w:val="20"/>
                <w:lang w:val="de-DE"/>
              </w:rPr>
            </w:pPr>
            <w:r w:rsidRPr="002D786F">
              <w:rPr>
                <w:rFonts w:ascii="Times New Roman" w:hAnsi="Times New Roman"/>
                <w:b/>
                <w:bCs/>
                <w:i/>
                <w:iCs/>
                <w:sz w:val="20"/>
                <w:szCs w:val="20"/>
                <w:lang w:val="de-DE"/>
              </w:rPr>
              <w:t>Panel E – VC Gender (Dummy)</w:t>
            </w:r>
          </w:p>
        </w:tc>
      </w:tr>
      <w:tr w:rsidR="004D65E3" w:rsidRPr="001C234D" w14:paraId="510BEEA4" w14:textId="77777777" w:rsidTr="0099729D">
        <w:trPr>
          <w:trHeight w:val="184"/>
        </w:trPr>
        <w:tc>
          <w:tcPr>
            <w:tcW w:w="1795" w:type="dxa"/>
            <w:tcBorders>
              <w:top w:val="nil"/>
              <w:left w:val="nil"/>
              <w:bottom w:val="nil"/>
              <w:right w:val="nil"/>
            </w:tcBorders>
          </w:tcPr>
          <w:p w14:paraId="0951B72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1EECDF3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0.83</w:t>
            </w:r>
          </w:p>
        </w:tc>
        <w:tc>
          <w:tcPr>
            <w:tcW w:w="1023" w:type="dxa"/>
            <w:tcBorders>
              <w:top w:val="nil"/>
              <w:left w:val="nil"/>
              <w:bottom w:val="nil"/>
              <w:right w:val="nil"/>
            </w:tcBorders>
          </w:tcPr>
          <w:p w14:paraId="003B03D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0.81</w:t>
            </w:r>
          </w:p>
        </w:tc>
        <w:tc>
          <w:tcPr>
            <w:tcW w:w="932" w:type="dxa"/>
            <w:tcBorders>
              <w:top w:val="nil"/>
              <w:left w:val="nil"/>
              <w:bottom w:val="nil"/>
              <w:right w:val="nil"/>
            </w:tcBorders>
          </w:tcPr>
          <w:p w14:paraId="730FFD7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0.81</w:t>
            </w:r>
          </w:p>
        </w:tc>
        <w:tc>
          <w:tcPr>
            <w:tcW w:w="1041" w:type="dxa"/>
            <w:tcBorders>
              <w:top w:val="nil"/>
              <w:left w:val="nil"/>
              <w:bottom w:val="nil"/>
              <w:right w:val="nil"/>
            </w:tcBorders>
          </w:tcPr>
          <w:p w14:paraId="477AAED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0.83</w:t>
            </w:r>
          </w:p>
        </w:tc>
        <w:tc>
          <w:tcPr>
            <w:tcW w:w="1175" w:type="dxa"/>
            <w:tcBorders>
              <w:top w:val="nil"/>
              <w:left w:val="nil"/>
              <w:bottom w:val="nil"/>
              <w:right w:val="nil"/>
            </w:tcBorders>
          </w:tcPr>
          <w:p w14:paraId="48917D3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0.83</w:t>
            </w:r>
          </w:p>
        </w:tc>
        <w:tc>
          <w:tcPr>
            <w:tcW w:w="1174" w:type="dxa"/>
            <w:tcBorders>
              <w:top w:val="nil"/>
              <w:left w:val="nil"/>
              <w:bottom w:val="nil"/>
              <w:right w:val="nil"/>
            </w:tcBorders>
          </w:tcPr>
          <w:p w14:paraId="107C7E8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0.84</w:t>
            </w:r>
          </w:p>
        </w:tc>
        <w:tc>
          <w:tcPr>
            <w:tcW w:w="1174" w:type="dxa"/>
            <w:tcBorders>
              <w:top w:val="nil"/>
              <w:left w:val="nil"/>
              <w:bottom w:val="nil"/>
              <w:right w:val="nil"/>
            </w:tcBorders>
          </w:tcPr>
          <w:p w14:paraId="130F67C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0.85</w:t>
            </w:r>
          </w:p>
        </w:tc>
      </w:tr>
      <w:tr w:rsidR="004D65E3" w:rsidRPr="001C234D" w14:paraId="2CC53B14" w14:textId="77777777" w:rsidTr="0099729D">
        <w:trPr>
          <w:trHeight w:val="184"/>
        </w:trPr>
        <w:tc>
          <w:tcPr>
            <w:tcW w:w="1795" w:type="dxa"/>
            <w:tcBorders>
              <w:top w:val="nil"/>
              <w:left w:val="nil"/>
              <w:bottom w:val="nil"/>
              <w:right w:val="nil"/>
            </w:tcBorders>
          </w:tcPr>
          <w:p w14:paraId="51CEE4C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092B0F3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23" w:type="dxa"/>
            <w:tcBorders>
              <w:top w:val="nil"/>
              <w:left w:val="nil"/>
              <w:bottom w:val="nil"/>
              <w:right w:val="nil"/>
            </w:tcBorders>
          </w:tcPr>
          <w:p w14:paraId="53F38CE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932" w:type="dxa"/>
            <w:tcBorders>
              <w:top w:val="nil"/>
              <w:left w:val="nil"/>
              <w:bottom w:val="nil"/>
              <w:right w:val="nil"/>
            </w:tcBorders>
          </w:tcPr>
          <w:p w14:paraId="4171E85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41" w:type="dxa"/>
            <w:tcBorders>
              <w:top w:val="nil"/>
              <w:left w:val="nil"/>
              <w:bottom w:val="nil"/>
              <w:right w:val="nil"/>
            </w:tcBorders>
          </w:tcPr>
          <w:p w14:paraId="49EB2AB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5" w:type="dxa"/>
            <w:tcBorders>
              <w:top w:val="nil"/>
              <w:left w:val="nil"/>
              <w:bottom w:val="nil"/>
              <w:right w:val="nil"/>
            </w:tcBorders>
          </w:tcPr>
          <w:p w14:paraId="5DD1C76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53DAB07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07B102C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r>
      <w:tr w:rsidR="004D65E3" w:rsidRPr="001C234D" w14:paraId="4BBA6278" w14:textId="77777777" w:rsidTr="0099729D">
        <w:trPr>
          <w:trHeight w:val="197"/>
        </w:trPr>
        <w:tc>
          <w:tcPr>
            <w:tcW w:w="1795" w:type="dxa"/>
            <w:tcBorders>
              <w:top w:val="nil"/>
              <w:left w:val="nil"/>
              <w:bottom w:val="nil"/>
              <w:right w:val="nil"/>
            </w:tcBorders>
          </w:tcPr>
          <w:p w14:paraId="2578487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128164D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0.38</w:t>
            </w:r>
          </w:p>
        </w:tc>
        <w:tc>
          <w:tcPr>
            <w:tcW w:w="1023" w:type="dxa"/>
            <w:tcBorders>
              <w:top w:val="nil"/>
              <w:left w:val="nil"/>
              <w:bottom w:val="nil"/>
              <w:right w:val="nil"/>
            </w:tcBorders>
          </w:tcPr>
          <w:p w14:paraId="09062A8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932" w:type="dxa"/>
            <w:tcBorders>
              <w:top w:val="nil"/>
              <w:left w:val="nil"/>
              <w:bottom w:val="nil"/>
              <w:right w:val="nil"/>
            </w:tcBorders>
          </w:tcPr>
          <w:p w14:paraId="4C9A4D2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0.39</w:t>
            </w:r>
          </w:p>
        </w:tc>
        <w:tc>
          <w:tcPr>
            <w:tcW w:w="1041" w:type="dxa"/>
            <w:tcBorders>
              <w:top w:val="nil"/>
              <w:left w:val="nil"/>
              <w:bottom w:val="nil"/>
              <w:right w:val="nil"/>
            </w:tcBorders>
          </w:tcPr>
          <w:p w14:paraId="568E3E9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0.38</w:t>
            </w:r>
          </w:p>
        </w:tc>
        <w:tc>
          <w:tcPr>
            <w:tcW w:w="1175" w:type="dxa"/>
            <w:tcBorders>
              <w:top w:val="nil"/>
              <w:left w:val="nil"/>
              <w:bottom w:val="nil"/>
              <w:right w:val="nil"/>
            </w:tcBorders>
          </w:tcPr>
          <w:p w14:paraId="2A03D88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0.38</w:t>
            </w:r>
          </w:p>
        </w:tc>
        <w:tc>
          <w:tcPr>
            <w:tcW w:w="1174" w:type="dxa"/>
            <w:tcBorders>
              <w:top w:val="nil"/>
              <w:left w:val="nil"/>
              <w:bottom w:val="nil"/>
              <w:right w:val="nil"/>
            </w:tcBorders>
          </w:tcPr>
          <w:p w14:paraId="7096C3A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0.37</w:t>
            </w:r>
          </w:p>
        </w:tc>
        <w:tc>
          <w:tcPr>
            <w:tcW w:w="1174" w:type="dxa"/>
            <w:tcBorders>
              <w:top w:val="nil"/>
              <w:left w:val="nil"/>
              <w:bottom w:val="nil"/>
              <w:right w:val="nil"/>
            </w:tcBorders>
          </w:tcPr>
          <w:p w14:paraId="62DCCD3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0.35</w:t>
            </w:r>
          </w:p>
        </w:tc>
      </w:tr>
      <w:tr w:rsidR="004D65E3" w:rsidRPr="001C234D" w14:paraId="5A919569" w14:textId="77777777" w:rsidTr="0099729D">
        <w:trPr>
          <w:trHeight w:val="184"/>
        </w:trPr>
        <w:tc>
          <w:tcPr>
            <w:tcW w:w="1795" w:type="dxa"/>
            <w:tcBorders>
              <w:top w:val="nil"/>
              <w:left w:val="nil"/>
              <w:bottom w:val="nil"/>
              <w:right w:val="nil"/>
            </w:tcBorders>
          </w:tcPr>
          <w:p w14:paraId="4860701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36B9A5D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23" w:type="dxa"/>
            <w:tcBorders>
              <w:top w:val="nil"/>
              <w:left w:val="nil"/>
              <w:bottom w:val="nil"/>
              <w:right w:val="nil"/>
            </w:tcBorders>
          </w:tcPr>
          <w:p w14:paraId="0B1BB70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932" w:type="dxa"/>
            <w:tcBorders>
              <w:top w:val="nil"/>
              <w:left w:val="nil"/>
              <w:bottom w:val="nil"/>
              <w:right w:val="nil"/>
            </w:tcBorders>
          </w:tcPr>
          <w:p w14:paraId="4149F29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41" w:type="dxa"/>
            <w:tcBorders>
              <w:top w:val="nil"/>
              <w:left w:val="nil"/>
              <w:bottom w:val="nil"/>
              <w:right w:val="nil"/>
            </w:tcBorders>
          </w:tcPr>
          <w:p w14:paraId="4CEC83A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5" w:type="dxa"/>
            <w:tcBorders>
              <w:top w:val="nil"/>
              <w:left w:val="nil"/>
              <w:bottom w:val="nil"/>
              <w:right w:val="nil"/>
            </w:tcBorders>
          </w:tcPr>
          <w:p w14:paraId="2882FCE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442DDB7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2E49A6D2"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r>
      <w:tr w:rsidR="004D65E3" w:rsidRPr="001C234D" w14:paraId="605D9D1A" w14:textId="77777777" w:rsidTr="0099729D">
        <w:trPr>
          <w:trHeight w:val="108"/>
        </w:trPr>
        <w:tc>
          <w:tcPr>
            <w:tcW w:w="1795" w:type="dxa"/>
            <w:tcBorders>
              <w:top w:val="nil"/>
              <w:left w:val="nil"/>
              <w:bottom w:val="nil"/>
              <w:right w:val="nil"/>
            </w:tcBorders>
          </w:tcPr>
          <w:p w14:paraId="1E1DD62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nil"/>
              <w:right w:val="nil"/>
            </w:tcBorders>
          </w:tcPr>
          <w:p w14:paraId="79AD7D6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23" w:type="dxa"/>
            <w:tcBorders>
              <w:top w:val="nil"/>
              <w:left w:val="nil"/>
              <w:bottom w:val="nil"/>
              <w:right w:val="nil"/>
            </w:tcBorders>
          </w:tcPr>
          <w:p w14:paraId="0FB1574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932" w:type="dxa"/>
            <w:tcBorders>
              <w:top w:val="nil"/>
              <w:left w:val="nil"/>
              <w:bottom w:val="nil"/>
              <w:right w:val="nil"/>
            </w:tcBorders>
          </w:tcPr>
          <w:p w14:paraId="216D02F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41" w:type="dxa"/>
            <w:tcBorders>
              <w:top w:val="nil"/>
              <w:left w:val="nil"/>
              <w:bottom w:val="nil"/>
              <w:right w:val="nil"/>
            </w:tcBorders>
          </w:tcPr>
          <w:p w14:paraId="6E16EFC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5" w:type="dxa"/>
            <w:tcBorders>
              <w:top w:val="nil"/>
              <w:left w:val="nil"/>
              <w:bottom w:val="nil"/>
              <w:right w:val="nil"/>
            </w:tcBorders>
          </w:tcPr>
          <w:p w14:paraId="00FA8F4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2757376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57F4AB5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r>
      <w:tr w:rsidR="004D65E3" w:rsidRPr="001C234D" w14:paraId="597FA132" w14:textId="77777777" w:rsidTr="0099729D">
        <w:trPr>
          <w:trHeight w:val="184"/>
        </w:trPr>
        <w:tc>
          <w:tcPr>
            <w:tcW w:w="9524" w:type="dxa"/>
            <w:gridSpan w:val="8"/>
            <w:tcBorders>
              <w:top w:val="nil"/>
              <w:left w:val="nil"/>
              <w:bottom w:val="nil"/>
              <w:right w:val="nil"/>
            </w:tcBorders>
          </w:tcPr>
          <w:p w14:paraId="0260E00A" w14:textId="77777777" w:rsidR="004D65E3" w:rsidRPr="001C234D" w:rsidRDefault="004D65E3" w:rsidP="0099729D">
            <w:pPr>
              <w:rPr>
                <w:rFonts w:ascii="Times New Roman" w:hAnsi="Times New Roman"/>
                <w:bCs/>
                <w:sz w:val="20"/>
                <w:szCs w:val="20"/>
              </w:rPr>
            </w:pPr>
            <w:r w:rsidRPr="001D6B3E">
              <w:rPr>
                <w:rFonts w:ascii="Times New Roman" w:hAnsi="Times New Roman"/>
                <w:b/>
                <w:bCs/>
                <w:i/>
                <w:iCs/>
                <w:sz w:val="20"/>
                <w:szCs w:val="20"/>
              </w:rPr>
              <w:t>Panel F – VC Age (Number of years)</w:t>
            </w:r>
          </w:p>
        </w:tc>
      </w:tr>
      <w:tr w:rsidR="004D65E3" w:rsidRPr="001C234D" w14:paraId="5D2C521E" w14:textId="77777777" w:rsidTr="0099729D">
        <w:trPr>
          <w:trHeight w:val="184"/>
        </w:trPr>
        <w:tc>
          <w:tcPr>
            <w:tcW w:w="1795" w:type="dxa"/>
            <w:tcBorders>
              <w:top w:val="nil"/>
              <w:left w:val="nil"/>
              <w:bottom w:val="nil"/>
              <w:right w:val="nil"/>
            </w:tcBorders>
          </w:tcPr>
          <w:p w14:paraId="1057D28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1434944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57.41</w:t>
            </w:r>
          </w:p>
        </w:tc>
        <w:tc>
          <w:tcPr>
            <w:tcW w:w="1023" w:type="dxa"/>
            <w:tcBorders>
              <w:top w:val="nil"/>
              <w:left w:val="nil"/>
              <w:bottom w:val="nil"/>
              <w:right w:val="nil"/>
            </w:tcBorders>
          </w:tcPr>
          <w:p w14:paraId="402A599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55.56</w:t>
            </w:r>
          </w:p>
        </w:tc>
        <w:tc>
          <w:tcPr>
            <w:tcW w:w="932" w:type="dxa"/>
            <w:tcBorders>
              <w:top w:val="nil"/>
              <w:left w:val="nil"/>
              <w:bottom w:val="nil"/>
              <w:right w:val="nil"/>
            </w:tcBorders>
          </w:tcPr>
          <w:p w14:paraId="33BAD25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56.38</w:t>
            </w:r>
          </w:p>
        </w:tc>
        <w:tc>
          <w:tcPr>
            <w:tcW w:w="1041" w:type="dxa"/>
            <w:tcBorders>
              <w:top w:val="nil"/>
              <w:left w:val="nil"/>
              <w:bottom w:val="nil"/>
              <w:right w:val="nil"/>
            </w:tcBorders>
          </w:tcPr>
          <w:p w14:paraId="2125069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57.03</w:t>
            </w:r>
          </w:p>
        </w:tc>
        <w:tc>
          <w:tcPr>
            <w:tcW w:w="1175" w:type="dxa"/>
            <w:tcBorders>
              <w:top w:val="nil"/>
              <w:left w:val="nil"/>
              <w:bottom w:val="nil"/>
              <w:right w:val="nil"/>
            </w:tcBorders>
          </w:tcPr>
          <w:p w14:paraId="247A894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57.74</w:t>
            </w:r>
          </w:p>
        </w:tc>
        <w:tc>
          <w:tcPr>
            <w:tcW w:w="1174" w:type="dxa"/>
            <w:tcBorders>
              <w:top w:val="nil"/>
              <w:left w:val="nil"/>
              <w:bottom w:val="nil"/>
              <w:right w:val="nil"/>
            </w:tcBorders>
          </w:tcPr>
          <w:p w14:paraId="0BF21C8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58.33</w:t>
            </w:r>
          </w:p>
        </w:tc>
        <w:tc>
          <w:tcPr>
            <w:tcW w:w="1174" w:type="dxa"/>
            <w:tcBorders>
              <w:top w:val="nil"/>
              <w:left w:val="nil"/>
              <w:bottom w:val="nil"/>
              <w:right w:val="nil"/>
            </w:tcBorders>
          </w:tcPr>
          <w:p w14:paraId="623D1A7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59.42</w:t>
            </w:r>
          </w:p>
        </w:tc>
      </w:tr>
      <w:tr w:rsidR="004D65E3" w:rsidRPr="001C234D" w14:paraId="5944E8E6" w14:textId="77777777" w:rsidTr="0099729D">
        <w:trPr>
          <w:trHeight w:val="197"/>
        </w:trPr>
        <w:tc>
          <w:tcPr>
            <w:tcW w:w="1795" w:type="dxa"/>
            <w:tcBorders>
              <w:top w:val="nil"/>
              <w:left w:val="nil"/>
              <w:bottom w:val="nil"/>
              <w:right w:val="nil"/>
            </w:tcBorders>
          </w:tcPr>
          <w:p w14:paraId="0857266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1269580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58.00</w:t>
            </w:r>
          </w:p>
        </w:tc>
        <w:tc>
          <w:tcPr>
            <w:tcW w:w="1023" w:type="dxa"/>
            <w:tcBorders>
              <w:top w:val="nil"/>
              <w:left w:val="nil"/>
              <w:bottom w:val="nil"/>
              <w:right w:val="nil"/>
            </w:tcBorders>
          </w:tcPr>
          <w:p w14:paraId="6E61A0E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56.00</w:t>
            </w:r>
          </w:p>
        </w:tc>
        <w:tc>
          <w:tcPr>
            <w:tcW w:w="932" w:type="dxa"/>
            <w:tcBorders>
              <w:top w:val="nil"/>
              <w:left w:val="nil"/>
              <w:bottom w:val="nil"/>
              <w:right w:val="nil"/>
            </w:tcBorders>
          </w:tcPr>
          <w:p w14:paraId="3266EB3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57.00</w:t>
            </w:r>
          </w:p>
        </w:tc>
        <w:tc>
          <w:tcPr>
            <w:tcW w:w="1041" w:type="dxa"/>
            <w:tcBorders>
              <w:top w:val="nil"/>
              <w:left w:val="nil"/>
              <w:bottom w:val="nil"/>
              <w:right w:val="nil"/>
            </w:tcBorders>
          </w:tcPr>
          <w:p w14:paraId="315AEF2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57.00</w:t>
            </w:r>
          </w:p>
        </w:tc>
        <w:tc>
          <w:tcPr>
            <w:tcW w:w="1175" w:type="dxa"/>
            <w:tcBorders>
              <w:top w:val="nil"/>
              <w:left w:val="nil"/>
              <w:bottom w:val="nil"/>
              <w:right w:val="nil"/>
            </w:tcBorders>
          </w:tcPr>
          <w:p w14:paraId="0895984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58.00</w:t>
            </w:r>
          </w:p>
        </w:tc>
        <w:tc>
          <w:tcPr>
            <w:tcW w:w="1174" w:type="dxa"/>
            <w:tcBorders>
              <w:top w:val="nil"/>
              <w:left w:val="nil"/>
              <w:bottom w:val="nil"/>
              <w:right w:val="nil"/>
            </w:tcBorders>
          </w:tcPr>
          <w:p w14:paraId="6DFF2E2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58.00</w:t>
            </w:r>
          </w:p>
        </w:tc>
        <w:tc>
          <w:tcPr>
            <w:tcW w:w="1174" w:type="dxa"/>
            <w:tcBorders>
              <w:top w:val="nil"/>
              <w:left w:val="nil"/>
              <w:bottom w:val="nil"/>
              <w:right w:val="nil"/>
            </w:tcBorders>
          </w:tcPr>
          <w:p w14:paraId="719AC35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60.00</w:t>
            </w:r>
          </w:p>
        </w:tc>
      </w:tr>
      <w:tr w:rsidR="004D65E3" w:rsidRPr="001C234D" w14:paraId="41C37B18" w14:textId="77777777" w:rsidTr="0099729D">
        <w:trPr>
          <w:trHeight w:val="184"/>
        </w:trPr>
        <w:tc>
          <w:tcPr>
            <w:tcW w:w="1795" w:type="dxa"/>
            <w:tcBorders>
              <w:top w:val="nil"/>
              <w:left w:val="nil"/>
              <w:bottom w:val="nil"/>
              <w:right w:val="nil"/>
            </w:tcBorders>
          </w:tcPr>
          <w:p w14:paraId="43A7A8F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120A6E7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5.22</w:t>
            </w:r>
          </w:p>
        </w:tc>
        <w:tc>
          <w:tcPr>
            <w:tcW w:w="1023" w:type="dxa"/>
            <w:tcBorders>
              <w:top w:val="nil"/>
              <w:left w:val="nil"/>
              <w:bottom w:val="nil"/>
              <w:right w:val="nil"/>
            </w:tcBorders>
          </w:tcPr>
          <w:p w14:paraId="353C976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5.47</w:t>
            </w:r>
          </w:p>
        </w:tc>
        <w:tc>
          <w:tcPr>
            <w:tcW w:w="932" w:type="dxa"/>
            <w:tcBorders>
              <w:top w:val="nil"/>
              <w:left w:val="nil"/>
              <w:bottom w:val="nil"/>
              <w:right w:val="nil"/>
            </w:tcBorders>
          </w:tcPr>
          <w:p w14:paraId="708A4CB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5.37</w:t>
            </w:r>
          </w:p>
        </w:tc>
        <w:tc>
          <w:tcPr>
            <w:tcW w:w="1041" w:type="dxa"/>
            <w:tcBorders>
              <w:top w:val="nil"/>
              <w:left w:val="nil"/>
              <w:bottom w:val="nil"/>
              <w:right w:val="nil"/>
            </w:tcBorders>
          </w:tcPr>
          <w:p w14:paraId="04AF29E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5.07</w:t>
            </w:r>
          </w:p>
        </w:tc>
        <w:tc>
          <w:tcPr>
            <w:tcW w:w="1175" w:type="dxa"/>
            <w:tcBorders>
              <w:top w:val="nil"/>
              <w:left w:val="nil"/>
              <w:bottom w:val="nil"/>
              <w:right w:val="nil"/>
            </w:tcBorders>
          </w:tcPr>
          <w:p w14:paraId="4EE7801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4.84</w:t>
            </w:r>
          </w:p>
        </w:tc>
        <w:tc>
          <w:tcPr>
            <w:tcW w:w="1174" w:type="dxa"/>
            <w:tcBorders>
              <w:top w:val="nil"/>
              <w:left w:val="nil"/>
              <w:bottom w:val="nil"/>
              <w:right w:val="nil"/>
            </w:tcBorders>
          </w:tcPr>
          <w:p w14:paraId="222B131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4.81</w:t>
            </w:r>
          </w:p>
        </w:tc>
        <w:tc>
          <w:tcPr>
            <w:tcW w:w="1174" w:type="dxa"/>
            <w:tcBorders>
              <w:top w:val="nil"/>
              <w:left w:val="nil"/>
              <w:bottom w:val="nil"/>
              <w:right w:val="nil"/>
            </w:tcBorders>
          </w:tcPr>
          <w:p w14:paraId="6988D79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4.87</w:t>
            </w:r>
          </w:p>
        </w:tc>
      </w:tr>
      <w:tr w:rsidR="004D65E3" w:rsidRPr="001C234D" w14:paraId="64694378" w14:textId="77777777" w:rsidTr="0099729D">
        <w:trPr>
          <w:trHeight w:val="184"/>
        </w:trPr>
        <w:tc>
          <w:tcPr>
            <w:tcW w:w="1795" w:type="dxa"/>
            <w:tcBorders>
              <w:top w:val="nil"/>
              <w:left w:val="nil"/>
              <w:bottom w:val="nil"/>
              <w:right w:val="nil"/>
            </w:tcBorders>
          </w:tcPr>
          <w:p w14:paraId="03562D4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1C12A87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41.00</w:t>
            </w:r>
          </w:p>
        </w:tc>
        <w:tc>
          <w:tcPr>
            <w:tcW w:w="1023" w:type="dxa"/>
            <w:tcBorders>
              <w:top w:val="nil"/>
              <w:left w:val="nil"/>
              <w:bottom w:val="nil"/>
              <w:right w:val="nil"/>
            </w:tcBorders>
          </w:tcPr>
          <w:p w14:paraId="12D5001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41.00</w:t>
            </w:r>
          </w:p>
        </w:tc>
        <w:tc>
          <w:tcPr>
            <w:tcW w:w="932" w:type="dxa"/>
            <w:tcBorders>
              <w:top w:val="nil"/>
              <w:left w:val="nil"/>
              <w:bottom w:val="nil"/>
              <w:right w:val="nil"/>
            </w:tcBorders>
          </w:tcPr>
          <w:p w14:paraId="10717B0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42.00</w:t>
            </w:r>
          </w:p>
        </w:tc>
        <w:tc>
          <w:tcPr>
            <w:tcW w:w="1041" w:type="dxa"/>
            <w:tcBorders>
              <w:top w:val="nil"/>
              <w:left w:val="nil"/>
              <w:bottom w:val="nil"/>
              <w:right w:val="nil"/>
            </w:tcBorders>
          </w:tcPr>
          <w:p w14:paraId="6C897B0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43.00</w:t>
            </w:r>
          </w:p>
        </w:tc>
        <w:tc>
          <w:tcPr>
            <w:tcW w:w="1175" w:type="dxa"/>
            <w:tcBorders>
              <w:top w:val="nil"/>
              <w:left w:val="nil"/>
              <w:bottom w:val="nil"/>
              <w:right w:val="nil"/>
            </w:tcBorders>
          </w:tcPr>
          <w:p w14:paraId="7140CFC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44.00</w:t>
            </w:r>
          </w:p>
        </w:tc>
        <w:tc>
          <w:tcPr>
            <w:tcW w:w="1174" w:type="dxa"/>
            <w:tcBorders>
              <w:top w:val="nil"/>
              <w:left w:val="nil"/>
              <w:bottom w:val="nil"/>
              <w:right w:val="nil"/>
            </w:tcBorders>
          </w:tcPr>
          <w:p w14:paraId="5E70977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45.00</w:t>
            </w:r>
          </w:p>
        </w:tc>
        <w:tc>
          <w:tcPr>
            <w:tcW w:w="1174" w:type="dxa"/>
            <w:tcBorders>
              <w:top w:val="nil"/>
              <w:left w:val="nil"/>
              <w:bottom w:val="nil"/>
              <w:right w:val="nil"/>
            </w:tcBorders>
          </w:tcPr>
          <w:p w14:paraId="206F2EF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44.00</w:t>
            </w:r>
          </w:p>
        </w:tc>
      </w:tr>
      <w:tr w:rsidR="004D65E3" w:rsidRPr="001C234D" w14:paraId="3C7CE97D" w14:textId="77777777" w:rsidTr="0099729D">
        <w:trPr>
          <w:trHeight w:val="188"/>
        </w:trPr>
        <w:tc>
          <w:tcPr>
            <w:tcW w:w="1795" w:type="dxa"/>
            <w:tcBorders>
              <w:top w:val="nil"/>
              <w:left w:val="nil"/>
              <w:bottom w:val="nil"/>
              <w:right w:val="nil"/>
            </w:tcBorders>
          </w:tcPr>
          <w:p w14:paraId="354E43F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nil"/>
              <w:right w:val="nil"/>
            </w:tcBorders>
          </w:tcPr>
          <w:p w14:paraId="1692076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73.00</w:t>
            </w:r>
          </w:p>
        </w:tc>
        <w:tc>
          <w:tcPr>
            <w:tcW w:w="1023" w:type="dxa"/>
            <w:tcBorders>
              <w:top w:val="nil"/>
              <w:left w:val="nil"/>
              <w:bottom w:val="nil"/>
              <w:right w:val="nil"/>
            </w:tcBorders>
          </w:tcPr>
          <w:p w14:paraId="7B3244B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72.00</w:t>
            </w:r>
          </w:p>
        </w:tc>
        <w:tc>
          <w:tcPr>
            <w:tcW w:w="932" w:type="dxa"/>
            <w:tcBorders>
              <w:top w:val="nil"/>
              <w:left w:val="nil"/>
              <w:bottom w:val="nil"/>
              <w:right w:val="nil"/>
            </w:tcBorders>
          </w:tcPr>
          <w:p w14:paraId="5282317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73.00</w:t>
            </w:r>
          </w:p>
        </w:tc>
        <w:tc>
          <w:tcPr>
            <w:tcW w:w="1041" w:type="dxa"/>
            <w:tcBorders>
              <w:top w:val="nil"/>
              <w:left w:val="nil"/>
              <w:bottom w:val="nil"/>
              <w:right w:val="nil"/>
            </w:tcBorders>
          </w:tcPr>
          <w:p w14:paraId="67AF685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70.00</w:t>
            </w:r>
          </w:p>
        </w:tc>
        <w:tc>
          <w:tcPr>
            <w:tcW w:w="1175" w:type="dxa"/>
            <w:tcBorders>
              <w:top w:val="nil"/>
              <w:left w:val="nil"/>
              <w:bottom w:val="nil"/>
              <w:right w:val="nil"/>
            </w:tcBorders>
          </w:tcPr>
          <w:p w14:paraId="4F426C2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68.00</w:t>
            </w:r>
          </w:p>
        </w:tc>
        <w:tc>
          <w:tcPr>
            <w:tcW w:w="1174" w:type="dxa"/>
            <w:tcBorders>
              <w:top w:val="nil"/>
              <w:left w:val="nil"/>
              <w:bottom w:val="nil"/>
              <w:right w:val="nil"/>
            </w:tcBorders>
          </w:tcPr>
          <w:p w14:paraId="423B135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69.00</w:t>
            </w:r>
          </w:p>
        </w:tc>
        <w:tc>
          <w:tcPr>
            <w:tcW w:w="1174" w:type="dxa"/>
            <w:tcBorders>
              <w:top w:val="nil"/>
              <w:left w:val="nil"/>
              <w:bottom w:val="nil"/>
              <w:right w:val="nil"/>
            </w:tcBorders>
          </w:tcPr>
          <w:p w14:paraId="6F62CDC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70.00</w:t>
            </w:r>
          </w:p>
        </w:tc>
      </w:tr>
      <w:tr w:rsidR="004D65E3" w:rsidRPr="001C234D" w14:paraId="33F06D79" w14:textId="77777777" w:rsidTr="0099729D">
        <w:trPr>
          <w:trHeight w:val="184"/>
        </w:trPr>
        <w:tc>
          <w:tcPr>
            <w:tcW w:w="9524" w:type="dxa"/>
            <w:gridSpan w:val="8"/>
            <w:tcBorders>
              <w:top w:val="nil"/>
              <w:left w:val="nil"/>
              <w:bottom w:val="nil"/>
              <w:right w:val="nil"/>
            </w:tcBorders>
          </w:tcPr>
          <w:p w14:paraId="1F16420B" w14:textId="77777777" w:rsidR="004D65E3" w:rsidRPr="001D6B3E" w:rsidRDefault="004D65E3" w:rsidP="0099729D">
            <w:pPr>
              <w:rPr>
                <w:rFonts w:ascii="Times New Roman" w:hAnsi="Times New Roman"/>
                <w:b/>
                <w:bCs/>
                <w:i/>
                <w:iCs/>
                <w:sz w:val="20"/>
                <w:szCs w:val="20"/>
              </w:rPr>
            </w:pPr>
            <w:r w:rsidRPr="001D6B3E">
              <w:rPr>
                <w:rFonts w:ascii="Times New Roman" w:hAnsi="Times New Roman"/>
                <w:b/>
                <w:bCs/>
                <w:i/>
                <w:iCs/>
                <w:sz w:val="20"/>
                <w:szCs w:val="20"/>
              </w:rPr>
              <w:t>Panel G – VC Educational Background (Dummy)</w:t>
            </w:r>
          </w:p>
        </w:tc>
      </w:tr>
      <w:tr w:rsidR="004D65E3" w:rsidRPr="001C234D" w14:paraId="78E817B9" w14:textId="77777777" w:rsidTr="0099729D">
        <w:trPr>
          <w:trHeight w:val="197"/>
        </w:trPr>
        <w:tc>
          <w:tcPr>
            <w:tcW w:w="1795" w:type="dxa"/>
            <w:tcBorders>
              <w:top w:val="nil"/>
              <w:left w:val="nil"/>
              <w:bottom w:val="nil"/>
              <w:right w:val="nil"/>
            </w:tcBorders>
          </w:tcPr>
          <w:p w14:paraId="29A48DC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28DEF3F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0.37</w:t>
            </w:r>
          </w:p>
        </w:tc>
        <w:tc>
          <w:tcPr>
            <w:tcW w:w="1023" w:type="dxa"/>
            <w:tcBorders>
              <w:top w:val="nil"/>
              <w:left w:val="nil"/>
              <w:bottom w:val="nil"/>
              <w:right w:val="nil"/>
            </w:tcBorders>
          </w:tcPr>
          <w:p w14:paraId="0C411B5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0.36</w:t>
            </w:r>
          </w:p>
        </w:tc>
        <w:tc>
          <w:tcPr>
            <w:tcW w:w="932" w:type="dxa"/>
            <w:tcBorders>
              <w:top w:val="nil"/>
              <w:left w:val="nil"/>
              <w:bottom w:val="nil"/>
              <w:right w:val="nil"/>
            </w:tcBorders>
          </w:tcPr>
          <w:p w14:paraId="38C2108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0.37</w:t>
            </w:r>
          </w:p>
        </w:tc>
        <w:tc>
          <w:tcPr>
            <w:tcW w:w="1041" w:type="dxa"/>
            <w:tcBorders>
              <w:top w:val="nil"/>
              <w:left w:val="nil"/>
              <w:bottom w:val="nil"/>
              <w:right w:val="nil"/>
            </w:tcBorders>
          </w:tcPr>
          <w:p w14:paraId="0800C89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0.37</w:t>
            </w:r>
          </w:p>
        </w:tc>
        <w:tc>
          <w:tcPr>
            <w:tcW w:w="1175" w:type="dxa"/>
            <w:tcBorders>
              <w:top w:val="nil"/>
              <w:left w:val="nil"/>
              <w:bottom w:val="nil"/>
              <w:right w:val="nil"/>
            </w:tcBorders>
          </w:tcPr>
          <w:p w14:paraId="211AF4A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0.37</w:t>
            </w:r>
          </w:p>
        </w:tc>
        <w:tc>
          <w:tcPr>
            <w:tcW w:w="1174" w:type="dxa"/>
            <w:tcBorders>
              <w:top w:val="nil"/>
              <w:left w:val="nil"/>
              <w:bottom w:val="nil"/>
              <w:right w:val="nil"/>
            </w:tcBorders>
          </w:tcPr>
          <w:p w14:paraId="2228C1A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0.38</w:t>
            </w:r>
          </w:p>
        </w:tc>
        <w:tc>
          <w:tcPr>
            <w:tcW w:w="1174" w:type="dxa"/>
            <w:tcBorders>
              <w:top w:val="nil"/>
              <w:left w:val="nil"/>
              <w:bottom w:val="nil"/>
              <w:right w:val="nil"/>
            </w:tcBorders>
          </w:tcPr>
          <w:p w14:paraId="1099D75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0.41</w:t>
            </w:r>
          </w:p>
        </w:tc>
      </w:tr>
      <w:tr w:rsidR="004D65E3" w:rsidRPr="001C234D" w14:paraId="0B4836FD" w14:textId="77777777" w:rsidTr="0099729D">
        <w:trPr>
          <w:trHeight w:val="184"/>
        </w:trPr>
        <w:tc>
          <w:tcPr>
            <w:tcW w:w="1795" w:type="dxa"/>
            <w:tcBorders>
              <w:top w:val="nil"/>
              <w:left w:val="nil"/>
              <w:bottom w:val="nil"/>
              <w:right w:val="nil"/>
            </w:tcBorders>
          </w:tcPr>
          <w:p w14:paraId="7AE3079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72A747E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23" w:type="dxa"/>
            <w:tcBorders>
              <w:top w:val="nil"/>
              <w:left w:val="nil"/>
              <w:bottom w:val="nil"/>
              <w:right w:val="nil"/>
            </w:tcBorders>
          </w:tcPr>
          <w:p w14:paraId="167F5D1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932" w:type="dxa"/>
            <w:tcBorders>
              <w:top w:val="nil"/>
              <w:left w:val="nil"/>
              <w:bottom w:val="nil"/>
              <w:right w:val="nil"/>
            </w:tcBorders>
          </w:tcPr>
          <w:p w14:paraId="2F22F6E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41" w:type="dxa"/>
            <w:tcBorders>
              <w:top w:val="nil"/>
              <w:left w:val="nil"/>
              <w:bottom w:val="nil"/>
              <w:right w:val="nil"/>
            </w:tcBorders>
          </w:tcPr>
          <w:p w14:paraId="6B67A51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5" w:type="dxa"/>
            <w:tcBorders>
              <w:top w:val="nil"/>
              <w:left w:val="nil"/>
              <w:bottom w:val="nil"/>
              <w:right w:val="nil"/>
            </w:tcBorders>
          </w:tcPr>
          <w:p w14:paraId="0234FF4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463323B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32EEB95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r>
      <w:tr w:rsidR="004D65E3" w:rsidRPr="001C234D" w14:paraId="29A0D4BD" w14:textId="77777777" w:rsidTr="0099729D">
        <w:trPr>
          <w:trHeight w:val="184"/>
        </w:trPr>
        <w:tc>
          <w:tcPr>
            <w:tcW w:w="1795" w:type="dxa"/>
            <w:tcBorders>
              <w:top w:val="nil"/>
              <w:left w:val="nil"/>
              <w:bottom w:val="nil"/>
              <w:right w:val="nil"/>
            </w:tcBorders>
          </w:tcPr>
          <w:p w14:paraId="6C72443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76B0476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0.48</w:t>
            </w:r>
          </w:p>
        </w:tc>
        <w:tc>
          <w:tcPr>
            <w:tcW w:w="1023" w:type="dxa"/>
            <w:tcBorders>
              <w:top w:val="nil"/>
              <w:left w:val="nil"/>
              <w:bottom w:val="nil"/>
              <w:right w:val="nil"/>
            </w:tcBorders>
          </w:tcPr>
          <w:p w14:paraId="63AF13B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0.48</w:t>
            </w:r>
          </w:p>
        </w:tc>
        <w:tc>
          <w:tcPr>
            <w:tcW w:w="932" w:type="dxa"/>
            <w:tcBorders>
              <w:top w:val="nil"/>
              <w:left w:val="nil"/>
              <w:bottom w:val="nil"/>
              <w:right w:val="nil"/>
            </w:tcBorders>
          </w:tcPr>
          <w:p w14:paraId="4E93B48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0.48</w:t>
            </w:r>
          </w:p>
        </w:tc>
        <w:tc>
          <w:tcPr>
            <w:tcW w:w="1041" w:type="dxa"/>
            <w:tcBorders>
              <w:top w:val="nil"/>
              <w:left w:val="nil"/>
              <w:bottom w:val="nil"/>
              <w:right w:val="nil"/>
            </w:tcBorders>
          </w:tcPr>
          <w:p w14:paraId="1381C4F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0.48</w:t>
            </w:r>
          </w:p>
        </w:tc>
        <w:tc>
          <w:tcPr>
            <w:tcW w:w="1175" w:type="dxa"/>
            <w:tcBorders>
              <w:top w:val="nil"/>
              <w:left w:val="nil"/>
              <w:bottom w:val="nil"/>
              <w:right w:val="nil"/>
            </w:tcBorders>
          </w:tcPr>
          <w:p w14:paraId="746CE48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0.48</w:t>
            </w:r>
          </w:p>
        </w:tc>
        <w:tc>
          <w:tcPr>
            <w:tcW w:w="1174" w:type="dxa"/>
            <w:tcBorders>
              <w:top w:val="nil"/>
              <w:left w:val="nil"/>
              <w:bottom w:val="nil"/>
              <w:right w:val="nil"/>
            </w:tcBorders>
          </w:tcPr>
          <w:p w14:paraId="1087275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0.49</w:t>
            </w:r>
          </w:p>
        </w:tc>
        <w:tc>
          <w:tcPr>
            <w:tcW w:w="1174" w:type="dxa"/>
            <w:tcBorders>
              <w:top w:val="nil"/>
              <w:left w:val="nil"/>
              <w:bottom w:val="nil"/>
              <w:right w:val="nil"/>
            </w:tcBorders>
          </w:tcPr>
          <w:p w14:paraId="2BFD25D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0.49</w:t>
            </w:r>
          </w:p>
        </w:tc>
      </w:tr>
      <w:tr w:rsidR="004D65E3" w:rsidRPr="001C234D" w14:paraId="65FBB89B" w14:textId="77777777" w:rsidTr="0099729D">
        <w:trPr>
          <w:trHeight w:val="197"/>
        </w:trPr>
        <w:tc>
          <w:tcPr>
            <w:tcW w:w="1795" w:type="dxa"/>
            <w:tcBorders>
              <w:top w:val="nil"/>
              <w:left w:val="nil"/>
              <w:bottom w:val="nil"/>
              <w:right w:val="nil"/>
            </w:tcBorders>
          </w:tcPr>
          <w:p w14:paraId="1A0E1C4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2A5F531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23" w:type="dxa"/>
            <w:tcBorders>
              <w:top w:val="nil"/>
              <w:left w:val="nil"/>
              <w:bottom w:val="nil"/>
              <w:right w:val="nil"/>
            </w:tcBorders>
          </w:tcPr>
          <w:p w14:paraId="260372E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932" w:type="dxa"/>
            <w:tcBorders>
              <w:top w:val="nil"/>
              <w:left w:val="nil"/>
              <w:bottom w:val="nil"/>
              <w:right w:val="nil"/>
            </w:tcBorders>
          </w:tcPr>
          <w:p w14:paraId="6D5B975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041" w:type="dxa"/>
            <w:tcBorders>
              <w:top w:val="nil"/>
              <w:left w:val="nil"/>
              <w:bottom w:val="nil"/>
              <w:right w:val="nil"/>
            </w:tcBorders>
          </w:tcPr>
          <w:p w14:paraId="6DCA419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5" w:type="dxa"/>
            <w:tcBorders>
              <w:top w:val="nil"/>
              <w:left w:val="nil"/>
              <w:bottom w:val="nil"/>
              <w:right w:val="nil"/>
            </w:tcBorders>
          </w:tcPr>
          <w:p w14:paraId="03424AD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213DFAF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c>
          <w:tcPr>
            <w:tcW w:w="1174" w:type="dxa"/>
            <w:tcBorders>
              <w:top w:val="nil"/>
              <w:left w:val="nil"/>
              <w:bottom w:val="nil"/>
              <w:right w:val="nil"/>
            </w:tcBorders>
          </w:tcPr>
          <w:p w14:paraId="61D2906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0.00</w:t>
            </w:r>
          </w:p>
        </w:tc>
      </w:tr>
      <w:tr w:rsidR="004D65E3" w:rsidRPr="001C234D" w14:paraId="3C0E7C0B" w14:textId="77777777" w:rsidTr="0099729D">
        <w:trPr>
          <w:trHeight w:val="80"/>
        </w:trPr>
        <w:tc>
          <w:tcPr>
            <w:tcW w:w="1795" w:type="dxa"/>
            <w:tcBorders>
              <w:top w:val="nil"/>
              <w:left w:val="nil"/>
              <w:bottom w:val="nil"/>
              <w:right w:val="nil"/>
            </w:tcBorders>
          </w:tcPr>
          <w:p w14:paraId="04E5FAB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nil"/>
              <w:right w:val="nil"/>
            </w:tcBorders>
          </w:tcPr>
          <w:p w14:paraId="05CEE66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23" w:type="dxa"/>
            <w:tcBorders>
              <w:top w:val="nil"/>
              <w:left w:val="nil"/>
              <w:bottom w:val="nil"/>
              <w:right w:val="nil"/>
            </w:tcBorders>
          </w:tcPr>
          <w:p w14:paraId="6D69437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932" w:type="dxa"/>
            <w:tcBorders>
              <w:top w:val="nil"/>
              <w:left w:val="nil"/>
              <w:bottom w:val="nil"/>
              <w:right w:val="nil"/>
            </w:tcBorders>
          </w:tcPr>
          <w:p w14:paraId="7A4F4FA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041" w:type="dxa"/>
            <w:tcBorders>
              <w:top w:val="nil"/>
              <w:left w:val="nil"/>
              <w:bottom w:val="nil"/>
              <w:right w:val="nil"/>
            </w:tcBorders>
          </w:tcPr>
          <w:p w14:paraId="4FB0997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5" w:type="dxa"/>
            <w:tcBorders>
              <w:top w:val="nil"/>
              <w:left w:val="nil"/>
              <w:bottom w:val="nil"/>
              <w:right w:val="nil"/>
            </w:tcBorders>
          </w:tcPr>
          <w:p w14:paraId="44FBEFDA"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102D499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c>
          <w:tcPr>
            <w:tcW w:w="1174" w:type="dxa"/>
            <w:tcBorders>
              <w:top w:val="nil"/>
              <w:left w:val="nil"/>
              <w:bottom w:val="nil"/>
              <w:right w:val="nil"/>
            </w:tcBorders>
          </w:tcPr>
          <w:p w14:paraId="346C5BE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1.00</w:t>
            </w:r>
          </w:p>
        </w:tc>
      </w:tr>
      <w:tr w:rsidR="004D65E3" w:rsidRPr="001C234D" w14:paraId="72226ED4" w14:textId="77777777" w:rsidTr="0099729D">
        <w:trPr>
          <w:trHeight w:val="197"/>
        </w:trPr>
        <w:tc>
          <w:tcPr>
            <w:tcW w:w="9524" w:type="dxa"/>
            <w:gridSpan w:val="8"/>
            <w:tcBorders>
              <w:top w:val="nil"/>
              <w:left w:val="nil"/>
              <w:bottom w:val="nil"/>
              <w:right w:val="nil"/>
            </w:tcBorders>
          </w:tcPr>
          <w:p w14:paraId="12B984A5" w14:textId="77777777" w:rsidR="004D65E3" w:rsidRPr="001C234D" w:rsidRDefault="004D65E3" w:rsidP="0099729D">
            <w:pPr>
              <w:rPr>
                <w:rFonts w:ascii="Times New Roman" w:hAnsi="Times New Roman"/>
                <w:bCs/>
                <w:i/>
                <w:iCs/>
                <w:sz w:val="20"/>
                <w:szCs w:val="20"/>
              </w:rPr>
            </w:pPr>
            <w:r w:rsidRPr="001D6B3E">
              <w:rPr>
                <w:rFonts w:ascii="Times New Roman" w:hAnsi="Times New Roman"/>
                <w:b/>
                <w:bCs/>
                <w:i/>
                <w:iCs/>
                <w:sz w:val="20"/>
                <w:szCs w:val="20"/>
              </w:rPr>
              <w:t>Panel H – VC Tenure (Number of years)</w:t>
            </w:r>
          </w:p>
        </w:tc>
      </w:tr>
      <w:tr w:rsidR="004D65E3" w:rsidRPr="001C234D" w14:paraId="43581405" w14:textId="77777777" w:rsidTr="0099729D">
        <w:trPr>
          <w:trHeight w:val="184"/>
        </w:trPr>
        <w:tc>
          <w:tcPr>
            <w:tcW w:w="1795" w:type="dxa"/>
            <w:tcBorders>
              <w:top w:val="nil"/>
              <w:left w:val="nil"/>
              <w:bottom w:val="nil"/>
              <w:right w:val="nil"/>
            </w:tcBorders>
          </w:tcPr>
          <w:p w14:paraId="2E02A06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Mean</w:t>
            </w:r>
          </w:p>
        </w:tc>
        <w:tc>
          <w:tcPr>
            <w:tcW w:w="1210" w:type="dxa"/>
            <w:tcBorders>
              <w:top w:val="nil"/>
              <w:left w:val="nil"/>
              <w:bottom w:val="nil"/>
              <w:right w:val="nil"/>
            </w:tcBorders>
          </w:tcPr>
          <w:p w14:paraId="35D0136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6.15</w:t>
            </w:r>
          </w:p>
        </w:tc>
        <w:tc>
          <w:tcPr>
            <w:tcW w:w="1023" w:type="dxa"/>
            <w:tcBorders>
              <w:top w:val="nil"/>
              <w:left w:val="nil"/>
              <w:bottom w:val="nil"/>
              <w:right w:val="nil"/>
            </w:tcBorders>
          </w:tcPr>
          <w:p w14:paraId="0A84AED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5.13</w:t>
            </w:r>
          </w:p>
        </w:tc>
        <w:tc>
          <w:tcPr>
            <w:tcW w:w="932" w:type="dxa"/>
            <w:tcBorders>
              <w:top w:val="nil"/>
              <w:left w:val="nil"/>
              <w:bottom w:val="nil"/>
              <w:right w:val="nil"/>
            </w:tcBorders>
          </w:tcPr>
          <w:p w14:paraId="1F34E4F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5.28</w:t>
            </w:r>
          </w:p>
        </w:tc>
        <w:tc>
          <w:tcPr>
            <w:tcW w:w="1041" w:type="dxa"/>
            <w:tcBorders>
              <w:top w:val="nil"/>
              <w:left w:val="nil"/>
              <w:bottom w:val="nil"/>
              <w:right w:val="nil"/>
            </w:tcBorders>
          </w:tcPr>
          <w:p w14:paraId="4B41D185"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5.43</w:t>
            </w:r>
          </w:p>
        </w:tc>
        <w:tc>
          <w:tcPr>
            <w:tcW w:w="1175" w:type="dxa"/>
            <w:tcBorders>
              <w:top w:val="nil"/>
              <w:left w:val="nil"/>
              <w:bottom w:val="nil"/>
              <w:right w:val="nil"/>
            </w:tcBorders>
          </w:tcPr>
          <w:p w14:paraId="370FAEB6"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6.19</w:t>
            </w:r>
          </w:p>
        </w:tc>
        <w:tc>
          <w:tcPr>
            <w:tcW w:w="1174" w:type="dxa"/>
            <w:tcBorders>
              <w:top w:val="nil"/>
              <w:left w:val="nil"/>
              <w:bottom w:val="nil"/>
              <w:right w:val="nil"/>
            </w:tcBorders>
          </w:tcPr>
          <w:p w14:paraId="6FAE5C5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6.97</w:t>
            </w:r>
          </w:p>
        </w:tc>
        <w:tc>
          <w:tcPr>
            <w:tcW w:w="1174" w:type="dxa"/>
            <w:tcBorders>
              <w:top w:val="nil"/>
              <w:left w:val="nil"/>
              <w:bottom w:val="nil"/>
              <w:right w:val="nil"/>
            </w:tcBorders>
          </w:tcPr>
          <w:p w14:paraId="0F18BEB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7.55</w:t>
            </w:r>
          </w:p>
        </w:tc>
      </w:tr>
      <w:tr w:rsidR="004D65E3" w:rsidRPr="001C234D" w14:paraId="4F87FF02" w14:textId="77777777" w:rsidTr="0099729D">
        <w:trPr>
          <w:trHeight w:val="184"/>
        </w:trPr>
        <w:tc>
          <w:tcPr>
            <w:tcW w:w="1795" w:type="dxa"/>
            <w:tcBorders>
              <w:top w:val="nil"/>
              <w:left w:val="nil"/>
              <w:bottom w:val="nil"/>
              <w:right w:val="nil"/>
            </w:tcBorders>
          </w:tcPr>
          <w:p w14:paraId="2504D27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Median </w:t>
            </w:r>
          </w:p>
        </w:tc>
        <w:tc>
          <w:tcPr>
            <w:tcW w:w="1210" w:type="dxa"/>
            <w:tcBorders>
              <w:top w:val="nil"/>
              <w:left w:val="nil"/>
              <w:bottom w:val="nil"/>
              <w:right w:val="nil"/>
            </w:tcBorders>
          </w:tcPr>
          <w:p w14:paraId="450BFAF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5.00</w:t>
            </w:r>
          </w:p>
        </w:tc>
        <w:tc>
          <w:tcPr>
            <w:tcW w:w="1023" w:type="dxa"/>
            <w:tcBorders>
              <w:top w:val="nil"/>
              <w:left w:val="nil"/>
              <w:bottom w:val="nil"/>
              <w:right w:val="nil"/>
            </w:tcBorders>
          </w:tcPr>
          <w:p w14:paraId="77A7FC1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4.00</w:t>
            </w:r>
          </w:p>
        </w:tc>
        <w:tc>
          <w:tcPr>
            <w:tcW w:w="932" w:type="dxa"/>
            <w:tcBorders>
              <w:top w:val="nil"/>
              <w:left w:val="nil"/>
              <w:bottom w:val="nil"/>
              <w:right w:val="nil"/>
            </w:tcBorders>
          </w:tcPr>
          <w:p w14:paraId="027E21A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5.00</w:t>
            </w:r>
          </w:p>
        </w:tc>
        <w:tc>
          <w:tcPr>
            <w:tcW w:w="1041" w:type="dxa"/>
            <w:tcBorders>
              <w:top w:val="nil"/>
              <w:left w:val="nil"/>
              <w:bottom w:val="nil"/>
              <w:right w:val="nil"/>
            </w:tcBorders>
          </w:tcPr>
          <w:p w14:paraId="3BDE82F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5.00</w:t>
            </w:r>
          </w:p>
        </w:tc>
        <w:tc>
          <w:tcPr>
            <w:tcW w:w="1175" w:type="dxa"/>
            <w:tcBorders>
              <w:top w:val="nil"/>
              <w:left w:val="nil"/>
              <w:bottom w:val="nil"/>
              <w:right w:val="nil"/>
            </w:tcBorders>
          </w:tcPr>
          <w:p w14:paraId="6252785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5.00</w:t>
            </w:r>
          </w:p>
        </w:tc>
        <w:tc>
          <w:tcPr>
            <w:tcW w:w="1174" w:type="dxa"/>
            <w:tcBorders>
              <w:top w:val="nil"/>
              <w:left w:val="nil"/>
              <w:bottom w:val="nil"/>
              <w:right w:val="nil"/>
            </w:tcBorders>
          </w:tcPr>
          <w:p w14:paraId="10DFD78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6.00</w:t>
            </w:r>
          </w:p>
        </w:tc>
        <w:tc>
          <w:tcPr>
            <w:tcW w:w="1174" w:type="dxa"/>
            <w:tcBorders>
              <w:top w:val="nil"/>
              <w:left w:val="nil"/>
              <w:bottom w:val="nil"/>
              <w:right w:val="nil"/>
            </w:tcBorders>
          </w:tcPr>
          <w:p w14:paraId="765C572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7.00</w:t>
            </w:r>
          </w:p>
        </w:tc>
      </w:tr>
      <w:tr w:rsidR="004D65E3" w:rsidRPr="001C234D" w14:paraId="1C50B241" w14:textId="77777777" w:rsidTr="0099729D">
        <w:trPr>
          <w:trHeight w:val="197"/>
        </w:trPr>
        <w:tc>
          <w:tcPr>
            <w:tcW w:w="1795" w:type="dxa"/>
            <w:tcBorders>
              <w:top w:val="nil"/>
              <w:left w:val="nil"/>
              <w:bottom w:val="nil"/>
              <w:right w:val="nil"/>
            </w:tcBorders>
          </w:tcPr>
          <w:p w14:paraId="2F4EBE2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STD</w:t>
            </w:r>
          </w:p>
        </w:tc>
        <w:tc>
          <w:tcPr>
            <w:tcW w:w="1210" w:type="dxa"/>
            <w:tcBorders>
              <w:top w:val="nil"/>
              <w:left w:val="nil"/>
              <w:bottom w:val="nil"/>
              <w:right w:val="nil"/>
            </w:tcBorders>
          </w:tcPr>
          <w:p w14:paraId="7AE2A50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3.37</w:t>
            </w:r>
          </w:p>
        </w:tc>
        <w:tc>
          <w:tcPr>
            <w:tcW w:w="1023" w:type="dxa"/>
            <w:tcBorders>
              <w:top w:val="nil"/>
              <w:left w:val="nil"/>
              <w:bottom w:val="nil"/>
              <w:right w:val="nil"/>
            </w:tcBorders>
          </w:tcPr>
          <w:p w14:paraId="63E0FD5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3.14</w:t>
            </w:r>
          </w:p>
        </w:tc>
        <w:tc>
          <w:tcPr>
            <w:tcW w:w="932" w:type="dxa"/>
            <w:tcBorders>
              <w:top w:val="nil"/>
              <w:left w:val="nil"/>
              <w:bottom w:val="nil"/>
              <w:right w:val="nil"/>
            </w:tcBorders>
          </w:tcPr>
          <w:p w14:paraId="4963D4B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3.25</w:t>
            </w:r>
          </w:p>
        </w:tc>
        <w:tc>
          <w:tcPr>
            <w:tcW w:w="1041" w:type="dxa"/>
            <w:tcBorders>
              <w:top w:val="nil"/>
              <w:left w:val="nil"/>
              <w:bottom w:val="nil"/>
              <w:right w:val="nil"/>
            </w:tcBorders>
          </w:tcPr>
          <w:p w14:paraId="15E334D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3.18</w:t>
            </w:r>
          </w:p>
        </w:tc>
        <w:tc>
          <w:tcPr>
            <w:tcW w:w="1175" w:type="dxa"/>
            <w:tcBorders>
              <w:top w:val="nil"/>
              <w:left w:val="nil"/>
              <w:bottom w:val="nil"/>
              <w:right w:val="nil"/>
            </w:tcBorders>
          </w:tcPr>
          <w:p w14:paraId="486FBC5B"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3.22</w:t>
            </w:r>
          </w:p>
        </w:tc>
        <w:tc>
          <w:tcPr>
            <w:tcW w:w="1174" w:type="dxa"/>
            <w:tcBorders>
              <w:top w:val="nil"/>
              <w:left w:val="nil"/>
              <w:bottom w:val="nil"/>
              <w:right w:val="nil"/>
            </w:tcBorders>
          </w:tcPr>
          <w:p w14:paraId="0199C02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3.30</w:t>
            </w:r>
          </w:p>
        </w:tc>
        <w:tc>
          <w:tcPr>
            <w:tcW w:w="1174" w:type="dxa"/>
            <w:tcBorders>
              <w:top w:val="nil"/>
              <w:left w:val="nil"/>
              <w:bottom w:val="nil"/>
              <w:right w:val="nil"/>
            </w:tcBorders>
          </w:tcPr>
          <w:p w14:paraId="026CA05D"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3.47</w:t>
            </w:r>
          </w:p>
        </w:tc>
      </w:tr>
      <w:tr w:rsidR="004D65E3" w:rsidRPr="001C234D" w14:paraId="4029EF20" w14:textId="77777777" w:rsidTr="0099729D">
        <w:trPr>
          <w:trHeight w:val="184"/>
        </w:trPr>
        <w:tc>
          <w:tcPr>
            <w:tcW w:w="1795" w:type="dxa"/>
            <w:tcBorders>
              <w:top w:val="nil"/>
              <w:left w:val="nil"/>
              <w:bottom w:val="nil"/>
              <w:right w:val="nil"/>
            </w:tcBorders>
          </w:tcPr>
          <w:p w14:paraId="5ED33BD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Minimum</w:t>
            </w:r>
          </w:p>
        </w:tc>
        <w:tc>
          <w:tcPr>
            <w:tcW w:w="1210" w:type="dxa"/>
            <w:tcBorders>
              <w:top w:val="nil"/>
              <w:left w:val="nil"/>
              <w:bottom w:val="nil"/>
              <w:right w:val="nil"/>
            </w:tcBorders>
          </w:tcPr>
          <w:p w14:paraId="68AC9371"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2.00</w:t>
            </w:r>
          </w:p>
        </w:tc>
        <w:tc>
          <w:tcPr>
            <w:tcW w:w="1023" w:type="dxa"/>
            <w:tcBorders>
              <w:top w:val="nil"/>
              <w:left w:val="nil"/>
              <w:bottom w:val="nil"/>
              <w:right w:val="nil"/>
            </w:tcBorders>
          </w:tcPr>
          <w:p w14:paraId="3FA14BD7"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2.00</w:t>
            </w:r>
          </w:p>
        </w:tc>
        <w:tc>
          <w:tcPr>
            <w:tcW w:w="932" w:type="dxa"/>
            <w:tcBorders>
              <w:top w:val="nil"/>
              <w:left w:val="nil"/>
              <w:bottom w:val="nil"/>
              <w:right w:val="nil"/>
            </w:tcBorders>
          </w:tcPr>
          <w:p w14:paraId="29E73F43"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2.00</w:t>
            </w:r>
          </w:p>
        </w:tc>
        <w:tc>
          <w:tcPr>
            <w:tcW w:w="1041" w:type="dxa"/>
            <w:tcBorders>
              <w:top w:val="nil"/>
              <w:left w:val="nil"/>
              <w:bottom w:val="nil"/>
              <w:right w:val="nil"/>
            </w:tcBorders>
          </w:tcPr>
          <w:p w14:paraId="2772C41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2.00</w:t>
            </w:r>
          </w:p>
        </w:tc>
        <w:tc>
          <w:tcPr>
            <w:tcW w:w="1175" w:type="dxa"/>
            <w:tcBorders>
              <w:top w:val="nil"/>
              <w:left w:val="nil"/>
              <w:bottom w:val="nil"/>
              <w:right w:val="nil"/>
            </w:tcBorders>
          </w:tcPr>
          <w:p w14:paraId="78DA26AF"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2.00</w:t>
            </w:r>
          </w:p>
        </w:tc>
        <w:tc>
          <w:tcPr>
            <w:tcW w:w="1174" w:type="dxa"/>
            <w:tcBorders>
              <w:top w:val="nil"/>
              <w:left w:val="nil"/>
              <w:bottom w:val="nil"/>
              <w:right w:val="nil"/>
            </w:tcBorders>
          </w:tcPr>
          <w:p w14:paraId="640AF07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2.00</w:t>
            </w:r>
          </w:p>
        </w:tc>
        <w:tc>
          <w:tcPr>
            <w:tcW w:w="1174" w:type="dxa"/>
            <w:tcBorders>
              <w:top w:val="nil"/>
              <w:left w:val="nil"/>
              <w:bottom w:val="nil"/>
              <w:right w:val="nil"/>
            </w:tcBorders>
          </w:tcPr>
          <w:p w14:paraId="12B83730"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 xml:space="preserve">  2.00</w:t>
            </w:r>
          </w:p>
        </w:tc>
      </w:tr>
      <w:tr w:rsidR="004D65E3" w:rsidRPr="001C234D" w14:paraId="07EABD63" w14:textId="77777777" w:rsidTr="0099729D">
        <w:trPr>
          <w:trHeight w:val="72"/>
        </w:trPr>
        <w:tc>
          <w:tcPr>
            <w:tcW w:w="1795" w:type="dxa"/>
            <w:tcBorders>
              <w:top w:val="nil"/>
              <w:left w:val="nil"/>
              <w:bottom w:val="single" w:sz="4" w:space="0" w:color="auto"/>
              <w:right w:val="nil"/>
            </w:tcBorders>
          </w:tcPr>
          <w:p w14:paraId="23C76B6E"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Maximum</w:t>
            </w:r>
          </w:p>
        </w:tc>
        <w:tc>
          <w:tcPr>
            <w:tcW w:w="1210" w:type="dxa"/>
            <w:tcBorders>
              <w:top w:val="nil"/>
              <w:left w:val="nil"/>
              <w:bottom w:val="single" w:sz="4" w:space="0" w:color="auto"/>
              <w:right w:val="nil"/>
            </w:tcBorders>
          </w:tcPr>
          <w:p w14:paraId="34711568"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21.00</w:t>
            </w:r>
          </w:p>
        </w:tc>
        <w:tc>
          <w:tcPr>
            <w:tcW w:w="1023" w:type="dxa"/>
            <w:tcBorders>
              <w:top w:val="nil"/>
              <w:left w:val="nil"/>
              <w:bottom w:val="single" w:sz="4" w:space="0" w:color="auto"/>
              <w:right w:val="nil"/>
            </w:tcBorders>
          </w:tcPr>
          <w:p w14:paraId="714F045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16.00</w:t>
            </w:r>
          </w:p>
        </w:tc>
        <w:tc>
          <w:tcPr>
            <w:tcW w:w="932" w:type="dxa"/>
            <w:tcBorders>
              <w:top w:val="nil"/>
              <w:left w:val="nil"/>
              <w:bottom w:val="single" w:sz="4" w:space="0" w:color="auto"/>
              <w:right w:val="nil"/>
            </w:tcBorders>
          </w:tcPr>
          <w:p w14:paraId="7F660AA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17.00</w:t>
            </w:r>
          </w:p>
        </w:tc>
        <w:tc>
          <w:tcPr>
            <w:tcW w:w="1041" w:type="dxa"/>
            <w:tcBorders>
              <w:top w:val="nil"/>
              <w:left w:val="nil"/>
              <w:bottom w:val="single" w:sz="4" w:space="0" w:color="auto"/>
              <w:right w:val="nil"/>
            </w:tcBorders>
          </w:tcPr>
          <w:p w14:paraId="08B326CC"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18.00</w:t>
            </w:r>
          </w:p>
        </w:tc>
        <w:tc>
          <w:tcPr>
            <w:tcW w:w="1175" w:type="dxa"/>
            <w:tcBorders>
              <w:top w:val="nil"/>
              <w:left w:val="nil"/>
              <w:bottom w:val="single" w:sz="4" w:space="0" w:color="auto"/>
              <w:right w:val="nil"/>
            </w:tcBorders>
          </w:tcPr>
          <w:p w14:paraId="5BE4254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19.00</w:t>
            </w:r>
          </w:p>
        </w:tc>
        <w:tc>
          <w:tcPr>
            <w:tcW w:w="1174" w:type="dxa"/>
            <w:tcBorders>
              <w:top w:val="nil"/>
              <w:left w:val="nil"/>
              <w:bottom w:val="single" w:sz="4" w:space="0" w:color="auto"/>
              <w:right w:val="nil"/>
            </w:tcBorders>
          </w:tcPr>
          <w:p w14:paraId="5A7694A4"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20.00</w:t>
            </w:r>
          </w:p>
        </w:tc>
        <w:tc>
          <w:tcPr>
            <w:tcW w:w="1174" w:type="dxa"/>
            <w:tcBorders>
              <w:top w:val="nil"/>
              <w:left w:val="nil"/>
              <w:bottom w:val="single" w:sz="4" w:space="0" w:color="auto"/>
              <w:right w:val="nil"/>
            </w:tcBorders>
          </w:tcPr>
          <w:p w14:paraId="123149D9" w14:textId="77777777" w:rsidR="004D65E3" w:rsidRPr="001C234D" w:rsidRDefault="004D65E3" w:rsidP="0099729D">
            <w:pPr>
              <w:rPr>
                <w:rFonts w:ascii="Times New Roman" w:hAnsi="Times New Roman"/>
                <w:bCs/>
                <w:sz w:val="20"/>
                <w:szCs w:val="20"/>
              </w:rPr>
            </w:pPr>
            <w:r w:rsidRPr="001C234D">
              <w:rPr>
                <w:rFonts w:ascii="Times New Roman" w:hAnsi="Times New Roman"/>
                <w:bCs/>
                <w:sz w:val="20"/>
                <w:szCs w:val="20"/>
              </w:rPr>
              <w:t>21.00</w:t>
            </w:r>
          </w:p>
        </w:tc>
      </w:tr>
      <w:bookmarkEnd w:id="2"/>
    </w:tbl>
    <w:p w14:paraId="0BC0BE3A" w14:textId="58438F17" w:rsidR="00974DC3" w:rsidRDefault="00974DC3"/>
    <w:p w14:paraId="11ED6974" w14:textId="77777777" w:rsidR="0099729D" w:rsidRDefault="0099729D" w:rsidP="004D65E3">
      <w:pPr>
        <w:spacing w:line="480" w:lineRule="auto"/>
        <w:jc w:val="both"/>
        <w:rPr>
          <w:rFonts w:asciiTheme="majorBidi" w:hAnsiTheme="majorBidi" w:cstheme="majorBidi"/>
          <w:sz w:val="24"/>
          <w:szCs w:val="24"/>
        </w:rPr>
      </w:pPr>
    </w:p>
    <w:p w14:paraId="3306DDAA" w14:textId="77777777" w:rsidR="0099729D" w:rsidRDefault="0099729D" w:rsidP="004D65E3">
      <w:pPr>
        <w:spacing w:line="480" w:lineRule="auto"/>
        <w:jc w:val="both"/>
        <w:rPr>
          <w:rFonts w:asciiTheme="majorBidi" w:hAnsiTheme="majorBidi" w:cstheme="majorBidi"/>
          <w:sz w:val="24"/>
          <w:szCs w:val="24"/>
        </w:rPr>
        <w:sectPr w:rsidR="0099729D" w:rsidSect="004D65E3">
          <w:pgSz w:w="11906" w:h="16838"/>
          <w:pgMar w:top="1440" w:right="1440" w:bottom="1440" w:left="1440" w:header="708" w:footer="708" w:gutter="0"/>
          <w:cols w:space="708"/>
          <w:docGrid w:linePitch="360"/>
        </w:sectPr>
      </w:pPr>
    </w:p>
    <w:p w14:paraId="5E81CF73" w14:textId="284A831E" w:rsidR="004D65E3" w:rsidRDefault="004D65E3" w:rsidP="004D65E3">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Panels ‘</w:t>
      </w:r>
      <w:r w:rsidRPr="00E76C04">
        <w:rPr>
          <w:rFonts w:asciiTheme="majorBidi" w:hAnsiTheme="majorBidi" w:cstheme="majorBidi"/>
          <w:i/>
          <w:iCs/>
          <w:sz w:val="24"/>
          <w:szCs w:val="24"/>
        </w:rPr>
        <w:t>D-H</w:t>
      </w:r>
      <w:r>
        <w:rPr>
          <w:rFonts w:asciiTheme="majorBidi" w:hAnsiTheme="majorBidi" w:cstheme="majorBidi"/>
          <w:sz w:val="24"/>
          <w:szCs w:val="24"/>
        </w:rPr>
        <w:t xml:space="preserve">’ of </w:t>
      </w:r>
      <w:r w:rsidR="003134B1">
        <w:rPr>
          <w:rFonts w:asciiTheme="majorBidi" w:hAnsiTheme="majorBidi" w:cstheme="majorBidi"/>
          <w:sz w:val="24"/>
          <w:szCs w:val="24"/>
        </w:rPr>
        <w:t xml:space="preserve">the </w:t>
      </w:r>
      <w:r w:rsidR="0051717F">
        <w:rPr>
          <w:rFonts w:asciiTheme="majorBidi" w:hAnsiTheme="majorBidi" w:cstheme="majorBidi"/>
          <w:b/>
          <w:bCs/>
          <w:sz w:val="24"/>
          <w:szCs w:val="24"/>
        </w:rPr>
        <w:t xml:space="preserve">online </w:t>
      </w:r>
      <w:r w:rsidRPr="008F5521">
        <w:rPr>
          <w:rFonts w:asciiTheme="majorBidi" w:hAnsiTheme="majorBidi" w:cstheme="majorBidi"/>
          <w:b/>
          <w:bCs/>
          <w:i/>
          <w:iCs/>
          <w:sz w:val="24"/>
          <w:szCs w:val="24"/>
        </w:rPr>
        <w:t xml:space="preserve">Appendix 2 </w:t>
      </w:r>
      <w:r w:rsidRPr="008F5521">
        <w:rPr>
          <w:rFonts w:asciiTheme="majorBidi" w:hAnsiTheme="majorBidi" w:cstheme="majorBidi"/>
          <w:i/>
          <w:iCs/>
          <w:sz w:val="24"/>
          <w:szCs w:val="24"/>
        </w:rPr>
        <w:t>also</w:t>
      </w:r>
      <w:r>
        <w:rPr>
          <w:rFonts w:asciiTheme="majorBidi" w:hAnsiTheme="majorBidi" w:cstheme="majorBidi"/>
          <w:sz w:val="24"/>
          <w:szCs w:val="24"/>
        </w:rPr>
        <w:t xml:space="preserve"> indicate that there is wide variability in the distribution of VC characteristics among our sample. For example, VC age and educational background have mean values of 57-years old and 0.37, respectively, suggesting that UK HEIs tend to appoint older VCs with more generalist background and this is also similar to the results of prior studies (Breakwell and </w:t>
      </w:r>
      <w:proofErr w:type="spellStart"/>
      <w:r>
        <w:rPr>
          <w:rFonts w:asciiTheme="majorBidi" w:hAnsiTheme="majorBidi" w:cstheme="majorBidi"/>
          <w:sz w:val="24"/>
          <w:szCs w:val="24"/>
        </w:rPr>
        <w:t>Tytherleigh</w:t>
      </w:r>
      <w:proofErr w:type="spellEnd"/>
      <w:r>
        <w:rPr>
          <w:rFonts w:asciiTheme="majorBidi" w:hAnsiTheme="majorBidi" w:cstheme="majorBidi"/>
          <w:sz w:val="24"/>
          <w:szCs w:val="24"/>
        </w:rPr>
        <w:t xml:space="preserve">, 2010). Our findings also show that the values of other VC characteristics are widely distributed. For example, VC tenure spans between 2 and 21 years with a mean value of 6.15 years. </w:t>
      </w:r>
    </w:p>
    <w:p w14:paraId="54E5F972" w14:textId="0B65348D" w:rsidR="0099729D" w:rsidRDefault="0099729D" w:rsidP="004D65E3">
      <w:pPr>
        <w:spacing w:line="480" w:lineRule="auto"/>
        <w:jc w:val="both"/>
        <w:rPr>
          <w:rFonts w:asciiTheme="majorBidi" w:hAnsiTheme="majorBidi" w:cstheme="majorBidi"/>
          <w:sz w:val="24"/>
          <w:szCs w:val="24"/>
        </w:rPr>
        <w:sectPr w:rsidR="0099729D" w:rsidSect="004D65E3">
          <w:pgSz w:w="11906" w:h="16838"/>
          <w:pgMar w:top="1440" w:right="1440" w:bottom="1440" w:left="1440" w:header="708" w:footer="708" w:gutter="0"/>
          <w:cols w:space="708"/>
          <w:docGrid w:linePitch="360"/>
        </w:sectPr>
      </w:pPr>
    </w:p>
    <w:p w14:paraId="2B89FB4B" w14:textId="677A2B8F" w:rsidR="0099729D" w:rsidRDefault="0099729D" w:rsidP="004D65E3">
      <w:pPr>
        <w:spacing w:line="480" w:lineRule="auto"/>
        <w:jc w:val="both"/>
        <w:rPr>
          <w:rFonts w:asciiTheme="majorBidi" w:hAnsiTheme="majorBidi" w:cstheme="majorBidi"/>
          <w:sz w:val="24"/>
          <w:szCs w:val="24"/>
        </w:rPr>
      </w:pPr>
    </w:p>
    <w:tbl>
      <w:tblPr>
        <w:tblStyle w:val="TableGrid11"/>
        <w:tblpPr w:leftFromText="180" w:rightFromText="180" w:vertAnchor="page" w:horzAnchor="margin" w:tblpY="1885"/>
        <w:tblW w:w="9569" w:type="dxa"/>
        <w:tblLook w:val="04A0" w:firstRow="1" w:lastRow="0" w:firstColumn="1" w:lastColumn="0" w:noHBand="0" w:noVBand="1"/>
      </w:tblPr>
      <w:tblGrid>
        <w:gridCol w:w="1804"/>
        <w:gridCol w:w="1216"/>
        <w:gridCol w:w="1028"/>
        <w:gridCol w:w="936"/>
        <w:gridCol w:w="1045"/>
        <w:gridCol w:w="1180"/>
        <w:gridCol w:w="1180"/>
        <w:gridCol w:w="1180"/>
      </w:tblGrid>
      <w:tr w:rsidR="005760DC" w:rsidRPr="005760DC" w14:paraId="06F8B21F" w14:textId="77777777" w:rsidTr="0099729D">
        <w:trPr>
          <w:trHeight w:val="186"/>
        </w:trPr>
        <w:tc>
          <w:tcPr>
            <w:tcW w:w="9569" w:type="dxa"/>
            <w:gridSpan w:val="8"/>
            <w:tcBorders>
              <w:top w:val="nil"/>
              <w:left w:val="nil"/>
              <w:bottom w:val="single" w:sz="12" w:space="0" w:color="auto"/>
              <w:right w:val="nil"/>
            </w:tcBorders>
          </w:tcPr>
          <w:p w14:paraId="3CD30878" w14:textId="352EBEE7" w:rsidR="005760DC" w:rsidRPr="005760DC" w:rsidRDefault="0051717F" w:rsidP="0099729D">
            <w:pPr>
              <w:rPr>
                <w:rFonts w:ascii="Times New Roman" w:eastAsia="Calibri" w:hAnsi="Times New Roman"/>
                <w:bCs/>
                <w:sz w:val="20"/>
                <w:szCs w:val="20"/>
              </w:rPr>
            </w:pPr>
            <w:r>
              <w:rPr>
                <w:rFonts w:ascii="Times New Roman" w:eastAsia="Calibri" w:hAnsi="Times New Roman"/>
                <w:b/>
                <w:sz w:val="20"/>
                <w:szCs w:val="20"/>
              </w:rPr>
              <w:t xml:space="preserve">Online </w:t>
            </w:r>
            <w:r w:rsidR="005760DC">
              <w:rPr>
                <w:rFonts w:ascii="Times New Roman" w:eastAsia="Calibri" w:hAnsi="Times New Roman"/>
                <w:b/>
                <w:sz w:val="20"/>
                <w:szCs w:val="20"/>
              </w:rPr>
              <w:t xml:space="preserve">Appendix </w:t>
            </w:r>
            <w:r w:rsidR="005760DC" w:rsidRPr="005760DC">
              <w:rPr>
                <w:rFonts w:ascii="Times New Roman" w:eastAsia="Calibri" w:hAnsi="Times New Roman"/>
                <w:b/>
                <w:sz w:val="20"/>
                <w:szCs w:val="20"/>
              </w:rPr>
              <w:t xml:space="preserve">3. </w:t>
            </w:r>
            <w:r w:rsidR="005760DC" w:rsidRPr="005760DC">
              <w:rPr>
                <w:rFonts w:ascii="Times New Roman" w:eastAsia="Calibri" w:hAnsi="Times New Roman"/>
                <w:sz w:val="20"/>
                <w:szCs w:val="20"/>
              </w:rPr>
              <w:t>Descriptive analysis of UK HEIs’ long- and short-term performance</w:t>
            </w:r>
          </w:p>
        </w:tc>
      </w:tr>
      <w:tr w:rsidR="005760DC" w:rsidRPr="005760DC" w14:paraId="0D6C2017" w14:textId="77777777" w:rsidTr="0099729D">
        <w:trPr>
          <w:trHeight w:val="235"/>
        </w:trPr>
        <w:tc>
          <w:tcPr>
            <w:tcW w:w="1804" w:type="dxa"/>
            <w:tcBorders>
              <w:top w:val="single" w:sz="12" w:space="0" w:color="auto"/>
              <w:left w:val="nil"/>
              <w:bottom w:val="single" w:sz="2" w:space="0" w:color="auto"/>
              <w:right w:val="nil"/>
            </w:tcBorders>
          </w:tcPr>
          <w:p w14:paraId="0DD61087" w14:textId="77777777" w:rsidR="005760DC" w:rsidRPr="005760DC" w:rsidRDefault="005760DC" w:rsidP="0099729D">
            <w:pPr>
              <w:rPr>
                <w:rFonts w:ascii="Times New Roman" w:eastAsia="Calibri" w:hAnsi="Times New Roman"/>
                <w:bCs/>
                <w:sz w:val="20"/>
                <w:szCs w:val="20"/>
              </w:rPr>
            </w:pPr>
          </w:p>
        </w:tc>
        <w:tc>
          <w:tcPr>
            <w:tcW w:w="1216" w:type="dxa"/>
            <w:tcBorders>
              <w:top w:val="single" w:sz="12" w:space="0" w:color="auto"/>
              <w:left w:val="nil"/>
              <w:bottom w:val="single" w:sz="2" w:space="0" w:color="auto"/>
              <w:right w:val="nil"/>
            </w:tcBorders>
          </w:tcPr>
          <w:p w14:paraId="6844C68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All </w:t>
            </w:r>
          </w:p>
        </w:tc>
        <w:tc>
          <w:tcPr>
            <w:tcW w:w="1028" w:type="dxa"/>
            <w:tcBorders>
              <w:top w:val="single" w:sz="12" w:space="0" w:color="auto"/>
              <w:left w:val="nil"/>
              <w:bottom w:val="single" w:sz="2" w:space="0" w:color="auto"/>
              <w:right w:val="nil"/>
            </w:tcBorders>
          </w:tcPr>
          <w:p w14:paraId="3181582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2009</w:t>
            </w:r>
          </w:p>
        </w:tc>
        <w:tc>
          <w:tcPr>
            <w:tcW w:w="936" w:type="dxa"/>
            <w:tcBorders>
              <w:top w:val="single" w:sz="12" w:space="0" w:color="auto"/>
              <w:left w:val="nil"/>
              <w:bottom w:val="single" w:sz="2" w:space="0" w:color="auto"/>
              <w:right w:val="nil"/>
            </w:tcBorders>
          </w:tcPr>
          <w:p w14:paraId="4A1F969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2010</w:t>
            </w:r>
          </w:p>
        </w:tc>
        <w:tc>
          <w:tcPr>
            <w:tcW w:w="1045" w:type="dxa"/>
            <w:tcBorders>
              <w:top w:val="single" w:sz="12" w:space="0" w:color="auto"/>
              <w:left w:val="nil"/>
              <w:bottom w:val="single" w:sz="2" w:space="0" w:color="auto"/>
              <w:right w:val="nil"/>
            </w:tcBorders>
          </w:tcPr>
          <w:p w14:paraId="38E161E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2011</w:t>
            </w:r>
          </w:p>
        </w:tc>
        <w:tc>
          <w:tcPr>
            <w:tcW w:w="1180" w:type="dxa"/>
            <w:tcBorders>
              <w:top w:val="single" w:sz="12" w:space="0" w:color="auto"/>
              <w:left w:val="nil"/>
              <w:bottom w:val="single" w:sz="2" w:space="0" w:color="auto"/>
              <w:right w:val="nil"/>
            </w:tcBorders>
          </w:tcPr>
          <w:p w14:paraId="397560C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2012</w:t>
            </w:r>
          </w:p>
        </w:tc>
        <w:tc>
          <w:tcPr>
            <w:tcW w:w="1180" w:type="dxa"/>
            <w:tcBorders>
              <w:top w:val="single" w:sz="12" w:space="0" w:color="auto"/>
              <w:left w:val="nil"/>
              <w:bottom w:val="single" w:sz="2" w:space="0" w:color="auto"/>
              <w:right w:val="nil"/>
            </w:tcBorders>
          </w:tcPr>
          <w:p w14:paraId="670DF91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2013</w:t>
            </w:r>
          </w:p>
        </w:tc>
        <w:tc>
          <w:tcPr>
            <w:tcW w:w="1180" w:type="dxa"/>
            <w:tcBorders>
              <w:top w:val="single" w:sz="12" w:space="0" w:color="auto"/>
              <w:left w:val="nil"/>
              <w:bottom w:val="single" w:sz="2" w:space="0" w:color="auto"/>
            </w:tcBorders>
          </w:tcPr>
          <w:p w14:paraId="1E1B03C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2014</w:t>
            </w:r>
          </w:p>
        </w:tc>
      </w:tr>
      <w:tr w:rsidR="005760DC" w:rsidRPr="005760DC" w14:paraId="1623CA7D" w14:textId="77777777" w:rsidTr="0099729D">
        <w:trPr>
          <w:trHeight w:val="70"/>
        </w:trPr>
        <w:tc>
          <w:tcPr>
            <w:tcW w:w="9569" w:type="dxa"/>
            <w:gridSpan w:val="8"/>
            <w:tcBorders>
              <w:top w:val="single" w:sz="2" w:space="0" w:color="auto"/>
              <w:left w:val="nil"/>
              <w:bottom w:val="nil"/>
              <w:right w:val="nil"/>
            </w:tcBorders>
          </w:tcPr>
          <w:p w14:paraId="0817DA71" w14:textId="77777777" w:rsidR="005760DC" w:rsidRPr="005760DC" w:rsidRDefault="005760DC" w:rsidP="0099729D">
            <w:pPr>
              <w:rPr>
                <w:rFonts w:ascii="Times New Roman" w:eastAsia="Calibri" w:hAnsi="Times New Roman"/>
                <w:b/>
                <w:bCs/>
                <w:sz w:val="20"/>
                <w:szCs w:val="20"/>
              </w:rPr>
            </w:pPr>
            <w:r w:rsidRPr="005760DC">
              <w:rPr>
                <w:rFonts w:ascii="Times New Roman" w:eastAsia="Calibri" w:hAnsi="Times New Roman"/>
                <w:b/>
                <w:bCs/>
                <w:i/>
                <w:iCs/>
                <w:sz w:val="20"/>
                <w:szCs w:val="20"/>
              </w:rPr>
              <w:t xml:space="preserve">Panel A – HEI’s Long-Term Performance Indicators: </w:t>
            </w:r>
          </w:p>
        </w:tc>
      </w:tr>
      <w:tr w:rsidR="005760DC" w:rsidRPr="005760DC" w14:paraId="26BBA886" w14:textId="77777777" w:rsidTr="0099729D">
        <w:trPr>
          <w:trHeight w:val="121"/>
        </w:trPr>
        <w:tc>
          <w:tcPr>
            <w:tcW w:w="9569" w:type="dxa"/>
            <w:gridSpan w:val="8"/>
            <w:tcBorders>
              <w:top w:val="nil"/>
              <w:left w:val="nil"/>
              <w:bottom w:val="nil"/>
              <w:right w:val="nil"/>
            </w:tcBorders>
          </w:tcPr>
          <w:p w14:paraId="761BE20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i/>
                <w:iCs/>
                <w:sz w:val="20"/>
                <w:szCs w:val="20"/>
              </w:rPr>
              <w:t>Non-continuation in HE (number of students)</w:t>
            </w:r>
          </w:p>
        </w:tc>
      </w:tr>
      <w:tr w:rsidR="005760DC" w:rsidRPr="005760DC" w14:paraId="2A66F526" w14:textId="77777777" w:rsidTr="0099729D">
        <w:trPr>
          <w:trHeight w:val="183"/>
        </w:trPr>
        <w:tc>
          <w:tcPr>
            <w:tcW w:w="1804" w:type="dxa"/>
            <w:tcBorders>
              <w:top w:val="nil"/>
              <w:left w:val="nil"/>
              <w:bottom w:val="nil"/>
              <w:right w:val="nil"/>
            </w:tcBorders>
          </w:tcPr>
          <w:p w14:paraId="083CDF2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2249465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199.36</w:t>
            </w:r>
          </w:p>
        </w:tc>
        <w:tc>
          <w:tcPr>
            <w:tcW w:w="1028" w:type="dxa"/>
            <w:tcBorders>
              <w:top w:val="nil"/>
              <w:left w:val="nil"/>
              <w:bottom w:val="nil"/>
              <w:right w:val="nil"/>
            </w:tcBorders>
          </w:tcPr>
          <w:p w14:paraId="701C3E6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230.69</w:t>
            </w:r>
          </w:p>
        </w:tc>
        <w:tc>
          <w:tcPr>
            <w:tcW w:w="936" w:type="dxa"/>
            <w:tcBorders>
              <w:top w:val="nil"/>
              <w:left w:val="nil"/>
              <w:bottom w:val="nil"/>
              <w:right w:val="nil"/>
            </w:tcBorders>
          </w:tcPr>
          <w:p w14:paraId="069334F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194.86</w:t>
            </w:r>
          </w:p>
        </w:tc>
        <w:tc>
          <w:tcPr>
            <w:tcW w:w="1045" w:type="dxa"/>
            <w:tcBorders>
              <w:top w:val="nil"/>
              <w:left w:val="nil"/>
              <w:bottom w:val="nil"/>
              <w:right w:val="nil"/>
            </w:tcBorders>
          </w:tcPr>
          <w:p w14:paraId="5862992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187.18</w:t>
            </w:r>
          </w:p>
        </w:tc>
        <w:tc>
          <w:tcPr>
            <w:tcW w:w="1180" w:type="dxa"/>
            <w:tcBorders>
              <w:top w:val="nil"/>
              <w:left w:val="nil"/>
              <w:bottom w:val="nil"/>
              <w:right w:val="nil"/>
            </w:tcBorders>
          </w:tcPr>
          <w:p w14:paraId="599A4F5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177.00</w:t>
            </w:r>
          </w:p>
        </w:tc>
        <w:tc>
          <w:tcPr>
            <w:tcW w:w="1180" w:type="dxa"/>
            <w:tcBorders>
              <w:top w:val="nil"/>
              <w:left w:val="nil"/>
              <w:bottom w:val="nil"/>
              <w:right w:val="nil"/>
            </w:tcBorders>
          </w:tcPr>
          <w:p w14:paraId="0FE1FB0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198.50</w:t>
            </w:r>
          </w:p>
        </w:tc>
        <w:tc>
          <w:tcPr>
            <w:tcW w:w="1180" w:type="dxa"/>
            <w:tcBorders>
              <w:top w:val="nil"/>
              <w:left w:val="nil"/>
              <w:bottom w:val="nil"/>
              <w:right w:val="nil"/>
            </w:tcBorders>
          </w:tcPr>
          <w:p w14:paraId="6B68B14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208.23</w:t>
            </w:r>
          </w:p>
        </w:tc>
      </w:tr>
      <w:tr w:rsidR="005760DC" w:rsidRPr="005760DC" w14:paraId="14205565" w14:textId="77777777" w:rsidTr="0099729D">
        <w:trPr>
          <w:trHeight w:val="183"/>
        </w:trPr>
        <w:tc>
          <w:tcPr>
            <w:tcW w:w="1804" w:type="dxa"/>
            <w:tcBorders>
              <w:top w:val="nil"/>
              <w:left w:val="nil"/>
              <w:bottom w:val="nil"/>
              <w:right w:val="nil"/>
            </w:tcBorders>
          </w:tcPr>
          <w:p w14:paraId="4AD7775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470B0C5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150.00</w:t>
            </w:r>
          </w:p>
        </w:tc>
        <w:tc>
          <w:tcPr>
            <w:tcW w:w="1028" w:type="dxa"/>
            <w:tcBorders>
              <w:top w:val="nil"/>
              <w:left w:val="nil"/>
              <w:bottom w:val="nil"/>
              <w:right w:val="nil"/>
            </w:tcBorders>
          </w:tcPr>
          <w:p w14:paraId="0DE5527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170.00</w:t>
            </w:r>
          </w:p>
        </w:tc>
        <w:tc>
          <w:tcPr>
            <w:tcW w:w="936" w:type="dxa"/>
            <w:tcBorders>
              <w:top w:val="nil"/>
              <w:left w:val="nil"/>
              <w:bottom w:val="nil"/>
              <w:right w:val="nil"/>
            </w:tcBorders>
          </w:tcPr>
          <w:p w14:paraId="3199E93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147.50</w:t>
            </w:r>
          </w:p>
        </w:tc>
        <w:tc>
          <w:tcPr>
            <w:tcW w:w="1045" w:type="dxa"/>
            <w:tcBorders>
              <w:top w:val="nil"/>
              <w:left w:val="nil"/>
              <w:bottom w:val="nil"/>
              <w:right w:val="nil"/>
            </w:tcBorders>
          </w:tcPr>
          <w:p w14:paraId="7895979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145.00</w:t>
            </w:r>
          </w:p>
        </w:tc>
        <w:tc>
          <w:tcPr>
            <w:tcW w:w="1180" w:type="dxa"/>
            <w:tcBorders>
              <w:top w:val="nil"/>
              <w:left w:val="nil"/>
              <w:bottom w:val="nil"/>
              <w:right w:val="nil"/>
            </w:tcBorders>
          </w:tcPr>
          <w:p w14:paraId="1DE61C5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140.00</w:t>
            </w:r>
          </w:p>
        </w:tc>
        <w:tc>
          <w:tcPr>
            <w:tcW w:w="1180" w:type="dxa"/>
            <w:tcBorders>
              <w:top w:val="nil"/>
              <w:left w:val="nil"/>
              <w:bottom w:val="nil"/>
              <w:right w:val="nil"/>
            </w:tcBorders>
          </w:tcPr>
          <w:p w14:paraId="1FD9A8A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152.50</w:t>
            </w:r>
          </w:p>
        </w:tc>
        <w:tc>
          <w:tcPr>
            <w:tcW w:w="1180" w:type="dxa"/>
            <w:tcBorders>
              <w:top w:val="nil"/>
              <w:left w:val="nil"/>
              <w:bottom w:val="nil"/>
              <w:right w:val="nil"/>
            </w:tcBorders>
          </w:tcPr>
          <w:p w14:paraId="7C278B8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157.50</w:t>
            </w:r>
          </w:p>
        </w:tc>
      </w:tr>
      <w:tr w:rsidR="005760DC" w:rsidRPr="005760DC" w14:paraId="36577B55" w14:textId="77777777" w:rsidTr="0099729D">
        <w:trPr>
          <w:trHeight w:val="195"/>
        </w:trPr>
        <w:tc>
          <w:tcPr>
            <w:tcW w:w="1804" w:type="dxa"/>
            <w:tcBorders>
              <w:top w:val="nil"/>
              <w:left w:val="nil"/>
              <w:bottom w:val="nil"/>
              <w:right w:val="nil"/>
            </w:tcBorders>
          </w:tcPr>
          <w:p w14:paraId="3778C2B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2ED26A6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161.26</w:t>
            </w:r>
          </w:p>
        </w:tc>
        <w:tc>
          <w:tcPr>
            <w:tcW w:w="1028" w:type="dxa"/>
            <w:tcBorders>
              <w:top w:val="nil"/>
              <w:left w:val="nil"/>
              <w:bottom w:val="nil"/>
              <w:right w:val="nil"/>
            </w:tcBorders>
          </w:tcPr>
          <w:p w14:paraId="5947CFC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187.99</w:t>
            </w:r>
          </w:p>
        </w:tc>
        <w:tc>
          <w:tcPr>
            <w:tcW w:w="936" w:type="dxa"/>
            <w:tcBorders>
              <w:top w:val="nil"/>
              <w:left w:val="nil"/>
              <w:bottom w:val="nil"/>
              <w:right w:val="nil"/>
            </w:tcBorders>
          </w:tcPr>
          <w:p w14:paraId="32FBA6A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172.09</w:t>
            </w:r>
          </w:p>
        </w:tc>
        <w:tc>
          <w:tcPr>
            <w:tcW w:w="1045" w:type="dxa"/>
            <w:tcBorders>
              <w:top w:val="nil"/>
              <w:left w:val="nil"/>
              <w:bottom w:val="nil"/>
              <w:right w:val="nil"/>
            </w:tcBorders>
          </w:tcPr>
          <w:p w14:paraId="7B35B4A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152.05</w:t>
            </w:r>
          </w:p>
        </w:tc>
        <w:tc>
          <w:tcPr>
            <w:tcW w:w="1180" w:type="dxa"/>
            <w:tcBorders>
              <w:top w:val="nil"/>
              <w:left w:val="nil"/>
              <w:bottom w:val="nil"/>
              <w:right w:val="nil"/>
            </w:tcBorders>
          </w:tcPr>
          <w:p w14:paraId="565F5B6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134.77</w:t>
            </w:r>
          </w:p>
        </w:tc>
        <w:tc>
          <w:tcPr>
            <w:tcW w:w="1180" w:type="dxa"/>
            <w:tcBorders>
              <w:top w:val="nil"/>
              <w:left w:val="nil"/>
              <w:bottom w:val="nil"/>
              <w:right w:val="nil"/>
            </w:tcBorders>
          </w:tcPr>
          <w:p w14:paraId="2342733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150.63</w:t>
            </w:r>
          </w:p>
        </w:tc>
        <w:tc>
          <w:tcPr>
            <w:tcW w:w="1180" w:type="dxa"/>
            <w:tcBorders>
              <w:top w:val="nil"/>
              <w:left w:val="nil"/>
              <w:bottom w:val="nil"/>
              <w:right w:val="nil"/>
            </w:tcBorders>
          </w:tcPr>
          <w:p w14:paraId="474B7F1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163.26</w:t>
            </w:r>
          </w:p>
        </w:tc>
      </w:tr>
      <w:tr w:rsidR="005760DC" w:rsidRPr="005760DC" w14:paraId="0ED91F00" w14:textId="77777777" w:rsidTr="0099729D">
        <w:trPr>
          <w:trHeight w:val="183"/>
        </w:trPr>
        <w:tc>
          <w:tcPr>
            <w:tcW w:w="1804" w:type="dxa"/>
            <w:tcBorders>
              <w:top w:val="nil"/>
              <w:left w:val="nil"/>
              <w:bottom w:val="nil"/>
              <w:right w:val="nil"/>
            </w:tcBorders>
          </w:tcPr>
          <w:p w14:paraId="55234DE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466FC76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0.00</w:t>
            </w:r>
          </w:p>
        </w:tc>
        <w:tc>
          <w:tcPr>
            <w:tcW w:w="1028" w:type="dxa"/>
            <w:tcBorders>
              <w:top w:val="nil"/>
              <w:left w:val="nil"/>
              <w:bottom w:val="nil"/>
              <w:right w:val="nil"/>
            </w:tcBorders>
          </w:tcPr>
          <w:p w14:paraId="4942386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5.00</w:t>
            </w:r>
          </w:p>
        </w:tc>
        <w:tc>
          <w:tcPr>
            <w:tcW w:w="936" w:type="dxa"/>
            <w:tcBorders>
              <w:top w:val="nil"/>
              <w:left w:val="nil"/>
              <w:bottom w:val="nil"/>
              <w:right w:val="nil"/>
            </w:tcBorders>
          </w:tcPr>
          <w:p w14:paraId="0C7B7E4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0.00</w:t>
            </w:r>
          </w:p>
        </w:tc>
        <w:tc>
          <w:tcPr>
            <w:tcW w:w="1045" w:type="dxa"/>
            <w:tcBorders>
              <w:top w:val="nil"/>
              <w:left w:val="nil"/>
              <w:bottom w:val="nil"/>
              <w:right w:val="nil"/>
            </w:tcBorders>
          </w:tcPr>
          <w:p w14:paraId="78A8F52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0.00</w:t>
            </w:r>
          </w:p>
        </w:tc>
        <w:tc>
          <w:tcPr>
            <w:tcW w:w="1180" w:type="dxa"/>
            <w:tcBorders>
              <w:top w:val="nil"/>
              <w:left w:val="nil"/>
              <w:bottom w:val="nil"/>
              <w:right w:val="nil"/>
            </w:tcBorders>
          </w:tcPr>
          <w:p w14:paraId="04D11D2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0.00</w:t>
            </w:r>
          </w:p>
        </w:tc>
        <w:tc>
          <w:tcPr>
            <w:tcW w:w="1180" w:type="dxa"/>
            <w:tcBorders>
              <w:top w:val="nil"/>
              <w:left w:val="nil"/>
              <w:bottom w:val="nil"/>
              <w:right w:val="nil"/>
            </w:tcBorders>
          </w:tcPr>
          <w:p w14:paraId="6558282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0.00</w:t>
            </w:r>
          </w:p>
        </w:tc>
        <w:tc>
          <w:tcPr>
            <w:tcW w:w="1180" w:type="dxa"/>
            <w:tcBorders>
              <w:top w:val="nil"/>
              <w:left w:val="nil"/>
              <w:bottom w:val="nil"/>
              <w:right w:val="nil"/>
            </w:tcBorders>
          </w:tcPr>
          <w:p w14:paraId="02082DF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0.00</w:t>
            </w:r>
          </w:p>
        </w:tc>
      </w:tr>
      <w:tr w:rsidR="005760DC" w:rsidRPr="005760DC" w14:paraId="1B01B415" w14:textId="77777777" w:rsidTr="0099729D">
        <w:trPr>
          <w:trHeight w:val="183"/>
        </w:trPr>
        <w:tc>
          <w:tcPr>
            <w:tcW w:w="1804" w:type="dxa"/>
            <w:tcBorders>
              <w:top w:val="nil"/>
              <w:left w:val="nil"/>
              <w:bottom w:val="nil"/>
              <w:right w:val="nil"/>
            </w:tcBorders>
          </w:tcPr>
          <w:p w14:paraId="3A86FF8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nil"/>
              <w:right w:val="nil"/>
            </w:tcBorders>
          </w:tcPr>
          <w:p w14:paraId="68065F5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1,085.00</w:t>
            </w:r>
          </w:p>
        </w:tc>
        <w:tc>
          <w:tcPr>
            <w:tcW w:w="1028" w:type="dxa"/>
            <w:tcBorders>
              <w:top w:val="nil"/>
              <w:left w:val="nil"/>
              <w:bottom w:val="nil"/>
              <w:right w:val="nil"/>
            </w:tcBorders>
          </w:tcPr>
          <w:p w14:paraId="5784A9B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995.00</w:t>
            </w:r>
          </w:p>
        </w:tc>
        <w:tc>
          <w:tcPr>
            <w:tcW w:w="936" w:type="dxa"/>
            <w:tcBorders>
              <w:top w:val="nil"/>
              <w:left w:val="nil"/>
              <w:bottom w:val="nil"/>
              <w:right w:val="nil"/>
            </w:tcBorders>
          </w:tcPr>
          <w:p w14:paraId="177040F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1,085.00</w:t>
            </w:r>
          </w:p>
        </w:tc>
        <w:tc>
          <w:tcPr>
            <w:tcW w:w="1045" w:type="dxa"/>
            <w:tcBorders>
              <w:top w:val="nil"/>
              <w:left w:val="nil"/>
              <w:bottom w:val="nil"/>
              <w:right w:val="nil"/>
            </w:tcBorders>
          </w:tcPr>
          <w:p w14:paraId="4878983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770.00</w:t>
            </w:r>
          </w:p>
        </w:tc>
        <w:tc>
          <w:tcPr>
            <w:tcW w:w="1180" w:type="dxa"/>
            <w:tcBorders>
              <w:top w:val="nil"/>
              <w:left w:val="nil"/>
              <w:bottom w:val="nil"/>
              <w:right w:val="nil"/>
            </w:tcBorders>
          </w:tcPr>
          <w:p w14:paraId="5573A1E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595.00</w:t>
            </w:r>
          </w:p>
        </w:tc>
        <w:tc>
          <w:tcPr>
            <w:tcW w:w="1180" w:type="dxa"/>
            <w:tcBorders>
              <w:top w:val="nil"/>
              <w:left w:val="nil"/>
              <w:bottom w:val="nil"/>
              <w:right w:val="nil"/>
            </w:tcBorders>
          </w:tcPr>
          <w:p w14:paraId="5017492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720.00</w:t>
            </w:r>
          </w:p>
        </w:tc>
        <w:tc>
          <w:tcPr>
            <w:tcW w:w="1180" w:type="dxa"/>
            <w:tcBorders>
              <w:top w:val="nil"/>
              <w:left w:val="nil"/>
              <w:bottom w:val="nil"/>
              <w:right w:val="nil"/>
            </w:tcBorders>
          </w:tcPr>
          <w:p w14:paraId="285D368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770.00</w:t>
            </w:r>
          </w:p>
        </w:tc>
      </w:tr>
      <w:tr w:rsidR="005760DC" w:rsidRPr="005760DC" w14:paraId="103F7893" w14:textId="77777777" w:rsidTr="0099729D">
        <w:trPr>
          <w:trHeight w:val="183"/>
        </w:trPr>
        <w:tc>
          <w:tcPr>
            <w:tcW w:w="9569" w:type="dxa"/>
            <w:gridSpan w:val="8"/>
            <w:tcBorders>
              <w:top w:val="nil"/>
              <w:left w:val="nil"/>
              <w:bottom w:val="nil"/>
              <w:right w:val="nil"/>
            </w:tcBorders>
          </w:tcPr>
          <w:p w14:paraId="2B6657B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i/>
                <w:iCs/>
                <w:sz w:val="20"/>
                <w:szCs w:val="20"/>
              </w:rPr>
              <w:t>Community Contribution Index (%)</w:t>
            </w:r>
          </w:p>
        </w:tc>
      </w:tr>
      <w:tr w:rsidR="005760DC" w:rsidRPr="005760DC" w14:paraId="21E7091E" w14:textId="77777777" w:rsidTr="0099729D">
        <w:trPr>
          <w:trHeight w:val="195"/>
        </w:trPr>
        <w:tc>
          <w:tcPr>
            <w:tcW w:w="1804" w:type="dxa"/>
            <w:tcBorders>
              <w:top w:val="nil"/>
              <w:left w:val="nil"/>
              <w:bottom w:val="nil"/>
              <w:right w:val="nil"/>
            </w:tcBorders>
          </w:tcPr>
          <w:p w14:paraId="6E014D4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42FDBD1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43.27</w:t>
            </w:r>
          </w:p>
        </w:tc>
        <w:tc>
          <w:tcPr>
            <w:tcW w:w="1028" w:type="dxa"/>
            <w:tcBorders>
              <w:top w:val="nil"/>
              <w:left w:val="nil"/>
              <w:bottom w:val="nil"/>
              <w:right w:val="nil"/>
            </w:tcBorders>
          </w:tcPr>
          <w:p w14:paraId="1B4CB6D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37.66</w:t>
            </w:r>
          </w:p>
        </w:tc>
        <w:tc>
          <w:tcPr>
            <w:tcW w:w="936" w:type="dxa"/>
            <w:tcBorders>
              <w:top w:val="nil"/>
              <w:left w:val="nil"/>
              <w:bottom w:val="nil"/>
              <w:right w:val="nil"/>
            </w:tcBorders>
          </w:tcPr>
          <w:p w14:paraId="690E02A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42.86</w:t>
            </w:r>
          </w:p>
        </w:tc>
        <w:tc>
          <w:tcPr>
            <w:tcW w:w="1045" w:type="dxa"/>
            <w:tcBorders>
              <w:top w:val="nil"/>
              <w:left w:val="nil"/>
              <w:bottom w:val="nil"/>
              <w:right w:val="nil"/>
            </w:tcBorders>
          </w:tcPr>
          <w:p w14:paraId="5988D09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42.99</w:t>
            </w:r>
          </w:p>
        </w:tc>
        <w:tc>
          <w:tcPr>
            <w:tcW w:w="1180" w:type="dxa"/>
            <w:tcBorders>
              <w:top w:val="nil"/>
              <w:left w:val="nil"/>
              <w:bottom w:val="nil"/>
              <w:right w:val="nil"/>
            </w:tcBorders>
          </w:tcPr>
          <w:p w14:paraId="70B7A18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43.63</w:t>
            </w:r>
          </w:p>
        </w:tc>
        <w:tc>
          <w:tcPr>
            <w:tcW w:w="1180" w:type="dxa"/>
            <w:tcBorders>
              <w:top w:val="nil"/>
              <w:left w:val="nil"/>
              <w:bottom w:val="nil"/>
              <w:right w:val="nil"/>
            </w:tcBorders>
          </w:tcPr>
          <w:p w14:paraId="4FBC7C0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44.64</w:t>
            </w:r>
          </w:p>
        </w:tc>
        <w:tc>
          <w:tcPr>
            <w:tcW w:w="1180" w:type="dxa"/>
            <w:tcBorders>
              <w:top w:val="nil"/>
              <w:left w:val="nil"/>
              <w:bottom w:val="nil"/>
              <w:right w:val="nil"/>
            </w:tcBorders>
          </w:tcPr>
          <w:p w14:paraId="0CEE029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47.12</w:t>
            </w:r>
          </w:p>
        </w:tc>
      </w:tr>
      <w:tr w:rsidR="005760DC" w:rsidRPr="005760DC" w14:paraId="745B7794" w14:textId="77777777" w:rsidTr="0099729D">
        <w:trPr>
          <w:trHeight w:val="183"/>
        </w:trPr>
        <w:tc>
          <w:tcPr>
            <w:tcW w:w="1804" w:type="dxa"/>
            <w:tcBorders>
              <w:top w:val="nil"/>
              <w:left w:val="nil"/>
              <w:bottom w:val="nil"/>
              <w:right w:val="nil"/>
            </w:tcBorders>
          </w:tcPr>
          <w:p w14:paraId="375593B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690FFEA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42.86</w:t>
            </w:r>
          </w:p>
        </w:tc>
        <w:tc>
          <w:tcPr>
            <w:tcW w:w="1028" w:type="dxa"/>
            <w:tcBorders>
              <w:top w:val="nil"/>
              <w:left w:val="nil"/>
              <w:bottom w:val="nil"/>
              <w:right w:val="nil"/>
            </w:tcBorders>
          </w:tcPr>
          <w:p w14:paraId="25A981E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28.57</w:t>
            </w:r>
          </w:p>
        </w:tc>
        <w:tc>
          <w:tcPr>
            <w:tcW w:w="936" w:type="dxa"/>
            <w:tcBorders>
              <w:top w:val="nil"/>
              <w:left w:val="nil"/>
              <w:bottom w:val="nil"/>
              <w:right w:val="nil"/>
            </w:tcBorders>
          </w:tcPr>
          <w:p w14:paraId="72E9FD1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42.86</w:t>
            </w:r>
          </w:p>
        </w:tc>
        <w:tc>
          <w:tcPr>
            <w:tcW w:w="1045" w:type="dxa"/>
            <w:tcBorders>
              <w:top w:val="nil"/>
              <w:left w:val="nil"/>
              <w:bottom w:val="nil"/>
              <w:right w:val="nil"/>
            </w:tcBorders>
          </w:tcPr>
          <w:p w14:paraId="15A0658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42.86</w:t>
            </w:r>
          </w:p>
        </w:tc>
        <w:tc>
          <w:tcPr>
            <w:tcW w:w="1180" w:type="dxa"/>
            <w:tcBorders>
              <w:top w:val="nil"/>
              <w:left w:val="nil"/>
              <w:bottom w:val="nil"/>
              <w:right w:val="nil"/>
            </w:tcBorders>
          </w:tcPr>
          <w:p w14:paraId="4564C39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42.86</w:t>
            </w:r>
          </w:p>
        </w:tc>
        <w:tc>
          <w:tcPr>
            <w:tcW w:w="1180" w:type="dxa"/>
            <w:tcBorders>
              <w:top w:val="nil"/>
              <w:left w:val="nil"/>
              <w:bottom w:val="nil"/>
              <w:right w:val="nil"/>
            </w:tcBorders>
          </w:tcPr>
          <w:p w14:paraId="45B04AE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42.86</w:t>
            </w:r>
          </w:p>
        </w:tc>
        <w:tc>
          <w:tcPr>
            <w:tcW w:w="1180" w:type="dxa"/>
            <w:tcBorders>
              <w:top w:val="nil"/>
              <w:left w:val="nil"/>
              <w:bottom w:val="nil"/>
              <w:right w:val="nil"/>
            </w:tcBorders>
          </w:tcPr>
          <w:p w14:paraId="1735571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42.86</w:t>
            </w:r>
          </w:p>
        </w:tc>
      </w:tr>
      <w:tr w:rsidR="005760DC" w:rsidRPr="005760DC" w14:paraId="20117D49" w14:textId="77777777" w:rsidTr="0099729D">
        <w:trPr>
          <w:trHeight w:val="183"/>
        </w:trPr>
        <w:tc>
          <w:tcPr>
            <w:tcW w:w="1804" w:type="dxa"/>
            <w:tcBorders>
              <w:top w:val="nil"/>
              <w:left w:val="nil"/>
              <w:bottom w:val="nil"/>
              <w:right w:val="nil"/>
            </w:tcBorders>
          </w:tcPr>
          <w:p w14:paraId="7407619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5A39108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18.74</w:t>
            </w:r>
          </w:p>
        </w:tc>
        <w:tc>
          <w:tcPr>
            <w:tcW w:w="1028" w:type="dxa"/>
            <w:tcBorders>
              <w:top w:val="nil"/>
              <w:left w:val="nil"/>
              <w:bottom w:val="nil"/>
              <w:right w:val="nil"/>
            </w:tcBorders>
          </w:tcPr>
          <w:p w14:paraId="5A3B664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17.37</w:t>
            </w:r>
          </w:p>
        </w:tc>
        <w:tc>
          <w:tcPr>
            <w:tcW w:w="936" w:type="dxa"/>
            <w:tcBorders>
              <w:top w:val="nil"/>
              <w:left w:val="nil"/>
              <w:bottom w:val="nil"/>
              <w:right w:val="nil"/>
            </w:tcBorders>
          </w:tcPr>
          <w:p w14:paraId="33CE9E5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18.37</w:t>
            </w:r>
          </w:p>
        </w:tc>
        <w:tc>
          <w:tcPr>
            <w:tcW w:w="1045" w:type="dxa"/>
            <w:tcBorders>
              <w:top w:val="nil"/>
              <w:left w:val="nil"/>
              <w:bottom w:val="nil"/>
              <w:right w:val="nil"/>
            </w:tcBorders>
          </w:tcPr>
          <w:p w14:paraId="189D111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17.98</w:t>
            </w:r>
          </w:p>
        </w:tc>
        <w:tc>
          <w:tcPr>
            <w:tcW w:w="1180" w:type="dxa"/>
            <w:tcBorders>
              <w:top w:val="nil"/>
              <w:left w:val="nil"/>
              <w:bottom w:val="nil"/>
              <w:right w:val="nil"/>
            </w:tcBorders>
          </w:tcPr>
          <w:p w14:paraId="5CA5CD5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17.95</w:t>
            </w:r>
          </w:p>
        </w:tc>
        <w:tc>
          <w:tcPr>
            <w:tcW w:w="1180" w:type="dxa"/>
            <w:tcBorders>
              <w:top w:val="nil"/>
              <w:left w:val="nil"/>
              <w:bottom w:val="nil"/>
              <w:right w:val="nil"/>
            </w:tcBorders>
          </w:tcPr>
          <w:p w14:paraId="5FC3539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19.09</w:t>
            </w:r>
          </w:p>
        </w:tc>
        <w:tc>
          <w:tcPr>
            <w:tcW w:w="1180" w:type="dxa"/>
            <w:tcBorders>
              <w:top w:val="nil"/>
              <w:left w:val="nil"/>
              <w:bottom w:val="nil"/>
              <w:right w:val="nil"/>
            </w:tcBorders>
          </w:tcPr>
          <w:p w14:paraId="636B225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20.46</w:t>
            </w:r>
          </w:p>
        </w:tc>
      </w:tr>
      <w:tr w:rsidR="005760DC" w:rsidRPr="005760DC" w14:paraId="05EF8A65" w14:textId="77777777" w:rsidTr="0099729D">
        <w:trPr>
          <w:trHeight w:val="195"/>
        </w:trPr>
        <w:tc>
          <w:tcPr>
            <w:tcW w:w="1804" w:type="dxa"/>
            <w:tcBorders>
              <w:top w:val="nil"/>
              <w:left w:val="nil"/>
              <w:bottom w:val="nil"/>
              <w:right w:val="nil"/>
            </w:tcBorders>
          </w:tcPr>
          <w:p w14:paraId="5A0021E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5221603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c>
          <w:tcPr>
            <w:tcW w:w="1028" w:type="dxa"/>
            <w:tcBorders>
              <w:top w:val="nil"/>
              <w:left w:val="nil"/>
              <w:bottom w:val="nil"/>
              <w:right w:val="nil"/>
            </w:tcBorders>
          </w:tcPr>
          <w:p w14:paraId="65756B9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c>
          <w:tcPr>
            <w:tcW w:w="936" w:type="dxa"/>
            <w:tcBorders>
              <w:top w:val="nil"/>
              <w:left w:val="nil"/>
              <w:bottom w:val="nil"/>
              <w:right w:val="nil"/>
            </w:tcBorders>
          </w:tcPr>
          <w:p w14:paraId="64AD1D2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c>
          <w:tcPr>
            <w:tcW w:w="1045" w:type="dxa"/>
            <w:tcBorders>
              <w:top w:val="nil"/>
              <w:left w:val="nil"/>
              <w:bottom w:val="nil"/>
              <w:right w:val="nil"/>
            </w:tcBorders>
          </w:tcPr>
          <w:p w14:paraId="60443BD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c>
          <w:tcPr>
            <w:tcW w:w="1180" w:type="dxa"/>
            <w:tcBorders>
              <w:top w:val="nil"/>
              <w:left w:val="nil"/>
              <w:bottom w:val="nil"/>
              <w:right w:val="nil"/>
            </w:tcBorders>
          </w:tcPr>
          <w:p w14:paraId="34B82BF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c>
          <w:tcPr>
            <w:tcW w:w="1180" w:type="dxa"/>
            <w:tcBorders>
              <w:top w:val="nil"/>
              <w:left w:val="nil"/>
              <w:bottom w:val="nil"/>
              <w:right w:val="nil"/>
            </w:tcBorders>
          </w:tcPr>
          <w:p w14:paraId="187BE83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c>
          <w:tcPr>
            <w:tcW w:w="1180" w:type="dxa"/>
            <w:tcBorders>
              <w:top w:val="nil"/>
              <w:left w:val="nil"/>
              <w:bottom w:val="nil"/>
              <w:right w:val="nil"/>
            </w:tcBorders>
          </w:tcPr>
          <w:p w14:paraId="648964D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r>
      <w:tr w:rsidR="005760DC" w:rsidRPr="005760DC" w14:paraId="0D063F5F" w14:textId="77777777" w:rsidTr="0099729D">
        <w:trPr>
          <w:trHeight w:val="183"/>
        </w:trPr>
        <w:tc>
          <w:tcPr>
            <w:tcW w:w="1804" w:type="dxa"/>
            <w:tcBorders>
              <w:top w:val="nil"/>
              <w:left w:val="nil"/>
              <w:bottom w:val="nil"/>
              <w:right w:val="nil"/>
            </w:tcBorders>
          </w:tcPr>
          <w:p w14:paraId="519CEDD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nil"/>
              <w:right w:val="nil"/>
            </w:tcBorders>
          </w:tcPr>
          <w:p w14:paraId="0C5CAD2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100.00</w:t>
            </w:r>
          </w:p>
        </w:tc>
        <w:tc>
          <w:tcPr>
            <w:tcW w:w="1028" w:type="dxa"/>
            <w:tcBorders>
              <w:top w:val="nil"/>
              <w:left w:val="nil"/>
              <w:bottom w:val="nil"/>
              <w:right w:val="nil"/>
            </w:tcBorders>
          </w:tcPr>
          <w:p w14:paraId="5A6B10B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86.00</w:t>
            </w:r>
          </w:p>
        </w:tc>
        <w:tc>
          <w:tcPr>
            <w:tcW w:w="936" w:type="dxa"/>
            <w:tcBorders>
              <w:top w:val="nil"/>
              <w:left w:val="nil"/>
              <w:bottom w:val="nil"/>
              <w:right w:val="nil"/>
            </w:tcBorders>
          </w:tcPr>
          <w:p w14:paraId="586D707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100.00</w:t>
            </w:r>
          </w:p>
        </w:tc>
        <w:tc>
          <w:tcPr>
            <w:tcW w:w="1045" w:type="dxa"/>
            <w:tcBorders>
              <w:top w:val="nil"/>
              <w:left w:val="nil"/>
              <w:bottom w:val="nil"/>
              <w:right w:val="nil"/>
            </w:tcBorders>
          </w:tcPr>
          <w:p w14:paraId="79801DE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100.00</w:t>
            </w:r>
          </w:p>
        </w:tc>
        <w:tc>
          <w:tcPr>
            <w:tcW w:w="1180" w:type="dxa"/>
            <w:tcBorders>
              <w:top w:val="nil"/>
              <w:left w:val="nil"/>
              <w:bottom w:val="nil"/>
              <w:right w:val="nil"/>
            </w:tcBorders>
          </w:tcPr>
          <w:p w14:paraId="430737B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86.00</w:t>
            </w:r>
          </w:p>
        </w:tc>
        <w:tc>
          <w:tcPr>
            <w:tcW w:w="1180" w:type="dxa"/>
            <w:tcBorders>
              <w:top w:val="nil"/>
              <w:left w:val="nil"/>
              <w:bottom w:val="nil"/>
              <w:right w:val="nil"/>
            </w:tcBorders>
          </w:tcPr>
          <w:p w14:paraId="06F19F2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86.00</w:t>
            </w:r>
          </w:p>
        </w:tc>
        <w:tc>
          <w:tcPr>
            <w:tcW w:w="1180" w:type="dxa"/>
            <w:tcBorders>
              <w:top w:val="nil"/>
              <w:left w:val="nil"/>
              <w:bottom w:val="nil"/>
              <w:right w:val="nil"/>
            </w:tcBorders>
          </w:tcPr>
          <w:p w14:paraId="7E72968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100.00</w:t>
            </w:r>
          </w:p>
        </w:tc>
      </w:tr>
      <w:tr w:rsidR="005760DC" w:rsidRPr="005760DC" w14:paraId="4A72CA7F" w14:textId="77777777" w:rsidTr="0099729D">
        <w:trPr>
          <w:trHeight w:val="195"/>
        </w:trPr>
        <w:tc>
          <w:tcPr>
            <w:tcW w:w="9569" w:type="dxa"/>
            <w:gridSpan w:val="8"/>
            <w:tcBorders>
              <w:top w:val="nil"/>
              <w:left w:val="nil"/>
              <w:bottom w:val="nil"/>
              <w:right w:val="nil"/>
            </w:tcBorders>
          </w:tcPr>
          <w:p w14:paraId="43B9D02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i/>
                <w:iCs/>
                <w:sz w:val="20"/>
                <w:szCs w:val="20"/>
              </w:rPr>
              <w:t>Gender Pay Gap (%)</w:t>
            </w:r>
          </w:p>
        </w:tc>
      </w:tr>
      <w:tr w:rsidR="005760DC" w:rsidRPr="005760DC" w14:paraId="5A061593" w14:textId="77777777" w:rsidTr="0099729D">
        <w:trPr>
          <w:trHeight w:val="183"/>
        </w:trPr>
        <w:tc>
          <w:tcPr>
            <w:tcW w:w="1804" w:type="dxa"/>
            <w:tcBorders>
              <w:top w:val="nil"/>
              <w:left w:val="nil"/>
              <w:bottom w:val="nil"/>
              <w:right w:val="nil"/>
            </w:tcBorders>
          </w:tcPr>
          <w:p w14:paraId="30CF46A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1AD71AD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15.95</w:t>
            </w:r>
          </w:p>
        </w:tc>
        <w:tc>
          <w:tcPr>
            <w:tcW w:w="1028" w:type="dxa"/>
            <w:tcBorders>
              <w:top w:val="nil"/>
              <w:left w:val="nil"/>
              <w:bottom w:val="nil"/>
              <w:right w:val="nil"/>
            </w:tcBorders>
          </w:tcPr>
          <w:p w14:paraId="492D623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16.10</w:t>
            </w:r>
          </w:p>
        </w:tc>
        <w:tc>
          <w:tcPr>
            <w:tcW w:w="936" w:type="dxa"/>
            <w:tcBorders>
              <w:top w:val="nil"/>
              <w:left w:val="nil"/>
              <w:bottom w:val="nil"/>
              <w:right w:val="nil"/>
            </w:tcBorders>
          </w:tcPr>
          <w:p w14:paraId="6D1E26C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16.12</w:t>
            </w:r>
          </w:p>
        </w:tc>
        <w:tc>
          <w:tcPr>
            <w:tcW w:w="1045" w:type="dxa"/>
            <w:tcBorders>
              <w:top w:val="nil"/>
              <w:left w:val="nil"/>
              <w:bottom w:val="nil"/>
              <w:right w:val="nil"/>
            </w:tcBorders>
          </w:tcPr>
          <w:p w14:paraId="38C2AD1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16.05</w:t>
            </w:r>
          </w:p>
        </w:tc>
        <w:tc>
          <w:tcPr>
            <w:tcW w:w="1180" w:type="dxa"/>
            <w:tcBorders>
              <w:top w:val="nil"/>
              <w:left w:val="nil"/>
              <w:bottom w:val="nil"/>
              <w:right w:val="nil"/>
            </w:tcBorders>
          </w:tcPr>
          <w:p w14:paraId="1F76E42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16.33</w:t>
            </w:r>
          </w:p>
        </w:tc>
        <w:tc>
          <w:tcPr>
            <w:tcW w:w="1180" w:type="dxa"/>
            <w:tcBorders>
              <w:top w:val="nil"/>
              <w:left w:val="nil"/>
              <w:bottom w:val="nil"/>
              <w:right w:val="nil"/>
            </w:tcBorders>
          </w:tcPr>
          <w:p w14:paraId="2F1BB11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15.96</w:t>
            </w:r>
          </w:p>
        </w:tc>
        <w:tc>
          <w:tcPr>
            <w:tcW w:w="1180" w:type="dxa"/>
            <w:tcBorders>
              <w:top w:val="nil"/>
              <w:left w:val="nil"/>
              <w:bottom w:val="nil"/>
              <w:right w:val="nil"/>
            </w:tcBorders>
          </w:tcPr>
          <w:p w14:paraId="5465A20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15.16</w:t>
            </w:r>
          </w:p>
        </w:tc>
      </w:tr>
      <w:tr w:rsidR="005760DC" w:rsidRPr="005760DC" w14:paraId="787ADFF9" w14:textId="77777777" w:rsidTr="0099729D">
        <w:trPr>
          <w:trHeight w:val="183"/>
        </w:trPr>
        <w:tc>
          <w:tcPr>
            <w:tcW w:w="1804" w:type="dxa"/>
            <w:tcBorders>
              <w:top w:val="nil"/>
              <w:left w:val="nil"/>
              <w:bottom w:val="nil"/>
              <w:right w:val="nil"/>
            </w:tcBorders>
          </w:tcPr>
          <w:p w14:paraId="36768E3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7D3B418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16.10</w:t>
            </w:r>
          </w:p>
        </w:tc>
        <w:tc>
          <w:tcPr>
            <w:tcW w:w="1028" w:type="dxa"/>
            <w:tcBorders>
              <w:top w:val="nil"/>
              <w:left w:val="nil"/>
              <w:bottom w:val="nil"/>
              <w:right w:val="nil"/>
            </w:tcBorders>
          </w:tcPr>
          <w:p w14:paraId="654CC40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16.40</w:t>
            </w:r>
          </w:p>
        </w:tc>
        <w:tc>
          <w:tcPr>
            <w:tcW w:w="936" w:type="dxa"/>
            <w:tcBorders>
              <w:top w:val="nil"/>
              <w:left w:val="nil"/>
              <w:bottom w:val="nil"/>
              <w:right w:val="nil"/>
            </w:tcBorders>
          </w:tcPr>
          <w:p w14:paraId="4D0A575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16.03</w:t>
            </w:r>
          </w:p>
        </w:tc>
        <w:tc>
          <w:tcPr>
            <w:tcW w:w="1045" w:type="dxa"/>
            <w:tcBorders>
              <w:top w:val="nil"/>
              <w:left w:val="nil"/>
              <w:bottom w:val="nil"/>
              <w:right w:val="nil"/>
            </w:tcBorders>
          </w:tcPr>
          <w:p w14:paraId="20C5103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16.03</w:t>
            </w:r>
          </w:p>
        </w:tc>
        <w:tc>
          <w:tcPr>
            <w:tcW w:w="1180" w:type="dxa"/>
            <w:tcBorders>
              <w:top w:val="nil"/>
              <w:left w:val="nil"/>
              <w:bottom w:val="nil"/>
              <w:right w:val="nil"/>
            </w:tcBorders>
          </w:tcPr>
          <w:p w14:paraId="430C4B5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16.63</w:t>
            </w:r>
          </w:p>
        </w:tc>
        <w:tc>
          <w:tcPr>
            <w:tcW w:w="1180" w:type="dxa"/>
            <w:tcBorders>
              <w:top w:val="nil"/>
              <w:left w:val="nil"/>
              <w:bottom w:val="nil"/>
              <w:right w:val="nil"/>
            </w:tcBorders>
          </w:tcPr>
          <w:p w14:paraId="49B2893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16.00</w:t>
            </w:r>
          </w:p>
        </w:tc>
        <w:tc>
          <w:tcPr>
            <w:tcW w:w="1180" w:type="dxa"/>
            <w:tcBorders>
              <w:top w:val="nil"/>
              <w:left w:val="nil"/>
              <w:bottom w:val="nil"/>
              <w:right w:val="nil"/>
            </w:tcBorders>
          </w:tcPr>
          <w:p w14:paraId="6146E98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15.10</w:t>
            </w:r>
          </w:p>
        </w:tc>
      </w:tr>
      <w:tr w:rsidR="005760DC" w:rsidRPr="005760DC" w14:paraId="1427FAF1" w14:textId="77777777" w:rsidTr="0099729D">
        <w:trPr>
          <w:trHeight w:val="195"/>
        </w:trPr>
        <w:tc>
          <w:tcPr>
            <w:tcW w:w="1804" w:type="dxa"/>
            <w:tcBorders>
              <w:top w:val="nil"/>
              <w:left w:val="nil"/>
              <w:bottom w:val="nil"/>
              <w:right w:val="nil"/>
            </w:tcBorders>
          </w:tcPr>
          <w:p w14:paraId="1CEF492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22D6DE4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5.67</w:t>
            </w:r>
          </w:p>
        </w:tc>
        <w:tc>
          <w:tcPr>
            <w:tcW w:w="1028" w:type="dxa"/>
            <w:tcBorders>
              <w:top w:val="nil"/>
              <w:left w:val="nil"/>
              <w:bottom w:val="nil"/>
              <w:right w:val="nil"/>
            </w:tcBorders>
          </w:tcPr>
          <w:p w14:paraId="2818F8B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5.74</w:t>
            </w:r>
          </w:p>
        </w:tc>
        <w:tc>
          <w:tcPr>
            <w:tcW w:w="936" w:type="dxa"/>
            <w:tcBorders>
              <w:top w:val="nil"/>
              <w:left w:val="nil"/>
              <w:bottom w:val="nil"/>
              <w:right w:val="nil"/>
            </w:tcBorders>
          </w:tcPr>
          <w:p w14:paraId="610B736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5.89</w:t>
            </w:r>
          </w:p>
        </w:tc>
        <w:tc>
          <w:tcPr>
            <w:tcW w:w="1045" w:type="dxa"/>
            <w:tcBorders>
              <w:top w:val="nil"/>
              <w:left w:val="nil"/>
              <w:bottom w:val="nil"/>
              <w:right w:val="nil"/>
            </w:tcBorders>
          </w:tcPr>
          <w:p w14:paraId="0F57233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5.63</w:t>
            </w:r>
          </w:p>
        </w:tc>
        <w:tc>
          <w:tcPr>
            <w:tcW w:w="1180" w:type="dxa"/>
            <w:tcBorders>
              <w:top w:val="nil"/>
              <w:left w:val="nil"/>
              <w:bottom w:val="nil"/>
              <w:right w:val="nil"/>
            </w:tcBorders>
          </w:tcPr>
          <w:p w14:paraId="1CEEC4E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5.81</w:t>
            </w:r>
          </w:p>
        </w:tc>
        <w:tc>
          <w:tcPr>
            <w:tcW w:w="1180" w:type="dxa"/>
            <w:tcBorders>
              <w:top w:val="nil"/>
              <w:left w:val="nil"/>
              <w:bottom w:val="nil"/>
              <w:right w:val="nil"/>
            </w:tcBorders>
          </w:tcPr>
          <w:p w14:paraId="0F05B10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5.67</w:t>
            </w:r>
          </w:p>
        </w:tc>
        <w:tc>
          <w:tcPr>
            <w:tcW w:w="1180" w:type="dxa"/>
            <w:tcBorders>
              <w:top w:val="nil"/>
              <w:left w:val="nil"/>
              <w:bottom w:val="nil"/>
              <w:right w:val="nil"/>
            </w:tcBorders>
          </w:tcPr>
          <w:p w14:paraId="6865603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5.31</w:t>
            </w:r>
          </w:p>
        </w:tc>
      </w:tr>
      <w:tr w:rsidR="005760DC" w:rsidRPr="005760DC" w14:paraId="600D4DB4" w14:textId="77777777" w:rsidTr="0099729D">
        <w:trPr>
          <w:trHeight w:val="183"/>
        </w:trPr>
        <w:tc>
          <w:tcPr>
            <w:tcW w:w="1804" w:type="dxa"/>
            <w:tcBorders>
              <w:top w:val="nil"/>
              <w:left w:val="nil"/>
              <w:bottom w:val="nil"/>
              <w:right w:val="nil"/>
            </w:tcBorders>
          </w:tcPr>
          <w:p w14:paraId="5CD2996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165525C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028" w:type="dxa"/>
            <w:tcBorders>
              <w:top w:val="nil"/>
              <w:left w:val="nil"/>
              <w:bottom w:val="nil"/>
              <w:right w:val="nil"/>
            </w:tcBorders>
          </w:tcPr>
          <w:p w14:paraId="5B96C65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936" w:type="dxa"/>
            <w:tcBorders>
              <w:top w:val="nil"/>
              <w:left w:val="nil"/>
              <w:bottom w:val="nil"/>
              <w:right w:val="nil"/>
            </w:tcBorders>
          </w:tcPr>
          <w:p w14:paraId="4244C8C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1045" w:type="dxa"/>
            <w:tcBorders>
              <w:top w:val="nil"/>
              <w:left w:val="nil"/>
              <w:bottom w:val="nil"/>
              <w:right w:val="nil"/>
            </w:tcBorders>
          </w:tcPr>
          <w:p w14:paraId="63D7892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1180" w:type="dxa"/>
            <w:tcBorders>
              <w:top w:val="nil"/>
              <w:left w:val="nil"/>
              <w:bottom w:val="nil"/>
              <w:right w:val="nil"/>
            </w:tcBorders>
          </w:tcPr>
          <w:p w14:paraId="5EB6927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1180" w:type="dxa"/>
            <w:tcBorders>
              <w:top w:val="nil"/>
              <w:left w:val="nil"/>
              <w:bottom w:val="nil"/>
              <w:right w:val="nil"/>
            </w:tcBorders>
          </w:tcPr>
          <w:p w14:paraId="1D1D902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3.00</w:t>
            </w:r>
          </w:p>
        </w:tc>
        <w:tc>
          <w:tcPr>
            <w:tcW w:w="1180" w:type="dxa"/>
            <w:tcBorders>
              <w:top w:val="nil"/>
              <w:left w:val="nil"/>
              <w:bottom w:val="nil"/>
              <w:right w:val="nil"/>
            </w:tcBorders>
          </w:tcPr>
          <w:p w14:paraId="12303FD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r>
      <w:tr w:rsidR="005760DC" w:rsidRPr="005760DC" w14:paraId="52FA99E1" w14:textId="77777777" w:rsidTr="0099729D">
        <w:trPr>
          <w:trHeight w:val="183"/>
        </w:trPr>
        <w:tc>
          <w:tcPr>
            <w:tcW w:w="1804" w:type="dxa"/>
            <w:tcBorders>
              <w:top w:val="nil"/>
              <w:left w:val="nil"/>
              <w:bottom w:val="nil"/>
              <w:right w:val="nil"/>
            </w:tcBorders>
          </w:tcPr>
          <w:p w14:paraId="796ADA3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nil"/>
              <w:right w:val="nil"/>
            </w:tcBorders>
          </w:tcPr>
          <w:p w14:paraId="13434CE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36.00</w:t>
            </w:r>
          </w:p>
        </w:tc>
        <w:tc>
          <w:tcPr>
            <w:tcW w:w="1028" w:type="dxa"/>
            <w:tcBorders>
              <w:top w:val="nil"/>
              <w:left w:val="nil"/>
              <w:bottom w:val="nil"/>
              <w:right w:val="nil"/>
            </w:tcBorders>
          </w:tcPr>
          <w:p w14:paraId="17EACFD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29.00</w:t>
            </w:r>
          </w:p>
        </w:tc>
        <w:tc>
          <w:tcPr>
            <w:tcW w:w="936" w:type="dxa"/>
            <w:tcBorders>
              <w:top w:val="nil"/>
              <w:left w:val="nil"/>
              <w:bottom w:val="nil"/>
              <w:right w:val="nil"/>
            </w:tcBorders>
          </w:tcPr>
          <w:p w14:paraId="2633C68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36.00</w:t>
            </w:r>
          </w:p>
        </w:tc>
        <w:tc>
          <w:tcPr>
            <w:tcW w:w="1045" w:type="dxa"/>
            <w:tcBorders>
              <w:top w:val="nil"/>
              <w:left w:val="nil"/>
              <w:bottom w:val="nil"/>
              <w:right w:val="nil"/>
            </w:tcBorders>
          </w:tcPr>
          <w:p w14:paraId="2B5483C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28.00</w:t>
            </w:r>
          </w:p>
        </w:tc>
        <w:tc>
          <w:tcPr>
            <w:tcW w:w="1180" w:type="dxa"/>
            <w:tcBorders>
              <w:top w:val="nil"/>
              <w:left w:val="nil"/>
              <w:bottom w:val="nil"/>
              <w:right w:val="nil"/>
            </w:tcBorders>
          </w:tcPr>
          <w:p w14:paraId="644F8B5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31.00</w:t>
            </w:r>
          </w:p>
        </w:tc>
        <w:tc>
          <w:tcPr>
            <w:tcW w:w="1180" w:type="dxa"/>
            <w:tcBorders>
              <w:top w:val="nil"/>
              <w:left w:val="nil"/>
              <w:bottom w:val="nil"/>
              <w:right w:val="nil"/>
            </w:tcBorders>
          </w:tcPr>
          <w:p w14:paraId="5AA11E4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32.00</w:t>
            </w:r>
          </w:p>
        </w:tc>
        <w:tc>
          <w:tcPr>
            <w:tcW w:w="1180" w:type="dxa"/>
            <w:tcBorders>
              <w:top w:val="nil"/>
              <w:left w:val="nil"/>
              <w:bottom w:val="nil"/>
              <w:right w:val="nil"/>
            </w:tcBorders>
          </w:tcPr>
          <w:p w14:paraId="7212B6C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26.00</w:t>
            </w:r>
          </w:p>
        </w:tc>
      </w:tr>
      <w:tr w:rsidR="005760DC" w:rsidRPr="005760DC" w14:paraId="3436D9DB" w14:textId="77777777" w:rsidTr="0099729D">
        <w:trPr>
          <w:trHeight w:val="183"/>
        </w:trPr>
        <w:tc>
          <w:tcPr>
            <w:tcW w:w="9569" w:type="dxa"/>
            <w:gridSpan w:val="8"/>
            <w:tcBorders>
              <w:top w:val="nil"/>
              <w:left w:val="nil"/>
              <w:bottom w:val="nil"/>
              <w:right w:val="nil"/>
            </w:tcBorders>
          </w:tcPr>
          <w:p w14:paraId="72EE1F6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i/>
                <w:iCs/>
                <w:sz w:val="20"/>
                <w:szCs w:val="20"/>
              </w:rPr>
              <w:t>Young Staff (%)</w:t>
            </w:r>
          </w:p>
        </w:tc>
      </w:tr>
      <w:tr w:rsidR="005760DC" w:rsidRPr="005760DC" w14:paraId="4048048C" w14:textId="77777777" w:rsidTr="0099729D">
        <w:trPr>
          <w:trHeight w:val="183"/>
        </w:trPr>
        <w:tc>
          <w:tcPr>
            <w:tcW w:w="1804" w:type="dxa"/>
            <w:tcBorders>
              <w:top w:val="nil"/>
              <w:left w:val="nil"/>
              <w:bottom w:val="nil"/>
              <w:right w:val="nil"/>
            </w:tcBorders>
          </w:tcPr>
          <w:p w14:paraId="375065B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225B48C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29.56</w:t>
            </w:r>
          </w:p>
        </w:tc>
        <w:tc>
          <w:tcPr>
            <w:tcW w:w="1028" w:type="dxa"/>
            <w:tcBorders>
              <w:top w:val="nil"/>
              <w:left w:val="nil"/>
              <w:bottom w:val="nil"/>
              <w:right w:val="nil"/>
            </w:tcBorders>
          </w:tcPr>
          <w:p w14:paraId="230369E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30.04</w:t>
            </w:r>
          </w:p>
        </w:tc>
        <w:tc>
          <w:tcPr>
            <w:tcW w:w="936" w:type="dxa"/>
            <w:tcBorders>
              <w:top w:val="nil"/>
              <w:left w:val="nil"/>
              <w:bottom w:val="nil"/>
              <w:right w:val="nil"/>
            </w:tcBorders>
          </w:tcPr>
          <w:p w14:paraId="5501E56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29.89</w:t>
            </w:r>
          </w:p>
        </w:tc>
        <w:tc>
          <w:tcPr>
            <w:tcW w:w="1045" w:type="dxa"/>
            <w:tcBorders>
              <w:top w:val="nil"/>
              <w:left w:val="nil"/>
              <w:bottom w:val="nil"/>
              <w:right w:val="nil"/>
            </w:tcBorders>
          </w:tcPr>
          <w:p w14:paraId="44CAAC9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29.46</w:t>
            </w:r>
          </w:p>
        </w:tc>
        <w:tc>
          <w:tcPr>
            <w:tcW w:w="1180" w:type="dxa"/>
            <w:tcBorders>
              <w:top w:val="nil"/>
              <w:left w:val="nil"/>
              <w:bottom w:val="nil"/>
              <w:right w:val="nil"/>
            </w:tcBorders>
          </w:tcPr>
          <w:p w14:paraId="2E4CB0B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29.24</w:t>
            </w:r>
          </w:p>
        </w:tc>
        <w:tc>
          <w:tcPr>
            <w:tcW w:w="1180" w:type="dxa"/>
            <w:tcBorders>
              <w:top w:val="nil"/>
              <w:left w:val="nil"/>
              <w:bottom w:val="nil"/>
              <w:right w:val="nil"/>
            </w:tcBorders>
          </w:tcPr>
          <w:p w14:paraId="4F253B3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29.35</w:t>
            </w:r>
          </w:p>
        </w:tc>
        <w:tc>
          <w:tcPr>
            <w:tcW w:w="1180" w:type="dxa"/>
            <w:tcBorders>
              <w:top w:val="nil"/>
              <w:left w:val="nil"/>
              <w:bottom w:val="nil"/>
              <w:right w:val="nil"/>
            </w:tcBorders>
          </w:tcPr>
          <w:p w14:paraId="625DB72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29.38</w:t>
            </w:r>
          </w:p>
        </w:tc>
      </w:tr>
      <w:tr w:rsidR="005760DC" w:rsidRPr="005760DC" w14:paraId="71A68E13" w14:textId="77777777" w:rsidTr="0099729D">
        <w:trPr>
          <w:trHeight w:val="195"/>
        </w:trPr>
        <w:tc>
          <w:tcPr>
            <w:tcW w:w="1804" w:type="dxa"/>
            <w:tcBorders>
              <w:top w:val="nil"/>
              <w:left w:val="nil"/>
              <w:bottom w:val="nil"/>
              <w:right w:val="nil"/>
            </w:tcBorders>
          </w:tcPr>
          <w:p w14:paraId="25E33D3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19B1007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28.82</w:t>
            </w:r>
          </w:p>
        </w:tc>
        <w:tc>
          <w:tcPr>
            <w:tcW w:w="1028" w:type="dxa"/>
            <w:tcBorders>
              <w:top w:val="nil"/>
              <w:left w:val="nil"/>
              <w:bottom w:val="nil"/>
              <w:right w:val="nil"/>
            </w:tcBorders>
          </w:tcPr>
          <w:p w14:paraId="366C7F2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28.94</w:t>
            </w:r>
          </w:p>
        </w:tc>
        <w:tc>
          <w:tcPr>
            <w:tcW w:w="936" w:type="dxa"/>
            <w:tcBorders>
              <w:top w:val="nil"/>
              <w:left w:val="nil"/>
              <w:bottom w:val="nil"/>
              <w:right w:val="nil"/>
            </w:tcBorders>
          </w:tcPr>
          <w:p w14:paraId="7B56901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28.86</w:t>
            </w:r>
          </w:p>
        </w:tc>
        <w:tc>
          <w:tcPr>
            <w:tcW w:w="1045" w:type="dxa"/>
            <w:tcBorders>
              <w:top w:val="nil"/>
              <w:left w:val="nil"/>
              <w:bottom w:val="nil"/>
              <w:right w:val="nil"/>
            </w:tcBorders>
          </w:tcPr>
          <w:p w14:paraId="42E1F66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28.82</w:t>
            </w:r>
          </w:p>
        </w:tc>
        <w:tc>
          <w:tcPr>
            <w:tcW w:w="1180" w:type="dxa"/>
            <w:tcBorders>
              <w:top w:val="nil"/>
              <w:left w:val="nil"/>
              <w:bottom w:val="nil"/>
              <w:right w:val="nil"/>
            </w:tcBorders>
          </w:tcPr>
          <w:p w14:paraId="71B5BA2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29.14</w:t>
            </w:r>
          </w:p>
        </w:tc>
        <w:tc>
          <w:tcPr>
            <w:tcW w:w="1180" w:type="dxa"/>
            <w:tcBorders>
              <w:top w:val="nil"/>
              <w:left w:val="nil"/>
              <w:bottom w:val="nil"/>
              <w:right w:val="nil"/>
            </w:tcBorders>
          </w:tcPr>
          <w:p w14:paraId="63B479D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28.44</w:t>
            </w:r>
          </w:p>
        </w:tc>
        <w:tc>
          <w:tcPr>
            <w:tcW w:w="1180" w:type="dxa"/>
            <w:tcBorders>
              <w:top w:val="nil"/>
              <w:left w:val="nil"/>
              <w:bottom w:val="nil"/>
              <w:right w:val="nil"/>
            </w:tcBorders>
          </w:tcPr>
          <w:p w14:paraId="1DB2DBC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28.53</w:t>
            </w:r>
          </w:p>
        </w:tc>
      </w:tr>
      <w:tr w:rsidR="005760DC" w:rsidRPr="005760DC" w14:paraId="2FE0437B" w14:textId="77777777" w:rsidTr="0099729D">
        <w:trPr>
          <w:trHeight w:val="183"/>
        </w:trPr>
        <w:tc>
          <w:tcPr>
            <w:tcW w:w="1804" w:type="dxa"/>
            <w:tcBorders>
              <w:top w:val="nil"/>
              <w:left w:val="nil"/>
              <w:bottom w:val="nil"/>
              <w:right w:val="nil"/>
            </w:tcBorders>
          </w:tcPr>
          <w:p w14:paraId="1DA569D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6DDAF99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6.72</w:t>
            </w:r>
          </w:p>
        </w:tc>
        <w:tc>
          <w:tcPr>
            <w:tcW w:w="1028" w:type="dxa"/>
            <w:tcBorders>
              <w:top w:val="nil"/>
              <w:left w:val="nil"/>
              <w:bottom w:val="nil"/>
              <w:right w:val="nil"/>
            </w:tcBorders>
          </w:tcPr>
          <w:p w14:paraId="04A6A39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6.78</w:t>
            </w:r>
          </w:p>
        </w:tc>
        <w:tc>
          <w:tcPr>
            <w:tcW w:w="936" w:type="dxa"/>
            <w:tcBorders>
              <w:top w:val="nil"/>
              <w:left w:val="nil"/>
              <w:bottom w:val="nil"/>
              <w:right w:val="nil"/>
            </w:tcBorders>
          </w:tcPr>
          <w:p w14:paraId="07DEFAD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6.76</w:t>
            </w:r>
          </w:p>
        </w:tc>
        <w:tc>
          <w:tcPr>
            <w:tcW w:w="1045" w:type="dxa"/>
            <w:tcBorders>
              <w:top w:val="nil"/>
              <w:left w:val="nil"/>
              <w:bottom w:val="nil"/>
              <w:right w:val="nil"/>
            </w:tcBorders>
          </w:tcPr>
          <w:p w14:paraId="10494D1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6.90</w:t>
            </w:r>
          </w:p>
        </w:tc>
        <w:tc>
          <w:tcPr>
            <w:tcW w:w="1180" w:type="dxa"/>
            <w:tcBorders>
              <w:top w:val="nil"/>
              <w:left w:val="nil"/>
              <w:bottom w:val="nil"/>
              <w:right w:val="nil"/>
            </w:tcBorders>
          </w:tcPr>
          <w:p w14:paraId="672030E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6.82</w:t>
            </w:r>
          </w:p>
        </w:tc>
        <w:tc>
          <w:tcPr>
            <w:tcW w:w="1180" w:type="dxa"/>
            <w:tcBorders>
              <w:top w:val="nil"/>
              <w:left w:val="nil"/>
              <w:bottom w:val="nil"/>
              <w:right w:val="nil"/>
            </w:tcBorders>
          </w:tcPr>
          <w:p w14:paraId="590189F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6.56</w:t>
            </w:r>
          </w:p>
        </w:tc>
        <w:tc>
          <w:tcPr>
            <w:tcW w:w="1180" w:type="dxa"/>
            <w:tcBorders>
              <w:top w:val="nil"/>
              <w:left w:val="nil"/>
              <w:bottom w:val="nil"/>
              <w:right w:val="nil"/>
            </w:tcBorders>
          </w:tcPr>
          <w:p w14:paraId="2B17172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6.60</w:t>
            </w:r>
          </w:p>
        </w:tc>
      </w:tr>
      <w:tr w:rsidR="005760DC" w:rsidRPr="005760DC" w14:paraId="3E938B38" w14:textId="77777777" w:rsidTr="0099729D">
        <w:trPr>
          <w:trHeight w:val="183"/>
        </w:trPr>
        <w:tc>
          <w:tcPr>
            <w:tcW w:w="1804" w:type="dxa"/>
            <w:tcBorders>
              <w:top w:val="nil"/>
              <w:left w:val="nil"/>
              <w:bottom w:val="nil"/>
              <w:right w:val="nil"/>
            </w:tcBorders>
          </w:tcPr>
          <w:p w14:paraId="4989996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3ECDF3F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14.00</w:t>
            </w:r>
          </w:p>
        </w:tc>
        <w:tc>
          <w:tcPr>
            <w:tcW w:w="1028" w:type="dxa"/>
            <w:tcBorders>
              <w:top w:val="nil"/>
              <w:left w:val="nil"/>
              <w:bottom w:val="nil"/>
              <w:right w:val="nil"/>
            </w:tcBorders>
          </w:tcPr>
          <w:p w14:paraId="7E14D00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14.00</w:t>
            </w:r>
          </w:p>
        </w:tc>
        <w:tc>
          <w:tcPr>
            <w:tcW w:w="936" w:type="dxa"/>
            <w:tcBorders>
              <w:top w:val="nil"/>
              <w:left w:val="nil"/>
              <w:bottom w:val="nil"/>
              <w:right w:val="nil"/>
            </w:tcBorders>
          </w:tcPr>
          <w:p w14:paraId="7F7E589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16.00</w:t>
            </w:r>
          </w:p>
        </w:tc>
        <w:tc>
          <w:tcPr>
            <w:tcW w:w="1045" w:type="dxa"/>
            <w:tcBorders>
              <w:top w:val="nil"/>
              <w:left w:val="nil"/>
              <w:bottom w:val="nil"/>
              <w:right w:val="nil"/>
            </w:tcBorders>
          </w:tcPr>
          <w:p w14:paraId="2D1978F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15.00</w:t>
            </w:r>
          </w:p>
        </w:tc>
        <w:tc>
          <w:tcPr>
            <w:tcW w:w="1180" w:type="dxa"/>
            <w:tcBorders>
              <w:top w:val="nil"/>
              <w:left w:val="nil"/>
              <w:bottom w:val="nil"/>
              <w:right w:val="nil"/>
            </w:tcBorders>
          </w:tcPr>
          <w:p w14:paraId="45435D8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14.00</w:t>
            </w:r>
          </w:p>
        </w:tc>
        <w:tc>
          <w:tcPr>
            <w:tcW w:w="1180" w:type="dxa"/>
            <w:tcBorders>
              <w:top w:val="nil"/>
              <w:left w:val="nil"/>
              <w:bottom w:val="nil"/>
              <w:right w:val="nil"/>
            </w:tcBorders>
          </w:tcPr>
          <w:p w14:paraId="4468A35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15.00</w:t>
            </w:r>
          </w:p>
        </w:tc>
        <w:tc>
          <w:tcPr>
            <w:tcW w:w="1180" w:type="dxa"/>
            <w:tcBorders>
              <w:top w:val="nil"/>
              <w:left w:val="nil"/>
              <w:bottom w:val="nil"/>
              <w:right w:val="nil"/>
            </w:tcBorders>
          </w:tcPr>
          <w:p w14:paraId="7D4E43F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16.00</w:t>
            </w:r>
          </w:p>
        </w:tc>
      </w:tr>
      <w:tr w:rsidR="005760DC" w:rsidRPr="005760DC" w14:paraId="4D1E9A38" w14:textId="77777777" w:rsidTr="0099729D">
        <w:trPr>
          <w:trHeight w:val="195"/>
        </w:trPr>
        <w:tc>
          <w:tcPr>
            <w:tcW w:w="1804" w:type="dxa"/>
            <w:tcBorders>
              <w:top w:val="nil"/>
              <w:left w:val="nil"/>
              <w:bottom w:val="nil"/>
              <w:right w:val="nil"/>
            </w:tcBorders>
          </w:tcPr>
          <w:p w14:paraId="3D50A74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nil"/>
              <w:right w:val="nil"/>
            </w:tcBorders>
          </w:tcPr>
          <w:p w14:paraId="5A2F2B8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54.00</w:t>
            </w:r>
          </w:p>
        </w:tc>
        <w:tc>
          <w:tcPr>
            <w:tcW w:w="1028" w:type="dxa"/>
            <w:tcBorders>
              <w:top w:val="nil"/>
              <w:left w:val="nil"/>
              <w:bottom w:val="nil"/>
              <w:right w:val="nil"/>
            </w:tcBorders>
          </w:tcPr>
          <w:p w14:paraId="5EA501B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54.00</w:t>
            </w:r>
          </w:p>
        </w:tc>
        <w:tc>
          <w:tcPr>
            <w:tcW w:w="936" w:type="dxa"/>
            <w:tcBorders>
              <w:top w:val="nil"/>
              <w:left w:val="nil"/>
              <w:bottom w:val="nil"/>
              <w:right w:val="nil"/>
            </w:tcBorders>
          </w:tcPr>
          <w:p w14:paraId="7B3F2A4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53.00</w:t>
            </w:r>
          </w:p>
        </w:tc>
        <w:tc>
          <w:tcPr>
            <w:tcW w:w="1045" w:type="dxa"/>
            <w:tcBorders>
              <w:top w:val="nil"/>
              <w:left w:val="nil"/>
              <w:bottom w:val="nil"/>
              <w:right w:val="nil"/>
            </w:tcBorders>
          </w:tcPr>
          <w:p w14:paraId="4147035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52.00</w:t>
            </w:r>
          </w:p>
        </w:tc>
        <w:tc>
          <w:tcPr>
            <w:tcW w:w="1180" w:type="dxa"/>
            <w:tcBorders>
              <w:top w:val="nil"/>
              <w:left w:val="nil"/>
              <w:bottom w:val="nil"/>
              <w:right w:val="nil"/>
            </w:tcBorders>
          </w:tcPr>
          <w:p w14:paraId="5C574CE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54.00</w:t>
            </w:r>
          </w:p>
        </w:tc>
        <w:tc>
          <w:tcPr>
            <w:tcW w:w="1180" w:type="dxa"/>
            <w:tcBorders>
              <w:top w:val="nil"/>
              <w:left w:val="nil"/>
              <w:bottom w:val="nil"/>
              <w:right w:val="nil"/>
            </w:tcBorders>
          </w:tcPr>
          <w:p w14:paraId="1C2E649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52.00</w:t>
            </w:r>
          </w:p>
        </w:tc>
        <w:tc>
          <w:tcPr>
            <w:tcW w:w="1180" w:type="dxa"/>
            <w:tcBorders>
              <w:top w:val="nil"/>
              <w:left w:val="nil"/>
              <w:bottom w:val="nil"/>
              <w:right w:val="nil"/>
            </w:tcBorders>
          </w:tcPr>
          <w:p w14:paraId="3AD65F9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54.00</w:t>
            </w:r>
          </w:p>
        </w:tc>
      </w:tr>
      <w:tr w:rsidR="005760DC" w:rsidRPr="005760DC" w14:paraId="25113D3B" w14:textId="77777777" w:rsidTr="0099729D">
        <w:trPr>
          <w:trHeight w:val="195"/>
        </w:trPr>
        <w:tc>
          <w:tcPr>
            <w:tcW w:w="9569" w:type="dxa"/>
            <w:gridSpan w:val="8"/>
            <w:tcBorders>
              <w:top w:val="nil"/>
              <w:left w:val="nil"/>
              <w:bottom w:val="nil"/>
              <w:right w:val="nil"/>
            </w:tcBorders>
          </w:tcPr>
          <w:p w14:paraId="2A0F392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
                <w:bCs/>
                <w:i/>
                <w:iCs/>
                <w:sz w:val="20"/>
                <w:szCs w:val="20"/>
              </w:rPr>
              <w:t>Panel B – HEI’s Short-Term Performance Indicators:</w:t>
            </w:r>
          </w:p>
        </w:tc>
      </w:tr>
      <w:tr w:rsidR="005760DC" w:rsidRPr="005760DC" w14:paraId="7CA07CD9" w14:textId="77777777" w:rsidTr="0099729D">
        <w:trPr>
          <w:trHeight w:val="195"/>
        </w:trPr>
        <w:tc>
          <w:tcPr>
            <w:tcW w:w="9569" w:type="dxa"/>
            <w:gridSpan w:val="8"/>
            <w:tcBorders>
              <w:top w:val="nil"/>
              <w:left w:val="nil"/>
              <w:bottom w:val="nil"/>
              <w:right w:val="nil"/>
            </w:tcBorders>
          </w:tcPr>
          <w:p w14:paraId="2166B7A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i/>
                <w:iCs/>
                <w:sz w:val="20"/>
                <w:szCs w:val="20"/>
              </w:rPr>
              <w:t>THE Ranking (no)</w:t>
            </w:r>
          </w:p>
        </w:tc>
      </w:tr>
      <w:tr w:rsidR="005760DC" w:rsidRPr="005760DC" w14:paraId="60F84FA2" w14:textId="77777777" w:rsidTr="0099729D">
        <w:trPr>
          <w:trHeight w:val="195"/>
        </w:trPr>
        <w:tc>
          <w:tcPr>
            <w:tcW w:w="1804" w:type="dxa"/>
            <w:tcBorders>
              <w:top w:val="nil"/>
              <w:left w:val="nil"/>
              <w:bottom w:val="nil"/>
              <w:right w:val="nil"/>
            </w:tcBorders>
          </w:tcPr>
          <w:p w14:paraId="33E2825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13AF715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371.47</w:t>
            </w:r>
          </w:p>
        </w:tc>
        <w:tc>
          <w:tcPr>
            <w:tcW w:w="1028" w:type="dxa"/>
            <w:tcBorders>
              <w:top w:val="nil"/>
              <w:left w:val="nil"/>
              <w:bottom w:val="nil"/>
              <w:right w:val="nil"/>
            </w:tcBorders>
          </w:tcPr>
          <w:p w14:paraId="4C9CDF3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371.45</w:t>
            </w:r>
          </w:p>
        </w:tc>
        <w:tc>
          <w:tcPr>
            <w:tcW w:w="936" w:type="dxa"/>
            <w:tcBorders>
              <w:top w:val="nil"/>
              <w:left w:val="nil"/>
              <w:bottom w:val="nil"/>
              <w:right w:val="nil"/>
            </w:tcBorders>
          </w:tcPr>
          <w:p w14:paraId="392D1AE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371.41</w:t>
            </w:r>
          </w:p>
        </w:tc>
        <w:tc>
          <w:tcPr>
            <w:tcW w:w="1045" w:type="dxa"/>
            <w:tcBorders>
              <w:top w:val="nil"/>
              <w:left w:val="nil"/>
              <w:bottom w:val="nil"/>
              <w:right w:val="nil"/>
            </w:tcBorders>
          </w:tcPr>
          <w:p w14:paraId="126EC1E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372.59</w:t>
            </w:r>
          </w:p>
        </w:tc>
        <w:tc>
          <w:tcPr>
            <w:tcW w:w="1180" w:type="dxa"/>
            <w:tcBorders>
              <w:top w:val="nil"/>
              <w:left w:val="nil"/>
              <w:bottom w:val="nil"/>
              <w:right w:val="nil"/>
            </w:tcBorders>
          </w:tcPr>
          <w:p w14:paraId="3E12740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363.95</w:t>
            </w:r>
          </w:p>
        </w:tc>
        <w:tc>
          <w:tcPr>
            <w:tcW w:w="1180" w:type="dxa"/>
            <w:tcBorders>
              <w:top w:val="nil"/>
              <w:left w:val="nil"/>
              <w:bottom w:val="nil"/>
              <w:right w:val="nil"/>
            </w:tcBorders>
          </w:tcPr>
          <w:p w14:paraId="64FAA6C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376.61</w:t>
            </w:r>
          </w:p>
        </w:tc>
        <w:tc>
          <w:tcPr>
            <w:tcW w:w="1180" w:type="dxa"/>
            <w:tcBorders>
              <w:top w:val="nil"/>
              <w:left w:val="nil"/>
              <w:bottom w:val="nil"/>
              <w:right w:val="nil"/>
            </w:tcBorders>
          </w:tcPr>
          <w:p w14:paraId="7EDC355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372.80</w:t>
            </w:r>
          </w:p>
        </w:tc>
      </w:tr>
      <w:tr w:rsidR="005760DC" w:rsidRPr="005760DC" w14:paraId="5C300686" w14:textId="77777777" w:rsidTr="0099729D">
        <w:trPr>
          <w:trHeight w:val="195"/>
        </w:trPr>
        <w:tc>
          <w:tcPr>
            <w:tcW w:w="1804" w:type="dxa"/>
            <w:tcBorders>
              <w:top w:val="nil"/>
              <w:left w:val="nil"/>
              <w:bottom w:val="nil"/>
              <w:right w:val="nil"/>
            </w:tcBorders>
          </w:tcPr>
          <w:p w14:paraId="3113D6B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611FF9C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326.00</w:t>
            </w:r>
          </w:p>
        </w:tc>
        <w:tc>
          <w:tcPr>
            <w:tcW w:w="1028" w:type="dxa"/>
            <w:tcBorders>
              <w:top w:val="nil"/>
              <w:left w:val="nil"/>
              <w:bottom w:val="nil"/>
              <w:right w:val="nil"/>
            </w:tcBorders>
          </w:tcPr>
          <w:p w14:paraId="22BEFB7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326.00</w:t>
            </w:r>
          </w:p>
        </w:tc>
        <w:tc>
          <w:tcPr>
            <w:tcW w:w="936" w:type="dxa"/>
            <w:tcBorders>
              <w:top w:val="nil"/>
              <w:left w:val="nil"/>
              <w:bottom w:val="nil"/>
              <w:right w:val="nil"/>
            </w:tcBorders>
          </w:tcPr>
          <w:p w14:paraId="13C22E2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325.50</w:t>
            </w:r>
          </w:p>
        </w:tc>
        <w:tc>
          <w:tcPr>
            <w:tcW w:w="1045" w:type="dxa"/>
            <w:tcBorders>
              <w:top w:val="nil"/>
              <w:left w:val="nil"/>
              <w:bottom w:val="nil"/>
              <w:right w:val="nil"/>
            </w:tcBorders>
          </w:tcPr>
          <w:p w14:paraId="1B71FFF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325.50</w:t>
            </w:r>
          </w:p>
        </w:tc>
        <w:tc>
          <w:tcPr>
            <w:tcW w:w="1180" w:type="dxa"/>
            <w:tcBorders>
              <w:top w:val="nil"/>
              <w:left w:val="nil"/>
              <w:bottom w:val="nil"/>
              <w:right w:val="nil"/>
            </w:tcBorders>
          </w:tcPr>
          <w:p w14:paraId="7F75601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325.00</w:t>
            </w:r>
          </w:p>
        </w:tc>
        <w:tc>
          <w:tcPr>
            <w:tcW w:w="1180" w:type="dxa"/>
            <w:tcBorders>
              <w:top w:val="nil"/>
              <w:left w:val="nil"/>
              <w:bottom w:val="nil"/>
              <w:right w:val="nil"/>
            </w:tcBorders>
          </w:tcPr>
          <w:p w14:paraId="54F58AB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326.00</w:t>
            </w:r>
          </w:p>
        </w:tc>
        <w:tc>
          <w:tcPr>
            <w:tcW w:w="1180" w:type="dxa"/>
            <w:tcBorders>
              <w:top w:val="nil"/>
              <w:left w:val="nil"/>
              <w:bottom w:val="nil"/>
              <w:right w:val="nil"/>
            </w:tcBorders>
          </w:tcPr>
          <w:p w14:paraId="6AD72EE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326.00</w:t>
            </w:r>
          </w:p>
        </w:tc>
      </w:tr>
      <w:tr w:rsidR="005760DC" w:rsidRPr="005760DC" w14:paraId="6A0E97C3" w14:textId="77777777" w:rsidTr="0099729D">
        <w:trPr>
          <w:trHeight w:val="195"/>
        </w:trPr>
        <w:tc>
          <w:tcPr>
            <w:tcW w:w="1804" w:type="dxa"/>
            <w:tcBorders>
              <w:top w:val="nil"/>
              <w:left w:val="nil"/>
              <w:bottom w:val="nil"/>
              <w:right w:val="nil"/>
            </w:tcBorders>
          </w:tcPr>
          <w:p w14:paraId="3977270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2B2059E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263.87</w:t>
            </w:r>
          </w:p>
        </w:tc>
        <w:tc>
          <w:tcPr>
            <w:tcW w:w="1028" w:type="dxa"/>
            <w:tcBorders>
              <w:top w:val="nil"/>
              <w:left w:val="nil"/>
              <w:bottom w:val="nil"/>
              <w:right w:val="nil"/>
            </w:tcBorders>
          </w:tcPr>
          <w:p w14:paraId="13250AF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263.77</w:t>
            </w:r>
          </w:p>
        </w:tc>
        <w:tc>
          <w:tcPr>
            <w:tcW w:w="936" w:type="dxa"/>
            <w:tcBorders>
              <w:top w:val="nil"/>
              <w:left w:val="nil"/>
              <w:bottom w:val="nil"/>
              <w:right w:val="nil"/>
            </w:tcBorders>
          </w:tcPr>
          <w:p w14:paraId="0F238E9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264.12</w:t>
            </w:r>
          </w:p>
        </w:tc>
        <w:tc>
          <w:tcPr>
            <w:tcW w:w="1045" w:type="dxa"/>
            <w:tcBorders>
              <w:top w:val="nil"/>
              <w:left w:val="nil"/>
              <w:bottom w:val="nil"/>
              <w:right w:val="nil"/>
            </w:tcBorders>
          </w:tcPr>
          <w:p w14:paraId="6221E1F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263.83</w:t>
            </w:r>
          </w:p>
        </w:tc>
        <w:tc>
          <w:tcPr>
            <w:tcW w:w="1180" w:type="dxa"/>
            <w:tcBorders>
              <w:top w:val="nil"/>
              <w:left w:val="nil"/>
              <w:bottom w:val="nil"/>
              <w:right w:val="nil"/>
            </w:tcBorders>
          </w:tcPr>
          <w:p w14:paraId="48E59F0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265.08</w:t>
            </w:r>
          </w:p>
        </w:tc>
        <w:tc>
          <w:tcPr>
            <w:tcW w:w="1180" w:type="dxa"/>
            <w:tcBorders>
              <w:top w:val="nil"/>
              <w:left w:val="nil"/>
              <w:bottom w:val="nil"/>
              <w:right w:val="nil"/>
            </w:tcBorders>
          </w:tcPr>
          <w:p w14:paraId="2C12F6D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266.42</w:t>
            </w:r>
          </w:p>
        </w:tc>
        <w:tc>
          <w:tcPr>
            <w:tcW w:w="1180" w:type="dxa"/>
            <w:tcBorders>
              <w:top w:val="nil"/>
              <w:left w:val="nil"/>
              <w:bottom w:val="nil"/>
              <w:right w:val="nil"/>
            </w:tcBorders>
          </w:tcPr>
          <w:p w14:paraId="6E95208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268.11</w:t>
            </w:r>
          </w:p>
        </w:tc>
      </w:tr>
      <w:tr w:rsidR="005760DC" w:rsidRPr="005760DC" w14:paraId="5FFD8F46" w14:textId="77777777" w:rsidTr="0099729D">
        <w:trPr>
          <w:trHeight w:val="195"/>
        </w:trPr>
        <w:tc>
          <w:tcPr>
            <w:tcW w:w="1804" w:type="dxa"/>
            <w:tcBorders>
              <w:top w:val="nil"/>
              <w:left w:val="nil"/>
              <w:bottom w:val="nil"/>
              <w:right w:val="nil"/>
            </w:tcBorders>
          </w:tcPr>
          <w:p w14:paraId="4CE10C4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709FC91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1028" w:type="dxa"/>
            <w:tcBorders>
              <w:top w:val="nil"/>
              <w:left w:val="nil"/>
              <w:bottom w:val="nil"/>
              <w:right w:val="nil"/>
            </w:tcBorders>
          </w:tcPr>
          <w:p w14:paraId="3CF363E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3.50</w:t>
            </w:r>
          </w:p>
        </w:tc>
        <w:tc>
          <w:tcPr>
            <w:tcW w:w="936" w:type="dxa"/>
            <w:tcBorders>
              <w:top w:val="nil"/>
              <w:left w:val="nil"/>
              <w:bottom w:val="nil"/>
              <w:right w:val="nil"/>
            </w:tcBorders>
          </w:tcPr>
          <w:p w14:paraId="604BA2C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3.50</w:t>
            </w:r>
          </w:p>
        </w:tc>
        <w:tc>
          <w:tcPr>
            <w:tcW w:w="1045" w:type="dxa"/>
            <w:tcBorders>
              <w:top w:val="nil"/>
              <w:left w:val="nil"/>
              <w:bottom w:val="nil"/>
              <w:right w:val="nil"/>
            </w:tcBorders>
          </w:tcPr>
          <w:p w14:paraId="50B17A2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6.00</w:t>
            </w:r>
          </w:p>
        </w:tc>
        <w:tc>
          <w:tcPr>
            <w:tcW w:w="1180" w:type="dxa"/>
            <w:tcBorders>
              <w:top w:val="nil"/>
              <w:left w:val="nil"/>
              <w:bottom w:val="nil"/>
              <w:right w:val="nil"/>
            </w:tcBorders>
          </w:tcPr>
          <w:p w14:paraId="43A8D2C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4.00</w:t>
            </w:r>
          </w:p>
        </w:tc>
        <w:tc>
          <w:tcPr>
            <w:tcW w:w="1180" w:type="dxa"/>
            <w:tcBorders>
              <w:top w:val="nil"/>
              <w:left w:val="nil"/>
              <w:bottom w:val="nil"/>
              <w:right w:val="nil"/>
            </w:tcBorders>
          </w:tcPr>
          <w:p w14:paraId="3EAC2D7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1180" w:type="dxa"/>
            <w:tcBorders>
              <w:top w:val="nil"/>
              <w:left w:val="nil"/>
              <w:bottom w:val="nil"/>
              <w:right w:val="nil"/>
            </w:tcBorders>
          </w:tcPr>
          <w:p w14:paraId="6E58CEA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r>
      <w:tr w:rsidR="005760DC" w:rsidRPr="005760DC" w14:paraId="7EDC5D83" w14:textId="77777777" w:rsidTr="0099729D">
        <w:trPr>
          <w:trHeight w:val="195"/>
        </w:trPr>
        <w:tc>
          <w:tcPr>
            <w:tcW w:w="1804" w:type="dxa"/>
            <w:tcBorders>
              <w:top w:val="nil"/>
              <w:left w:val="nil"/>
              <w:bottom w:val="nil"/>
              <w:right w:val="nil"/>
            </w:tcBorders>
          </w:tcPr>
          <w:p w14:paraId="1D6E54C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nil"/>
              <w:right w:val="nil"/>
            </w:tcBorders>
          </w:tcPr>
          <w:p w14:paraId="2CB678A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028" w:type="dxa"/>
            <w:tcBorders>
              <w:top w:val="nil"/>
              <w:left w:val="nil"/>
              <w:bottom w:val="nil"/>
              <w:right w:val="nil"/>
            </w:tcBorders>
          </w:tcPr>
          <w:p w14:paraId="6F3EB6B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936" w:type="dxa"/>
            <w:tcBorders>
              <w:top w:val="nil"/>
              <w:left w:val="nil"/>
              <w:bottom w:val="nil"/>
              <w:right w:val="nil"/>
            </w:tcBorders>
          </w:tcPr>
          <w:p w14:paraId="53F5735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045" w:type="dxa"/>
            <w:tcBorders>
              <w:top w:val="nil"/>
              <w:left w:val="nil"/>
              <w:bottom w:val="nil"/>
              <w:right w:val="nil"/>
            </w:tcBorders>
          </w:tcPr>
          <w:p w14:paraId="0A567BB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180" w:type="dxa"/>
            <w:tcBorders>
              <w:top w:val="nil"/>
              <w:left w:val="nil"/>
              <w:bottom w:val="nil"/>
              <w:right w:val="nil"/>
            </w:tcBorders>
          </w:tcPr>
          <w:p w14:paraId="32D3F9C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180" w:type="dxa"/>
            <w:tcBorders>
              <w:top w:val="nil"/>
              <w:left w:val="nil"/>
              <w:bottom w:val="nil"/>
              <w:right w:val="nil"/>
            </w:tcBorders>
          </w:tcPr>
          <w:p w14:paraId="09226E9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180" w:type="dxa"/>
            <w:tcBorders>
              <w:top w:val="nil"/>
              <w:left w:val="nil"/>
              <w:bottom w:val="nil"/>
              <w:right w:val="nil"/>
            </w:tcBorders>
          </w:tcPr>
          <w:p w14:paraId="08FA214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r>
      <w:tr w:rsidR="005760DC" w:rsidRPr="005760DC" w14:paraId="7B6BED25" w14:textId="77777777" w:rsidTr="0099729D">
        <w:trPr>
          <w:trHeight w:val="195"/>
        </w:trPr>
        <w:tc>
          <w:tcPr>
            <w:tcW w:w="9569" w:type="dxa"/>
            <w:gridSpan w:val="8"/>
            <w:tcBorders>
              <w:top w:val="nil"/>
              <w:left w:val="nil"/>
              <w:bottom w:val="nil"/>
              <w:right w:val="nil"/>
            </w:tcBorders>
          </w:tcPr>
          <w:p w14:paraId="66FC62E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i/>
                <w:iCs/>
                <w:sz w:val="20"/>
                <w:szCs w:val="20"/>
              </w:rPr>
              <w:t>QS Ranking (no)</w:t>
            </w:r>
          </w:p>
        </w:tc>
      </w:tr>
      <w:tr w:rsidR="005760DC" w:rsidRPr="005760DC" w14:paraId="013A4A9D" w14:textId="77777777" w:rsidTr="0099729D">
        <w:trPr>
          <w:trHeight w:val="195"/>
        </w:trPr>
        <w:tc>
          <w:tcPr>
            <w:tcW w:w="1804" w:type="dxa"/>
            <w:tcBorders>
              <w:top w:val="nil"/>
              <w:left w:val="nil"/>
              <w:bottom w:val="nil"/>
              <w:right w:val="nil"/>
            </w:tcBorders>
          </w:tcPr>
          <w:p w14:paraId="7675967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181AD83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355.85</w:t>
            </w:r>
          </w:p>
        </w:tc>
        <w:tc>
          <w:tcPr>
            <w:tcW w:w="1028" w:type="dxa"/>
            <w:tcBorders>
              <w:top w:val="nil"/>
              <w:left w:val="nil"/>
              <w:bottom w:val="nil"/>
              <w:right w:val="nil"/>
            </w:tcBorders>
          </w:tcPr>
          <w:p w14:paraId="58E535E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355.35</w:t>
            </w:r>
          </w:p>
        </w:tc>
        <w:tc>
          <w:tcPr>
            <w:tcW w:w="936" w:type="dxa"/>
            <w:tcBorders>
              <w:top w:val="nil"/>
              <w:left w:val="nil"/>
              <w:bottom w:val="nil"/>
              <w:right w:val="nil"/>
            </w:tcBorders>
          </w:tcPr>
          <w:p w14:paraId="6C51D82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348.63</w:t>
            </w:r>
          </w:p>
        </w:tc>
        <w:tc>
          <w:tcPr>
            <w:tcW w:w="1045" w:type="dxa"/>
            <w:tcBorders>
              <w:top w:val="nil"/>
              <w:left w:val="nil"/>
              <w:bottom w:val="nil"/>
              <w:right w:val="nil"/>
            </w:tcBorders>
          </w:tcPr>
          <w:p w14:paraId="1ADE25F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353.38</w:t>
            </w:r>
          </w:p>
        </w:tc>
        <w:tc>
          <w:tcPr>
            <w:tcW w:w="1180" w:type="dxa"/>
            <w:tcBorders>
              <w:top w:val="nil"/>
              <w:left w:val="nil"/>
              <w:bottom w:val="nil"/>
              <w:right w:val="nil"/>
            </w:tcBorders>
          </w:tcPr>
          <w:p w14:paraId="5763277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350.75</w:t>
            </w:r>
          </w:p>
        </w:tc>
        <w:tc>
          <w:tcPr>
            <w:tcW w:w="1180" w:type="dxa"/>
            <w:tcBorders>
              <w:top w:val="nil"/>
              <w:left w:val="nil"/>
              <w:bottom w:val="nil"/>
              <w:right w:val="nil"/>
            </w:tcBorders>
          </w:tcPr>
          <w:p w14:paraId="11ED8C3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358.08</w:t>
            </w:r>
          </w:p>
        </w:tc>
        <w:tc>
          <w:tcPr>
            <w:tcW w:w="1180" w:type="dxa"/>
            <w:tcBorders>
              <w:top w:val="nil"/>
              <w:left w:val="nil"/>
              <w:bottom w:val="nil"/>
              <w:right w:val="nil"/>
            </w:tcBorders>
          </w:tcPr>
          <w:p w14:paraId="61291C9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368.89</w:t>
            </w:r>
          </w:p>
        </w:tc>
      </w:tr>
      <w:tr w:rsidR="005760DC" w:rsidRPr="005760DC" w14:paraId="5444251F" w14:textId="77777777" w:rsidTr="0099729D">
        <w:trPr>
          <w:trHeight w:val="195"/>
        </w:trPr>
        <w:tc>
          <w:tcPr>
            <w:tcW w:w="1804" w:type="dxa"/>
            <w:tcBorders>
              <w:top w:val="nil"/>
              <w:left w:val="nil"/>
              <w:bottom w:val="nil"/>
              <w:right w:val="nil"/>
            </w:tcBorders>
          </w:tcPr>
          <w:p w14:paraId="344D0B4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0AB67D0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321.00</w:t>
            </w:r>
          </w:p>
        </w:tc>
        <w:tc>
          <w:tcPr>
            <w:tcW w:w="1028" w:type="dxa"/>
            <w:tcBorders>
              <w:top w:val="nil"/>
              <w:left w:val="nil"/>
              <w:bottom w:val="nil"/>
              <w:right w:val="nil"/>
            </w:tcBorders>
          </w:tcPr>
          <w:p w14:paraId="15E68F6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317.20</w:t>
            </w:r>
          </w:p>
        </w:tc>
        <w:tc>
          <w:tcPr>
            <w:tcW w:w="936" w:type="dxa"/>
            <w:tcBorders>
              <w:top w:val="nil"/>
              <w:left w:val="nil"/>
              <w:bottom w:val="nil"/>
              <w:right w:val="nil"/>
            </w:tcBorders>
          </w:tcPr>
          <w:p w14:paraId="49174FA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299.00</w:t>
            </w:r>
          </w:p>
        </w:tc>
        <w:tc>
          <w:tcPr>
            <w:tcW w:w="1045" w:type="dxa"/>
            <w:tcBorders>
              <w:top w:val="nil"/>
              <w:left w:val="nil"/>
              <w:bottom w:val="nil"/>
              <w:right w:val="nil"/>
            </w:tcBorders>
          </w:tcPr>
          <w:p w14:paraId="1E5849F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315.00</w:t>
            </w:r>
          </w:p>
        </w:tc>
        <w:tc>
          <w:tcPr>
            <w:tcW w:w="1180" w:type="dxa"/>
            <w:tcBorders>
              <w:top w:val="nil"/>
              <w:left w:val="nil"/>
              <w:bottom w:val="nil"/>
              <w:right w:val="nil"/>
            </w:tcBorders>
          </w:tcPr>
          <w:p w14:paraId="3C1B88F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321.00</w:t>
            </w:r>
          </w:p>
        </w:tc>
        <w:tc>
          <w:tcPr>
            <w:tcW w:w="1180" w:type="dxa"/>
            <w:tcBorders>
              <w:top w:val="nil"/>
              <w:left w:val="nil"/>
              <w:bottom w:val="nil"/>
              <w:right w:val="nil"/>
            </w:tcBorders>
          </w:tcPr>
          <w:p w14:paraId="0762309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338.00</w:t>
            </w:r>
          </w:p>
        </w:tc>
        <w:tc>
          <w:tcPr>
            <w:tcW w:w="1180" w:type="dxa"/>
            <w:tcBorders>
              <w:top w:val="nil"/>
              <w:left w:val="nil"/>
              <w:bottom w:val="nil"/>
              <w:right w:val="nil"/>
            </w:tcBorders>
          </w:tcPr>
          <w:p w14:paraId="5CEEE7E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331.00</w:t>
            </w:r>
          </w:p>
        </w:tc>
      </w:tr>
      <w:tr w:rsidR="005760DC" w:rsidRPr="005760DC" w14:paraId="30ACA69E" w14:textId="77777777" w:rsidTr="0099729D">
        <w:trPr>
          <w:trHeight w:val="195"/>
        </w:trPr>
        <w:tc>
          <w:tcPr>
            <w:tcW w:w="1804" w:type="dxa"/>
            <w:tcBorders>
              <w:top w:val="nil"/>
              <w:left w:val="nil"/>
              <w:bottom w:val="nil"/>
              <w:right w:val="nil"/>
            </w:tcBorders>
          </w:tcPr>
          <w:p w14:paraId="5550EEA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1CE1499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275.15</w:t>
            </w:r>
          </w:p>
        </w:tc>
        <w:tc>
          <w:tcPr>
            <w:tcW w:w="1028" w:type="dxa"/>
            <w:tcBorders>
              <w:top w:val="nil"/>
              <w:left w:val="nil"/>
              <w:bottom w:val="nil"/>
              <w:right w:val="nil"/>
            </w:tcBorders>
          </w:tcPr>
          <w:p w14:paraId="09D0675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276.43</w:t>
            </w:r>
          </w:p>
        </w:tc>
        <w:tc>
          <w:tcPr>
            <w:tcW w:w="936" w:type="dxa"/>
            <w:tcBorders>
              <w:top w:val="nil"/>
              <w:left w:val="nil"/>
              <w:bottom w:val="nil"/>
              <w:right w:val="nil"/>
            </w:tcBorders>
          </w:tcPr>
          <w:p w14:paraId="1B1A484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273.90</w:t>
            </w:r>
          </w:p>
        </w:tc>
        <w:tc>
          <w:tcPr>
            <w:tcW w:w="1045" w:type="dxa"/>
            <w:tcBorders>
              <w:top w:val="nil"/>
              <w:left w:val="nil"/>
              <w:bottom w:val="nil"/>
              <w:right w:val="nil"/>
            </w:tcBorders>
          </w:tcPr>
          <w:p w14:paraId="5A52CDE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272.45</w:t>
            </w:r>
          </w:p>
        </w:tc>
        <w:tc>
          <w:tcPr>
            <w:tcW w:w="1180" w:type="dxa"/>
            <w:tcBorders>
              <w:top w:val="nil"/>
              <w:left w:val="nil"/>
              <w:bottom w:val="nil"/>
              <w:right w:val="nil"/>
            </w:tcBorders>
          </w:tcPr>
          <w:p w14:paraId="35B25DD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271.29</w:t>
            </w:r>
          </w:p>
        </w:tc>
        <w:tc>
          <w:tcPr>
            <w:tcW w:w="1180" w:type="dxa"/>
            <w:tcBorders>
              <w:top w:val="nil"/>
              <w:left w:val="nil"/>
              <w:bottom w:val="nil"/>
              <w:right w:val="nil"/>
            </w:tcBorders>
          </w:tcPr>
          <w:p w14:paraId="16C757D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276.39</w:t>
            </w:r>
          </w:p>
        </w:tc>
        <w:tc>
          <w:tcPr>
            <w:tcW w:w="1180" w:type="dxa"/>
            <w:tcBorders>
              <w:top w:val="nil"/>
              <w:left w:val="nil"/>
              <w:bottom w:val="nil"/>
              <w:right w:val="nil"/>
            </w:tcBorders>
          </w:tcPr>
          <w:p w14:paraId="78820FF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289.38</w:t>
            </w:r>
          </w:p>
        </w:tc>
      </w:tr>
      <w:tr w:rsidR="005760DC" w:rsidRPr="005760DC" w14:paraId="463CD51F" w14:textId="77777777" w:rsidTr="0099729D">
        <w:trPr>
          <w:trHeight w:val="195"/>
        </w:trPr>
        <w:tc>
          <w:tcPr>
            <w:tcW w:w="1804" w:type="dxa"/>
            <w:tcBorders>
              <w:top w:val="nil"/>
              <w:left w:val="nil"/>
              <w:bottom w:val="nil"/>
              <w:right w:val="nil"/>
            </w:tcBorders>
          </w:tcPr>
          <w:p w14:paraId="6A80D45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6B5ED86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028" w:type="dxa"/>
            <w:tcBorders>
              <w:top w:val="nil"/>
              <w:left w:val="nil"/>
              <w:bottom w:val="nil"/>
              <w:right w:val="nil"/>
            </w:tcBorders>
          </w:tcPr>
          <w:p w14:paraId="30A00C1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936" w:type="dxa"/>
            <w:tcBorders>
              <w:top w:val="nil"/>
              <w:left w:val="nil"/>
              <w:bottom w:val="nil"/>
              <w:right w:val="nil"/>
            </w:tcBorders>
          </w:tcPr>
          <w:p w14:paraId="06FC4B7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045" w:type="dxa"/>
            <w:tcBorders>
              <w:top w:val="nil"/>
              <w:left w:val="nil"/>
              <w:bottom w:val="nil"/>
              <w:right w:val="nil"/>
            </w:tcBorders>
          </w:tcPr>
          <w:p w14:paraId="17E6B7F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180" w:type="dxa"/>
            <w:tcBorders>
              <w:top w:val="nil"/>
              <w:left w:val="nil"/>
              <w:bottom w:val="nil"/>
              <w:right w:val="nil"/>
            </w:tcBorders>
          </w:tcPr>
          <w:p w14:paraId="092B717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c>
          <w:tcPr>
            <w:tcW w:w="1180" w:type="dxa"/>
            <w:tcBorders>
              <w:top w:val="nil"/>
              <w:left w:val="nil"/>
              <w:bottom w:val="nil"/>
              <w:right w:val="nil"/>
            </w:tcBorders>
          </w:tcPr>
          <w:p w14:paraId="62ADB98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3.00</w:t>
            </w:r>
          </w:p>
        </w:tc>
        <w:tc>
          <w:tcPr>
            <w:tcW w:w="1180" w:type="dxa"/>
            <w:tcBorders>
              <w:top w:val="nil"/>
              <w:left w:val="nil"/>
              <w:bottom w:val="nil"/>
              <w:right w:val="nil"/>
            </w:tcBorders>
          </w:tcPr>
          <w:p w14:paraId="3DB43AB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2.00</w:t>
            </w:r>
          </w:p>
        </w:tc>
      </w:tr>
      <w:tr w:rsidR="005760DC" w:rsidRPr="005760DC" w14:paraId="6007D68D" w14:textId="77777777" w:rsidTr="0099729D">
        <w:trPr>
          <w:trHeight w:val="195"/>
        </w:trPr>
        <w:tc>
          <w:tcPr>
            <w:tcW w:w="1804" w:type="dxa"/>
            <w:tcBorders>
              <w:top w:val="nil"/>
              <w:left w:val="nil"/>
              <w:bottom w:val="nil"/>
              <w:right w:val="nil"/>
            </w:tcBorders>
          </w:tcPr>
          <w:p w14:paraId="26C8D5E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nil"/>
              <w:right w:val="nil"/>
            </w:tcBorders>
          </w:tcPr>
          <w:p w14:paraId="01C328B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028" w:type="dxa"/>
            <w:tcBorders>
              <w:top w:val="nil"/>
              <w:left w:val="nil"/>
              <w:bottom w:val="nil"/>
              <w:right w:val="nil"/>
            </w:tcBorders>
          </w:tcPr>
          <w:p w14:paraId="36FD722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936" w:type="dxa"/>
            <w:tcBorders>
              <w:top w:val="nil"/>
              <w:left w:val="nil"/>
              <w:bottom w:val="nil"/>
              <w:right w:val="nil"/>
            </w:tcBorders>
          </w:tcPr>
          <w:p w14:paraId="3411508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045" w:type="dxa"/>
            <w:tcBorders>
              <w:top w:val="nil"/>
              <w:left w:val="nil"/>
              <w:bottom w:val="nil"/>
              <w:right w:val="nil"/>
            </w:tcBorders>
          </w:tcPr>
          <w:p w14:paraId="174B66B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180" w:type="dxa"/>
            <w:tcBorders>
              <w:top w:val="nil"/>
              <w:left w:val="nil"/>
              <w:bottom w:val="nil"/>
              <w:right w:val="nil"/>
            </w:tcBorders>
          </w:tcPr>
          <w:p w14:paraId="42B1721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180" w:type="dxa"/>
            <w:tcBorders>
              <w:top w:val="nil"/>
              <w:left w:val="nil"/>
              <w:bottom w:val="nil"/>
              <w:right w:val="nil"/>
            </w:tcBorders>
          </w:tcPr>
          <w:p w14:paraId="2C72F23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c>
          <w:tcPr>
            <w:tcW w:w="1180" w:type="dxa"/>
            <w:tcBorders>
              <w:top w:val="nil"/>
              <w:left w:val="nil"/>
              <w:bottom w:val="nil"/>
              <w:right w:val="nil"/>
            </w:tcBorders>
          </w:tcPr>
          <w:p w14:paraId="50C2E63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901.00</w:t>
            </w:r>
          </w:p>
        </w:tc>
      </w:tr>
      <w:tr w:rsidR="005760DC" w:rsidRPr="005760DC" w14:paraId="5DCB0A15" w14:textId="77777777" w:rsidTr="0099729D">
        <w:trPr>
          <w:trHeight w:val="195"/>
        </w:trPr>
        <w:tc>
          <w:tcPr>
            <w:tcW w:w="9569" w:type="dxa"/>
            <w:gridSpan w:val="8"/>
            <w:tcBorders>
              <w:top w:val="nil"/>
              <w:left w:val="nil"/>
              <w:bottom w:val="nil"/>
              <w:right w:val="nil"/>
            </w:tcBorders>
          </w:tcPr>
          <w:p w14:paraId="27BECCF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i/>
                <w:iCs/>
                <w:sz w:val="20"/>
                <w:szCs w:val="20"/>
              </w:rPr>
              <w:t>CUG Ranking (no.)</w:t>
            </w:r>
          </w:p>
        </w:tc>
      </w:tr>
      <w:tr w:rsidR="005760DC" w:rsidRPr="005760DC" w14:paraId="4061DE08" w14:textId="77777777" w:rsidTr="0099729D">
        <w:trPr>
          <w:trHeight w:val="195"/>
        </w:trPr>
        <w:tc>
          <w:tcPr>
            <w:tcW w:w="1804" w:type="dxa"/>
            <w:tcBorders>
              <w:top w:val="nil"/>
              <w:left w:val="nil"/>
              <w:bottom w:val="nil"/>
              <w:right w:val="nil"/>
            </w:tcBorders>
          </w:tcPr>
          <w:p w14:paraId="514EB15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52F6AED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53.64</w:t>
            </w:r>
          </w:p>
        </w:tc>
        <w:tc>
          <w:tcPr>
            <w:tcW w:w="1028" w:type="dxa"/>
            <w:tcBorders>
              <w:top w:val="nil"/>
              <w:left w:val="nil"/>
              <w:bottom w:val="nil"/>
              <w:right w:val="nil"/>
            </w:tcBorders>
          </w:tcPr>
          <w:p w14:paraId="5C9E9CE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53.38</w:t>
            </w:r>
          </w:p>
        </w:tc>
        <w:tc>
          <w:tcPr>
            <w:tcW w:w="936" w:type="dxa"/>
            <w:tcBorders>
              <w:top w:val="nil"/>
              <w:left w:val="nil"/>
              <w:bottom w:val="nil"/>
              <w:right w:val="nil"/>
            </w:tcBorders>
          </w:tcPr>
          <w:p w14:paraId="4BF68DE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52.03</w:t>
            </w:r>
          </w:p>
        </w:tc>
        <w:tc>
          <w:tcPr>
            <w:tcW w:w="1045" w:type="dxa"/>
            <w:tcBorders>
              <w:top w:val="nil"/>
              <w:left w:val="nil"/>
              <w:bottom w:val="nil"/>
              <w:right w:val="nil"/>
            </w:tcBorders>
          </w:tcPr>
          <w:p w14:paraId="4CAFC3E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53.41</w:t>
            </w:r>
          </w:p>
        </w:tc>
        <w:tc>
          <w:tcPr>
            <w:tcW w:w="1180" w:type="dxa"/>
            <w:tcBorders>
              <w:top w:val="nil"/>
              <w:left w:val="nil"/>
              <w:bottom w:val="nil"/>
              <w:right w:val="nil"/>
            </w:tcBorders>
          </w:tcPr>
          <w:p w14:paraId="0DFAF94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53.64</w:t>
            </w:r>
          </w:p>
        </w:tc>
        <w:tc>
          <w:tcPr>
            <w:tcW w:w="1180" w:type="dxa"/>
            <w:tcBorders>
              <w:top w:val="nil"/>
              <w:left w:val="nil"/>
              <w:bottom w:val="nil"/>
              <w:right w:val="nil"/>
            </w:tcBorders>
          </w:tcPr>
          <w:p w14:paraId="70396DB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53.60</w:t>
            </w:r>
          </w:p>
        </w:tc>
        <w:tc>
          <w:tcPr>
            <w:tcW w:w="1180" w:type="dxa"/>
            <w:tcBorders>
              <w:top w:val="nil"/>
              <w:left w:val="nil"/>
              <w:bottom w:val="nil"/>
              <w:right w:val="nil"/>
            </w:tcBorders>
          </w:tcPr>
          <w:p w14:paraId="6632A7F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55.87</w:t>
            </w:r>
          </w:p>
        </w:tc>
      </w:tr>
      <w:tr w:rsidR="005760DC" w:rsidRPr="005760DC" w14:paraId="258A6A57" w14:textId="77777777" w:rsidTr="0099729D">
        <w:trPr>
          <w:trHeight w:val="195"/>
        </w:trPr>
        <w:tc>
          <w:tcPr>
            <w:tcW w:w="1804" w:type="dxa"/>
            <w:tcBorders>
              <w:top w:val="nil"/>
              <w:left w:val="nil"/>
              <w:bottom w:val="nil"/>
              <w:right w:val="nil"/>
            </w:tcBorders>
          </w:tcPr>
          <w:p w14:paraId="058FC10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76EE225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52.00</w:t>
            </w:r>
          </w:p>
        </w:tc>
        <w:tc>
          <w:tcPr>
            <w:tcW w:w="1028" w:type="dxa"/>
            <w:tcBorders>
              <w:top w:val="nil"/>
              <w:left w:val="nil"/>
              <w:bottom w:val="nil"/>
              <w:right w:val="nil"/>
            </w:tcBorders>
          </w:tcPr>
          <w:p w14:paraId="28A8E8F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52.00</w:t>
            </w:r>
          </w:p>
        </w:tc>
        <w:tc>
          <w:tcPr>
            <w:tcW w:w="936" w:type="dxa"/>
            <w:tcBorders>
              <w:top w:val="nil"/>
              <w:left w:val="nil"/>
              <w:bottom w:val="nil"/>
              <w:right w:val="nil"/>
            </w:tcBorders>
          </w:tcPr>
          <w:p w14:paraId="72FDC80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51.00</w:t>
            </w:r>
          </w:p>
        </w:tc>
        <w:tc>
          <w:tcPr>
            <w:tcW w:w="1045" w:type="dxa"/>
            <w:tcBorders>
              <w:top w:val="nil"/>
              <w:left w:val="nil"/>
              <w:bottom w:val="nil"/>
              <w:right w:val="nil"/>
            </w:tcBorders>
          </w:tcPr>
          <w:p w14:paraId="0CF0C51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52.00</w:t>
            </w:r>
          </w:p>
        </w:tc>
        <w:tc>
          <w:tcPr>
            <w:tcW w:w="1180" w:type="dxa"/>
            <w:tcBorders>
              <w:top w:val="nil"/>
              <w:left w:val="nil"/>
              <w:bottom w:val="nil"/>
              <w:right w:val="nil"/>
            </w:tcBorders>
          </w:tcPr>
          <w:p w14:paraId="0BC69F1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52.00</w:t>
            </w:r>
          </w:p>
        </w:tc>
        <w:tc>
          <w:tcPr>
            <w:tcW w:w="1180" w:type="dxa"/>
            <w:tcBorders>
              <w:top w:val="nil"/>
              <w:left w:val="nil"/>
              <w:bottom w:val="nil"/>
              <w:right w:val="nil"/>
            </w:tcBorders>
          </w:tcPr>
          <w:p w14:paraId="5DD2CA2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50.00</w:t>
            </w:r>
          </w:p>
        </w:tc>
        <w:tc>
          <w:tcPr>
            <w:tcW w:w="1180" w:type="dxa"/>
            <w:tcBorders>
              <w:top w:val="nil"/>
              <w:left w:val="nil"/>
              <w:bottom w:val="nil"/>
              <w:right w:val="nil"/>
            </w:tcBorders>
          </w:tcPr>
          <w:p w14:paraId="7AA1A02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53.00</w:t>
            </w:r>
          </w:p>
        </w:tc>
      </w:tr>
      <w:tr w:rsidR="005760DC" w:rsidRPr="005760DC" w14:paraId="1536C209" w14:textId="77777777" w:rsidTr="0099729D">
        <w:trPr>
          <w:trHeight w:val="195"/>
        </w:trPr>
        <w:tc>
          <w:tcPr>
            <w:tcW w:w="1804" w:type="dxa"/>
            <w:tcBorders>
              <w:top w:val="nil"/>
              <w:left w:val="nil"/>
              <w:bottom w:val="nil"/>
              <w:right w:val="nil"/>
            </w:tcBorders>
          </w:tcPr>
          <w:p w14:paraId="4A1E417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05C2D62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34.80</w:t>
            </w:r>
          </w:p>
        </w:tc>
        <w:tc>
          <w:tcPr>
            <w:tcW w:w="1028" w:type="dxa"/>
            <w:tcBorders>
              <w:top w:val="nil"/>
              <w:left w:val="nil"/>
              <w:bottom w:val="nil"/>
              <w:right w:val="nil"/>
            </w:tcBorders>
          </w:tcPr>
          <w:p w14:paraId="1E9ED1D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34.71</w:t>
            </w:r>
          </w:p>
        </w:tc>
        <w:tc>
          <w:tcPr>
            <w:tcW w:w="936" w:type="dxa"/>
            <w:tcBorders>
              <w:top w:val="nil"/>
              <w:left w:val="nil"/>
              <w:bottom w:val="nil"/>
              <w:right w:val="nil"/>
            </w:tcBorders>
          </w:tcPr>
          <w:p w14:paraId="4DE5E58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33.46</w:t>
            </w:r>
          </w:p>
        </w:tc>
        <w:tc>
          <w:tcPr>
            <w:tcW w:w="1045" w:type="dxa"/>
            <w:tcBorders>
              <w:top w:val="nil"/>
              <w:left w:val="nil"/>
              <w:bottom w:val="nil"/>
              <w:right w:val="nil"/>
            </w:tcBorders>
          </w:tcPr>
          <w:p w14:paraId="07A22DA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34.44</w:t>
            </w:r>
          </w:p>
        </w:tc>
        <w:tc>
          <w:tcPr>
            <w:tcW w:w="1180" w:type="dxa"/>
            <w:tcBorders>
              <w:top w:val="nil"/>
              <w:left w:val="nil"/>
              <w:bottom w:val="nil"/>
              <w:right w:val="nil"/>
            </w:tcBorders>
          </w:tcPr>
          <w:p w14:paraId="73BE247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35.05</w:t>
            </w:r>
          </w:p>
        </w:tc>
        <w:tc>
          <w:tcPr>
            <w:tcW w:w="1180" w:type="dxa"/>
            <w:tcBorders>
              <w:top w:val="nil"/>
              <w:left w:val="nil"/>
              <w:bottom w:val="nil"/>
              <w:right w:val="nil"/>
            </w:tcBorders>
          </w:tcPr>
          <w:p w14:paraId="6089463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34.93</w:t>
            </w:r>
          </w:p>
        </w:tc>
        <w:tc>
          <w:tcPr>
            <w:tcW w:w="1180" w:type="dxa"/>
            <w:tcBorders>
              <w:top w:val="nil"/>
              <w:left w:val="nil"/>
              <w:bottom w:val="nil"/>
              <w:right w:val="nil"/>
            </w:tcBorders>
          </w:tcPr>
          <w:p w14:paraId="0D5872B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36.86</w:t>
            </w:r>
          </w:p>
        </w:tc>
      </w:tr>
      <w:tr w:rsidR="005760DC" w:rsidRPr="005760DC" w14:paraId="2FE41070" w14:textId="77777777" w:rsidTr="0099729D">
        <w:trPr>
          <w:trHeight w:val="195"/>
        </w:trPr>
        <w:tc>
          <w:tcPr>
            <w:tcW w:w="1804" w:type="dxa"/>
            <w:tcBorders>
              <w:top w:val="nil"/>
              <w:left w:val="nil"/>
              <w:bottom w:val="nil"/>
              <w:right w:val="nil"/>
            </w:tcBorders>
          </w:tcPr>
          <w:p w14:paraId="70BE930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5A1B89D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028" w:type="dxa"/>
            <w:tcBorders>
              <w:top w:val="nil"/>
              <w:left w:val="nil"/>
              <w:bottom w:val="nil"/>
              <w:right w:val="nil"/>
            </w:tcBorders>
          </w:tcPr>
          <w:p w14:paraId="6D84320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936" w:type="dxa"/>
            <w:tcBorders>
              <w:top w:val="nil"/>
              <w:left w:val="nil"/>
              <w:bottom w:val="nil"/>
              <w:right w:val="nil"/>
            </w:tcBorders>
          </w:tcPr>
          <w:p w14:paraId="0381365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045" w:type="dxa"/>
            <w:tcBorders>
              <w:top w:val="nil"/>
              <w:left w:val="nil"/>
              <w:bottom w:val="nil"/>
              <w:right w:val="nil"/>
            </w:tcBorders>
          </w:tcPr>
          <w:p w14:paraId="0F0DF61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180" w:type="dxa"/>
            <w:tcBorders>
              <w:top w:val="nil"/>
              <w:left w:val="nil"/>
              <w:bottom w:val="nil"/>
              <w:right w:val="nil"/>
            </w:tcBorders>
          </w:tcPr>
          <w:p w14:paraId="25A634A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180" w:type="dxa"/>
            <w:tcBorders>
              <w:top w:val="nil"/>
              <w:left w:val="nil"/>
              <w:bottom w:val="nil"/>
              <w:right w:val="nil"/>
            </w:tcBorders>
          </w:tcPr>
          <w:p w14:paraId="743DFCB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180" w:type="dxa"/>
            <w:tcBorders>
              <w:top w:val="nil"/>
              <w:left w:val="nil"/>
              <w:bottom w:val="nil"/>
              <w:right w:val="nil"/>
            </w:tcBorders>
          </w:tcPr>
          <w:p w14:paraId="091619A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r>
      <w:tr w:rsidR="005760DC" w:rsidRPr="005760DC" w14:paraId="626C08B5" w14:textId="77777777" w:rsidTr="0099729D">
        <w:trPr>
          <w:trHeight w:val="195"/>
        </w:trPr>
        <w:tc>
          <w:tcPr>
            <w:tcW w:w="1804" w:type="dxa"/>
            <w:tcBorders>
              <w:top w:val="nil"/>
              <w:left w:val="nil"/>
              <w:bottom w:val="nil"/>
              <w:right w:val="nil"/>
            </w:tcBorders>
          </w:tcPr>
          <w:p w14:paraId="5B57659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nil"/>
              <w:right w:val="nil"/>
            </w:tcBorders>
          </w:tcPr>
          <w:p w14:paraId="42E02D1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124.00</w:t>
            </w:r>
          </w:p>
        </w:tc>
        <w:tc>
          <w:tcPr>
            <w:tcW w:w="1028" w:type="dxa"/>
            <w:tcBorders>
              <w:top w:val="nil"/>
              <w:left w:val="nil"/>
              <w:bottom w:val="nil"/>
              <w:right w:val="nil"/>
            </w:tcBorders>
          </w:tcPr>
          <w:p w14:paraId="2D2E94C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124.00</w:t>
            </w:r>
          </w:p>
        </w:tc>
        <w:tc>
          <w:tcPr>
            <w:tcW w:w="936" w:type="dxa"/>
            <w:tcBorders>
              <w:top w:val="nil"/>
              <w:left w:val="nil"/>
              <w:bottom w:val="nil"/>
              <w:right w:val="nil"/>
            </w:tcBorders>
          </w:tcPr>
          <w:p w14:paraId="6F0EBD2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123.00</w:t>
            </w:r>
          </w:p>
        </w:tc>
        <w:tc>
          <w:tcPr>
            <w:tcW w:w="1045" w:type="dxa"/>
            <w:tcBorders>
              <w:top w:val="nil"/>
              <w:left w:val="nil"/>
              <w:bottom w:val="nil"/>
              <w:right w:val="nil"/>
            </w:tcBorders>
          </w:tcPr>
          <w:p w14:paraId="237B951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123.00</w:t>
            </w:r>
          </w:p>
        </w:tc>
        <w:tc>
          <w:tcPr>
            <w:tcW w:w="1180" w:type="dxa"/>
            <w:tcBorders>
              <w:top w:val="nil"/>
              <w:left w:val="nil"/>
              <w:bottom w:val="nil"/>
              <w:right w:val="nil"/>
            </w:tcBorders>
          </w:tcPr>
          <w:p w14:paraId="5712E95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123.00</w:t>
            </w:r>
          </w:p>
        </w:tc>
        <w:tc>
          <w:tcPr>
            <w:tcW w:w="1180" w:type="dxa"/>
            <w:tcBorders>
              <w:top w:val="nil"/>
              <w:left w:val="nil"/>
              <w:bottom w:val="nil"/>
              <w:right w:val="nil"/>
            </w:tcBorders>
          </w:tcPr>
          <w:p w14:paraId="0B8DCC7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123.00</w:t>
            </w:r>
          </w:p>
        </w:tc>
        <w:tc>
          <w:tcPr>
            <w:tcW w:w="1180" w:type="dxa"/>
            <w:tcBorders>
              <w:top w:val="nil"/>
              <w:left w:val="nil"/>
              <w:bottom w:val="nil"/>
              <w:right w:val="nil"/>
            </w:tcBorders>
          </w:tcPr>
          <w:p w14:paraId="59E93390"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124.00</w:t>
            </w:r>
          </w:p>
        </w:tc>
      </w:tr>
      <w:tr w:rsidR="005760DC" w:rsidRPr="005760DC" w14:paraId="6978C8F5" w14:textId="77777777" w:rsidTr="0099729D">
        <w:trPr>
          <w:trHeight w:val="195"/>
        </w:trPr>
        <w:tc>
          <w:tcPr>
            <w:tcW w:w="9569" w:type="dxa"/>
            <w:gridSpan w:val="8"/>
            <w:tcBorders>
              <w:top w:val="nil"/>
              <w:left w:val="nil"/>
              <w:bottom w:val="nil"/>
              <w:right w:val="nil"/>
            </w:tcBorders>
          </w:tcPr>
          <w:p w14:paraId="6596E91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i/>
                <w:iCs/>
                <w:sz w:val="20"/>
                <w:szCs w:val="20"/>
              </w:rPr>
              <w:t>GUG Ranking (no.)</w:t>
            </w:r>
          </w:p>
        </w:tc>
      </w:tr>
      <w:tr w:rsidR="005760DC" w:rsidRPr="005760DC" w14:paraId="2D442F13" w14:textId="77777777" w:rsidTr="0099729D">
        <w:trPr>
          <w:trHeight w:val="195"/>
        </w:trPr>
        <w:tc>
          <w:tcPr>
            <w:tcW w:w="1804" w:type="dxa"/>
            <w:tcBorders>
              <w:top w:val="nil"/>
              <w:left w:val="nil"/>
              <w:bottom w:val="nil"/>
              <w:right w:val="nil"/>
            </w:tcBorders>
          </w:tcPr>
          <w:p w14:paraId="59C2424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Mean</w:t>
            </w:r>
          </w:p>
        </w:tc>
        <w:tc>
          <w:tcPr>
            <w:tcW w:w="1216" w:type="dxa"/>
            <w:tcBorders>
              <w:top w:val="nil"/>
              <w:left w:val="nil"/>
              <w:bottom w:val="nil"/>
              <w:right w:val="nil"/>
            </w:tcBorders>
          </w:tcPr>
          <w:p w14:paraId="0C75B7D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56.41</w:t>
            </w:r>
          </w:p>
        </w:tc>
        <w:tc>
          <w:tcPr>
            <w:tcW w:w="1028" w:type="dxa"/>
            <w:tcBorders>
              <w:top w:val="nil"/>
              <w:left w:val="nil"/>
              <w:bottom w:val="nil"/>
              <w:right w:val="nil"/>
            </w:tcBorders>
          </w:tcPr>
          <w:p w14:paraId="1B1AC4B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56.10</w:t>
            </w:r>
          </w:p>
        </w:tc>
        <w:tc>
          <w:tcPr>
            <w:tcW w:w="936" w:type="dxa"/>
            <w:tcBorders>
              <w:top w:val="nil"/>
              <w:left w:val="nil"/>
              <w:bottom w:val="nil"/>
              <w:right w:val="nil"/>
            </w:tcBorders>
          </w:tcPr>
          <w:p w14:paraId="6CF8915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55.83</w:t>
            </w:r>
          </w:p>
        </w:tc>
        <w:tc>
          <w:tcPr>
            <w:tcW w:w="1045" w:type="dxa"/>
            <w:tcBorders>
              <w:top w:val="nil"/>
              <w:left w:val="nil"/>
              <w:bottom w:val="nil"/>
              <w:right w:val="nil"/>
            </w:tcBorders>
          </w:tcPr>
          <w:p w14:paraId="16ED9F8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56.15</w:t>
            </w:r>
          </w:p>
        </w:tc>
        <w:tc>
          <w:tcPr>
            <w:tcW w:w="1180" w:type="dxa"/>
            <w:tcBorders>
              <w:top w:val="nil"/>
              <w:left w:val="nil"/>
              <w:bottom w:val="nil"/>
              <w:right w:val="nil"/>
            </w:tcBorders>
          </w:tcPr>
          <w:p w14:paraId="350E234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56.04</w:t>
            </w:r>
          </w:p>
        </w:tc>
        <w:tc>
          <w:tcPr>
            <w:tcW w:w="1180" w:type="dxa"/>
            <w:tcBorders>
              <w:top w:val="nil"/>
              <w:left w:val="nil"/>
              <w:bottom w:val="nil"/>
              <w:right w:val="nil"/>
            </w:tcBorders>
          </w:tcPr>
          <w:p w14:paraId="7A6B88A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57.21</w:t>
            </w:r>
          </w:p>
        </w:tc>
        <w:tc>
          <w:tcPr>
            <w:tcW w:w="1180" w:type="dxa"/>
            <w:tcBorders>
              <w:top w:val="nil"/>
              <w:left w:val="nil"/>
              <w:bottom w:val="nil"/>
              <w:right w:val="nil"/>
            </w:tcBorders>
          </w:tcPr>
          <w:p w14:paraId="0A67055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57.11</w:t>
            </w:r>
          </w:p>
        </w:tc>
      </w:tr>
      <w:tr w:rsidR="005760DC" w:rsidRPr="005760DC" w14:paraId="2630CC00" w14:textId="77777777" w:rsidTr="0099729D">
        <w:trPr>
          <w:trHeight w:val="195"/>
        </w:trPr>
        <w:tc>
          <w:tcPr>
            <w:tcW w:w="1804" w:type="dxa"/>
            <w:tcBorders>
              <w:top w:val="nil"/>
              <w:left w:val="nil"/>
              <w:bottom w:val="nil"/>
              <w:right w:val="nil"/>
            </w:tcBorders>
          </w:tcPr>
          <w:p w14:paraId="2BCEB14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Median </w:t>
            </w:r>
          </w:p>
        </w:tc>
        <w:tc>
          <w:tcPr>
            <w:tcW w:w="1216" w:type="dxa"/>
            <w:tcBorders>
              <w:top w:val="nil"/>
              <w:left w:val="nil"/>
              <w:bottom w:val="nil"/>
              <w:right w:val="nil"/>
            </w:tcBorders>
          </w:tcPr>
          <w:p w14:paraId="33741F01"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55.50</w:t>
            </w:r>
          </w:p>
        </w:tc>
        <w:tc>
          <w:tcPr>
            <w:tcW w:w="1028" w:type="dxa"/>
            <w:tcBorders>
              <w:top w:val="nil"/>
              <w:left w:val="nil"/>
              <w:bottom w:val="nil"/>
              <w:right w:val="nil"/>
            </w:tcBorders>
          </w:tcPr>
          <w:p w14:paraId="08D628E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54.00</w:t>
            </w:r>
          </w:p>
        </w:tc>
        <w:tc>
          <w:tcPr>
            <w:tcW w:w="936" w:type="dxa"/>
            <w:tcBorders>
              <w:top w:val="nil"/>
              <w:left w:val="nil"/>
              <w:bottom w:val="nil"/>
              <w:right w:val="nil"/>
            </w:tcBorders>
          </w:tcPr>
          <w:p w14:paraId="1AEC00F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55.00</w:t>
            </w:r>
          </w:p>
        </w:tc>
        <w:tc>
          <w:tcPr>
            <w:tcW w:w="1045" w:type="dxa"/>
            <w:tcBorders>
              <w:top w:val="nil"/>
              <w:left w:val="nil"/>
              <w:bottom w:val="nil"/>
              <w:right w:val="nil"/>
            </w:tcBorders>
          </w:tcPr>
          <w:p w14:paraId="6AED8514"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54.00</w:t>
            </w:r>
          </w:p>
        </w:tc>
        <w:tc>
          <w:tcPr>
            <w:tcW w:w="1180" w:type="dxa"/>
            <w:tcBorders>
              <w:top w:val="nil"/>
              <w:left w:val="nil"/>
              <w:bottom w:val="nil"/>
              <w:right w:val="nil"/>
            </w:tcBorders>
          </w:tcPr>
          <w:p w14:paraId="3517347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56.00</w:t>
            </w:r>
          </w:p>
        </w:tc>
        <w:tc>
          <w:tcPr>
            <w:tcW w:w="1180" w:type="dxa"/>
            <w:tcBorders>
              <w:top w:val="nil"/>
              <w:left w:val="nil"/>
              <w:bottom w:val="nil"/>
              <w:right w:val="nil"/>
            </w:tcBorders>
          </w:tcPr>
          <w:p w14:paraId="5643CDB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57.00</w:t>
            </w:r>
          </w:p>
        </w:tc>
        <w:tc>
          <w:tcPr>
            <w:tcW w:w="1180" w:type="dxa"/>
            <w:tcBorders>
              <w:top w:val="nil"/>
              <w:left w:val="nil"/>
              <w:bottom w:val="nil"/>
              <w:right w:val="nil"/>
            </w:tcBorders>
          </w:tcPr>
          <w:p w14:paraId="02377FD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56.00</w:t>
            </w:r>
          </w:p>
        </w:tc>
      </w:tr>
      <w:tr w:rsidR="005760DC" w:rsidRPr="005760DC" w14:paraId="3B00CCDD" w14:textId="77777777" w:rsidTr="0099729D">
        <w:trPr>
          <w:trHeight w:val="195"/>
        </w:trPr>
        <w:tc>
          <w:tcPr>
            <w:tcW w:w="1804" w:type="dxa"/>
            <w:tcBorders>
              <w:top w:val="nil"/>
              <w:left w:val="nil"/>
              <w:bottom w:val="nil"/>
              <w:right w:val="nil"/>
            </w:tcBorders>
          </w:tcPr>
          <w:p w14:paraId="390EF4D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STD</w:t>
            </w:r>
          </w:p>
        </w:tc>
        <w:tc>
          <w:tcPr>
            <w:tcW w:w="1216" w:type="dxa"/>
            <w:tcBorders>
              <w:top w:val="nil"/>
              <w:left w:val="nil"/>
              <w:bottom w:val="nil"/>
              <w:right w:val="nil"/>
            </w:tcBorders>
          </w:tcPr>
          <w:p w14:paraId="0DD4C37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32.99</w:t>
            </w:r>
          </w:p>
        </w:tc>
        <w:tc>
          <w:tcPr>
            <w:tcW w:w="1028" w:type="dxa"/>
            <w:tcBorders>
              <w:top w:val="nil"/>
              <w:left w:val="nil"/>
              <w:bottom w:val="nil"/>
              <w:right w:val="nil"/>
            </w:tcBorders>
          </w:tcPr>
          <w:p w14:paraId="365B656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33.33</w:t>
            </w:r>
          </w:p>
        </w:tc>
        <w:tc>
          <w:tcPr>
            <w:tcW w:w="936" w:type="dxa"/>
            <w:tcBorders>
              <w:top w:val="nil"/>
              <w:left w:val="nil"/>
              <w:bottom w:val="nil"/>
              <w:right w:val="nil"/>
            </w:tcBorders>
          </w:tcPr>
          <w:p w14:paraId="6B4DEA9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33.36</w:t>
            </w:r>
          </w:p>
        </w:tc>
        <w:tc>
          <w:tcPr>
            <w:tcW w:w="1045" w:type="dxa"/>
            <w:tcBorders>
              <w:top w:val="nil"/>
              <w:left w:val="nil"/>
              <w:bottom w:val="nil"/>
              <w:right w:val="nil"/>
            </w:tcBorders>
          </w:tcPr>
          <w:p w14:paraId="272DC2AE"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33.27</w:t>
            </w:r>
          </w:p>
        </w:tc>
        <w:tc>
          <w:tcPr>
            <w:tcW w:w="1180" w:type="dxa"/>
            <w:tcBorders>
              <w:top w:val="nil"/>
              <w:left w:val="nil"/>
              <w:bottom w:val="nil"/>
              <w:right w:val="nil"/>
            </w:tcBorders>
          </w:tcPr>
          <w:p w14:paraId="2192519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33.02</w:t>
            </w:r>
          </w:p>
        </w:tc>
        <w:tc>
          <w:tcPr>
            <w:tcW w:w="1180" w:type="dxa"/>
            <w:tcBorders>
              <w:top w:val="nil"/>
              <w:left w:val="nil"/>
              <w:bottom w:val="nil"/>
              <w:right w:val="nil"/>
            </w:tcBorders>
          </w:tcPr>
          <w:p w14:paraId="05521463"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32.90</w:t>
            </w:r>
          </w:p>
        </w:tc>
        <w:tc>
          <w:tcPr>
            <w:tcW w:w="1180" w:type="dxa"/>
            <w:tcBorders>
              <w:top w:val="nil"/>
              <w:left w:val="nil"/>
              <w:bottom w:val="nil"/>
              <w:right w:val="nil"/>
            </w:tcBorders>
          </w:tcPr>
          <w:p w14:paraId="38E4C25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32.85</w:t>
            </w:r>
          </w:p>
        </w:tc>
      </w:tr>
      <w:tr w:rsidR="005760DC" w:rsidRPr="005760DC" w14:paraId="424C9F2F" w14:textId="77777777" w:rsidTr="0099729D">
        <w:trPr>
          <w:trHeight w:val="195"/>
        </w:trPr>
        <w:tc>
          <w:tcPr>
            <w:tcW w:w="1804" w:type="dxa"/>
            <w:tcBorders>
              <w:top w:val="nil"/>
              <w:left w:val="nil"/>
              <w:bottom w:val="nil"/>
              <w:right w:val="nil"/>
            </w:tcBorders>
          </w:tcPr>
          <w:p w14:paraId="28C00FC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Minimum</w:t>
            </w:r>
          </w:p>
        </w:tc>
        <w:tc>
          <w:tcPr>
            <w:tcW w:w="1216" w:type="dxa"/>
            <w:tcBorders>
              <w:top w:val="nil"/>
              <w:left w:val="nil"/>
              <w:bottom w:val="nil"/>
              <w:right w:val="nil"/>
            </w:tcBorders>
          </w:tcPr>
          <w:p w14:paraId="6B2A28C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028" w:type="dxa"/>
            <w:tcBorders>
              <w:top w:val="nil"/>
              <w:left w:val="nil"/>
              <w:bottom w:val="nil"/>
              <w:right w:val="nil"/>
            </w:tcBorders>
          </w:tcPr>
          <w:p w14:paraId="4B6BFC57"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936" w:type="dxa"/>
            <w:tcBorders>
              <w:top w:val="nil"/>
              <w:left w:val="nil"/>
              <w:bottom w:val="nil"/>
              <w:right w:val="nil"/>
            </w:tcBorders>
          </w:tcPr>
          <w:p w14:paraId="08BC748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045" w:type="dxa"/>
            <w:tcBorders>
              <w:top w:val="nil"/>
              <w:left w:val="nil"/>
              <w:bottom w:val="nil"/>
              <w:right w:val="nil"/>
            </w:tcBorders>
          </w:tcPr>
          <w:p w14:paraId="40CFB14B"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180" w:type="dxa"/>
            <w:tcBorders>
              <w:top w:val="nil"/>
              <w:left w:val="nil"/>
              <w:bottom w:val="nil"/>
              <w:right w:val="nil"/>
            </w:tcBorders>
          </w:tcPr>
          <w:p w14:paraId="7AD157F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180" w:type="dxa"/>
            <w:tcBorders>
              <w:top w:val="nil"/>
              <w:left w:val="nil"/>
              <w:bottom w:val="nil"/>
              <w:right w:val="nil"/>
            </w:tcBorders>
          </w:tcPr>
          <w:p w14:paraId="4C27C69D"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c>
          <w:tcPr>
            <w:tcW w:w="1180" w:type="dxa"/>
            <w:tcBorders>
              <w:top w:val="nil"/>
              <w:left w:val="nil"/>
              <w:bottom w:val="nil"/>
              <w:right w:val="nil"/>
            </w:tcBorders>
          </w:tcPr>
          <w:p w14:paraId="2CFB5DD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 xml:space="preserve">    1.00</w:t>
            </w:r>
          </w:p>
        </w:tc>
      </w:tr>
      <w:tr w:rsidR="005760DC" w:rsidRPr="005760DC" w14:paraId="7DF47CAD" w14:textId="77777777" w:rsidTr="0099729D">
        <w:trPr>
          <w:trHeight w:val="195"/>
        </w:trPr>
        <w:tc>
          <w:tcPr>
            <w:tcW w:w="1804" w:type="dxa"/>
            <w:tcBorders>
              <w:top w:val="nil"/>
              <w:left w:val="nil"/>
              <w:bottom w:val="single" w:sz="4" w:space="0" w:color="auto"/>
              <w:right w:val="nil"/>
            </w:tcBorders>
          </w:tcPr>
          <w:p w14:paraId="108394E2"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Maximum</w:t>
            </w:r>
          </w:p>
        </w:tc>
        <w:tc>
          <w:tcPr>
            <w:tcW w:w="1216" w:type="dxa"/>
            <w:tcBorders>
              <w:top w:val="nil"/>
              <w:left w:val="nil"/>
              <w:bottom w:val="single" w:sz="4" w:space="0" w:color="auto"/>
              <w:right w:val="nil"/>
            </w:tcBorders>
          </w:tcPr>
          <w:p w14:paraId="22F36E88"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119.00</w:t>
            </w:r>
          </w:p>
        </w:tc>
        <w:tc>
          <w:tcPr>
            <w:tcW w:w="1028" w:type="dxa"/>
            <w:tcBorders>
              <w:top w:val="nil"/>
              <w:left w:val="nil"/>
              <w:bottom w:val="single" w:sz="4" w:space="0" w:color="auto"/>
              <w:right w:val="nil"/>
            </w:tcBorders>
          </w:tcPr>
          <w:p w14:paraId="6FE4155F"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113.00</w:t>
            </w:r>
          </w:p>
        </w:tc>
        <w:tc>
          <w:tcPr>
            <w:tcW w:w="936" w:type="dxa"/>
            <w:tcBorders>
              <w:top w:val="nil"/>
              <w:left w:val="nil"/>
              <w:bottom w:val="single" w:sz="4" w:space="0" w:color="auto"/>
              <w:right w:val="nil"/>
            </w:tcBorders>
          </w:tcPr>
          <w:p w14:paraId="1C14BFAC"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116.00</w:t>
            </w:r>
          </w:p>
        </w:tc>
        <w:tc>
          <w:tcPr>
            <w:tcW w:w="1045" w:type="dxa"/>
            <w:tcBorders>
              <w:top w:val="nil"/>
              <w:left w:val="nil"/>
              <w:bottom w:val="single" w:sz="4" w:space="0" w:color="auto"/>
              <w:right w:val="nil"/>
            </w:tcBorders>
          </w:tcPr>
          <w:p w14:paraId="6309DB29"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117.00</w:t>
            </w:r>
          </w:p>
        </w:tc>
        <w:tc>
          <w:tcPr>
            <w:tcW w:w="1180" w:type="dxa"/>
            <w:tcBorders>
              <w:top w:val="nil"/>
              <w:left w:val="nil"/>
              <w:bottom w:val="single" w:sz="4" w:space="0" w:color="auto"/>
              <w:right w:val="nil"/>
            </w:tcBorders>
          </w:tcPr>
          <w:p w14:paraId="0C299E25"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118.00</w:t>
            </w:r>
          </w:p>
        </w:tc>
        <w:tc>
          <w:tcPr>
            <w:tcW w:w="1180" w:type="dxa"/>
            <w:tcBorders>
              <w:top w:val="nil"/>
              <w:left w:val="nil"/>
              <w:bottom w:val="single" w:sz="4" w:space="0" w:color="auto"/>
              <w:right w:val="nil"/>
            </w:tcBorders>
          </w:tcPr>
          <w:p w14:paraId="33A4BAA6"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119.00</w:t>
            </w:r>
          </w:p>
        </w:tc>
        <w:tc>
          <w:tcPr>
            <w:tcW w:w="1180" w:type="dxa"/>
            <w:tcBorders>
              <w:top w:val="nil"/>
              <w:left w:val="nil"/>
              <w:bottom w:val="single" w:sz="4" w:space="0" w:color="auto"/>
              <w:right w:val="nil"/>
            </w:tcBorders>
          </w:tcPr>
          <w:p w14:paraId="5199378A" w14:textId="77777777" w:rsidR="005760DC" w:rsidRPr="005760DC" w:rsidRDefault="005760DC" w:rsidP="0099729D">
            <w:pPr>
              <w:rPr>
                <w:rFonts w:ascii="Times New Roman" w:eastAsia="Calibri" w:hAnsi="Times New Roman"/>
                <w:bCs/>
                <w:sz w:val="20"/>
                <w:szCs w:val="20"/>
              </w:rPr>
            </w:pPr>
            <w:r w:rsidRPr="005760DC">
              <w:rPr>
                <w:rFonts w:ascii="Times New Roman" w:eastAsia="Calibri" w:hAnsi="Times New Roman"/>
                <w:bCs/>
                <w:sz w:val="20"/>
                <w:szCs w:val="20"/>
              </w:rPr>
              <w:t>117.00</w:t>
            </w:r>
          </w:p>
        </w:tc>
      </w:tr>
    </w:tbl>
    <w:p w14:paraId="2AF573CB" w14:textId="25680625" w:rsidR="005760DC" w:rsidRDefault="005760DC"/>
    <w:p w14:paraId="0089EF3B" w14:textId="77777777" w:rsidR="0099729D" w:rsidRDefault="0099729D" w:rsidP="005760DC">
      <w:pPr>
        <w:spacing w:after="0" w:line="480" w:lineRule="auto"/>
        <w:ind w:firstLine="720"/>
        <w:jc w:val="both"/>
        <w:rPr>
          <w:rFonts w:ascii="Times New Roman" w:eastAsia="Calibri" w:hAnsi="Times New Roman" w:cs="Times New Roman"/>
          <w:sz w:val="24"/>
          <w:szCs w:val="24"/>
        </w:rPr>
        <w:sectPr w:rsidR="0099729D" w:rsidSect="004D65E3">
          <w:pgSz w:w="11906" w:h="16838"/>
          <w:pgMar w:top="1440" w:right="1440" w:bottom="1440" w:left="1440" w:header="708" w:footer="708" w:gutter="0"/>
          <w:cols w:space="708"/>
          <w:docGrid w:linePitch="360"/>
        </w:sectPr>
      </w:pPr>
    </w:p>
    <w:p w14:paraId="756C338F" w14:textId="5B22FA5A" w:rsidR="005760DC" w:rsidRPr="005760DC" w:rsidRDefault="005760DC" w:rsidP="005760DC">
      <w:pPr>
        <w:spacing w:after="0" w:line="480" w:lineRule="auto"/>
        <w:ind w:firstLine="720"/>
        <w:jc w:val="both"/>
        <w:rPr>
          <w:rFonts w:ascii="Times New Roman" w:eastAsia="Calibri" w:hAnsi="Times New Roman" w:cs="Times New Roman"/>
          <w:sz w:val="24"/>
          <w:szCs w:val="24"/>
          <w:shd w:val="clear" w:color="auto" w:fill="FFFFFF"/>
        </w:rPr>
      </w:pPr>
      <w:r w:rsidRPr="005760DC">
        <w:rPr>
          <w:rFonts w:ascii="Times New Roman" w:eastAsia="Calibri" w:hAnsi="Times New Roman" w:cs="Times New Roman"/>
          <w:sz w:val="24"/>
          <w:szCs w:val="24"/>
        </w:rPr>
        <w:lastRenderedPageBreak/>
        <w:t>Panel ‘</w:t>
      </w:r>
      <w:r w:rsidRPr="005760DC">
        <w:rPr>
          <w:rFonts w:ascii="Times New Roman" w:eastAsia="Calibri" w:hAnsi="Times New Roman" w:cs="Times New Roman"/>
          <w:i/>
          <w:iCs/>
          <w:sz w:val="24"/>
          <w:szCs w:val="24"/>
        </w:rPr>
        <w:t>A</w:t>
      </w:r>
      <w:r w:rsidRPr="005760DC">
        <w:rPr>
          <w:rFonts w:ascii="Times New Roman" w:eastAsia="Calibri" w:hAnsi="Times New Roman" w:cs="Times New Roman"/>
          <w:sz w:val="24"/>
          <w:szCs w:val="24"/>
        </w:rPr>
        <w:t>’ and ‘</w:t>
      </w:r>
      <w:r w:rsidRPr="005760DC">
        <w:rPr>
          <w:rFonts w:ascii="Times New Roman" w:eastAsia="Calibri" w:hAnsi="Times New Roman" w:cs="Times New Roman"/>
          <w:i/>
          <w:iCs/>
          <w:sz w:val="24"/>
          <w:szCs w:val="24"/>
        </w:rPr>
        <w:t>B</w:t>
      </w:r>
      <w:r w:rsidRPr="005760DC">
        <w:rPr>
          <w:rFonts w:ascii="Times New Roman" w:eastAsia="Calibri" w:hAnsi="Times New Roman" w:cs="Times New Roman"/>
          <w:sz w:val="24"/>
          <w:szCs w:val="24"/>
        </w:rPr>
        <w:t xml:space="preserve">’ of </w:t>
      </w:r>
      <w:r w:rsidR="003134B1">
        <w:rPr>
          <w:rFonts w:ascii="Times New Roman" w:eastAsia="Calibri" w:hAnsi="Times New Roman" w:cs="Times New Roman"/>
          <w:sz w:val="24"/>
          <w:szCs w:val="24"/>
        </w:rPr>
        <w:t xml:space="preserve">the </w:t>
      </w:r>
      <w:r w:rsidR="0051717F" w:rsidRPr="008F5521">
        <w:rPr>
          <w:rFonts w:ascii="Times New Roman" w:eastAsia="Calibri" w:hAnsi="Times New Roman" w:cs="Times New Roman"/>
          <w:b/>
          <w:bCs/>
          <w:sz w:val="24"/>
          <w:szCs w:val="24"/>
        </w:rPr>
        <w:t xml:space="preserve">online </w:t>
      </w:r>
      <w:r w:rsidRPr="008F5521">
        <w:rPr>
          <w:rFonts w:ascii="Times New Roman" w:eastAsia="Calibri" w:hAnsi="Times New Roman" w:cs="Times New Roman"/>
          <w:b/>
          <w:bCs/>
          <w:i/>
          <w:iCs/>
          <w:sz w:val="24"/>
          <w:szCs w:val="24"/>
        </w:rPr>
        <w:t>Appendix 3</w:t>
      </w:r>
      <w:r w:rsidRPr="005760DC">
        <w:rPr>
          <w:rFonts w:ascii="Times New Roman" w:eastAsia="Calibri" w:hAnsi="Times New Roman" w:cs="Times New Roman"/>
          <w:sz w:val="24"/>
          <w:szCs w:val="24"/>
        </w:rPr>
        <w:t xml:space="preserve"> report the descriptive analysis of HEIs long- and short-term performance indicators, respectively, and the findings show a substantial spread for each of these examined variables. For example, women in UK HEIs earn on average 15.95% less than men per hour, and the gender pay gap ranges between 1% and 36%. Further, the mean gender pay gap has slightly improved by an average of 0.94% (from 16.10% in 2009 to 15.16% in 2014) in favour of women. Similarly, the reported results in Panel ‘</w:t>
      </w:r>
      <w:r w:rsidRPr="005760DC">
        <w:rPr>
          <w:rFonts w:ascii="Times New Roman" w:eastAsia="Calibri" w:hAnsi="Times New Roman" w:cs="Times New Roman"/>
          <w:i/>
          <w:iCs/>
          <w:sz w:val="24"/>
          <w:szCs w:val="24"/>
        </w:rPr>
        <w:t>A</w:t>
      </w:r>
      <w:r w:rsidRPr="005760DC">
        <w:rPr>
          <w:rFonts w:ascii="Times New Roman" w:eastAsia="Calibri" w:hAnsi="Times New Roman" w:cs="Times New Roman"/>
          <w:sz w:val="24"/>
          <w:szCs w:val="24"/>
        </w:rPr>
        <w:t xml:space="preserve">’ of </w:t>
      </w:r>
      <w:r w:rsidR="003134B1">
        <w:rPr>
          <w:rFonts w:ascii="Times New Roman" w:eastAsia="Calibri" w:hAnsi="Times New Roman" w:cs="Times New Roman"/>
          <w:sz w:val="24"/>
          <w:szCs w:val="24"/>
        </w:rPr>
        <w:t xml:space="preserve">the </w:t>
      </w:r>
      <w:r w:rsidR="0051717F" w:rsidRPr="008F5521">
        <w:rPr>
          <w:rFonts w:ascii="Times New Roman" w:eastAsia="Calibri" w:hAnsi="Times New Roman" w:cs="Times New Roman"/>
          <w:b/>
          <w:bCs/>
          <w:i/>
          <w:iCs/>
          <w:sz w:val="24"/>
          <w:szCs w:val="24"/>
        </w:rPr>
        <w:t xml:space="preserve">online </w:t>
      </w:r>
      <w:r w:rsidRPr="008F5521">
        <w:rPr>
          <w:rFonts w:ascii="Times New Roman" w:eastAsia="Calibri" w:hAnsi="Times New Roman" w:cs="Times New Roman"/>
          <w:b/>
          <w:bCs/>
          <w:i/>
          <w:iCs/>
          <w:sz w:val="24"/>
          <w:szCs w:val="24"/>
        </w:rPr>
        <w:t>Appendix 3</w:t>
      </w:r>
      <w:r w:rsidRPr="005760DC">
        <w:rPr>
          <w:rFonts w:ascii="Times New Roman" w:eastAsia="Calibri" w:hAnsi="Times New Roman" w:cs="Times New Roman"/>
          <w:sz w:val="24"/>
          <w:szCs w:val="24"/>
        </w:rPr>
        <w:t xml:space="preserve"> exhibit wide variability in the distributions of other long-term performance indicators. For example, </w:t>
      </w:r>
      <w:r w:rsidR="003134B1">
        <w:rPr>
          <w:rFonts w:ascii="Times New Roman" w:eastAsia="Calibri" w:hAnsi="Times New Roman" w:cs="Times New Roman"/>
          <w:sz w:val="24"/>
          <w:szCs w:val="24"/>
        </w:rPr>
        <w:t xml:space="preserve">the </w:t>
      </w:r>
      <w:r w:rsidR="0051717F" w:rsidRPr="008F5521">
        <w:rPr>
          <w:rFonts w:ascii="Times New Roman" w:eastAsia="Calibri" w:hAnsi="Times New Roman" w:cs="Times New Roman"/>
          <w:b/>
          <w:bCs/>
          <w:i/>
          <w:iCs/>
          <w:sz w:val="24"/>
          <w:szCs w:val="24"/>
        </w:rPr>
        <w:t xml:space="preserve">online </w:t>
      </w:r>
      <w:r w:rsidRPr="008F5521">
        <w:rPr>
          <w:rFonts w:ascii="Times New Roman" w:eastAsia="Calibri" w:hAnsi="Times New Roman" w:cs="Times New Roman"/>
          <w:b/>
          <w:bCs/>
          <w:i/>
          <w:iCs/>
          <w:sz w:val="24"/>
          <w:szCs w:val="24"/>
        </w:rPr>
        <w:t>Appendix 3</w:t>
      </w:r>
      <w:r w:rsidRPr="005760DC">
        <w:rPr>
          <w:rFonts w:ascii="Times New Roman" w:eastAsia="Calibri" w:hAnsi="Times New Roman" w:cs="Times New Roman"/>
          <w:sz w:val="24"/>
          <w:szCs w:val="24"/>
        </w:rPr>
        <w:t xml:space="preserve"> shows that on average 29.56% of UK HEIs’ staff are young (their age ≤ 35), ranging between 14% and 54% over the six-year period examined. Additionally, the evidence in Panel ‘A’ of </w:t>
      </w:r>
      <w:r w:rsidR="003134B1">
        <w:rPr>
          <w:rFonts w:ascii="Times New Roman" w:eastAsia="Calibri" w:hAnsi="Times New Roman" w:cs="Times New Roman"/>
          <w:sz w:val="24"/>
          <w:szCs w:val="24"/>
        </w:rPr>
        <w:t xml:space="preserve">the </w:t>
      </w:r>
      <w:r w:rsidR="0051717F" w:rsidRPr="008F5521">
        <w:rPr>
          <w:rFonts w:ascii="Times New Roman" w:eastAsia="Calibri" w:hAnsi="Times New Roman" w:cs="Times New Roman"/>
          <w:b/>
          <w:bCs/>
          <w:i/>
          <w:iCs/>
          <w:sz w:val="24"/>
          <w:szCs w:val="24"/>
        </w:rPr>
        <w:t xml:space="preserve">online </w:t>
      </w:r>
      <w:r w:rsidRPr="008F5521">
        <w:rPr>
          <w:rFonts w:ascii="Times New Roman" w:eastAsia="Calibri" w:hAnsi="Times New Roman" w:cs="Times New Roman"/>
          <w:b/>
          <w:bCs/>
          <w:i/>
          <w:iCs/>
          <w:sz w:val="24"/>
          <w:szCs w:val="24"/>
        </w:rPr>
        <w:t>Appendix 3</w:t>
      </w:r>
      <w:r w:rsidRPr="005760DC">
        <w:rPr>
          <w:rFonts w:ascii="Times New Roman" w:eastAsia="Calibri" w:hAnsi="Times New Roman" w:cs="Times New Roman"/>
          <w:sz w:val="24"/>
          <w:szCs w:val="24"/>
        </w:rPr>
        <w:t xml:space="preserve"> indicates that UK HEIs’ support for community/social contributions and student retention/competition has increased over the six-year period analysed. For </w:t>
      </w:r>
      <w:proofErr w:type="gramStart"/>
      <w:r w:rsidRPr="005760DC">
        <w:rPr>
          <w:rFonts w:ascii="Times New Roman" w:eastAsia="Calibri" w:hAnsi="Times New Roman" w:cs="Times New Roman"/>
          <w:sz w:val="24"/>
          <w:szCs w:val="24"/>
        </w:rPr>
        <w:t>example</w:t>
      </w:r>
      <w:proofErr w:type="gramEnd"/>
      <w:r w:rsidRPr="005760DC">
        <w:rPr>
          <w:rFonts w:ascii="Times New Roman" w:eastAsia="Calibri" w:hAnsi="Times New Roman" w:cs="Times New Roman"/>
          <w:sz w:val="24"/>
          <w:szCs w:val="24"/>
          <w:shd w:val="clear" w:color="auto" w:fill="FFFFFF"/>
        </w:rPr>
        <w:t xml:space="preserve"> and consistent with the student protection plans (Office for Students, 2021), the number of students, who discontinued their studies, have decreased by approximately 10%, from 231 students in 2009 to 208 students in 2014.</w:t>
      </w:r>
    </w:p>
    <w:p w14:paraId="53DFE392" w14:textId="59DD7D43" w:rsidR="001376C0" w:rsidRDefault="001376C0" w:rsidP="001376C0">
      <w:pPr>
        <w:spacing w:after="0" w:line="480" w:lineRule="auto"/>
        <w:ind w:firstLine="720"/>
        <w:jc w:val="both"/>
        <w:rPr>
          <w:rFonts w:asciiTheme="majorBidi" w:hAnsiTheme="majorBidi" w:cstheme="majorBidi"/>
          <w:sz w:val="24"/>
          <w:szCs w:val="24"/>
        </w:rPr>
      </w:pPr>
      <w:r w:rsidRPr="00074B5B">
        <w:rPr>
          <w:rFonts w:ascii="Times New Roman" w:hAnsi="Times New Roman" w:cs="Times New Roman"/>
          <w:sz w:val="24"/>
          <w:szCs w:val="24"/>
          <w:shd w:val="clear" w:color="auto" w:fill="FFFFFF"/>
        </w:rPr>
        <w:t xml:space="preserve">In terms of the UK HEIs’ short-term performance indicators, the findings reported in </w:t>
      </w:r>
      <w:r w:rsidRPr="00074B5B">
        <w:rPr>
          <w:rFonts w:asciiTheme="majorBidi" w:hAnsiTheme="majorBidi" w:cstheme="majorBidi"/>
          <w:sz w:val="24"/>
          <w:szCs w:val="24"/>
        </w:rPr>
        <w:t>Panel ‘</w:t>
      </w:r>
      <w:r w:rsidRPr="00074B5B">
        <w:rPr>
          <w:rFonts w:asciiTheme="majorBidi" w:hAnsiTheme="majorBidi" w:cstheme="majorBidi"/>
          <w:i/>
          <w:iCs/>
          <w:sz w:val="24"/>
          <w:szCs w:val="24"/>
        </w:rPr>
        <w:t>B</w:t>
      </w:r>
      <w:r w:rsidRPr="00074B5B">
        <w:rPr>
          <w:rFonts w:asciiTheme="majorBidi" w:hAnsiTheme="majorBidi" w:cstheme="majorBidi"/>
          <w:sz w:val="24"/>
          <w:szCs w:val="24"/>
        </w:rPr>
        <w:t xml:space="preserve">’ of </w:t>
      </w:r>
      <w:r w:rsidR="003134B1">
        <w:rPr>
          <w:rFonts w:asciiTheme="majorBidi" w:hAnsiTheme="majorBidi" w:cstheme="majorBidi"/>
          <w:sz w:val="24"/>
          <w:szCs w:val="24"/>
        </w:rPr>
        <w:t xml:space="preserve">the </w:t>
      </w:r>
      <w:r w:rsidR="0051717F" w:rsidRPr="008F5521">
        <w:rPr>
          <w:rFonts w:asciiTheme="majorBidi" w:hAnsiTheme="majorBidi" w:cstheme="majorBidi"/>
          <w:b/>
          <w:bCs/>
          <w:i/>
          <w:iCs/>
          <w:sz w:val="24"/>
          <w:szCs w:val="24"/>
        </w:rPr>
        <w:t xml:space="preserve">online </w:t>
      </w:r>
      <w:r w:rsidRPr="008F5521">
        <w:rPr>
          <w:rFonts w:asciiTheme="majorBidi" w:hAnsiTheme="majorBidi" w:cstheme="majorBidi"/>
          <w:b/>
          <w:bCs/>
          <w:i/>
          <w:iCs/>
          <w:sz w:val="24"/>
          <w:szCs w:val="24"/>
        </w:rPr>
        <w:t>Appendix 3</w:t>
      </w:r>
      <w:r w:rsidRPr="00074B5B">
        <w:rPr>
          <w:rFonts w:asciiTheme="majorBidi" w:hAnsiTheme="majorBidi" w:cstheme="majorBidi"/>
          <w:sz w:val="24"/>
          <w:szCs w:val="24"/>
        </w:rPr>
        <w:t xml:space="preserve"> show a substantial spread for each of these examined variables. </w:t>
      </w:r>
      <w:r w:rsidRPr="00074B5B">
        <w:rPr>
          <w:rFonts w:asciiTheme="majorBidi" w:hAnsiTheme="majorBidi" w:cstheme="majorBidi"/>
          <w:i/>
          <w:iCs/>
          <w:sz w:val="24"/>
          <w:szCs w:val="24"/>
        </w:rPr>
        <w:t>QS</w:t>
      </w:r>
      <w:r w:rsidRPr="00074B5B">
        <w:rPr>
          <w:rFonts w:asciiTheme="majorBidi" w:hAnsiTheme="majorBidi" w:cstheme="majorBidi"/>
          <w:sz w:val="24"/>
          <w:szCs w:val="24"/>
        </w:rPr>
        <w:t xml:space="preserve"> Rankings, for example, ranges between 1 and 901 with a mean value of 355.85. Similarly, GUG rankings lies between 1 and 119 with a mean value of 56.41. Additionally, HEIs included in our sample have wide distribution in terms of their </w:t>
      </w:r>
      <w:r w:rsidRPr="00074B5B">
        <w:rPr>
          <w:rFonts w:asciiTheme="majorBidi" w:hAnsiTheme="majorBidi" w:cstheme="majorBidi"/>
          <w:i/>
          <w:iCs/>
          <w:sz w:val="24"/>
          <w:szCs w:val="24"/>
        </w:rPr>
        <w:t>THE</w:t>
      </w:r>
      <w:r w:rsidRPr="00074B5B">
        <w:rPr>
          <w:rFonts w:asciiTheme="majorBidi" w:hAnsiTheme="majorBidi" w:cstheme="majorBidi"/>
          <w:sz w:val="24"/>
          <w:szCs w:val="24"/>
        </w:rPr>
        <w:t xml:space="preserve">, </w:t>
      </w:r>
      <w:r w:rsidRPr="00074B5B">
        <w:rPr>
          <w:rFonts w:asciiTheme="majorBidi" w:hAnsiTheme="majorBidi" w:cstheme="majorBidi"/>
          <w:i/>
          <w:iCs/>
          <w:sz w:val="24"/>
          <w:szCs w:val="24"/>
        </w:rPr>
        <w:t>CUG</w:t>
      </w:r>
      <w:r>
        <w:rPr>
          <w:rFonts w:asciiTheme="majorBidi" w:hAnsiTheme="majorBidi" w:cstheme="majorBidi"/>
          <w:i/>
          <w:iCs/>
          <w:sz w:val="24"/>
          <w:szCs w:val="24"/>
        </w:rPr>
        <w:t xml:space="preserve"> </w:t>
      </w:r>
      <w:r w:rsidRPr="00074B5B">
        <w:rPr>
          <w:rFonts w:asciiTheme="majorBidi" w:hAnsiTheme="majorBidi" w:cstheme="majorBidi"/>
          <w:sz w:val="24"/>
          <w:szCs w:val="24"/>
        </w:rPr>
        <w:t xml:space="preserve">and </w:t>
      </w:r>
      <w:r>
        <w:rPr>
          <w:rFonts w:asciiTheme="majorBidi" w:hAnsiTheme="majorBidi" w:cstheme="majorBidi"/>
          <w:i/>
          <w:iCs/>
          <w:sz w:val="24"/>
          <w:szCs w:val="24"/>
        </w:rPr>
        <w:t>GUG</w:t>
      </w:r>
      <w:r w:rsidRPr="00074B5B">
        <w:rPr>
          <w:rFonts w:asciiTheme="majorBidi" w:hAnsiTheme="majorBidi" w:cstheme="majorBidi"/>
          <w:sz w:val="24"/>
          <w:szCs w:val="24"/>
        </w:rPr>
        <w:t xml:space="preserve"> </w:t>
      </w:r>
      <w:r>
        <w:rPr>
          <w:rFonts w:asciiTheme="majorBidi" w:hAnsiTheme="majorBidi" w:cstheme="majorBidi"/>
          <w:sz w:val="24"/>
          <w:szCs w:val="24"/>
        </w:rPr>
        <w:t xml:space="preserve">rankings. For example, the value of </w:t>
      </w:r>
      <w:r w:rsidRPr="0045208A">
        <w:rPr>
          <w:rFonts w:asciiTheme="majorBidi" w:hAnsiTheme="majorBidi" w:cstheme="majorBidi"/>
          <w:i/>
          <w:iCs/>
          <w:sz w:val="24"/>
          <w:szCs w:val="24"/>
        </w:rPr>
        <w:t>CUG</w:t>
      </w:r>
      <w:r>
        <w:rPr>
          <w:rFonts w:asciiTheme="majorBidi" w:hAnsiTheme="majorBidi" w:cstheme="majorBidi"/>
          <w:sz w:val="24"/>
          <w:szCs w:val="24"/>
        </w:rPr>
        <w:t xml:space="preserve"> rankings ranges between 1 and 124 with a mean of 53.65. Our findings in Panels ‘</w:t>
      </w:r>
      <w:r>
        <w:rPr>
          <w:rFonts w:asciiTheme="majorBidi" w:hAnsiTheme="majorBidi" w:cstheme="majorBidi"/>
          <w:i/>
          <w:iCs/>
          <w:sz w:val="24"/>
          <w:szCs w:val="24"/>
        </w:rPr>
        <w:t>E</w:t>
      </w:r>
      <w:r>
        <w:rPr>
          <w:rFonts w:asciiTheme="majorBidi" w:hAnsiTheme="majorBidi" w:cstheme="majorBidi"/>
          <w:sz w:val="24"/>
          <w:szCs w:val="24"/>
        </w:rPr>
        <w:t>’ and ‘</w:t>
      </w:r>
      <w:r>
        <w:rPr>
          <w:rFonts w:asciiTheme="majorBidi" w:hAnsiTheme="majorBidi" w:cstheme="majorBidi"/>
          <w:i/>
          <w:iCs/>
          <w:sz w:val="24"/>
          <w:szCs w:val="24"/>
        </w:rPr>
        <w:t>F</w:t>
      </w:r>
      <w:r>
        <w:rPr>
          <w:rFonts w:asciiTheme="majorBidi" w:hAnsiTheme="majorBidi" w:cstheme="majorBidi"/>
          <w:sz w:val="24"/>
          <w:szCs w:val="24"/>
        </w:rPr>
        <w:t xml:space="preserve">’ of Table 1 </w:t>
      </w:r>
      <w:r w:rsidR="00C85F9E">
        <w:rPr>
          <w:rFonts w:asciiTheme="majorBidi" w:hAnsiTheme="majorBidi" w:cstheme="majorBidi"/>
          <w:sz w:val="24"/>
          <w:szCs w:val="24"/>
        </w:rPr>
        <w:t>(</w:t>
      </w:r>
      <w:r w:rsidR="00C85F9E" w:rsidRPr="008F5521">
        <w:rPr>
          <w:rFonts w:asciiTheme="majorBidi" w:hAnsiTheme="majorBidi" w:cstheme="majorBidi"/>
          <w:b/>
          <w:bCs/>
          <w:i/>
          <w:iCs/>
          <w:sz w:val="24"/>
          <w:szCs w:val="24"/>
        </w:rPr>
        <w:t>in the main paper</w:t>
      </w:r>
      <w:r w:rsidR="00C85F9E">
        <w:rPr>
          <w:rFonts w:asciiTheme="majorBidi" w:hAnsiTheme="majorBidi" w:cstheme="majorBidi"/>
          <w:sz w:val="24"/>
          <w:szCs w:val="24"/>
        </w:rPr>
        <w:t xml:space="preserve">) </w:t>
      </w:r>
      <w:r>
        <w:rPr>
          <w:rFonts w:asciiTheme="majorBidi" w:hAnsiTheme="majorBidi" w:cstheme="majorBidi"/>
          <w:sz w:val="24"/>
          <w:szCs w:val="24"/>
        </w:rPr>
        <w:t>also indicate that there is substantial variation in the distribution of control variables. For instance, university executive management size (</w:t>
      </w:r>
      <w:r>
        <w:rPr>
          <w:rFonts w:asciiTheme="majorBidi" w:hAnsiTheme="majorBidi" w:cstheme="majorBidi"/>
          <w:i/>
          <w:iCs/>
          <w:sz w:val="24"/>
          <w:szCs w:val="24"/>
        </w:rPr>
        <w:t>EBSZ</w:t>
      </w:r>
      <w:r>
        <w:rPr>
          <w:rFonts w:asciiTheme="majorBidi" w:hAnsiTheme="majorBidi" w:cstheme="majorBidi"/>
          <w:sz w:val="24"/>
          <w:szCs w:val="24"/>
        </w:rPr>
        <w:t xml:space="preserve">) ranges between 3 to 35 members with a mean value of about 12 members. Further, the university executive management meets on average 14 times in a year, with a minimum (maximum) of 3 (48) meetings per year. University executive </w:t>
      </w:r>
      <w:r>
        <w:rPr>
          <w:rFonts w:asciiTheme="majorBidi" w:hAnsiTheme="majorBidi" w:cstheme="majorBidi"/>
          <w:sz w:val="24"/>
          <w:szCs w:val="24"/>
        </w:rPr>
        <w:lastRenderedPageBreak/>
        <w:t>management diversity (</w:t>
      </w:r>
      <w:r>
        <w:rPr>
          <w:rFonts w:asciiTheme="majorBidi" w:hAnsiTheme="majorBidi" w:cstheme="majorBidi"/>
          <w:i/>
          <w:iCs/>
          <w:sz w:val="24"/>
          <w:szCs w:val="24"/>
        </w:rPr>
        <w:t>EBDV</w:t>
      </w:r>
      <w:r>
        <w:rPr>
          <w:rFonts w:asciiTheme="majorBidi" w:hAnsiTheme="majorBidi" w:cstheme="majorBidi"/>
          <w:sz w:val="24"/>
          <w:szCs w:val="24"/>
        </w:rPr>
        <w:t>) is low with a mean value of about 35%, suggesting that women and ethnic minorities have low representation within UK HEIs executive management team.</w:t>
      </w:r>
    </w:p>
    <w:p w14:paraId="780489B4" w14:textId="77777777" w:rsidR="00D845BA" w:rsidRDefault="00D845BA">
      <w:pPr>
        <w:sectPr w:rsidR="00D845BA" w:rsidSect="004D65E3">
          <w:pgSz w:w="11906" w:h="16838"/>
          <w:pgMar w:top="1440" w:right="1440" w:bottom="1440" w:left="1440" w:header="708" w:footer="708" w:gutter="0"/>
          <w:cols w:space="708"/>
          <w:docGrid w:linePitch="360"/>
        </w:sectPr>
      </w:pPr>
    </w:p>
    <w:tbl>
      <w:tblPr>
        <w:tblpPr w:leftFromText="180" w:rightFromText="180" w:vertAnchor="page" w:horzAnchor="margin" w:tblpY="2965"/>
        <w:tblW w:w="13330" w:type="dxa"/>
        <w:shd w:val="clear" w:color="auto" w:fill="FFFFFF"/>
        <w:tblLayout w:type="fixed"/>
        <w:tblLook w:val="04A0" w:firstRow="1" w:lastRow="0" w:firstColumn="1" w:lastColumn="0" w:noHBand="0" w:noVBand="1"/>
      </w:tblPr>
      <w:tblGrid>
        <w:gridCol w:w="1560"/>
        <w:gridCol w:w="1134"/>
        <w:gridCol w:w="993"/>
        <w:gridCol w:w="991"/>
        <w:gridCol w:w="1133"/>
        <w:gridCol w:w="992"/>
        <w:gridCol w:w="992"/>
        <w:gridCol w:w="992"/>
        <w:gridCol w:w="992"/>
        <w:gridCol w:w="1276"/>
        <w:gridCol w:w="1136"/>
        <w:gridCol w:w="1128"/>
        <w:gridCol w:w="11"/>
      </w:tblGrid>
      <w:tr w:rsidR="00D845BA" w:rsidRPr="00BA5490" w14:paraId="3F9EE66E" w14:textId="77777777" w:rsidTr="0099729D">
        <w:trPr>
          <w:gridAfter w:val="1"/>
          <w:wAfter w:w="11" w:type="dxa"/>
          <w:trHeight w:val="157"/>
        </w:trPr>
        <w:tc>
          <w:tcPr>
            <w:tcW w:w="13319" w:type="dxa"/>
            <w:gridSpan w:val="12"/>
            <w:tcBorders>
              <w:left w:val="nil"/>
              <w:bottom w:val="single" w:sz="4" w:space="0" w:color="auto"/>
            </w:tcBorders>
            <w:shd w:val="clear" w:color="auto" w:fill="FFFFFF"/>
            <w:noWrap/>
            <w:vAlign w:val="center"/>
          </w:tcPr>
          <w:p w14:paraId="49E70B07" w14:textId="597E726D" w:rsidR="00D845BA" w:rsidRPr="00BA5490" w:rsidRDefault="00FA3A51" w:rsidP="0099729D">
            <w:pPr>
              <w:spacing w:after="0" w:line="240" w:lineRule="auto"/>
              <w:rPr>
                <w:rFonts w:ascii="Times New Roman" w:eastAsia="Times New Roman" w:hAnsi="Times New Roman" w:cs="Arial"/>
                <w:color w:val="000000"/>
                <w:sz w:val="24"/>
                <w:szCs w:val="24"/>
                <w:lang w:val="en-US"/>
              </w:rPr>
            </w:pPr>
            <w:r>
              <w:rPr>
                <w:rFonts w:ascii="Times New Roman" w:eastAsia="SimSun" w:hAnsi="Times New Roman" w:cs="Arial"/>
                <w:b/>
                <w:bCs/>
                <w:sz w:val="24"/>
                <w:szCs w:val="24"/>
                <w:lang w:val="en-US" w:eastAsia="zh-CN"/>
              </w:rPr>
              <w:lastRenderedPageBreak/>
              <w:t xml:space="preserve">Online </w:t>
            </w:r>
            <w:r w:rsidR="00D845BA">
              <w:rPr>
                <w:rFonts w:ascii="Times New Roman" w:eastAsia="SimSun" w:hAnsi="Times New Roman" w:cs="Arial"/>
                <w:b/>
                <w:bCs/>
                <w:sz w:val="24"/>
                <w:szCs w:val="24"/>
                <w:lang w:val="en-US" w:eastAsia="zh-CN"/>
              </w:rPr>
              <w:t>Appendix 4</w:t>
            </w:r>
            <w:r w:rsidR="00D845BA" w:rsidRPr="00BA5490">
              <w:rPr>
                <w:rFonts w:ascii="Times New Roman" w:eastAsia="SimSun" w:hAnsi="Times New Roman" w:cs="Arial"/>
                <w:b/>
                <w:bCs/>
                <w:sz w:val="24"/>
                <w:szCs w:val="24"/>
                <w:lang w:val="en-US" w:eastAsia="zh-CN"/>
              </w:rPr>
              <w:t xml:space="preserve">. </w:t>
            </w:r>
            <w:r w:rsidR="00D845BA" w:rsidRPr="00BA5490">
              <w:rPr>
                <w:rFonts w:ascii="Times New Roman" w:eastAsia="SimSun" w:hAnsi="Times New Roman" w:cs="Arial"/>
                <w:bCs/>
                <w:sz w:val="24"/>
                <w:szCs w:val="24"/>
                <w:lang w:val="en-US" w:eastAsia="zh-CN"/>
              </w:rPr>
              <w:t>Bivariate correlation</w:t>
            </w:r>
          </w:p>
        </w:tc>
      </w:tr>
      <w:tr w:rsidR="00D845BA" w:rsidRPr="00BA5490" w14:paraId="1806916A" w14:textId="77777777" w:rsidTr="0099729D">
        <w:trPr>
          <w:trHeight w:val="157"/>
        </w:trPr>
        <w:tc>
          <w:tcPr>
            <w:tcW w:w="1560" w:type="dxa"/>
            <w:tcBorders>
              <w:top w:val="single" w:sz="12" w:space="0" w:color="auto"/>
              <w:left w:val="nil"/>
              <w:bottom w:val="single" w:sz="4" w:space="0" w:color="auto"/>
            </w:tcBorders>
            <w:shd w:val="clear" w:color="auto" w:fill="FFFFFF"/>
            <w:noWrap/>
            <w:vAlign w:val="center"/>
            <w:hideMark/>
          </w:tcPr>
          <w:p w14:paraId="4DFAF076" w14:textId="77777777" w:rsidR="00D845BA" w:rsidRPr="00BA5490" w:rsidRDefault="00D845BA" w:rsidP="0099729D">
            <w:pPr>
              <w:spacing w:after="0" w:line="240" w:lineRule="auto"/>
              <w:ind w:left="-150" w:firstLine="150"/>
              <w:rPr>
                <w:rFonts w:ascii="Times New Roman" w:eastAsia="Times New Roman" w:hAnsi="Times New Roman" w:cs="Arial"/>
                <w:sz w:val="24"/>
                <w:szCs w:val="24"/>
                <w:lang w:val="en-US"/>
              </w:rPr>
            </w:pPr>
            <w:r w:rsidRPr="00BA5490">
              <w:rPr>
                <w:rFonts w:ascii="Times New Roman" w:eastAsia="SimSun" w:hAnsi="Times New Roman" w:cs="Arial"/>
                <w:color w:val="000000"/>
                <w:sz w:val="24"/>
                <w:szCs w:val="24"/>
                <w:lang w:val="en-US" w:eastAsia="zh-CN"/>
              </w:rPr>
              <w:t>Variable</w:t>
            </w:r>
          </w:p>
        </w:tc>
        <w:tc>
          <w:tcPr>
            <w:tcW w:w="1134" w:type="dxa"/>
            <w:tcBorders>
              <w:top w:val="single" w:sz="12" w:space="0" w:color="auto"/>
              <w:left w:val="nil"/>
              <w:bottom w:val="single" w:sz="4" w:space="0" w:color="auto"/>
              <w:right w:val="nil"/>
            </w:tcBorders>
            <w:shd w:val="clear" w:color="auto" w:fill="FFFFFF"/>
            <w:vAlign w:val="center"/>
            <w:hideMark/>
          </w:tcPr>
          <w:p w14:paraId="2EE7CB4A"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VCBP</w:t>
            </w:r>
          </w:p>
        </w:tc>
        <w:tc>
          <w:tcPr>
            <w:tcW w:w="993" w:type="dxa"/>
            <w:tcBorders>
              <w:top w:val="single" w:sz="12" w:space="0" w:color="auto"/>
              <w:left w:val="nil"/>
              <w:bottom w:val="single" w:sz="4" w:space="0" w:color="auto"/>
              <w:right w:val="nil"/>
            </w:tcBorders>
            <w:shd w:val="clear" w:color="auto" w:fill="FFFFFF"/>
            <w:vAlign w:val="center"/>
          </w:tcPr>
          <w:p w14:paraId="0D6EA95B"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VCNP</w:t>
            </w:r>
          </w:p>
        </w:tc>
        <w:tc>
          <w:tcPr>
            <w:tcW w:w="991" w:type="dxa"/>
            <w:tcBorders>
              <w:top w:val="single" w:sz="12" w:space="0" w:color="auto"/>
              <w:left w:val="nil"/>
              <w:bottom w:val="single" w:sz="4" w:space="0" w:color="auto"/>
              <w:right w:val="nil"/>
            </w:tcBorders>
            <w:shd w:val="clear" w:color="auto" w:fill="FFFFFF"/>
            <w:vAlign w:val="center"/>
          </w:tcPr>
          <w:p w14:paraId="6963C8DF"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VCTP</w:t>
            </w:r>
          </w:p>
        </w:tc>
        <w:tc>
          <w:tcPr>
            <w:tcW w:w="1133" w:type="dxa"/>
            <w:tcBorders>
              <w:top w:val="single" w:sz="12" w:space="0" w:color="auto"/>
              <w:left w:val="nil"/>
              <w:bottom w:val="single" w:sz="4" w:space="0" w:color="auto"/>
              <w:right w:val="nil"/>
            </w:tcBorders>
            <w:shd w:val="clear" w:color="auto" w:fill="FFFFFF"/>
          </w:tcPr>
          <w:p w14:paraId="341DF16C"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THE</w:t>
            </w:r>
          </w:p>
        </w:tc>
        <w:tc>
          <w:tcPr>
            <w:tcW w:w="992" w:type="dxa"/>
            <w:tcBorders>
              <w:top w:val="single" w:sz="12" w:space="0" w:color="auto"/>
              <w:left w:val="nil"/>
              <w:bottom w:val="single" w:sz="4" w:space="0" w:color="auto"/>
              <w:right w:val="nil"/>
            </w:tcBorders>
            <w:shd w:val="clear" w:color="auto" w:fill="FFFFFF"/>
          </w:tcPr>
          <w:p w14:paraId="7BC390FA"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QS</w:t>
            </w:r>
          </w:p>
        </w:tc>
        <w:tc>
          <w:tcPr>
            <w:tcW w:w="992" w:type="dxa"/>
            <w:tcBorders>
              <w:top w:val="single" w:sz="12" w:space="0" w:color="auto"/>
              <w:left w:val="nil"/>
              <w:bottom w:val="single" w:sz="4" w:space="0" w:color="auto"/>
              <w:right w:val="nil"/>
            </w:tcBorders>
            <w:shd w:val="clear" w:color="auto" w:fill="FFFFFF"/>
          </w:tcPr>
          <w:p w14:paraId="189DB15F"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CUG</w:t>
            </w:r>
          </w:p>
        </w:tc>
        <w:tc>
          <w:tcPr>
            <w:tcW w:w="992" w:type="dxa"/>
            <w:tcBorders>
              <w:top w:val="single" w:sz="12" w:space="0" w:color="auto"/>
              <w:left w:val="nil"/>
              <w:bottom w:val="single" w:sz="4" w:space="0" w:color="auto"/>
              <w:right w:val="nil"/>
            </w:tcBorders>
            <w:shd w:val="clear" w:color="auto" w:fill="FFFFFF"/>
            <w:vAlign w:val="center"/>
            <w:hideMark/>
          </w:tcPr>
          <w:p w14:paraId="74AA4860"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GUG</w:t>
            </w:r>
          </w:p>
        </w:tc>
        <w:tc>
          <w:tcPr>
            <w:tcW w:w="992" w:type="dxa"/>
            <w:tcBorders>
              <w:top w:val="single" w:sz="12" w:space="0" w:color="auto"/>
              <w:left w:val="nil"/>
              <w:bottom w:val="single" w:sz="4" w:space="0" w:color="auto"/>
              <w:right w:val="nil"/>
            </w:tcBorders>
            <w:shd w:val="clear" w:color="auto" w:fill="FFFFFF"/>
            <w:vAlign w:val="center"/>
          </w:tcPr>
          <w:p w14:paraId="43A773ED"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GPG</w:t>
            </w:r>
          </w:p>
        </w:tc>
        <w:tc>
          <w:tcPr>
            <w:tcW w:w="1276" w:type="dxa"/>
            <w:tcBorders>
              <w:top w:val="single" w:sz="12" w:space="0" w:color="auto"/>
              <w:left w:val="nil"/>
              <w:bottom w:val="single" w:sz="4" w:space="0" w:color="auto"/>
              <w:right w:val="nil"/>
            </w:tcBorders>
            <w:shd w:val="clear" w:color="auto" w:fill="FFFFFF"/>
          </w:tcPr>
          <w:p w14:paraId="0A17180D" w14:textId="77777777" w:rsidR="00D845BA" w:rsidRPr="00BA5490" w:rsidRDefault="00D845BA" w:rsidP="0099729D">
            <w:pPr>
              <w:spacing w:after="0" w:line="240" w:lineRule="auto"/>
              <w:ind w:right="-89"/>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PYS</w:t>
            </w:r>
          </w:p>
        </w:tc>
        <w:tc>
          <w:tcPr>
            <w:tcW w:w="1136" w:type="dxa"/>
            <w:tcBorders>
              <w:top w:val="single" w:sz="12" w:space="0" w:color="auto"/>
              <w:left w:val="nil"/>
              <w:bottom w:val="single" w:sz="4" w:space="0" w:color="auto"/>
              <w:right w:val="nil"/>
            </w:tcBorders>
            <w:shd w:val="clear" w:color="auto" w:fill="FFFFFF"/>
          </w:tcPr>
          <w:p w14:paraId="3302731B"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NLHE</w:t>
            </w:r>
          </w:p>
        </w:tc>
        <w:tc>
          <w:tcPr>
            <w:tcW w:w="1139" w:type="dxa"/>
            <w:gridSpan w:val="2"/>
            <w:tcBorders>
              <w:top w:val="single" w:sz="12" w:space="0" w:color="auto"/>
              <w:left w:val="nil"/>
              <w:bottom w:val="single" w:sz="4" w:space="0" w:color="auto"/>
              <w:right w:val="nil"/>
            </w:tcBorders>
            <w:shd w:val="clear" w:color="auto" w:fill="FFFFFF"/>
            <w:vAlign w:val="center"/>
          </w:tcPr>
          <w:p w14:paraId="0006981F"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CCI</w:t>
            </w:r>
          </w:p>
        </w:tc>
      </w:tr>
      <w:tr w:rsidR="00D845BA" w:rsidRPr="00BA5490" w14:paraId="5587DCB7" w14:textId="77777777" w:rsidTr="0099729D">
        <w:trPr>
          <w:trHeight w:val="293"/>
        </w:trPr>
        <w:tc>
          <w:tcPr>
            <w:tcW w:w="1560" w:type="dxa"/>
            <w:tcBorders>
              <w:top w:val="single" w:sz="4" w:space="0" w:color="auto"/>
              <w:left w:val="nil"/>
              <w:bottom w:val="nil"/>
            </w:tcBorders>
            <w:shd w:val="clear" w:color="auto" w:fill="FFFFFF"/>
          </w:tcPr>
          <w:p w14:paraId="4F05532B"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VCBP</w:t>
            </w:r>
          </w:p>
        </w:tc>
        <w:tc>
          <w:tcPr>
            <w:tcW w:w="1134" w:type="dxa"/>
            <w:tcBorders>
              <w:top w:val="single" w:sz="4" w:space="0" w:color="auto"/>
              <w:left w:val="nil"/>
              <w:bottom w:val="nil"/>
              <w:right w:val="nil"/>
            </w:tcBorders>
            <w:shd w:val="clear" w:color="auto" w:fill="FFFFFF"/>
            <w:noWrap/>
          </w:tcPr>
          <w:p w14:paraId="1A5480F1" w14:textId="77777777" w:rsidR="00D845BA" w:rsidRPr="00BA5490" w:rsidRDefault="00D845BA" w:rsidP="0099729D">
            <w:pPr>
              <w:spacing w:after="0" w:line="240" w:lineRule="auto"/>
              <w:rPr>
                <w:rFonts w:ascii="Times New Roman" w:eastAsia="Times New Roman" w:hAnsi="Times New Roman" w:cs="Arial"/>
                <w:color w:val="000000"/>
                <w:sz w:val="24"/>
                <w:szCs w:val="24"/>
                <w:lang w:val="en-US"/>
              </w:rPr>
            </w:pPr>
          </w:p>
        </w:tc>
        <w:tc>
          <w:tcPr>
            <w:tcW w:w="993" w:type="dxa"/>
            <w:tcBorders>
              <w:top w:val="single" w:sz="4" w:space="0" w:color="auto"/>
              <w:left w:val="nil"/>
              <w:bottom w:val="nil"/>
              <w:right w:val="nil"/>
            </w:tcBorders>
            <w:shd w:val="clear" w:color="auto" w:fill="FFFFFF"/>
          </w:tcPr>
          <w:p w14:paraId="36E36987"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0.890</w:t>
            </w:r>
            <w:r w:rsidRPr="00BA5490">
              <w:rPr>
                <w:rFonts w:ascii="Times New Roman" w:eastAsia="Times New Roman" w:hAnsi="Times New Roman" w:cs="Arial"/>
                <w:color w:val="000000"/>
                <w:sz w:val="24"/>
                <w:szCs w:val="24"/>
                <w:vertAlign w:val="superscript"/>
                <w:lang w:val="en-US"/>
              </w:rPr>
              <w:t>***</w:t>
            </w:r>
          </w:p>
        </w:tc>
        <w:tc>
          <w:tcPr>
            <w:tcW w:w="991" w:type="dxa"/>
            <w:tcBorders>
              <w:top w:val="single" w:sz="4" w:space="0" w:color="auto"/>
              <w:left w:val="nil"/>
              <w:bottom w:val="nil"/>
              <w:right w:val="nil"/>
            </w:tcBorders>
            <w:shd w:val="clear" w:color="auto" w:fill="FFFFFF"/>
          </w:tcPr>
          <w:p w14:paraId="4D5440ED"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0.996</w:t>
            </w:r>
            <w:r w:rsidRPr="00BA5490">
              <w:rPr>
                <w:rFonts w:ascii="Times New Roman" w:eastAsia="Times New Roman" w:hAnsi="Times New Roman" w:cs="Arial"/>
                <w:color w:val="000000"/>
                <w:sz w:val="24"/>
                <w:szCs w:val="24"/>
                <w:vertAlign w:val="superscript"/>
                <w:lang w:val="en-US"/>
              </w:rPr>
              <w:t>***</w:t>
            </w:r>
          </w:p>
        </w:tc>
        <w:tc>
          <w:tcPr>
            <w:tcW w:w="1133" w:type="dxa"/>
            <w:tcBorders>
              <w:top w:val="single" w:sz="4" w:space="0" w:color="auto"/>
              <w:left w:val="nil"/>
              <w:bottom w:val="nil"/>
              <w:right w:val="nil"/>
            </w:tcBorders>
            <w:shd w:val="clear" w:color="auto" w:fill="FFFFFF"/>
          </w:tcPr>
          <w:p w14:paraId="344B989E"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0.555</w:t>
            </w:r>
            <w:r w:rsidRPr="00BA5490">
              <w:rPr>
                <w:rFonts w:ascii="Times New Roman" w:eastAsia="Times New Roman" w:hAnsi="Times New Roman" w:cs="Arial"/>
                <w:color w:val="000000"/>
                <w:sz w:val="24"/>
                <w:szCs w:val="24"/>
                <w:vertAlign w:val="superscript"/>
                <w:lang w:val="en-US"/>
              </w:rPr>
              <w:t>***</w:t>
            </w:r>
          </w:p>
        </w:tc>
        <w:tc>
          <w:tcPr>
            <w:tcW w:w="992" w:type="dxa"/>
            <w:tcBorders>
              <w:top w:val="single" w:sz="4" w:space="0" w:color="auto"/>
              <w:left w:val="nil"/>
              <w:bottom w:val="nil"/>
              <w:right w:val="nil"/>
            </w:tcBorders>
            <w:shd w:val="clear" w:color="auto" w:fill="FFFFFF"/>
          </w:tcPr>
          <w:p w14:paraId="532ABB0A"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0.673</w:t>
            </w:r>
            <w:r w:rsidRPr="00BA5490">
              <w:rPr>
                <w:rFonts w:ascii="Times New Roman" w:eastAsia="Times New Roman" w:hAnsi="Times New Roman" w:cs="Arial"/>
                <w:color w:val="000000"/>
                <w:sz w:val="24"/>
                <w:szCs w:val="24"/>
                <w:vertAlign w:val="superscript"/>
                <w:lang w:val="en-US"/>
              </w:rPr>
              <w:t>***</w:t>
            </w:r>
          </w:p>
        </w:tc>
        <w:tc>
          <w:tcPr>
            <w:tcW w:w="992" w:type="dxa"/>
            <w:tcBorders>
              <w:top w:val="single" w:sz="4" w:space="0" w:color="auto"/>
              <w:left w:val="nil"/>
              <w:bottom w:val="nil"/>
              <w:right w:val="nil"/>
            </w:tcBorders>
            <w:shd w:val="clear" w:color="auto" w:fill="FFFFFF"/>
          </w:tcPr>
          <w:p w14:paraId="29566013"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0.364</w:t>
            </w:r>
            <w:r w:rsidRPr="00BA5490">
              <w:rPr>
                <w:rFonts w:ascii="Times New Roman" w:eastAsia="Times New Roman" w:hAnsi="Times New Roman" w:cs="Arial"/>
                <w:color w:val="000000"/>
                <w:sz w:val="24"/>
                <w:szCs w:val="24"/>
                <w:vertAlign w:val="superscript"/>
                <w:lang w:val="en-US"/>
              </w:rPr>
              <w:t>***</w:t>
            </w:r>
          </w:p>
        </w:tc>
        <w:tc>
          <w:tcPr>
            <w:tcW w:w="992" w:type="dxa"/>
            <w:tcBorders>
              <w:top w:val="single" w:sz="4" w:space="0" w:color="auto"/>
              <w:left w:val="nil"/>
              <w:bottom w:val="nil"/>
              <w:right w:val="nil"/>
            </w:tcBorders>
            <w:shd w:val="clear" w:color="auto" w:fill="FFFFFF"/>
            <w:noWrap/>
          </w:tcPr>
          <w:p w14:paraId="71B092E3"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0.513</w:t>
            </w:r>
            <w:r w:rsidRPr="00BA5490">
              <w:rPr>
                <w:rFonts w:ascii="Times New Roman" w:eastAsia="Times New Roman" w:hAnsi="Times New Roman" w:cs="Arial"/>
                <w:color w:val="000000"/>
                <w:sz w:val="24"/>
                <w:szCs w:val="24"/>
                <w:vertAlign w:val="superscript"/>
                <w:lang w:val="en-US"/>
              </w:rPr>
              <w:t>***</w:t>
            </w:r>
          </w:p>
        </w:tc>
        <w:tc>
          <w:tcPr>
            <w:tcW w:w="992" w:type="dxa"/>
            <w:tcBorders>
              <w:top w:val="single" w:sz="4" w:space="0" w:color="auto"/>
              <w:left w:val="nil"/>
              <w:bottom w:val="nil"/>
              <w:right w:val="nil"/>
            </w:tcBorders>
            <w:shd w:val="clear" w:color="auto" w:fill="FFFFFF"/>
            <w:noWrap/>
          </w:tcPr>
          <w:p w14:paraId="1E001470"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-0.432</w:t>
            </w:r>
            <w:r w:rsidRPr="00BA5490">
              <w:rPr>
                <w:rFonts w:ascii="Times New Roman" w:eastAsia="Times New Roman" w:hAnsi="Times New Roman" w:cs="Arial"/>
                <w:color w:val="000000"/>
                <w:sz w:val="24"/>
                <w:szCs w:val="24"/>
                <w:vertAlign w:val="superscript"/>
                <w:lang w:val="en-US"/>
              </w:rPr>
              <w:t>***</w:t>
            </w:r>
          </w:p>
        </w:tc>
        <w:tc>
          <w:tcPr>
            <w:tcW w:w="1276" w:type="dxa"/>
            <w:tcBorders>
              <w:top w:val="single" w:sz="4" w:space="0" w:color="auto"/>
              <w:left w:val="nil"/>
              <w:bottom w:val="nil"/>
              <w:right w:val="nil"/>
            </w:tcBorders>
            <w:shd w:val="clear" w:color="auto" w:fill="FFFFFF"/>
            <w:noWrap/>
          </w:tcPr>
          <w:p w14:paraId="041CDDD7"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-0.429</w:t>
            </w:r>
            <w:r w:rsidRPr="00BA5490">
              <w:rPr>
                <w:rFonts w:ascii="Times New Roman" w:eastAsia="Times New Roman" w:hAnsi="Times New Roman" w:cs="Arial"/>
                <w:color w:val="000000"/>
                <w:sz w:val="24"/>
                <w:szCs w:val="24"/>
                <w:vertAlign w:val="superscript"/>
                <w:lang w:val="en-US"/>
              </w:rPr>
              <w:t>***</w:t>
            </w:r>
          </w:p>
        </w:tc>
        <w:tc>
          <w:tcPr>
            <w:tcW w:w="1136" w:type="dxa"/>
            <w:tcBorders>
              <w:top w:val="single" w:sz="4" w:space="0" w:color="auto"/>
              <w:left w:val="nil"/>
              <w:bottom w:val="nil"/>
              <w:right w:val="nil"/>
            </w:tcBorders>
            <w:shd w:val="clear" w:color="auto" w:fill="FFFFFF"/>
          </w:tcPr>
          <w:p w14:paraId="627729B7"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-0.231</w:t>
            </w:r>
            <w:r w:rsidRPr="00BA5490">
              <w:rPr>
                <w:rFonts w:ascii="Times New Roman" w:eastAsia="Times New Roman" w:hAnsi="Times New Roman" w:cs="Arial"/>
                <w:color w:val="000000"/>
                <w:sz w:val="24"/>
                <w:szCs w:val="24"/>
                <w:vertAlign w:val="superscript"/>
                <w:lang w:val="en-US"/>
              </w:rPr>
              <w:t>***</w:t>
            </w:r>
          </w:p>
        </w:tc>
        <w:tc>
          <w:tcPr>
            <w:tcW w:w="1139" w:type="dxa"/>
            <w:gridSpan w:val="2"/>
            <w:tcBorders>
              <w:top w:val="single" w:sz="4" w:space="0" w:color="auto"/>
              <w:left w:val="nil"/>
              <w:bottom w:val="nil"/>
              <w:right w:val="nil"/>
            </w:tcBorders>
            <w:shd w:val="clear" w:color="auto" w:fill="FFFFFF"/>
          </w:tcPr>
          <w:p w14:paraId="10883C8E" w14:textId="77777777" w:rsidR="00D845BA" w:rsidRPr="00BA5490" w:rsidRDefault="00D845BA" w:rsidP="0099729D">
            <w:pPr>
              <w:spacing w:after="0" w:line="240" w:lineRule="auto"/>
              <w:ind w:right="-109"/>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-0.064</w:t>
            </w:r>
            <w:r w:rsidRPr="00BA5490">
              <w:rPr>
                <w:rFonts w:ascii="Times New Roman" w:eastAsia="Times New Roman" w:hAnsi="Times New Roman" w:cs="Arial"/>
                <w:color w:val="000000"/>
                <w:sz w:val="24"/>
                <w:szCs w:val="24"/>
                <w:vertAlign w:val="superscript"/>
                <w:lang w:val="en-US"/>
              </w:rPr>
              <w:t>*</w:t>
            </w:r>
          </w:p>
        </w:tc>
      </w:tr>
      <w:tr w:rsidR="00D845BA" w:rsidRPr="00BA5490" w14:paraId="4EE4AC36" w14:textId="77777777" w:rsidTr="0099729D">
        <w:trPr>
          <w:trHeight w:val="293"/>
        </w:trPr>
        <w:tc>
          <w:tcPr>
            <w:tcW w:w="1560" w:type="dxa"/>
            <w:tcBorders>
              <w:top w:val="nil"/>
              <w:left w:val="nil"/>
              <w:bottom w:val="nil"/>
            </w:tcBorders>
            <w:shd w:val="clear" w:color="auto" w:fill="FFFFFF"/>
          </w:tcPr>
          <w:p w14:paraId="582B3D1C"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VCNP</w:t>
            </w:r>
          </w:p>
        </w:tc>
        <w:tc>
          <w:tcPr>
            <w:tcW w:w="1134" w:type="dxa"/>
            <w:tcBorders>
              <w:top w:val="nil"/>
              <w:left w:val="nil"/>
              <w:bottom w:val="nil"/>
              <w:right w:val="nil"/>
            </w:tcBorders>
            <w:shd w:val="clear" w:color="auto" w:fill="FFFFFF"/>
            <w:noWrap/>
          </w:tcPr>
          <w:p w14:paraId="0DD432D7"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-0.012</w:t>
            </w:r>
          </w:p>
        </w:tc>
        <w:tc>
          <w:tcPr>
            <w:tcW w:w="993" w:type="dxa"/>
            <w:shd w:val="clear" w:color="auto" w:fill="FFFFFF"/>
          </w:tcPr>
          <w:p w14:paraId="20AF2984"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lang w:val="en-US"/>
              </w:rPr>
            </w:pPr>
          </w:p>
        </w:tc>
        <w:tc>
          <w:tcPr>
            <w:tcW w:w="991" w:type="dxa"/>
            <w:shd w:val="clear" w:color="auto" w:fill="FFFFFF"/>
          </w:tcPr>
          <w:p w14:paraId="7AD86466"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0.922</w:t>
            </w:r>
            <w:r w:rsidRPr="00BA5490">
              <w:rPr>
                <w:rFonts w:ascii="Times New Roman" w:eastAsia="Times New Roman" w:hAnsi="Times New Roman" w:cs="Arial"/>
                <w:color w:val="000000"/>
                <w:sz w:val="24"/>
                <w:szCs w:val="24"/>
                <w:vertAlign w:val="superscript"/>
                <w:lang w:val="en-US"/>
              </w:rPr>
              <w:t>***</w:t>
            </w:r>
          </w:p>
        </w:tc>
        <w:tc>
          <w:tcPr>
            <w:tcW w:w="1133" w:type="dxa"/>
            <w:shd w:val="clear" w:color="auto" w:fill="FFFFFF"/>
          </w:tcPr>
          <w:p w14:paraId="5A9086C7"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0.429</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758F6585"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0.564</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1936885E"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0.271</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5C1A4B19"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0.437</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77BFECD3"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-0.331</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18ED4654"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-0.436</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61AFB8BD"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-0.282</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2D4F1BA7"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-0.094</w:t>
            </w:r>
            <w:r w:rsidRPr="00BA5490">
              <w:rPr>
                <w:rFonts w:ascii="Times New Roman" w:eastAsia="Times New Roman" w:hAnsi="Times New Roman" w:cs="Arial"/>
                <w:color w:val="000000"/>
                <w:sz w:val="24"/>
                <w:szCs w:val="24"/>
                <w:vertAlign w:val="superscript"/>
                <w:lang w:val="en-US"/>
              </w:rPr>
              <w:t>**</w:t>
            </w:r>
          </w:p>
        </w:tc>
      </w:tr>
      <w:tr w:rsidR="00D845BA" w:rsidRPr="00BA5490" w14:paraId="240EC3A6" w14:textId="77777777" w:rsidTr="0099729D">
        <w:trPr>
          <w:trHeight w:val="293"/>
        </w:trPr>
        <w:tc>
          <w:tcPr>
            <w:tcW w:w="1560" w:type="dxa"/>
            <w:tcBorders>
              <w:top w:val="nil"/>
              <w:left w:val="nil"/>
              <w:bottom w:val="nil"/>
            </w:tcBorders>
            <w:shd w:val="clear" w:color="auto" w:fill="FFFFFF"/>
          </w:tcPr>
          <w:p w14:paraId="35AF6597"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VCTP</w:t>
            </w:r>
          </w:p>
        </w:tc>
        <w:tc>
          <w:tcPr>
            <w:tcW w:w="1134" w:type="dxa"/>
            <w:tcBorders>
              <w:top w:val="nil"/>
              <w:left w:val="nil"/>
              <w:bottom w:val="nil"/>
              <w:right w:val="nil"/>
            </w:tcBorders>
            <w:shd w:val="clear" w:color="auto" w:fill="FFFFFF"/>
            <w:noWrap/>
          </w:tcPr>
          <w:p w14:paraId="24D920C2"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1.000</w:t>
            </w:r>
            <w:r w:rsidRPr="00BA5490">
              <w:rPr>
                <w:rFonts w:ascii="Times New Roman" w:eastAsia="Times New Roman" w:hAnsi="Times New Roman" w:cs="Arial"/>
                <w:color w:val="000000"/>
                <w:sz w:val="24"/>
                <w:szCs w:val="24"/>
                <w:vertAlign w:val="superscript"/>
                <w:lang w:val="en-US"/>
              </w:rPr>
              <w:t>***</w:t>
            </w:r>
          </w:p>
        </w:tc>
        <w:tc>
          <w:tcPr>
            <w:tcW w:w="993" w:type="dxa"/>
            <w:shd w:val="clear" w:color="auto" w:fill="FFFFFF"/>
          </w:tcPr>
          <w:p w14:paraId="38CA7038"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-0.009</w:t>
            </w:r>
          </w:p>
        </w:tc>
        <w:tc>
          <w:tcPr>
            <w:tcW w:w="991" w:type="dxa"/>
            <w:shd w:val="clear" w:color="auto" w:fill="FFFFFF"/>
          </w:tcPr>
          <w:p w14:paraId="493FE198"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lang w:val="en-US"/>
              </w:rPr>
            </w:pPr>
          </w:p>
        </w:tc>
        <w:tc>
          <w:tcPr>
            <w:tcW w:w="1133" w:type="dxa"/>
            <w:shd w:val="clear" w:color="auto" w:fill="FFFFFF"/>
          </w:tcPr>
          <w:p w14:paraId="32BE6879"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0.540</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4DBAC525"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0.670</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1129F875"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0.354</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122D5615"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0.508</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704C123B"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-0.417</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316460E3"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-0.436</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72E5BD41"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-0.244</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729A49D1"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-0.075</w:t>
            </w:r>
            <w:r w:rsidRPr="00BA5490">
              <w:rPr>
                <w:rFonts w:ascii="Times New Roman" w:eastAsia="Times New Roman" w:hAnsi="Times New Roman" w:cs="Arial"/>
                <w:color w:val="000000"/>
                <w:sz w:val="24"/>
                <w:szCs w:val="24"/>
                <w:vertAlign w:val="superscript"/>
                <w:lang w:val="en-US"/>
              </w:rPr>
              <w:t>***</w:t>
            </w:r>
          </w:p>
        </w:tc>
      </w:tr>
      <w:tr w:rsidR="00D845BA" w:rsidRPr="00BA5490" w14:paraId="75B0F87D" w14:textId="77777777" w:rsidTr="0099729D">
        <w:trPr>
          <w:trHeight w:val="293"/>
        </w:trPr>
        <w:tc>
          <w:tcPr>
            <w:tcW w:w="1560" w:type="dxa"/>
            <w:tcBorders>
              <w:top w:val="nil"/>
              <w:left w:val="nil"/>
              <w:bottom w:val="nil"/>
            </w:tcBorders>
            <w:shd w:val="clear" w:color="auto" w:fill="FFFFFF"/>
          </w:tcPr>
          <w:p w14:paraId="6574805C"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THE</w:t>
            </w:r>
          </w:p>
        </w:tc>
        <w:tc>
          <w:tcPr>
            <w:tcW w:w="1134" w:type="dxa"/>
            <w:tcBorders>
              <w:top w:val="nil"/>
              <w:left w:val="nil"/>
              <w:bottom w:val="nil"/>
              <w:right w:val="nil"/>
            </w:tcBorders>
            <w:shd w:val="clear" w:color="auto" w:fill="FFFFFF"/>
            <w:noWrap/>
          </w:tcPr>
          <w:p w14:paraId="416D2715"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0.450</w:t>
            </w:r>
            <w:r w:rsidRPr="00BA5490">
              <w:rPr>
                <w:rFonts w:ascii="Times New Roman" w:eastAsia="Times New Roman" w:hAnsi="Times New Roman" w:cs="Arial"/>
                <w:color w:val="000000"/>
                <w:sz w:val="24"/>
                <w:szCs w:val="24"/>
                <w:vertAlign w:val="superscript"/>
                <w:lang w:val="en-US"/>
              </w:rPr>
              <w:t>***</w:t>
            </w:r>
          </w:p>
        </w:tc>
        <w:tc>
          <w:tcPr>
            <w:tcW w:w="993" w:type="dxa"/>
            <w:shd w:val="clear" w:color="auto" w:fill="FFFFFF"/>
          </w:tcPr>
          <w:p w14:paraId="13812C6B"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0.245</w:t>
            </w:r>
            <w:r w:rsidRPr="00BA5490">
              <w:rPr>
                <w:rFonts w:ascii="Times New Roman" w:eastAsia="Times New Roman" w:hAnsi="Times New Roman" w:cs="Arial"/>
                <w:color w:val="000000"/>
                <w:sz w:val="24"/>
                <w:szCs w:val="24"/>
                <w:vertAlign w:val="superscript"/>
                <w:lang w:val="en-US"/>
              </w:rPr>
              <w:t>***</w:t>
            </w:r>
          </w:p>
        </w:tc>
        <w:tc>
          <w:tcPr>
            <w:tcW w:w="991" w:type="dxa"/>
            <w:shd w:val="clear" w:color="auto" w:fill="FFFFFF"/>
          </w:tcPr>
          <w:p w14:paraId="5D91CBE7"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0.432</w:t>
            </w:r>
            <w:r w:rsidRPr="00BA5490">
              <w:rPr>
                <w:rFonts w:ascii="Times New Roman" w:eastAsia="Times New Roman" w:hAnsi="Times New Roman" w:cs="Arial"/>
                <w:color w:val="000000"/>
                <w:sz w:val="24"/>
                <w:szCs w:val="24"/>
                <w:vertAlign w:val="superscript"/>
                <w:lang w:val="en-US"/>
              </w:rPr>
              <w:t>***</w:t>
            </w:r>
          </w:p>
        </w:tc>
        <w:tc>
          <w:tcPr>
            <w:tcW w:w="1133" w:type="dxa"/>
            <w:shd w:val="clear" w:color="auto" w:fill="FFFFFF"/>
          </w:tcPr>
          <w:p w14:paraId="3D483E40"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lang w:val="en-US"/>
              </w:rPr>
            </w:pPr>
          </w:p>
        </w:tc>
        <w:tc>
          <w:tcPr>
            <w:tcW w:w="992" w:type="dxa"/>
            <w:shd w:val="clear" w:color="auto" w:fill="FFFFFF"/>
          </w:tcPr>
          <w:p w14:paraId="1788F538"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0.898</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7C342242"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0.826</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771331AA"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0.741</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366531FB"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-0.573</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633B4153"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-0.591</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7345F081"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0.687</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5D287F85"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-0.014</w:t>
            </w:r>
          </w:p>
        </w:tc>
      </w:tr>
      <w:tr w:rsidR="00D845BA" w:rsidRPr="00BA5490" w14:paraId="57D4A1BE" w14:textId="77777777" w:rsidTr="0099729D">
        <w:trPr>
          <w:trHeight w:val="293"/>
        </w:trPr>
        <w:tc>
          <w:tcPr>
            <w:tcW w:w="1560" w:type="dxa"/>
            <w:tcBorders>
              <w:top w:val="nil"/>
              <w:left w:val="nil"/>
              <w:bottom w:val="nil"/>
            </w:tcBorders>
            <w:shd w:val="clear" w:color="auto" w:fill="FFFFFF"/>
          </w:tcPr>
          <w:p w14:paraId="2139D82F"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QS</w:t>
            </w:r>
          </w:p>
        </w:tc>
        <w:tc>
          <w:tcPr>
            <w:tcW w:w="1134" w:type="dxa"/>
            <w:tcBorders>
              <w:top w:val="nil"/>
              <w:left w:val="nil"/>
              <w:bottom w:val="nil"/>
              <w:right w:val="nil"/>
            </w:tcBorders>
            <w:shd w:val="clear" w:color="auto" w:fill="FFFFFF"/>
            <w:noWrap/>
          </w:tcPr>
          <w:p w14:paraId="432757D1"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0.619</w:t>
            </w:r>
            <w:r w:rsidRPr="00BA5490">
              <w:rPr>
                <w:rFonts w:ascii="Times New Roman" w:eastAsia="Times New Roman" w:hAnsi="Times New Roman" w:cs="Arial"/>
                <w:color w:val="000000"/>
                <w:sz w:val="24"/>
                <w:szCs w:val="24"/>
                <w:vertAlign w:val="superscript"/>
                <w:lang w:val="en-US"/>
              </w:rPr>
              <w:t>***</w:t>
            </w:r>
          </w:p>
        </w:tc>
        <w:tc>
          <w:tcPr>
            <w:tcW w:w="993" w:type="dxa"/>
            <w:shd w:val="clear" w:color="auto" w:fill="FFFFFF"/>
          </w:tcPr>
          <w:p w14:paraId="5760D779"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0.375</w:t>
            </w:r>
            <w:r w:rsidRPr="00BA5490">
              <w:rPr>
                <w:rFonts w:ascii="Times New Roman" w:eastAsia="Times New Roman" w:hAnsi="Times New Roman" w:cs="Arial"/>
                <w:color w:val="000000"/>
                <w:sz w:val="24"/>
                <w:szCs w:val="24"/>
                <w:vertAlign w:val="superscript"/>
                <w:lang w:val="en-US"/>
              </w:rPr>
              <w:t>***</w:t>
            </w:r>
          </w:p>
        </w:tc>
        <w:tc>
          <w:tcPr>
            <w:tcW w:w="991" w:type="dxa"/>
            <w:shd w:val="clear" w:color="auto" w:fill="FFFFFF"/>
          </w:tcPr>
          <w:p w14:paraId="39372209"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0.605</w:t>
            </w:r>
            <w:r w:rsidRPr="00BA5490">
              <w:rPr>
                <w:rFonts w:ascii="Times New Roman" w:eastAsia="Times New Roman" w:hAnsi="Times New Roman" w:cs="Arial"/>
                <w:color w:val="000000"/>
                <w:sz w:val="24"/>
                <w:szCs w:val="24"/>
                <w:vertAlign w:val="superscript"/>
                <w:lang w:val="en-US"/>
              </w:rPr>
              <w:t>***</w:t>
            </w:r>
          </w:p>
        </w:tc>
        <w:tc>
          <w:tcPr>
            <w:tcW w:w="1133" w:type="dxa"/>
            <w:shd w:val="clear" w:color="auto" w:fill="FFFFFF"/>
          </w:tcPr>
          <w:p w14:paraId="13218E63"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0.934</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09601AA6" w14:textId="77777777" w:rsidR="00D845BA" w:rsidRPr="00BA5490" w:rsidRDefault="00D845BA" w:rsidP="0099729D">
            <w:pPr>
              <w:spacing w:after="0" w:line="240" w:lineRule="auto"/>
              <w:ind w:right="-108"/>
              <w:jc w:val="both"/>
              <w:rPr>
                <w:rFonts w:ascii="Times New Roman" w:eastAsia="Times New Roman" w:hAnsi="Times New Roman" w:cs="Arial"/>
                <w:color w:val="000000"/>
                <w:sz w:val="24"/>
                <w:szCs w:val="24"/>
                <w:lang w:val="en-US"/>
              </w:rPr>
            </w:pPr>
          </w:p>
        </w:tc>
        <w:tc>
          <w:tcPr>
            <w:tcW w:w="992" w:type="dxa"/>
            <w:shd w:val="clear" w:color="auto" w:fill="FFFFFF"/>
          </w:tcPr>
          <w:p w14:paraId="46EB0C00"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0.854</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42383098"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0.767</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00AD13D6"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-0.508</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0ADE9957"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-0.567</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18AD529C"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0.601</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4C46EBE6"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-0.024</w:t>
            </w:r>
          </w:p>
        </w:tc>
      </w:tr>
      <w:tr w:rsidR="00D845BA" w:rsidRPr="00BA5490" w14:paraId="2BE0A987" w14:textId="77777777" w:rsidTr="0099729D">
        <w:trPr>
          <w:trHeight w:val="293"/>
        </w:trPr>
        <w:tc>
          <w:tcPr>
            <w:tcW w:w="1560" w:type="dxa"/>
            <w:tcBorders>
              <w:top w:val="nil"/>
              <w:left w:val="nil"/>
              <w:bottom w:val="nil"/>
            </w:tcBorders>
            <w:shd w:val="clear" w:color="auto" w:fill="FFFFFF"/>
          </w:tcPr>
          <w:p w14:paraId="134DED9D"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CUG</w:t>
            </w:r>
          </w:p>
        </w:tc>
        <w:tc>
          <w:tcPr>
            <w:tcW w:w="1134" w:type="dxa"/>
            <w:tcBorders>
              <w:top w:val="nil"/>
              <w:left w:val="nil"/>
              <w:bottom w:val="nil"/>
              <w:right w:val="nil"/>
            </w:tcBorders>
            <w:shd w:val="clear" w:color="auto" w:fill="FFFFFF"/>
            <w:noWrap/>
          </w:tcPr>
          <w:p w14:paraId="2FA14F9E"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0.045</w:t>
            </w:r>
          </w:p>
        </w:tc>
        <w:tc>
          <w:tcPr>
            <w:tcW w:w="993" w:type="dxa"/>
            <w:shd w:val="clear" w:color="auto" w:fill="FFFFFF"/>
          </w:tcPr>
          <w:p w14:paraId="5A7820FC"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-0.254</w:t>
            </w:r>
            <w:r w:rsidRPr="00BA5490">
              <w:rPr>
                <w:rFonts w:ascii="Times New Roman" w:eastAsia="Times New Roman" w:hAnsi="Times New Roman" w:cs="Arial"/>
                <w:color w:val="000000"/>
                <w:sz w:val="24"/>
                <w:szCs w:val="24"/>
                <w:vertAlign w:val="superscript"/>
                <w:lang w:val="en-US"/>
              </w:rPr>
              <w:t>***</w:t>
            </w:r>
          </w:p>
        </w:tc>
        <w:tc>
          <w:tcPr>
            <w:tcW w:w="991" w:type="dxa"/>
            <w:shd w:val="clear" w:color="auto" w:fill="FFFFFF"/>
          </w:tcPr>
          <w:p w14:paraId="4D96536A"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0.045</w:t>
            </w:r>
          </w:p>
        </w:tc>
        <w:tc>
          <w:tcPr>
            <w:tcW w:w="1133" w:type="dxa"/>
            <w:shd w:val="clear" w:color="auto" w:fill="FFFFFF"/>
          </w:tcPr>
          <w:p w14:paraId="1B0AEA9E"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0.863</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0CD77276"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0.837</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404EE226" w14:textId="77777777" w:rsidR="00D845BA" w:rsidRPr="00BA5490" w:rsidRDefault="00D845BA" w:rsidP="0099729D">
            <w:pPr>
              <w:spacing w:after="0" w:line="240" w:lineRule="auto"/>
              <w:ind w:right="-107"/>
              <w:jc w:val="both"/>
              <w:rPr>
                <w:rFonts w:ascii="Times New Roman" w:eastAsia="Times New Roman" w:hAnsi="Times New Roman" w:cs="Arial"/>
                <w:color w:val="000000"/>
                <w:sz w:val="24"/>
                <w:szCs w:val="24"/>
                <w:lang w:val="en-US"/>
              </w:rPr>
            </w:pPr>
          </w:p>
        </w:tc>
        <w:tc>
          <w:tcPr>
            <w:tcW w:w="992" w:type="dxa"/>
            <w:shd w:val="clear" w:color="auto" w:fill="FFFFFF"/>
            <w:noWrap/>
          </w:tcPr>
          <w:p w14:paraId="2D469802"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0.912</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08425427"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-0.469</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73A32452"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-0.470</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54B55AEB"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0.551</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4C6DD066"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-0.089</w:t>
            </w:r>
            <w:r w:rsidRPr="00BA5490">
              <w:rPr>
                <w:rFonts w:ascii="Times New Roman" w:eastAsia="Times New Roman" w:hAnsi="Times New Roman" w:cs="Arial"/>
                <w:color w:val="000000"/>
                <w:sz w:val="24"/>
                <w:szCs w:val="24"/>
                <w:vertAlign w:val="superscript"/>
                <w:lang w:val="en-US"/>
              </w:rPr>
              <w:t>**</w:t>
            </w:r>
          </w:p>
        </w:tc>
      </w:tr>
      <w:tr w:rsidR="00D845BA" w:rsidRPr="00BA5490" w14:paraId="25963AF7" w14:textId="77777777" w:rsidTr="0099729D">
        <w:trPr>
          <w:trHeight w:val="293"/>
        </w:trPr>
        <w:tc>
          <w:tcPr>
            <w:tcW w:w="1560" w:type="dxa"/>
            <w:tcBorders>
              <w:top w:val="nil"/>
              <w:left w:val="nil"/>
              <w:bottom w:val="nil"/>
            </w:tcBorders>
            <w:shd w:val="clear" w:color="auto" w:fill="FFFFFF"/>
          </w:tcPr>
          <w:p w14:paraId="64D47D07"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GUG</w:t>
            </w:r>
          </w:p>
        </w:tc>
        <w:tc>
          <w:tcPr>
            <w:tcW w:w="1134" w:type="dxa"/>
            <w:tcBorders>
              <w:top w:val="nil"/>
              <w:left w:val="nil"/>
              <w:bottom w:val="nil"/>
              <w:right w:val="nil"/>
            </w:tcBorders>
            <w:shd w:val="clear" w:color="auto" w:fill="FFFFFF"/>
            <w:noWrap/>
          </w:tcPr>
          <w:p w14:paraId="46CD5F57"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0.040</w:t>
            </w:r>
          </w:p>
        </w:tc>
        <w:tc>
          <w:tcPr>
            <w:tcW w:w="993" w:type="dxa"/>
            <w:shd w:val="clear" w:color="auto" w:fill="FFFFFF"/>
          </w:tcPr>
          <w:p w14:paraId="4FCF78BA"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0.298</w:t>
            </w:r>
            <w:r w:rsidRPr="00BA5490">
              <w:rPr>
                <w:rFonts w:ascii="Times New Roman" w:eastAsia="Times New Roman" w:hAnsi="Times New Roman" w:cs="Arial"/>
                <w:color w:val="000000"/>
                <w:sz w:val="24"/>
                <w:szCs w:val="24"/>
                <w:vertAlign w:val="superscript"/>
                <w:lang w:val="en-US"/>
              </w:rPr>
              <w:t>***</w:t>
            </w:r>
          </w:p>
        </w:tc>
        <w:tc>
          <w:tcPr>
            <w:tcW w:w="991" w:type="dxa"/>
            <w:shd w:val="clear" w:color="auto" w:fill="FFFFFF"/>
          </w:tcPr>
          <w:p w14:paraId="65575587"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0.041</w:t>
            </w:r>
          </w:p>
        </w:tc>
        <w:tc>
          <w:tcPr>
            <w:tcW w:w="1133" w:type="dxa"/>
            <w:shd w:val="clear" w:color="auto" w:fill="FFFFFF"/>
          </w:tcPr>
          <w:p w14:paraId="627913B4"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0.799</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59F5BD4D"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0.772</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436C15CE"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0.944</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248D49B8" w14:textId="77777777" w:rsidR="00D845BA" w:rsidRPr="00BA5490" w:rsidRDefault="00D845BA" w:rsidP="0099729D">
            <w:pPr>
              <w:spacing w:after="0" w:line="240" w:lineRule="auto"/>
              <w:ind w:right="-106"/>
              <w:jc w:val="both"/>
              <w:rPr>
                <w:rFonts w:ascii="Times New Roman" w:eastAsia="Times New Roman" w:hAnsi="Times New Roman" w:cs="Arial"/>
                <w:color w:val="000000"/>
                <w:sz w:val="24"/>
                <w:szCs w:val="24"/>
                <w:lang w:val="en-US"/>
              </w:rPr>
            </w:pPr>
          </w:p>
        </w:tc>
        <w:tc>
          <w:tcPr>
            <w:tcW w:w="992" w:type="dxa"/>
            <w:shd w:val="clear" w:color="auto" w:fill="FFFFFF"/>
            <w:noWrap/>
          </w:tcPr>
          <w:p w14:paraId="5B51CF11" w14:textId="77777777" w:rsidR="00D845BA" w:rsidRPr="00BA5490" w:rsidRDefault="00D845BA" w:rsidP="0099729D">
            <w:pPr>
              <w:spacing w:after="0" w:line="240" w:lineRule="auto"/>
              <w:ind w:right="-112"/>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-0.619</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6C8193FE"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-0.529</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421768CA" w14:textId="77777777" w:rsidR="00D845BA" w:rsidRPr="00BA5490" w:rsidRDefault="00D845BA" w:rsidP="0099729D">
            <w:pPr>
              <w:spacing w:after="0" w:line="240" w:lineRule="auto"/>
              <w:ind w:right="-107"/>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0.535</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171BEE6B"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-0.040</w:t>
            </w:r>
          </w:p>
        </w:tc>
      </w:tr>
      <w:tr w:rsidR="00D845BA" w:rsidRPr="00BA5490" w14:paraId="01D102B7" w14:textId="77777777" w:rsidTr="0099729D">
        <w:trPr>
          <w:trHeight w:val="291"/>
        </w:trPr>
        <w:tc>
          <w:tcPr>
            <w:tcW w:w="1560" w:type="dxa"/>
            <w:tcBorders>
              <w:top w:val="nil"/>
              <w:left w:val="nil"/>
              <w:bottom w:val="nil"/>
            </w:tcBorders>
            <w:shd w:val="clear" w:color="auto" w:fill="FFFFFF"/>
          </w:tcPr>
          <w:p w14:paraId="0F60E322"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GPG</w:t>
            </w:r>
          </w:p>
        </w:tc>
        <w:tc>
          <w:tcPr>
            <w:tcW w:w="1134" w:type="dxa"/>
            <w:tcBorders>
              <w:top w:val="nil"/>
              <w:left w:val="nil"/>
              <w:bottom w:val="nil"/>
              <w:right w:val="nil"/>
            </w:tcBorders>
            <w:shd w:val="clear" w:color="auto" w:fill="FFFFFF"/>
            <w:noWrap/>
          </w:tcPr>
          <w:p w14:paraId="12F65B2F"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-0.037</w:t>
            </w:r>
          </w:p>
        </w:tc>
        <w:tc>
          <w:tcPr>
            <w:tcW w:w="993" w:type="dxa"/>
            <w:shd w:val="clear" w:color="auto" w:fill="FFFFFF"/>
          </w:tcPr>
          <w:p w14:paraId="1014C6A9"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-0.308</w:t>
            </w:r>
            <w:r w:rsidRPr="00BA5490">
              <w:rPr>
                <w:rFonts w:ascii="Times New Roman" w:eastAsia="Times New Roman" w:hAnsi="Times New Roman" w:cs="Arial"/>
                <w:color w:val="000000"/>
                <w:sz w:val="24"/>
                <w:szCs w:val="24"/>
                <w:vertAlign w:val="superscript"/>
                <w:lang w:val="en-US"/>
              </w:rPr>
              <w:t>***</w:t>
            </w:r>
          </w:p>
        </w:tc>
        <w:tc>
          <w:tcPr>
            <w:tcW w:w="991" w:type="dxa"/>
            <w:shd w:val="clear" w:color="auto" w:fill="FFFFFF"/>
          </w:tcPr>
          <w:p w14:paraId="0815F7CC"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-0.038</w:t>
            </w:r>
          </w:p>
        </w:tc>
        <w:tc>
          <w:tcPr>
            <w:tcW w:w="1133" w:type="dxa"/>
            <w:shd w:val="clear" w:color="auto" w:fill="FFFFFF"/>
          </w:tcPr>
          <w:p w14:paraId="4DCFFBA4"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-0.465</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3EF594B3"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-0.398</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6E5673DC"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-0.273</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05A7C127"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-0.514</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0FA99CF5" w14:textId="77777777" w:rsidR="00D845BA" w:rsidRPr="00BA5490" w:rsidRDefault="00D845BA" w:rsidP="0099729D">
            <w:pPr>
              <w:spacing w:after="0" w:line="240" w:lineRule="auto"/>
              <w:ind w:right="-112"/>
              <w:jc w:val="both"/>
              <w:rPr>
                <w:rFonts w:ascii="Times New Roman" w:eastAsia="Times New Roman" w:hAnsi="Times New Roman" w:cs="Arial"/>
                <w:color w:val="000000"/>
                <w:sz w:val="24"/>
                <w:szCs w:val="24"/>
                <w:lang w:val="en-US"/>
              </w:rPr>
            </w:pPr>
          </w:p>
        </w:tc>
        <w:tc>
          <w:tcPr>
            <w:tcW w:w="1276" w:type="dxa"/>
            <w:shd w:val="clear" w:color="auto" w:fill="FFFFFF"/>
            <w:noWrap/>
          </w:tcPr>
          <w:p w14:paraId="78F727C9"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0.314</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3CBE407B" w14:textId="77777777" w:rsidR="00D845BA" w:rsidRPr="00BA5490" w:rsidRDefault="00D845BA" w:rsidP="0099729D">
            <w:pPr>
              <w:spacing w:after="0" w:line="240" w:lineRule="auto"/>
              <w:ind w:right="-107"/>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-0.278</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69BC8F44"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-0.207</w:t>
            </w:r>
            <w:r w:rsidRPr="00BA5490">
              <w:rPr>
                <w:rFonts w:ascii="Times New Roman" w:eastAsia="Times New Roman" w:hAnsi="Times New Roman" w:cs="Arial"/>
                <w:color w:val="000000"/>
                <w:sz w:val="24"/>
                <w:szCs w:val="24"/>
                <w:vertAlign w:val="superscript"/>
                <w:lang w:val="en-US"/>
              </w:rPr>
              <w:t>***</w:t>
            </w:r>
          </w:p>
        </w:tc>
      </w:tr>
      <w:tr w:rsidR="00D845BA" w:rsidRPr="00BA5490" w14:paraId="61D3A702" w14:textId="77777777" w:rsidTr="0099729D">
        <w:trPr>
          <w:trHeight w:val="293"/>
        </w:trPr>
        <w:tc>
          <w:tcPr>
            <w:tcW w:w="1560" w:type="dxa"/>
            <w:tcBorders>
              <w:top w:val="nil"/>
              <w:left w:val="nil"/>
              <w:bottom w:val="nil"/>
            </w:tcBorders>
            <w:shd w:val="clear" w:color="auto" w:fill="FFFFFF"/>
          </w:tcPr>
          <w:p w14:paraId="4A61E63E"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PYS</w:t>
            </w:r>
          </w:p>
        </w:tc>
        <w:tc>
          <w:tcPr>
            <w:tcW w:w="1134" w:type="dxa"/>
            <w:tcBorders>
              <w:top w:val="nil"/>
              <w:left w:val="nil"/>
              <w:bottom w:val="nil"/>
              <w:right w:val="nil"/>
            </w:tcBorders>
            <w:shd w:val="clear" w:color="auto" w:fill="FFFFFF"/>
            <w:noWrap/>
          </w:tcPr>
          <w:p w14:paraId="28CAC878"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0.006</w:t>
            </w:r>
          </w:p>
        </w:tc>
        <w:tc>
          <w:tcPr>
            <w:tcW w:w="993" w:type="dxa"/>
            <w:shd w:val="clear" w:color="auto" w:fill="FFFFFF"/>
          </w:tcPr>
          <w:p w14:paraId="06797C50"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-0.258</w:t>
            </w:r>
            <w:r w:rsidRPr="00BA5490">
              <w:rPr>
                <w:rFonts w:ascii="Times New Roman" w:eastAsia="Times New Roman" w:hAnsi="Times New Roman" w:cs="Arial"/>
                <w:color w:val="000000"/>
                <w:sz w:val="24"/>
                <w:szCs w:val="24"/>
                <w:vertAlign w:val="superscript"/>
                <w:lang w:val="en-US"/>
              </w:rPr>
              <w:t>***</w:t>
            </w:r>
          </w:p>
        </w:tc>
        <w:tc>
          <w:tcPr>
            <w:tcW w:w="991" w:type="dxa"/>
            <w:shd w:val="clear" w:color="auto" w:fill="FFFFFF"/>
          </w:tcPr>
          <w:p w14:paraId="7DA2BEEF"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0.005</w:t>
            </w:r>
          </w:p>
        </w:tc>
        <w:tc>
          <w:tcPr>
            <w:tcW w:w="1133" w:type="dxa"/>
            <w:shd w:val="clear" w:color="auto" w:fill="FFFFFF"/>
          </w:tcPr>
          <w:p w14:paraId="6783C7AA"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-0.542</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458FB3E0"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-0.499</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34F48087"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-0.400</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22F380F4"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-0.481</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72A6D62C"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0.235</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05734568"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lang w:val="en-US"/>
              </w:rPr>
            </w:pPr>
          </w:p>
        </w:tc>
        <w:tc>
          <w:tcPr>
            <w:tcW w:w="1136" w:type="dxa"/>
            <w:shd w:val="clear" w:color="auto" w:fill="FFFFFF"/>
          </w:tcPr>
          <w:p w14:paraId="323A5E28" w14:textId="77777777" w:rsidR="00D845BA" w:rsidRPr="00BA5490" w:rsidRDefault="00D845BA" w:rsidP="0099729D">
            <w:pPr>
              <w:spacing w:after="0" w:line="240" w:lineRule="auto"/>
              <w:ind w:right="-105"/>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-0.222</w:t>
            </w:r>
            <w:r w:rsidRPr="00BA5490">
              <w:rPr>
                <w:rFonts w:ascii="Times New Roman" w:eastAsia="Times New Roman" w:hAnsi="Times New Roman" w:cs="Arial"/>
                <w:color w:val="000000"/>
                <w:sz w:val="24"/>
                <w:szCs w:val="24"/>
                <w:vertAlign w:val="superscript"/>
                <w:lang w:val="en-US"/>
              </w:rPr>
              <w:t>***</w:t>
            </w:r>
          </w:p>
        </w:tc>
        <w:tc>
          <w:tcPr>
            <w:tcW w:w="1139" w:type="dxa"/>
            <w:gridSpan w:val="2"/>
            <w:shd w:val="clear" w:color="auto" w:fill="FFFFFF"/>
          </w:tcPr>
          <w:p w14:paraId="043AE0ED" w14:textId="77777777" w:rsidR="00D845BA" w:rsidRPr="00BA5490" w:rsidRDefault="00D845BA" w:rsidP="0099729D">
            <w:pPr>
              <w:spacing w:after="0" w:line="240" w:lineRule="auto"/>
              <w:ind w:right="-105"/>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0.492</w:t>
            </w:r>
          </w:p>
        </w:tc>
      </w:tr>
      <w:tr w:rsidR="00D845BA" w:rsidRPr="00BA5490" w14:paraId="31F8CD9B" w14:textId="77777777" w:rsidTr="0099729D">
        <w:trPr>
          <w:trHeight w:val="293"/>
        </w:trPr>
        <w:tc>
          <w:tcPr>
            <w:tcW w:w="1560" w:type="dxa"/>
            <w:tcBorders>
              <w:top w:val="nil"/>
              <w:left w:val="nil"/>
            </w:tcBorders>
            <w:shd w:val="clear" w:color="auto" w:fill="FFFFFF"/>
          </w:tcPr>
          <w:p w14:paraId="0FBAD970"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NLHE</w:t>
            </w:r>
          </w:p>
        </w:tc>
        <w:tc>
          <w:tcPr>
            <w:tcW w:w="1134" w:type="dxa"/>
            <w:tcBorders>
              <w:top w:val="nil"/>
              <w:left w:val="nil"/>
              <w:right w:val="nil"/>
            </w:tcBorders>
            <w:shd w:val="clear" w:color="auto" w:fill="FFFFFF"/>
            <w:noWrap/>
          </w:tcPr>
          <w:p w14:paraId="0E344BC6"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0.029</w:t>
            </w:r>
          </w:p>
        </w:tc>
        <w:tc>
          <w:tcPr>
            <w:tcW w:w="993" w:type="dxa"/>
            <w:shd w:val="clear" w:color="auto" w:fill="FFFFFF"/>
          </w:tcPr>
          <w:p w14:paraId="074B933F"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-0.574</w:t>
            </w:r>
            <w:r w:rsidRPr="00BA5490">
              <w:rPr>
                <w:rFonts w:ascii="Times New Roman" w:eastAsia="Times New Roman" w:hAnsi="Times New Roman" w:cs="Arial"/>
                <w:color w:val="000000"/>
                <w:sz w:val="24"/>
                <w:szCs w:val="24"/>
                <w:vertAlign w:val="superscript"/>
                <w:lang w:val="en-US"/>
              </w:rPr>
              <w:t>***</w:t>
            </w:r>
          </w:p>
        </w:tc>
        <w:tc>
          <w:tcPr>
            <w:tcW w:w="991" w:type="dxa"/>
            <w:shd w:val="clear" w:color="auto" w:fill="FFFFFF"/>
          </w:tcPr>
          <w:p w14:paraId="795C80B8"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0.028</w:t>
            </w:r>
          </w:p>
        </w:tc>
        <w:tc>
          <w:tcPr>
            <w:tcW w:w="1133" w:type="dxa"/>
            <w:shd w:val="clear" w:color="auto" w:fill="FFFFFF"/>
          </w:tcPr>
          <w:p w14:paraId="6CC312D2"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0.629</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12B5E56C"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0.506</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tcPr>
          <w:p w14:paraId="672F1FB2"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0.643</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15DFEA1A"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0.623</w:t>
            </w:r>
            <w:r w:rsidRPr="00BA5490">
              <w:rPr>
                <w:rFonts w:ascii="Times New Roman" w:eastAsia="Times New Roman" w:hAnsi="Times New Roman" w:cs="Arial"/>
                <w:color w:val="000000"/>
                <w:sz w:val="24"/>
                <w:szCs w:val="24"/>
                <w:vertAlign w:val="superscript"/>
                <w:lang w:val="en-US"/>
              </w:rPr>
              <w:t>***</w:t>
            </w:r>
          </w:p>
        </w:tc>
        <w:tc>
          <w:tcPr>
            <w:tcW w:w="992" w:type="dxa"/>
            <w:shd w:val="clear" w:color="auto" w:fill="FFFFFF"/>
            <w:noWrap/>
          </w:tcPr>
          <w:p w14:paraId="4A249347" w14:textId="77777777" w:rsidR="00D845BA" w:rsidRPr="00BA5490" w:rsidRDefault="00D845BA" w:rsidP="0099729D">
            <w:pPr>
              <w:spacing w:after="0" w:line="240" w:lineRule="auto"/>
              <w:ind w:right="-108"/>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-0.126</w:t>
            </w:r>
            <w:r w:rsidRPr="00BA5490">
              <w:rPr>
                <w:rFonts w:ascii="Times New Roman" w:eastAsia="Times New Roman" w:hAnsi="Times New Roman" w:cs="Arial"/>
                <w:color w:val="000000"/>
                <w:sz w:val="24"/>
                <w:szCs w:val="24"/>
                <w:vertAlign w:val="superscript"/>
                <w:lang w:val="en-US"/>
              </w:rPr>
              <w:t>***</w:t>
            </w:r>
          </w:p>
        </w:tc>
        <w:tc>
          <w:tcPr>
            <w:tcW w:w="1276" w:type="dxa"/>
            <w:shd w:val="clear" w:color="auto" w:fill="FFFFFF"/>
            <w:noWrap/>
          </w:tcPr>
          <w:p w14:paraId="7832EE98"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-0.167</w:t>
            </w:r>
            <w:r w:rsidRPr="00BA5490">
              <w:rPr>
                <w:rFonts w:ascii="Times New Roman" w:eastAsia="Times New Roman" w:hAnsi="Times New Roman" w:cs="Arial"/>
                <w:color w:val="000000"/>
                <w:sz w:val="24"/>
                <w:szCs w:val="24"/>
                <w:vertAlign w:val="superscript"/>
                <w:lang w:val="en-US"/>
              </w:rPr>
              <w:t>***</w:t>
            </w:r>
          </w:p>
        </w:tc>
        <w:tc>
          <w:tcPr>
            <w:tcW w:w="1136" w:type="dxa"/>
            <w:shd w:val="clear" w:color="auto" w:fill="FFFFFF"/>
          </w:tcPr>
          <w:p w14:paraId="54F83B52" w14:textId="77777777" w:rsidR="00D845BA" w:rsidRPr="00BA5490" w:rsidRDefault="00D845BA" w:rsidP="0099729D">
            <w:pPr>
              <w:spacing w:after="0" w:line="240" w:lineRule="auto"/>
              <w:ind w:right="-107"/>
              <w:jc w:val="both"/>
              <w:rPr>
                <w:rFonts w:ascii="Times New Roman" w:eastAsia="Times New Roman" w:hAnsi="Times New Roman" w:cs="Arial"/>
                <w:color w:val="000000"/>
                <w:sz w:val="24"/>
                <w:szCs w:val="24"/>
                <w:lang w:val="en-US"/>
              </w:rPr>
            </w:pPr>
          </w:p>
        </w:tc>
        <w:tc>
          <w:tcPr>
            <w:tcW w:w="1139" w:type="dxa"/>
            <w:gridSpan w:val="2"/>
            <w:shd w:val="clear" w:color="auto" w:fill="FFFFFF"/>
          </w:tcPr>
          <w:p w14:paraId="5208AD9A" w14:textId="77777777" w:rsidR="00D845BA" w:rsidRPr="00BA5490" w:rsidRDefault="00D845BA" w:rsidP="0099729D">
            <w:pPr>
              <w:spacing w:after="0" w:line="240" w:lineRule="auto"/>
              <w:ind w:right="-105"/>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-0.036</w:t>
            </w:r>
          </w:p>
        </w:tc>
      </w:tr>
      <w:tr w:rsidR="00D845BA" w:rsidRPr="00BA5490" w14:paraId="5CEE1E40" w14:textId="77777777" w:rsidTr="0099729D">
        <w:trPr>
          <w:trHeight w:val="293"/>
        </w:trPr>
        <w:tc>
          <w:tcPr>
            <w:tcW w:w="1560" w:type="dxa"/>
            <w:tcBorders>
              <w:top w:val="nil"/>
              <w:left w:val="nil"/>
              <w:bottom w:val="single" w:sz="4" w:space="0" w:color="auto"/>
            </w:tcBorders>
            <w:shd w:val="clear" w:color="auto" w:fill="FFFFFF"/>
          </w:tcPr>
          <w:p w14:paraId="30F472ED" w14:textId="77777777" w:rsidR="00D845BA" w:rsidRPr="00BA5490" w:rsidRDefault="00D845BA" w:rsidP="0099729D">
            <w:pPr>
              <w:spacing w:after="0" w:line="240" w:lineRule="auto"/>
              <w:rPr>
                <w:rFonts w:ascii="Times New Roman" w:eastAsia="Times New Roman" w:hAnsi="Times New Roman" w:cs="Arial"/>
                <w:iCs/>
                <w:color w:val="000000"/>
                <w:sz w:val="24"/>
                <w:szCs w:val="24"/>
                <w:lang w:val="en-US"/>
              </w:rPr>
            </w:pPr>
            <w:r w:rsidRPr="00BA5490">
              <w:rPr>
                <w:rFonts w:ascii="Times New Roman" w:eastAsia="Times New Roman" w:hAnsi="Times New Roman" w:cs="Arial"/>
                <w:iCs/>
                <w:color w:val="000000"/>
                <w:sz w:val="24"/>
                <w:szCs w:val="24"/>
                <w:lang w:val="en-US"/>
              </w:rPr>
              <w:t>CCI</w:t>
            </w:r>
          </w:p>
        </w:tc>
        <w:tc>
          <w:tcPr>
            <w:tcW w:w="1134" w:type="dxa"/>
            <w:tcBorders>
              <w:top w:val="nil"/>
              <w:left w:val="nil"/>
              <w:bottom w:val="single" w:sz="4" w:space="0" w:color="auto"/>
              <w:right w:val="nil"/>
            </w:tcBorders>
            <w:shd w:val="clear" w:color="auto" w:fill="FFFFFF"/>
            <w:noWrap/>
          </w:tcPr>
          <w:p w14:paraId="2CE9A9BE"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-0.080</w:t>
            </w:r>
            <w:r w:rsidRPr="00BA5490">
              <w:rPr>
                <w:rFonts w:ascii="Times New Roman" w:eastAsia="Times New Roman" w:hAnsi="Times New Roman" w:cs="Arial"/>
                <w:color w:val="000000"/>
                <w:sz w:val="24"/>
                <w:szCs w:val="24"/>
                <w:vertAlign w:val="superscript"/>
                <w:lang w:val="en-US"/>
              </w:rPr>
              <w:t>**</w:t>
            </w:r>
          </w:p>
        </w:tc>
        <w:tc>
          <w:tcPr>
            <w:tcW w:w="993" w:type="dxa"/>
            <w:tcBorders>
              <w:bottom w:val="single" w:sz="4" w:space="0" w:color="auto"/>
            </w:tcBorders>
            <w:shd w:val="clear" w:color="auto" w:fill="FFFFFF"/>
          </w:tcPr>
          <w:p w14:paraId="1B21A7FB"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-0.109</w:t>
            </w:r>
            <w:r w:rsidRPr="00BA5490">
              <w:rPr>
                <w:rFonts w:ascii="Times New Roman" w:eastAsia="Times New Roman" w:hAnsi="Times New Roman" w:cs="Arial"/>
                <w:color w:val="000000"/>
                <w:sz w:val="24"/>
                <w:szCs w:val="24"/>
                <w:vertAlign w:val="superscript"/>
                <w:lang w:val="en-US"/>
              </w:rPr>
              <w:t>***</w:t>
            </w:r>
          </w:p>
        </w:tc>
        <w:tc>
          <w:tcPr>
            <w:tcW w:w="991" w:type="dxa"/>
            <w:tcBorders>
              <w:bottom w:val="single" w:sz="4" w:space="0" w:color="auto"/>
            </w:tcBorders>
            <w:shd w:val="clear" w:color="auto" w:fill="FFFFFF"/>
          </w:tcPr>
          <w:p w14:paraId="7536065F"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-0.080</w:t>
            </w:r>
            <w:r w:rsidRPr="00BA5490">
              <w:rPr>
                <w:rFonts w:ascii="Times New Roman" w:eastAsia="Times New Roman" w:hAnsi="Times New Roman" w:cs="Arial"/>
                <w:color w:val="000000"/>
                <w:sz w:val="24"/>
                <w:szCs w:val="24"/>
                <w:vertAlign w:val="superscript"/>
                <w:lang w:val="en-US"/>
              </w:rPr>
              <w:t>**</w:t>
            </w:r>
          </w:p>
        </w:tc>
        <w:tc>
          <w:tcPr>
            <w:tcW w:w="1133" w:type="dxa"/>
            <w:tcBorders>
              <w:bottom w:val="single" w:sz="4" w:space="0" w:color="auto"/>
            </w:tcBorders>
            <w:shd w:val="clear" w:color="auto" w:fill="FFFFFF"/>
          </w:tcPr>
          <w:p w14:paraId="349F6193"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-0.131</w:t>
            </w:r>
            <w:r w:rsidRPr="00BA5490">
              <w:rPr>
                <w:rFonts w:ascii="Times New Roman" w:eastAsia="Times New Roman" w:hAnsi="Times New Roman" w:cs="Arial"/>
                <w:color w:val="000000"/>
                <w:sz w:val="24"/>
                <w:szCs w:val="24"/>
                <w:vertAlign w:val="superscript"/>
                <w:lang w:val="en-US"/>
              </w:rPr>
              <w:t>***</w:t>
            </w:r>
          </w:p>
        </w:tc>
        <w:tc>
          <w:tcPr>
            <w:tcW w:w="992" w:type="dxa"/>
            <w:tcBorders>
              <w:bottom w:val="single" w:sz="4" w:space="0" w:color="auto"/>
            </w:tcBorders>
            <w:shd w:val="clear" w:color="auto" w:fill="FFFFFF"/>
          </w:tcPr>
          <w:p w14:paraId="616F1001"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-0.124</w:t>
            </w:r>
            <w:r w:rsidRPr="00BA5490">
              <w:rPr>
                <w:rFonts w:ascii="Times New Roman" w:eastAsia="Times New Roman" w:hAnsi="Times New Roman" w:cs="Arial"/>
                <w:color w:val="000000"/>
                <w:sz w:val="24"/>
                <w:szCs w:val="24"/>
                <w:vertAlign w:val="superscript"/>
                <w:lang w:val="en-US"/>
              </w:rPr>
              <w:t>**</w:t>
            </w:r>
          </w:p>
        </w:tc>
        <w:tc>
          <w:tcPr>
            <w:tcW w:w="992" w:type="dxa"/>
            <w:tcBorders>
              <w:bottom w:val="single" w:sz="4" w:space="0" w:color="auto"/>
            </w:tcBorders>
            <w:shd w:val="clear" w:color="auto" w:fill="FFFFFF"/>
          </w:tcPr>
          <w:p w14:paraId="7CC5DAC4"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-0.159</w:t>
            </w:r>
            <w:r w:rsidRPr="00BA5490">
              <w:rPr>
                <w:rFonts w:ascii="Times New Roman" w:eastAsia="Times New Roman" w:hAnsi="Times New Roman" w:cs="Arial"/>
                <w:color w:val="000000"/>
                <w:sz w:val="24"/>
                <w:szCs w:val="24"/>
                <w:vertAlign w:val="superscript"/>
                <w:lang w:val="en-US"/>
              </w:rPr>
              <w:t>***</w:t>
            </w:r>
          </w:p>
        </w:tc>
        <w:tc>
          <w:tcPr>
            <w:tcW w:w="992" w:type="dxa"/>
            <w:tcBorders>
              <w:bottom w:val="single" w:sz="4" w:space="0" w:color="auto"/>
            </w:tcBorders>
            <w:shd w:val="clear" w:color="auto" w:fill="FFFFFF"/>
            <w:noWrap/>
          </w:tcPr>
          <w:p w14:paraId="4D667A54" w14:textId="77777777" w:rsidR="00D845BA" w:rsidRPr="00BA5490" w:rsidRDefault="00D845BA" w:rsidP="0099729D">
            <w:pPr>
              <w:spacing w:after="0" w:line="240" w:lineRule="auto"/>
              <w:ind w:right="-110"/>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-0.154</w:t>
            </w:r>
            <w:r w:rsidRPr="00BA5490">
              <w:rPr>
                <w:rFonts w:ascii="Times New Roman" w:eastAsia="Times New Roman" w:hAnsi="Times New Roman" w:cs="Arial"/>
                <w:color w:val="000000"/>
                <w:sz w:val="24"/>
                <w:szCs w:val="24"/>
                <w:vertAlign w:val="superscript"/>
                <w:lang w:val="en-US"/>
              </w:rPr>
              <w:t>***</w:t>
            </w:r>
          </w:p>
        </w:tc>
        <w:tc>
          <w:tcPr>
            <w:tcW w:w="992" w:type="dxa"/>
            <w:tcBorders>
              <w:bottom w:val="single" w:sz="4" w:space="0" w:color="auto"/>
            </w:tcBorders>
            <w:shd w:val="clear" w:color="auto" w:fill="FFFFFF"/>
            <w:noWrap/>
          </w:tcPr>
          <w:p w14:paraId="6F6FBC5C" w14:textId="77777777" w:rsidR="00D845BA" w:rsidRPr="00BA5490" w:rsidRDefault="00D845BA" w:rsidP="0099729D">
            <w:pPr>
              <w:spacing w:after="0" w:line="240" w:lineRule="auto"/>
              <w:ind w:right="-108"/>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-0.219</w:t>
            </w:r>
            <w:r w:rsidRPr="00BA5490">
              <w:rPr>
                <w:rFonts w:ascii="Times New Roman" w:eastAsia="Times New Roman" w:hAnsi="Times New Roman" w:cs="Arial"/>
                <w:color w:val="000000"/>
                <w:sz w:val="24"/>
                <w:szCs w:val="24"/>
                <w:vertAlign w:val="superscript"/>
                <w:lang w:val="en-US"/>
              </w:rPr>
              <w:t>***</w:t>
            </w:r>
          </w:p>
        </w:tc>
        <w:tc>
          <w:tcPr>
            <w:tcW w:w="1276" w:type="dxa"/>
            <w:tcBorders>
              <w:bottom w:val="single" w:sz="4" w:space="0" w:color="auto"/>
            </w:tcBorders>
            <w:shd w:val="clear" w:color="auto" w:fill="FFFFFF"/>
            <w:noWrap/>
          </w:tcPr>
          <w:p w14:paraId="2C99F914" w14:textId="77777777" w:rsidR="00D845BA" w:rsidRPr="00BA5490" w:rsidRDefault="00D845BA" w:rsidP="0099729D">
            <w:pPr>
              <w:spacing w:after="0" w:line="240" w:lineRule="auto"/>
              <w:jc w:val="both"/>
              <w:rPr>
                <w:rFonts w:ascii="Times New Roman" w:eastAsia="Times New Roman" w:hAnsi="Times New Roman" w:cs="Arial"/>
                <w:color w:val="000000"/>
                <w:sz w:val="24"/>
                <w:szCs w:val="24"/>
                <w:vertAlign w:val="superscript"/>
                <w:lang w:val="en-US"/>
              </w:rPr>
            </w:pPr>
            <w:r w:rsidRPr="00BA5490">
              <w:rPr>
                <w:rFonts w:ascii="Times New Roman" w:eastAsia="Times New Roman" w:hAnsi="Times New Roman" w:cs="Arial"/>
                <w:color w:val="000000"/>
                <w:sz w:val="24"/>
                <w:szCs w:val="24"/>
                <w:lang w:val="en-US"/>
              </w:rPr>
              <w:t>0.063</w:t>
            </w:r>
            <w:r w:rsidRPr="00BA5490">
              <w:rPr>
                <w:rFonts w:ascii="Times New Roman" w:eastAsia="Times New Roman" w:hAnsi="Times New Roman" w:cs="Arial"/>
                <w:color w:val="000000"/>
                <w:sz w:val="24"/>
                <w:szCs w:val="24"/>
                <w:vertAlign w:val="superscript"/>
                <w:lang w:val="en-US"/>
              </w:rPr>
              <w:t>*</w:t>
            </w:r>
          </w:p>
        </w:tc>
        <w:tc>
          <w:tcPr>
            <w:tcW w:w="1136" w:type="dxa"/>
            <w:tcBorders>
              <w:bottom w:val="single" w:sz="4" w:space="0" w:color="auto"/>
            </w:tcBorders>
            <w:shd w:val="clear" w:color="auto" w:fill="FFFFFF"/>
          </w:tcPr>
          <w:p w14:paraId="29F53E39" w14:textId="77777777" w:rsidR="00D845BA" w:rsidRPr="00BA5490" w:rsidRDefault="00D845BA" w:rsidP="0099729D">
            <w:pPr>
              <w:spacing w:after="0" w:line="240" w:lineRule="auto"/>
              <w:ind w:left="-111" w:right="-103"/>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-0.047</w:t>
            </w:r>
          </w:p>
        </w:tc>
        <w:tc>
          <w:tcPr>
            <w:tcW w:w="1139" w:type="dxa"/>
            <w:gridSpan w:val="2"/>
            <w:tcBorders>
              <w:bottom w:val="single" w:sz="4" w:space="0" w:color="auto"/>
            </w:tcBorders>
            <w:shd w:val="clear" w:color="auto" w:fill="FFFFFF"/>
          </w:tcPr>
          <w:p w14:paraId="4060CEE6" w14:textId="77777777" w:rsidR="00D845BA" w:rsidRPr="00BA5490" w:rsidRDefault="00D845BA" w:rsidP="0099729D">
            <w:pPr>
              <w:spacing w:after="0" w:line="240" w:lineRule="auto"/>
              <w:ind w:right="-104"/>
              <w:jc w:val="both"/>
              <w:rPr>
                <w:rFonts w:ascii="Times New Roman" w:eastAsia="Times New Roman" w:hAnsi="Times New Roman" w:cs="Arial"/>
                <w:color w:val="000000"/>
                <w:sz w:val="24"/>
                <w:szCs w:val="24"/>
                <w:lang w:val="en-US"/>
              </w:rPr>
            </w:pPr>
          </w:p>
        </w:tc>
      </w:tr>
      <w:tr w:rsidR="00D845BA" w:rsidRPr="00BA5490" w14:paraId="6FB39583" w14:textId="77777777" w:rsidTr="0099729D">
        <w:trPr>
          <w:gridAfter w:val="1"/>
          <w:wAfter w:w="11" w:type="dxa"/>
          <w:trHeight w:val="293"/>
        </w:trPr>
        <w:tc>
          <w:tcPr>
            <w:tcW w:w="13319" w:type="dxa"/>
            <w:gridSpan w:val="12"/>
            <w:tcBorders>
              <w:top w:val="single" w:sz="4" w:space="0" w:color="auto"/>
              <w:left w:val="nil"/>
            </w:tcBorders>
            <w:shd w:val="clear" w:color="auto" w:fill="FFFFFF"/>
          </w:tcPr>
          <w:p w14:paraId="360B6F24" w14:textId="329B53D6" w:rsidR="00D845BA" w:rsidRPr="00BA5490" w:rsidRDefault="00D845BA" w:rsidP="0099729D">
            <w:pPr>
              <w:spacing w:after="0" w:line="240" w:lineRule="auto"/>
              <w:ind w:right="-104"/>
              <w:jc w:val="both"/>
              <w:rPr>
                <w:rFonts w:ascii="Times New Roman" w:eastAsia="Times New Roman" w:hAnsi="Times New Roman" w:cs="Arial"/>
                <w:color w:val="000000"/>
                <w:sz w:val="24"/>
                <w:szCs w:val="24"/>
                <w:lang w:val="en-US"/>
              </w:rPr>
            </w:pPr>
            <w:r w:rsidRPr="00BA5490">
              <w:rPr>
                <w:rFonts w:ascii="Times New Roman" w:eastAsia="Times New Roman" w:hAnsi="Times New Roman" w:cs="Arial"/>
                <w:color w:val="000000"/>
                <w:sz w:val="24"/>
                <w:szCs w:val="24"/>
                <w:lang w:val="en-US"/>
              </w:rPr>
              <w:t xml:space="preserve">Parametric coefficients are reported in the lower left side of the </w:t>
            </w:r>
            <w:r>
              <w:rPr>
                <w:rFonts w:ascii="Times New Roman" w:eastAsia="Times New Roman" w:hAnsi="Times New Roman" w:cs="Arial"/>
                <w:color w:val="000000"/>
                <w:sz w:val="24"/>
                <w:szCs w:val="24"/>
                <w:lang w:val="en-US"/>
              </w:rPr>
              <w:t>appendix</w:t>
            </w:r>
            <w:r w:rsidRPr="00BA5490">
              <w:rPr>
                <w:rFonts w:ascii="Times New Roman" w:eastAsia="Times New Roman" w:hAnsi="Times New Roman" w:cs="Arial"/>
                <w:color w:val="000000"/>
                <w:sz w:val="24"/>
                <w:szCs w:val="24"/>
                <w:lang w:val="en-US"/>
              </w:rPr>
              <w:t xml:space="preserve">, whereas </w:t>
            </w:r>
            <w:bookmarkStart w:id="3" w:name="_Hlk45106772"/>
            <w:r w:rsidRPr="00BA5490">
              <w:rPr>
                <w:rFonts w:ascii="Times New Roman" w:eastAsia="Times New Roman" w:hAnsi="Times New Roman" w:cs="Arial"/>
                <w:color w:val="000000"/>
                <w:sz w:val="24"/>
                <w:szCs w:val="24"/>
                <w:lang w:val="en-US"/>
              </w:rPr>
              <w:t xml:space="preserve">non-parametric </w:t>
            </w:r>
            <w:bookmarkEnd w:id="3"/>
            <w:r w:rsidRPr="00BA5490">
              <w:rPr>
                <w:rFonts w:ascii="Times New Roman" w:eastAsia="Times New Roman" w:hAnsi="Times New Roman" w:cs="Arial"/>
                <w:color w:val="000000"/>
                <w:sz w:val="24"/>
                <w:szCs w:val="24"/>
                <w:lang w:val="en-US"/>
              </w:rPr>
              <w:t xml:space="preserve">coefficients are presented in the top right side of the </w:t>
            </w:r>
            <w:r>
              <w:rPr>
                <w:rFonts w:ascii="Times New Roman" w:eastAsia="Times New Roman" w:hAnsi="Times New Roman" w:cs="Arial"/>
                <w:color w:val="000000"/>
                <w:sz w:val="24"/>
                <w:szCs w:val="24"/>
                <w:lang w:val="en-US"/>
              </w:rPr>
              <w:t>appendix</w:t>
            </w:r>
            <w:r w:rsidRPr="00BA5490">
              <w:rPr>
                <w:rFonts w:ascii="Times New Roman" w:eastAsia="Times New Roman" w:hAnsi="Times New Roman" w:cs="Arial"/>
                <w:color w:val="000000"/>
                <w:sz w:val="24"/>
                <w:szCs w:val="24"/>
                <w:lang w:val="en-US"/>
              </w:rPr>
              <w:t>.</w:t>
            </w:r>
            <w:r>
              <w:rPr>
                <w:rFonts w:ascii="Times New Roman" w:eastAsia="Times New Roman" w:hAnsi="Times New Roman" w:cs="Arial"/>
                <w:color w:val="000000"/>
                <w:sz w:val="24"/>
                <w:szCs w:val="24"/>
                <w:lang w:val="en-US"/>
              </w:rPr>
              <w:t xml:space="preserve"> </w:t>
            </w:r>
            <w:r w:rsidRPr="00BA5490">
              <w:rPr>
                <w:rFonts w:ascii="Times New Roman" w:eastAsia="Times New Roman" w:hAnsi="Times New Roman" w:cs="Arial"/>
                <w:color w:val="000000"/>
                <w:sz w:val="24"/>
                <w:szCs w:val="24"/>
                <w:lang w:val="en-US"/>
              </w:rPr>
              <w:t xml:space="preserve">Please </w:t>
            </w:r>
            <w:r w:rsidR="003134B1">
              <w:rPr>
                <w:rFonts w:ascii="Times New Roman" w:eastAsia="Times New Roman" w:hAnsi="Times New Roman" w:cs="Arial"/>
                <w:color w:val="000000"/>
                <w:sz w:val="24"/>
                <w:szCs w:val="24"/>
                <w:lang w:val="en-US"/>
              </w:rPr>
              <w:t>refer to</w:t>
            </w:r>
            <w:r w:rsidRPr="00BA5490">
              <w:rPr>
                <w:rFonts w:ascii="Times New Roman" w:eastAsia="Times New Roman" w:hAnsi="Times New Roman" w:cs="Arial"/>
                <w:color w:val="000000"/>
                <w:sz w:val="24"/>
                <w:szCs w:val="24"/>
                <w:lang w:val="en-US"/>
              </w:rPr>
              <w:t xml:space="preserve"> </w:t>
            </w:r>
            <w:r w:rsidR="003134B1">
              <w:rPr>
                <w:rFonts w:ascii="Times New Roman" w:eastAsia="Times New Roman" w:hAnsi="Times New Roman" w:cs="Arial"/>
                <w:color w:val="000000"/>
                <w:sz w:val="24"/>
                <w:szCs w:val="24"/>
                <w:lang w:val="en-US"/>
              </w:rPr>
              <w:t xml:space="preserve">the </w:t>
            </w:r>
            <w:r w:rsidRPr="008F5521">
              <w:rPr>
                <w:rFonts w:ascii="Times New Roman" w:eastAsia="Times New Roman" w:hAnsi="Times New Roman" w:cs="Arial"/>
                <w:b/>
                <w:bCs/>
                <w:i/>
                <w:iCs/>
                <w:color w:val="000000"/>
                <w:sz w:val="24"/>
                <w:szCs w:val="24"/>
                <w:lang w:val="en-US"/>
              </w:rPr>
              <w:t>online Appendix 1</w:t>
            </w:r>
            <w:r w:rsidRPr="00BA5490">
              <w:rPr>
                <w:rFonts w:ascii="Times New Roman" w:eastAsia="Times New Roman" w:hAnsi="Times New Roman" w:cs="Arial"/>
                <w:color w:val="000000"/>
                <w:sz w:val="24"/>
                <w:szCs w:val="24"/>
                <w:lang w:val="en-US"/>
              </w:rPr>
              <w:t xml:space="preserve"> for variable definitions.</w:t>
            </w:r>
            <w:r>
              <w:rPr>
                <w:rFonts w:ascii="Times New Roman" w:eastAsia="Times New Roman" w:hAnsi="Times New Roman" w:cs="Arial"/>
                <w:color w:val="000000"/>
                <w:sz w:val="24"/>
                <w:szCs w:val="24"/>
                <w:lang w:val="en-US"/>
              </w:rPr>
              <w:t xml:space="preserve"> </w:t>
            </w:r>
            <w:r w:rsidRPr="00BA5490">
              <w:rPr>
                <w:rFonts w:ascii="Times New Roman" w:eastAsia="Times New Roman" w:hAnsi="Times New Roman" w:cs="Arial"/>
                <w:color w:val="000000"/>
                <w:sz w:val="24"/>
                <w:szCs w:val="24"/>
                <w:lang w:val="en-US"/>
              </w:rPr>
              <w:t>*** Significance at the 1% level (p&lt;0.01)</w:t>
            </w:r>
            <w:r>
              <w:rPr>
                <w:rFonts w:ascii="Times New Roman" w:eastAsia="Times New Roman" w:hAnsi="Times New Roman" w:cs="Arial"/>
                <w:color w:val="000000"/>
                <w:sz w:val="24"/>
                <w:szCs w:val="24"/>
                <w:lang w:val="en-US"/>
              </w:rPr>
              <w:t xml:space="preserve">, </w:t>
            </w:r>
            <w:r w:rsidRPr="00BA5490">
              <w:rPr>
                <w:rFonts w:ascii="Times New Roman" w:eastAsia="Times New Roman" w:hAnsi="Times New Roman" w:cs="Arial"/>
                <w:color w:val="000000"/>
                <w:sz w:val="24"/>
                <w:szCs w:val="24"/>
                <w:lang w:val="en-US"/>
              </w:rPr>
              <w:t>** Significance at the 5% level (p&lt;0.05)</w:t>
            </w:r>
            <w:r>
              <w:rPr>
                <w:rFonts w:ascii="Times New Roman" w:eastAsia="Times New Roman" w:hAnsi="Times New Roman" w:cs="Arial"/>
                <w:color w:val="000000"/>
                <w:sz w:val="24"/>
                <w:szCs w:val="24"/>
                <w:lang w:val="en-US"/>
              </w:rPr>
              <w:t xml:space="preserve"> and </w:t>
            </w:r>
            <w:r w:rsidRPr="00BA5490">
              <w:rPr>
                <w:rFonts w:ascii="Times New Roman" w:eastAsia="Times New Roman" w:hAnsi="Times New Roman" w:cs="Arial"/>
                <w:color w:val="000000"/>
                <w:sz w:val="24"/>
                <w:szCs w:val="24"/>
                <w:lang w:val="en-US"/>
              </w:rPr>
              <w:t>* Significance at the 10% level (p&lt;0.10).</w:t>
            </w:r>
          </w:p>
        </w:tc>
      </w:tr>
    </w:tbl>
    <w:p w14:paraId="71937527" w14:textId="77777777" w:rsidR="00D845BA" w:rsidRDefault="00D845BA"/>
    <w:p w14:paraId="0F1D8670" w14:textId="77777777" w:rsidR="00741579" w:rsidRDefault="00741579"/>
    <w:p w14:paraId="7B896531" w14:textId="77777777" w:rsidR="00741579" w:rsidRDefault="00741579"/>
    <w:p w14:paraId="3DB916B8" w14:textId="77777777" w:rsidR="00741579" w:rsidRDefault="00741579"/>
    <w:p w14:paraId="7B35925C" w14:textId="77777777" w:rsidR="00741579" w:rsidRDefault="00741579"/>
    <w:p w14:paraId="24842A5D" w14:textId="77777777" w:rsidR="00741579" w:rsidRDefault="00741579"/>
    <w:p w14:paraId="0234EE09" w14:textId="77777777" w:rsidR="00741579" w:rsidRDefault="00741579"/>
    <w:p w14:paraId="64738087" w14:textId="77777777" w:rsidR="00741579" w:rsidRDefault="00741579"/>
    <w:p w14:paraId="05C477F9" w14:textId="77777777" w:rsidR="00741579" w:rsidRDefault="00741579"/>
    <w:p w14:paraId="444C0F9C" w14:textId="77777777" w:rsidR="00741579" w:rsidRDefault="00741579"/>
    <w:p w14:paraId="4F17F31E" w14:textId="77777777" w:rsidR="00741579" w:rsidRDefault="00741579"/>
    <w:p w14:paraId="16E65C6A" w14:textId="77777777" w:rsidR="00741579" w:rsidRDefault="00741579"/>
    <w:p w14:paraId="6659F13D" w14:textId="77777777" w:rsidR="00741579" w:rsidRDefault="00741579"/>
    <w:p w14:paraId="4BB6093A" w14:textId="77777777" w:rsidR="00741579" w:rsidRDefault="00741579"/>
    <w:p w14:paraId="335B8072" w14:textId="77777777" w:rsidR="00741579" w:rsidRDefault="00741579"/>
    <w:p w14:paraId="334AFF48" w14:textId="218CD887" w:rsidR="00741579" w:rsidRDefault="00741579">
      <w:pPr>
        <w:sectPr w:rsidR="00741579" w:rsidSect="00D845BA">
          <w:pgSz w:w="16838" w:h="11906" w:orient="landscape"/>
          <w:pgMar w:top="1440" w:right="1440" w:bottom="1440" w:left="1440" w:header="708" w:footer="708" w:gutter="0"/>
          <w:cols w:space="708"/>
          <w:docGrid w:linePitch="360"/>
        </w:sectPr>
      </w:pPr>
    </w:p>
    <w:p w14:paraId="3EC97F93" w14:textId="4BF1F080" w:rsidR="00D845BA" w:rsidRPr="00D845BA" w:rsidRDefault="0051717F" w:rsidP="00D845BA">
      <w:pPr>
        <w:spacing w:after="0" w:line="480" w:lineRule="auto"/>
        <w:ind w:firstLine="720"/>
        <w:jc w:val="both"/>
        <w:rPr>
          <w:rFonts w:ascii="Times New Roman" w:eastAsia="Calibri" w:hAnsi="Times New Roman" w:cs="Times New Roman"/>
          <w:sz w:val="24"/>
          <w:szCs w:val="24"/>
        </w:rPr>
      </w:pPr>
      <w:r w:rsidRPr="008F5521">
        <w:rPr>
          <w:rFonts w:ascii="Times New Roman" w:eastAsia="Calibri" w:hAnsi="Times New Roman" w:cs="Times New Roman"/>
          <w:b/>
          <w:bCs/>
          <w:i/>
          <w:iCs/>
          <w:sz w:val="24"/>
          <w:szCs w:val="24"/>
        </w:rPr>
        <w:lastRenderedPageBreak/>
        <w:t xml:space="preserve">Online </w:t>
      </w:r>
      <w:r w:rsidR="00D845BA" w:rsidRPr="008F5521">
        <w:rPr>
          <w:rFonts w:ascii="Times New Roman" w:eastAsia="Calibri" w:hAnsi="Times New Roman" w:cs="Times New Roman"/>
          <w:b/>
          <w:bCs/>
          <w:i/>
          <w:iCs/>
          <w:sz w:val="24"/>
          <w:szCs w:val="24"/>
        </w:rPr>
        <w:t>Appendix 4</w:t>
      </w:r>
      <w:r w:rsidR="00D845BA" w:rsidRPr="00D845BA">
        <w:rPr>
          <w:rFonts w:ascii="Times New Roman" w:eastAsia="Calibri" w:hAnsi="Times New Roman" w:cs="Times New Roman"/>
          <w:sz w:val="24"/>
          <w:szCs w:val="24"/>
        </w:rPr>
        <w:t xml:space="preserve"> shows the results of correlation matrices in order to check the existence of any multicollinearity problems. The results of both the </w:t>
      </w:r>
      <w:r w:rsidR="00D845BA" w:rsidRPr="00D845BA">
        <w:rPr>
          <w:rFonts w:ascii="Times New Roman" w:eastAsia="Calibri" w:hAnsi="Times New Roman" w:cs="Times New Roman"/>
          <w:i/>
          <w:iCs/>
          <w:sz w:val="24"/>
          <w:szCs w:val="24"/>
        </w:rPr>
        <w:t>Pearson</w:t>
      </w:r>
      <w:r w:rsidR="00D845BA" w:rsidRPr="00D845BA">
        <w:rPr>
          <w:rFonts w:ascii="Times New Roman" w:eastAsia="Calibri" w:hAnsi="Times New Roman" w:cs="Times New Roman"/>
          <w:sz w:val="24"/>
          <w:szCs w:val="24"/>
        </w:rPr>
        <w:t xml:space="preserve"> and </w:t>
      </w:r>
      <w:r w:rsidR="00D845BA" w:rsidRPr="00D845BA">
        <w:rPr>
          <w:rFonts w:ascii="Times New Roman" w:eastAsia="Calibri" w:hAnsi="Times New Roman" w:cs="Times New Roman"/>
          <w:i/>
          <w:iCs/>
          <w:sz w:val="24"/>
          <w:szCs w:val="24"/>
        </w:rPr>
        <w:t>Spearman</w:t>
      </w:r>
      <w:r w:rsidR="00D845BA" w:rsidRPr="00D845BA">
        <w:rPr>
          <w:rFonts w:ascii="Times New Roman" w:eastAsia="Calibri" w:hAnsi="Times New Roman" w:cs="Times New Roman"/>
          <w:sz w:val="24"/>
          <w:szCs w:val="24"/>
        </w:rPr>
        <w:t xml:space="preserve"> coefficients have been reported as a robustness check, and, crucially, both tests have similar correlation coefficients, implying that our data does not appear to suffer from any serious non-linearity problems. Additionally, and apart from the high predicted correlation among </w:t>
      </w:r>
      <w:r w:rsidR="00D845BA" w:rsidRPr="00D845BA">
        <w:rPr>
          <w:rFonts w:ascii="Times New Roman" w:eastAsia="Calibri" w:hAnsi="Times New Roman" w:cs="Times New Roman"/>
          <w:i/>
          <w:iCs/>
          <w:sz w:val="24"/>
          <w:szCs w:val="24"/>
        </w:rPr>
        <w:t>VCBP</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VCNP</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VCTP</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THE</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QS</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CUG</w:t>
      </w:r>
      <w:r w:rsidR="00D845BA" w:rsidRPr="00D845BA">
        <w:rPr>
          <w:rFonts w:ascii="Times New Roman" w:eastAsia="Calibri" w:hAnsi="Times New Roman" w:cs="Times New Roman"/>
          <w:sz w:val="24"/>
          <w:szCs w:val="24"/>
        </w:rPr>
        <w:t xml:space="preserve"> and </w:t>
      </w:r>
      <w:r w:rsidR="00D845BA" w:rsidRPr="00D845BA">
        <w:rPr>
          <w:rFonts w:ascii="Times New Roman" w:eastAsia="Calibri" w:hAnsi="Times New Roman" w:cs="Times New Roman"/>
          <w:i/>
          <w:iCs/>
          <w:sz w:val="24"/>
          <w:szCs w:val="24"/>
        </w:rPr>
        <w:t xml:space="preserve">GUG </w:t>
      </w:r>
      <w:r w:rsidR="00D845BA" w:rsidRPr="00D845BA">
        <w:rPr>
          <w:rFonts w:ascii="Times New Roman" w:eastAsia="Calibri" w:hAnsi="Times New Roman" w:cs="Times New Roman"/>
          <w:sz w:val="24"/>
          <w:szCs w:val="24"/>
        </w:rPr>
        <w:t xml:space="preserve">rankings, the correlation coefficients of all </w:t>
      </w:r>
      <w:r w:rsidR="00AD368C">
        <w:rPr>
          <w:rFonts w:ascii="Times New Roman" w:eastAsia="Calibri" w:hAnsi="Times New Roman" w:cs="Times New Roman"/>
          <w:sz w:val="24"/>
          <w:szCs w:val="24"/>
        </w:rPr>
        <w:t xml:space="preserve">the </w:t>
      </w:r>
      <w:r w:rsidR="00D845BA" w:rsidRPr="00D845BA">
        <w:rPr>
          <w:rFonts w:ascii="Times New Roman" w:eastAsia="Calibri" w:hAnsi="Times New Roman" w:cs="Times New Roman"/>
          <w:sz w:val="24"/>
          <w:szCs w:val="24"/>
        </w:rPr>
        <w:t xml:space="preserve">other variables are largely low, implying that any remaining multicollinearities may not be statistically harmful. The reported findings </w:t>
      </w:r>
      <w:r w:rsidR="00AD368C">
        <w:rPr>
          <w:rFonts w:ascii="Times New Roman" w:eastAsia="Calibri" w:hAnsi="Times New Roman" w:cs="Times New Roman"/>
          <w:sz w:val="24"/>
          <w:szCs w:val="24"/>
        </w:rPr>
        <w:t xml:space="preserve">contained </w:t>
      </w:r>
      <w:r w:rsidR="00D845BA" w:rsidRPr="00D845BA">
        <w:rPr>
          <w:rFonts w:ascii="Times New Roman" w:eastAsia="Calibri" w:hAnsi="Times New Roman" w:cs="Times New Roman"/>
          <w:sz w:val="24"/>
          <w:szCs w:val="24"/>
        </w:rPr>
        <w:t xml:space="preserve">in </w:t>
      </w:r>
      <w:r w:rsidR="003134B1">
        <w:rPr>
          <w:rFonts w:ascii="Times New Roman" w:eastAsia="Calibri" w:hAnsi="Times New Roman" w:cs="Times New Roman"/>
          <w:sz w:val="24"/>
          <w:szCs w:val="24"/>
        </w:rPr>
        <w:t xml:space="preserve">the </w:t>
      </w:r>
      <w:r w:rsidRPr="008F5521">
        <w:rPr>
          <w:rFonts w:ascii="Times New Roman" w:eastAsia="Calibri" w:hAnsi="Times New Roman" w:cs="Times New Roman"/>
          <w:b/>
          <w:bCs/>
          <w:i/>
          <w:iCs/>
          <w:sz w:val="24"/>
          <w:szCs w:val="24"/>
        </w:rPr>
        <w:t xml:space="preserve">online </w:t>
      </w:r>
      <w:r w:rsidR="00D845BA" w:rsidRPr="008F5521">
        <w:rPr>
          <w:rFonts w:ascii="Times New Roman" w:eastAsia="Calibri" w:hAnsi="Times New Roman" w:cs="Times New Roman"/>
          <w:b/>
          <w:bCs/>
          <w:i/>
          <w:iCs/>
          <w:sz w:val="24"/>
          <w:szCs w:val="24"/>
        </w:rPr>
        <w:t>Appendix 4</w:t>
      </w:r>
      <w:r w:rsidR="00D845BA" w:rsidRPr="00D845BA">
        <w:rPr>
          <w:rFonts w:ascii="Times New Roman" w:eastAsia="Calibri" w:hAnsi="Times New Roman" w:cs="Times New Roman"/>
          <w:sz w:val="24"/>
          <w:szCs w:val="24"/>
        </w:rPr>
        <w:t xml:space="preserve"> (non-parametric correlation matrix) also indicate that VC basic, non-basic and total pay are negatively and significantly correlated with all long-term performance measures (</w:t>
      </w:r>
      <w:r w:rsidR="00D845BA" w:rsidRPr="00D845BA">
        <w:rPr>
          <w:rFonts w:ascii="Times New Roman" w:eastAsia="Calibri" w:hAnsi="Times New Roman" w:cs="Times New Roman"/>
          <w:i/>
          <w:iCs/>
          <w:sz w:val="24"/>
          <w:szCs w:val="24"/>
        </w:rPr>
        <w:t>GPG</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PYS</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NLHE</w:t>
      </w:r>
      <w:r w:rsidR="00D845BA" w:rsidRPr="00D845BA">
        <w:rPr>
          <w:rFonts w:ascii="Times New Roman" w:eastAsia="Calibri" w:hAnsi="Times New Roman" w:cs="Times New Roman"/>
          <w:sz w:val="24"/>
          <w:szCs w:val="24"/>
        </w:rPr>
        <w:t xml:space="preserve"> and </w:t>
      </w:r>
      <w:r w:rsidR="00D845BA" w:rsidRPr="00D845BA">
        <w:rPr>
          <w:rFonts w:ascii="Times New Roman" w:eastAsia="Calibri" w:hAnsi="Times New Roman" w:cs="Times New Roman"/>
          <w:i/>
          <w:iCs/>
          <w:sz w:val="24"/>
          <w:szCs w:val="24"/>
        </w:rPr>
        <w:t>CCI</w:t>
      </w:r>
      <w:r w:rsidR="00D845BA" w:rsidRPr="00D845BA">
        <w:rPr>
          <w:rFonts w:ascii="Times New Roman" w:eastAsia="Calibri" w:hAnsi="Times New Roman" w:cs="Times New Roman"/>
          <w:sz w:val="24"/>
          <w:szCs w:val="24"/>
        </w:rPr>
        <w:t xml:space="preserve">), and this is consistent with the predictions of the PT and </w:t>
      </w:r>
      <w:r w:rsidR="00D845BA" w:rsidRPr="00D845BA">
        <w:rPr>
          <w:rFonts w:ascii="Times New Roman" w:eastAsia="Calibri" w:hAnsi="Times New Roman" w:cs="Times New Roman"/>
          <w:i/>
          <w:iCs/>
          <w:sz w:val="24"/>
          <w:szCs w:val="24"/>
        </w:rPr>
        <w:t xml:space="preserve">H1a </w:t>
      </w:r>
      <w:r w:rsidR="00D845BA" w:rsidRPr="00D845BA">
        <w:rPr>
          <w:rFonts w:ascii="Times New Roman" w:eastAsia="Calibri" w:hAnsi="Times New Roman" w:cs="Times New Roman"/>
          <w:sz w:val="24"/>
          <w:szCs w:val="24"/>
        </w:rPr>
        <w:t xml:space="preserve">that VC pay is negatively linked with HEIs’ long-term </w:t>
      </w:r>
      <w:r w:rsidR="00AD368C">
        <w:rPr>
          <w:rFonts w:ascii="Times New Roman" w:eastAsia="Calibri" w:hAnsi="Times New Roman" w:cs="Times New Roman"/>
          <w:sz w:val="24"/>
          <w:szCs w:val="24"/>
        </w:rPr>
        <w:t xml:space="preserve">social </w:t>
      </w:r>
      <w:r w:rsidR="00D845BA" w:rsidRPr="00D845BA">
        <w:rPr>
          <w:rFonts w:ascii="Times New Roman" w:eastAsia="Calibri" w:hAnsi="Times New Roman" w:cs="Times New Roman"/>
          <w:sz w:val="24"/>
          <w:szCs w:val="24"/>
        </w:rPr>
        <w:t xml:space="preserve">performance. Additionally, the results reported in </w:t>
      </w:r>
      <w:r w:rsidR="003134B1">
        <w:rPr>
          <w:rFonts w:ascii="Times New Roman" w:eastAsia="Calibri" w:hAnsi="Times New Roman" w:cs="Times New Roman"/>
          <w:sz w:val="24"/>
          <w:szCs w:val="24"/>
        </w:rPr>
        <w:t xml:space="preserve">the </w:t>
      </w:r>
      <w:r w:rsidR="00AD368C">
        <w:rPr>
          <w:rFonts w:ascii="Times New Roman" w:eastAsia="Calibri" w:hAnsi="Times New Roman" w:cs="Times New Roman"/>
          <w:b/>
          <w:bCs/>
          <w:i/>
          <w:iCs/>
          <w:sz w:val="24"/>
          <w:szCs w:val="24"/>
        </w:rPr>
        <w:t xml:space="preserve">online </w:t>
      </w:r>
      <w:r w:rsidR="00D845BA" w:rsidRPr="00EB7A65">
        <w:rPr>
          <w:rFonts w:ascii="Times New Roman" w:eastAsia="Calibri" w:hAnsi="Times New Roman" w:cs="Times New Roman"/>
          <w:b/>
          <w:bCs/>
          <w:i/>
          <w:iCs/>
          <w:sz w:val="24"/>
          <w:szCs w:val="24"/>
        </w:rPr>
        <w:t xml:space="preserve">Appendix 4 </w:t>
      </w:r>
      <w:r w:rsidR="00D845BA" w:rsidRPr="00D845BA">
        <w:rPr>
          <w:rFonts w:ascii="Times New Roman" w:eastAsia="Calibri" w:hAnsi="Times New Roman" w:cs="Times New Roman"/>
          <w:sz w:val="24"/>
          <w:szCs w:val="24"/>
        </w:rPr>
        <w:t>suggest that VC basic, non-basic and total pay are positively and significantly associated with all short-term performance measures (</w:t>
      </w:r>
      <w:r w:rsidR="00D845BA" w:rsidRPr="00D845BA">
        <w:rPr>
          <w:rFonts w:ascii="Times New Roman" w:eastAsia="Calibri" w:hAnsi="Times New Roman" w:cs="Times New Roman"/>
          <w:i/>
          <w:iCs/>
          <w:sz w:val="24"/>
          <w:szCs w:val="24"/>
        </w:rPr>
        <w:t>THE</w:t>
      </w:r>
      <w:r w:rsidR="00D845BA" w:rsidRPr="00D845BA">
        <w:rPr>
          <w:rFonts w:ascii="Times New Roman" w:eastAsia="Calibri" w:hAnsi="Times New Roman" w:cs="Times New Roman"/>
          <w:sz w:val="24"/>
          <w:szCs w:val="24"/>
        </w:rPr>
        <w:t xml:space="preserve">, </w:t>
      </w:r>
      <w:r w:rsidR="00D845BA" w:rsidRPr="00D845BA">
        <w:rPr>
          <w:rFonts w:ascii="Times New Roman" w:eastAsia="Calibri" w:hAnsi="Times New Roman" w:cs="Times New Roman"/>
          <w:i/>
          <w:iCs/>
          <w:sz w:val="24"/>
          <w:szCs w:val="24"/>
        </w:rPr>
        <w:t>QS, CUG</w:t>
      </w:r>
      <w:r w:rsidR="00D845BA" w:rsidRPr="00D845BA">
        <w:rPr>
          <w:rFonts w:ascii="Times New Roman" w:eastAsia="Calibri" w:hAnsi="Times New Roman" w:cs="Times New Roman"/>
          <w:sz w:val="24"/>
          <w:szCs w:val="24"/>
        </w:rPr>
        <w:t xml:space="preserve"> and</w:t>
      </w:r>
      <w:r w:rsidR="00D845BA" w:rsidRPr="00D845BA">
        <w:rPr>
          <w:rFonts w:ascii="Times New Roman" w:eastAsia="Calibri" w:hAnsi="Times New Roman" w:cs="Times New Roman"/>
          <w:i/>
          <w:iCs/>
          <w:sz w:val="24"/>
          <w:szCs w:val="24"/>
        </w:rPr>
        <w:t xml:space="preserve"> GUG</w:t>
      </w:r>
      <w:r w:rsidR="00D845BA" w:rsidRPr="00D845BA">
        <w:rPr>
          <w:rFonts w:ascii="Times New Roman" w:eastAsia="Calibri" w:hAnsi="Times New Roman" w:cs="Times New Roman"/>
          <w:sz w:val="24"/>
          <w:szCs w:val="24"/>
        </w:rPr>
        <w:t xml:space="preserve"> rankings), which is consistent with the predictions of OCT and </w:t>
      </w:r>
      <w:r w:rsidR="00D845BA" w:rsidRPr="00D845BA">
        <w:rPr>
          <w:rFonts w:ascii="Times New Roman" w:eastAsia="Calibri" w:hAnsi="Times New Roman" w:cs="Times New Roman"/>
          <w:i/>
          <w:iCs/>
          <w:sz w:val="24"/>
          <w:szCs w:val="24"/>
        </w:rPr>
        <w:t xml:space="preserve">H1b </w:t>
      </w:r>
      <w:r w:rsidR="00D845BA" w:rsidRPr="00D845BA">
        <w:rPr>
          <w:rFonts w:ascii="Times New Roman" w:eastAsia="Calibri" w:hAnsi="Times New Roman" w:cs="Times New Roman"/>
          <w:sz w:val="24"/>
          <w:szCs w:val="24"/>
        </w:rPr>
        <w:t xml:space="preserve">that VC pay is positively linked with HEIs’ short-term performance. Nevertheless, we note that these are </w:t>
      </w:r>
      <w:r w:rsidR="00AD368C">
        <w:rPr>
          <w:rFonts w:ascii="Times New Roman" w:eastAsia="Calibri" w:hAnsi="Times New Roman" w:cs="Times New Roman"/>
          <w:sz w:val="24"/>
          <w:szCs w:val="24"/>
        </w:rPr>
        <w:t>primarily</w:t>
      </w:r>
      <w:r w:rsidR="00D845BA" w:rsidRPr="00D845BA">
        <w:rPr>
          <w:rFonts w:ascii="Times New Roman" w:eastAsia="Calibri" w:hAnsi="Times New Roman" w:cs="Times New Roman"/>
          <w:sz w:val="24"/>
          <w:szCs w:val="24"/>
        </w:rPr>
        <w:t xml:space="preserve"> tentative evidence, as only a multivariate test can provide conclusive evidence regarding our hypotheses.</w:t>
      </w:r>
    </w:p>
    <w:p w14:paraId="22C0734A" w14:textId="6123BE5E" w:rsidR="005760DC" w:rsidRDefault="005760DC"/>
    <w:p w14:paraId="2709B918" w14:textId="62C36DC4" w:rsidR="00D845BA" w:rsidRDefault="00D845BA"/>
    <w:p w14:paraId="44AE5A78" w14:textId="77777777" w:rsidR="00741579" w:rsidRDefault="00D845BA">
      <w:pPr>
        <w:sectPr w:rsidR="00741579" w:rsidSect="004D65E3">
          <w:pgSz w:w="11906" w:h="16838"/>
          <w:pgMar w:top="1440" w:right="1440" w:bottom="1440" w:left="1440" w:header="708" w:footer="708" w:gutter="0"/>
          <w:cols w:space="708"/>
          <w:docGrid w:linePitch="360"/>
        </w:sectPr>
      </w:pPr>
      <w:r>
        <w:br w:type="page"/>
      </w:r>
    </w:p>
    <w:tbl>
      <w:tblPr>
        <w:tblStyle w:val="TableGrid211"/>
        <w:tblpPr w:leftFromText="180" w:rightFromText="180" w:vertAnchor="page" w:horzAnchor="margin" w:tblpXSpec="center" w:tblpY="1597"/>
        <w:tblW w:w="15209" w:type="dxa"/>
        <w:tblLook w:val="04A0" w:firstRow="1" w:lastRow="0" w:firstColumn="1" w:lastColumn="0" w:noHBand="0" w:noVBand="1"/>
      </w:tblPr>
      <w:tblGrid>
        <w:gridCol w:w="3686"/>
        <w:gridCol w:w="1609"/>
        <w:gridCol w:w="1384"/>
        <w:gridCol w:w="1609"/>
        <w:gridCol w:w="1355"/>
        <w:gridCol w:w="1345"/>
        <w:gridCol w:w="1402"/>
        <w:gridCol w:w="12"/>
        <w:gridCol w:w="1246"/>
        <w:gridCol w:w="1561"/>
      </w:tblGrid>
      <w:tr w:rsidR="004A6BDA" w:rsidRPr="00C72A71" w14:paraId="0BED603D" w14:textId="77777777" w:rsidTr="00EF5CFC">
        <w:trPr>
          <w:trHeight w:val="142"/>
        </w:trPr>
        <w:tc>
          <w:tcPr>
            <w:tcW w:w="15209" w:type="dxa"/>
            <w:gridSpan w:val="10"/>
            <w:tcBorders>
              <w:top w:val="nil"/>
              <w:left w:val="nil"/>
              <w:bottom w:val="single" w:sz="12" w:space="0" w:color="auto"/>
              <w:right w:val="nil"/>
            </w:tcBorders>
          </w:tcPr>
          <w:p w14:paraId="54C7B165" w14:textId="7F887AF5" w:rsidR="004A6BDA" w:rsidRPr="00C72A71" w:rsidRDefault="00FA3A51" w:rsidP="004A6BDA">
            <w:pPr>
              <w:rPr>
                <w:rFonts w:ascii="Times New Roman" w:eastAsia="Times New Roman" w:hAnsi="Times New Roman" w:cs="Times New Roman"/>
                <w:sz w:val="20"/>
                <w:szCs w:val="20"/>
                <w:lang w:val="en-US" w:eastAsia="zh-CN"/>
              </w:rPr>
            </w:pPr>
            <w:r>
              <w:rPr>
                <w:rFonts w:ascii="Times New Roman" w:eastAsia="Times New Roman" w:hAnsi="Times New Roman" w:cs="Arial"/>
                <w:b/>
                <w:bCs/>
                <w:sz w:val="20"/>
                <w:szCs w:val="20"/>
                <w:lang w:val="en-US" w:eastAsia="zh-CN"/>
              </w:rPr>
              <w:lastRenderedPageBreak/>
              <w:t xml:space="preserve">Online </w:t>
            </w:r>
            <w:r w:rsidR="004A6BDA">
              <w:rPr>
                <w:rFonts w:ascii="Times New Roman" w:eastAsia="Times New Roman" w:hAnsi="Times New Roman" w:cs="Arial"/>
                <w:b/>
                <w:bCs/>
                <w:sz w:val="20"/>
                <w:szCs w:val="20"/>
                <w:lang w:val="en-US" w:eastAsia="zh-CN"/>
              </w:rPr>
              <w:t>Appendix</w:t>
            </w:r>
            <w:r w:rsidR="004A6BDA" w:rsidRPr="00C72A71">
              <w:rPr>
                <w:rFonts w:ascii="Times New Roman" w:eastAsia="Times New Roman" w:hAnsi="Times New Roman" w:cs="Arial"/>
                <w:b/>
                <w:bCs/>
                <w:sz w:val="20"/>
                <w:szCs w:val="20"/>
                <w:lang w:val="en-US" w:eastAsia="zh-CN"/>
              </w:rPr>
              <w:t xml:space="preserve"> </w:t>
            </w:r>
            <w:r w:rsidR="004A6BDA">
              <w:rPr>
                <w:rFonts w:ascii="Times New Roman" w:eastAsia="Times New Roman" w:hAnsi="Times New Roman" w:cs="Arial"/>
                <w:b/>
                <w:bCs/>
                <w:sz w:val="20"/>
                <w:szCs w:val="20"/>
                <w:lang w:val="en-US" w:eastAsia="zh-CN"/>
              </w:rPr>
              <w:t>5</w:t>
            </w:r>
            <w:r w:rsidR="004A6BDA" w:rsidRPr="00C72A71">
              <w:rPr>
                <w:rFonts w:ascii="Times New Roman" w:eastAsia="Times New Roman" w:hAnsi="Times New Roman" w:cs="Arial"/>
                <w:b/>
                <w:bCs/>
                <w:sz w:val="20"/>
                <w:szCs w:val="20"/>
                <w:lang w:val="en-US" w:eastAsia="zh-CN"/>
              </w:rPr>
              <w:t xml:space="preserve">. </w:t>
            </w:r>
            <w:r w:rsidR="004A6BDA" w:rsidRPr="00C72A71">
              <w:rPr>
                <w:rFonts w:ascii="Times New Roman" w:eastAsia="Times New Roman" w:hAnsi="Times New Roman" w:cs="Arial"/>
                <w:bCs/>
                <w:sz w:val="20"/>
                <w:szCs w:val="20"/>
                <w:lang w:val="en-US" w:eastAsia="zh-CN"/>
              </w:rPr>
              <w:t xml:space="preserve"> VC pay </w:t>
            </w:r>
            <w:r w:rsidR="004A6BDA">
              <w:rPr>
                <w:rFonts w:ascii="Times New Roman" w:eastAsia="Times New Roman" w:hAnsi="Times New Roman" w:cs="Arial"/>
                <w:bCs/>
                <w:sz w:val="20"/>
                <w:szCs w:val="20"/>
                <w:lang w:val="en-US" w:eastAsia="zh-CN"/>
              </w:rPr>
              <w:t>and</w:t>
            </w:r>
            <w:r w:rsidR="004A6BDA" w:rsidRPr="00C72A71">
              <w:rPr>
                <w:rFonts w:ascii="Times New Roman" w:eastAsia="Times New Roman" w:hAnsi="Times New Roman" w:cs="Arial"/>
                <w:bCs/>
                <w:sz w:val="20"/>
                <w:szCs w:val="20"/>
                <w:lang w:val="en-US" w:eastAsia="zh-CN"/>
              </w:rPr>
              <w:t xml:space="preserve"> performance relationship (HEIs </w:t>
            </w:r>
            <w:r w:rsidR="004A6BDA" w:rsidRPr="00DD44CB">
              <w:rPr>
                <w:rFonts w:ascii="Times New Roman" w:eastAsia="Times New Roman" w:hAnsi="Times New Roman" w:cs="Times New Roman"/>
                <w:sz w:val="20"/>
                <w:szCs w:val="20"/>
                <w:lang w:eastAsia="zh-CN"/>
              </w:rPr>
              <w:t xml:space="preserve">prioritising </w:t>
            </w:r>
            <w:r w:rsidR="004A6BDA" w:rsidRPr="00C72A71">
              <w:rPr>
                <w:rFonts w:ascii="Times New Roman" w:eastAsia="Times New Roman" w:hAnsi="Times New Roman" w:cs="Times New Roman"/>
                <w:sz w:val="20"/>
                <w:szCs w:val="20"/>
                <w:lang w:val="en-US" w:eastAsia="zh-CN"/>
              </w:rPr>
              <w:t>long/</w:t>
            </w:r>
            <w:r w:rsidR="004A6BDA" w:rsidRPr="00C72A71">
              <w:rPr>
                <w:rFonts w:ascii="Times New Roman" w:eastAsia="Times New Roman" w:hAnsi="Times New Roman" w:cs="Arial"/>
                <w:bCs/>
                <w:sz w:val="20"/>
                <w:szCs w:val="20"/>
                <w:lang w:val="en-US" w:eastAsia="zh-CN"/>
              </w:rPr>
              <w:t>short-term performance)</w:t>
            </w:r>
          </w:p>
        </w:tc>
      </w:tr>
      <w:tr w:rsidR="004A6BDA" w:rsidRPr="00C72A71" w14:paraId="513B8F38" w14:textId="77777777" w:rsidTr="00EF5CFC">
        <w:trPr>
          <w:trHeight w:val="374"/>
        </w:trPr>
        <w:tc>
          <w:tcPr>
            <w:tcW w:w="3686" w:type="dxa"/>
            <w:tcBorders>
              <w:top w:val="single" w:sz="12" w:space="0" w:color="auto"/>
              <w:left w:val="nil"/>
              <w:bottom w:val="single" w:sz="2" w:space="0" w:color="auto"/>
              <w:right w:val="nil"/>
            </w:tcBorders>
          </w:tcPr>
          <w:p w14:paraId="2C91B0E5" w14:textId="77777777" w:rsidR="004A6BDA" w:rsidRPr="00C72A71" w:rsidRDefault="004A6BDA" w:rsidP="004A6BDA">
            <w:pPr>
              <w:rPr>
                <w:rFonts w:ascii="Times New Roman" w:eastAsia="Times New Roman" w:hAnsi="Times New Roman" w:cs="Times New Roman"/>
                <w:sz w:val="20"/>
                <w:szCs w:val="20"/>
              </w:rPr>
            </w:pPr>
          </w:p>
        </w:tc>
        <w:tc>
          <w:tcPr>
            <w:tcW w:w="2993" w:type="dxa"/>
            <w:gridSpan w:val="2"/>
            <w:tcBorders>
              <w:top w:val="single" w:sz="12" w:space="0" w:color="auto"/>
              <w:left w:val="nil"/>
              <w:bottom w:val="single" w:sz="2" w:space="0" w:color="auto"/>
              <w:right w:val="nil"/>
            </w:tcBorders>
          </w:tcPr>
          <w:p w14:paraId="6C3C0586" w14:textId="77777777" w:rsidR="004A6BDA" w:rsidRPr="00C72A71" w:rsidRDefault="004A6BDA" w:rsidP="004A6BDA">
            <w:pPr>
              <w:rPr>
                <w:rFonts w:ascii="Times New Roman" w:eastAsia="Times New Roman" w:hAnsi="Times New Roman" w:cs="Times New Roman"/>
                <w:sz w:val="20"/>
                <w:szCs w:val="20"/>
                <w:lang w:val="en-US" w:eastAsia="zh-CN"/>
              </w:rPr>
            </w:pPr>
            <w:r w:rsidRPr="00C72A71">
              <w:rPr>
                <w:rFonts w:ascii="Times New Roman" w:eastAsia="Times New Roman" w:hAnsi="Times New Roman" w:cs="Times New Roman"/>
                <w:sz w:val="20"/>
                <w:szCs w:val="20"/>
                <w:lang w:val="en-US" w:eastAsia="zh-CN"/>
              </w:rPr>
              <w:t xml:space="preserve">HEIs </w:t>
            </w:r>
            <w:r w:rsidRPr="00DD44CB">
              <w:rPr>
                <w:rFonts w:ascii="Times New Roman" w:eastAsia="Times New Roman" w:hAnsi="Times New Roman" w:cs="Times New Roman"/>
                <w:sz w:val="20"/>
                <w:szCs w:val="20"/>
                <w:lang w:eastAsia="zh-CN"/>
              </w:rPr>
              <w:t xml:space="preserve">prioritising </w:t>
            </w:r>
            <w:r w:rsidRPr="00C72A71">
              <w:rPr>
                <w:rFonts w:ascii="Times New Roman" w:eastAsia="Times New Roman" w:hAnsi="Times New Roman" w:cs="Times New Roman"/>
                <w:sz w:val="20"/>
                <w:szCs w:val="20"/>
                <w:lang w:val="en-US" w:eastAsia="zh-CN"/>
              </w:rPr>
              <w:t>long-term performance</w:t>
            </w:r>
          </w:p>
        </w:tc>
        <w:tc>
          <w:tcPr>
            <w:tcW w:w="2964" w:type="dxa"/>
            <w:gridSpan w:val="2"/>
            <w:tcBorders>
              <w:top w:val="single" w:sz="12" w:space="0" w:color="auto"/>
              <w:left w:val="nil"/>
              <w:bottom w:val="single" w:sz="2" w:space="0" w:color="auto"/>
              <w:right w:val="nil"/>
            </w:tcBorders>
          </w:tcPr>
          <w:p w14:paraId="55ACD8B2" w14:textId="77777777" w:rsidR="004A6BDA" w:rsidRPr="00C72A71" w:rsidRDefault="004A6BDA" w:rsidP="004A6BDA">
            <w:pPr>
              <w:rPr>
                <w:rFonts w:ascii="Times New Roman" w:eastAsia="Times New Roman" w:hAnsi="Times New Roman" w:cs="Times New Roman"/>
                <w:sz w:val="20"/>
                <w:szCs w:val="20"/>
                <w:lang w:val="en-US" w:eastAsia="zh-CN"/>
              </w:rPr>
            </w:pPr>
            <w:r w:rsidRPr="00C72A71">
              <w:rPr>
                <w:rFonts w:ascii="Times New Roman" w:eastAsia="Times New Roman" w:hAnsi="Times New Roman" w:cs="Times New Roman"/>
                <w:sz w:val="20"/>
                <w:szCs w:val="20"/>
                <w:lang w:val="en-US" w:eastAsia="zh-CN"/>
              </w:rPr>
              <w:t xml:space="preserve">HEIs not </w:t>
            </w:r>
            <w:r w:rsidRPr="00DD44CB">
              <w:rPr>
                <w:rFonts w:ascii="Times New Roman" w:eastAsia="Times New Roman" w:hAnsi="Times New Roman" w:cs="Times New Roman"/>
                <w:sz w:val="20"/>
                <w:szCs w:val="20"/>
                <w:lang w:eastAsia="zh-CN"/>
              </w:rPr>
              <w:t xml:space="preserve">prioritising </w:t>
            </w:r>
            <w:r w:rsidRPr="00C72A71">
              <w:rPr>
                <w:rFonts w:ascii="Times New Roman" w:eastAsia="Times New Roman" w:hAnsi="Times New Roman" w:cs="Times New Roman"/>
                <w:sz w:val="20"/>
                <w:szCs w:val="20"/>
                <w:lang w:val="en-US" w:eastAsia="zh-CN"/>
              </w:rPr>
              <w:t>long-term performance</w:t>
            </w:r>
          </w:p>
        </w:tc>
        <w:tc>
          <w:tcPr>
            <w:tcW w:w="2747" w:type="dxa"/>
            <w:gridSpan w:val="2"/>
            <w:tcBorders>
              <w:top w:val="single" w:sz="12" w:space="0" w:color="auto"/>
              <w:left w:val="nil"/>
              <w:bottom w:val="single" w:sz="2" w:space="0" w:color="auto"/>
              <w:right w:val="nil"/>
            </w:tcBorders>
          </w:tcPr>
          <w:p w14:paraId="6301F79C" w14:textId="77777777" w:rsidR="004A6BDA" w:rsidRPr="00C72A71" w:rsidRDefault="004A6BDA" w:rsidP="004A6BDA">
            <w:pPr>
              <w:rPr>
                <w:rFonts w:ascii="Times New Roman" w:eastAsia="Times New Roman" w:hAnsi="Times New Roman" w:cs="Times New Roman"/>
                <w:sz w:val="20"/>
                <w:szCs w:val="20"/>
                <w:lang w:val="en-US" w:eastAsia="zh-CN"/>
              </w:rPr>
            </w:pPr>
            <w:r w:rsidRPr="00C72A71">
              <w:rPr>
                <w:rFonts w:ascii="Times New Roman" w:eastAsia="Times New Roman" w:hAnsi="Times New Roman" w:cs="Times New Roman"/>
                <w:sz w:val="20"/>
                <w:szCs w:val="20"/>
                <w:lang w:val="en-US" w:eastAsia="zh-CN"/>
              </w:rPr>
              <w:t xml:space="preserve">HEIs </w:t>
            </w:r>
            <w:r w:rsidRPr="00DD44CB">
              <w:rPr>
                <w:rFonts w:ascii="Times New Roman" w:eastAsia="Times New Roman" w:hAnsi="Times New Roman" w:cs="Times New Roman"/>
                <w:sz w:val="20"/>
                <w:szCs w:val="20"/>
                <w:lang w:eastAsia="zh-CN"/>
              </w:rPr>
              <w:t xml:space="preserve">prioritising </w:t>
            </w:r>
            <w:r w:rsidRPr="00C72A71">
              <w:rPr>
                <w:rFonts w:ascii="Times New Roman" w:eastAsia="Times New Roman" w:hAnsi="Times New Roman" w:cs="Times New Roman"/>
                <w:sz w:val="20"/>
                <w:szCs w:val="20"/>
                <w:lang w:val="en-US" w:eastAsia="zh-CN"/>
              </w:rPr>
              <w:t>short-term performance</w:t>
            </w:r>
          </w:p>
        </w:tc>
        <w:tc>
          <w:tcPr>
            <w:tcW w:w="2819" w:type="dxa"/>
            <w:gridSpan w:val="3"/>
            <w:tcBorders>
              <w:top w:val="single" w:sz="12" w:space="0" w:color="auto"/>
              <w:left w:val="nil"/>
              <w:bottom w:val="single" w:sz="2" w:space="0" w:color="auto"/>
              <w:right w:val="nil"/>
            </w:tcBorders>
          </w:tcPr>
          <w:p w14:paraId="5D84F86E" w14:textId="77777777" w:rsidR="004A6BDA" w:rsidRPr="00C72A71" w:rsidRDefault="004A6BDA" w:rsidP="004A6BDA">
            <w:pPr>
              <w:rPr>
                <w:rFonts w:ascii="Times New Roman" w:eastAsia="Times New Roman" w:hAnsi="Times New Roman" w:cs="Times New Roman"/>
                <w:sz w:val="20"/>
                <w:szCs w:val="20"/>
                <w:lang w:val="en-US" w:eastAsia="zh-CN"/>
              </w:rPr>
            </w:pPr>
            <w:r w:rsidRPr="00C72A71">
              <w:rPr>
                <w:rFonts w:ascii="Times New Roman" w:eastAsia="Times New Roman" w:hAnsi="Times New Roman" w:cs="Times New Roman"/>
                <w:sz w:val="20"/>
                <w:szCs w:val="20"/>
                <w:lang w:val="en-US" w:eastAsia="zh-CN"/>
              </w:rPr>
              <w:t xml:space="preserve">HEIs not </w:t>
            </w:r>
            <w:r w:rsidRPr="00DD44CB">
              <w:rPr>
                <w:rFonts w:ascii="Times New Roman" w:eastAsia="Times New Roman" w:hAnsi="Times New Roman" w:cs="Times New Roman"/>
                <w:sz w:val="20"/>
                <w:szCs w:val="20"/>
                <w:lang w:eastAsia="zh-CN"/>
              </w:rPr>
              <w:t xml:space="preserve">prioritising </w:t>
            </w:r>
            <w:r w:rsidRPr="00C72A71">
              <w:rPr>
                <w:rFonts w:ascii="Times New Roman" w:eastAsia="Times New Roman" w:hAnsi="Times New Roman" w:cs="Times New Roman"/>
                <w:sz w:val="20"/>
                <w:szCs w:val="20"/>
                <w:lang w:val="en-US" w:eastAsia="zh-CN"/>
              </w:rPr>
              <w:t>short-term performance</w:t>
            </w:r>
          </w:p>
        </w:tc>
      </w:tr>
      <w:tr w:rsidR="004A6BDA" w:rsidRPr="00C72A71" w14:paraId="62228D4B" w14:textId="77777777" w:rsidTr="00EF5CFC">
        <w:trPr>
          <w:trHeight w:val="374"/>
        </w:trPr>
        <w:tc>
          <w:tcPr>
            <w:tcW w:w="3686" w:type="dxa"/>
            <w:vMerge w:val="restart"/>
            <w:tcBorders>
              <w:top w:val="nil"/>
              <w:left w:val="nil"/>
              <w:right w:val="nil"/>
            </w:tcBorders>
          </w:tcPr>
          <w:p w14:paraId="74F22976" w14:textId="77777777" w:rsidR="004A6BDA"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Dep. Variable</w:t>
            </w:r>
          </w:p>
          <w:p w14:paraId="092D9712" w14:textId="77777777" w:rsidR="004A6BDA" w:rsidRDefault="004A6BDA" w:rsidP="004A6BDA">
            <w:pPr>
              <w:rPr>
                <w:rFonts w:ascii="Times New Roman" w:eastAsia="Times New Roman" w:hAnsi="Times New Roman" w:cs="Times New Roman"/>
                <w:sz w:val="20"/>
                <w:szCs w:val="20"/>
              </w:rPr>
            </w:pPr>
          </w:p>
          <w:p w14:paraId="3509431D" w14:textId="77777777" w:rsidR="004A6BDA" w:rsidRDefault="004A6BDA" w:rsidP="004A6BDA">
            <w:pPr>
              <w:rPr>
                <w:rFonts w:ascii="Times New Roman" w:eastAsia="Times New Roman" w:hAnsi="Times New Roman" w:cs="Times New Roman"/>
                <w:sz w:val="20"/>
                <w:szCs w:val="20"/>
              </w:rPr>
            </w:pPr>
          </w:p>
          <w:p w14:paraId="3F608481" w14:textId="70D1783E" w:rsidR="004A6BDA" w:rsidRDefault="004A6BDA" w:rsidP="004A6BDA">
            <w:pPr>
              <w:rPr>
                <w:rFonts w:ascii="Times New Roman" w:eastAsia="Times New Roman" w:hAnsi="Times New Roman" w:cs="Times New Roman"/>
                <w:sz w:val="10"/>
                <w:szCs w:val="10"/>
              </w:rPr>
            </w:pPr>
          </w:p>
          <w:p w14:paraId="2EFECFEC" w14:textId="007B4BB5" w:rsidR="00952EE5" w:rsidRDefault="00952EE5" w:rsidP="004A6BDA">
            <w:pPr>
              <w:rPr>
                <w:rFonts w:ascii="Times New Roman" w:eastAsia="Times New Roman" w:hAnsi="Times New Roman" w:cs="Times New Roman"/>
                <w:sz w:val="10"/>
                <w:szCs w:val="10"/>
              </w:rPr>
            </w:pPr>
          </w:p>
          <w:p w14:paraId="1514105C" w14:textId="77777777" w:rsidR="00952EE5" w:rsidRPr="0047550C" w:rsidRDefault="00952EE5" w:rsidP="004A6BDA">
            <w:pPr>
              <w:rPr>
                <w:rFonts w:ascii="Times New Roman" w:eastAsia="Times New Roman" w:hAnsi="Times New Roman" w:cs="Times New Roman"/>
                <w:sz w:val="10"/>
                <w:szCs w:val="10"/>
              </w:rPr>
            </w:pPr>
          </w:p>
          <w:p w14:paraId="74C821F3" w14:textId="77777777"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w:t>
            </w:r>
            <w:r w:rsidRPr="00C72A71">
              <w:rPr>
                <w:rFonts w:ascii="Times New Roman" w:eastAsia="Times New Roman" w:hAnsi="Times New Roman" w:cs="Times New Roman"/>
                <w:i/>
                <w:iCs/>
                <w:sz w:val="20"/>
                <w:szCs w:val="20"/>
              </w:rPr>
              <w:t>Model</w:t>
            </w:r>
            <w:r w:rsidRPr="00C72A71">
              <w:rPr>
                <w:rFonts w:ascii="Times New Roman" w:eastAsia="Times New Roman" w:hAnsi="Times New Roman" w:cs="Times New Roman"/>
                <w:sz w:val="20"/>
                <w:szCs w:val="20"/>
              </w:rPr>
              <w:t>)</w:t>
            </w:r>
          </w:p>
        </w:tc>
        <w:tc>
          <w:tcPr>
            <w:tcW w:w="11523" w:type="dxa"/>
            <w:gridSpan w:val="9"/>
            <w:tcBorders>
              <w:top w:val="single" w:sz="4" w:space="0" w:color="auto"/>
              <w:left w:val="nil"/>
              <w:bottom w:val="single" w:sz="2" w:space="0" w:color="auto"/>
              <w:right w:val="nil"/>
            </w:tcBorders>
          </w:tcPr>
          <w:p w14:paraId="3CCB665B" w14:textId="77777777" w:rsidR="004A6BDA" w:rsidRPr="004D150F" w:rsidRDefault="004A6BDA" w:rsidP="004A6BDA">
            <w:pPr>
              <w:jc w:val="center"/>
              <w:rPr>
                <w:rFonts w:ascii="Times New Roman" w:eastAsia="Times New Roman" w:hAnsi="Times New Roman" w:cs="Times New Roman"/>
                <w:sz w:val="20"/>
                <w:szCs w:val="20"/>
                <w:lang w:val="en-US" w:eastAsia="zh-CN"/>
              </w:rPr>
            </w:pPr>
            <w:r w:rsidRPr="00C72A71">
              <w:rPr>
                <w:rFonts w:ascii="Times New Roman" w:eastAsia="Times New Roman" w:hAnsi="Times New Roman" w:cs="Times New Roman"/>
                <w:sz w:val="20"/>
                <w:szCs w:val="20"/>
                <w:lang w:val="en-US" w:eastAsia="zh-CN"/>
              </w:rPr>
              <w:t>VC Total Pay</w:t>
            </w:r>
          </w:p>
        </w:tc>
      </w:tr>
      <w:tr w:rsidR="00952EE5" w:rsidRPr="00C72A71" w14:paraId="5A26B180" w14:textId="77777777" w:rsidTr="00EF5CFC">
        <w:trPr>
          <w:trHeight w:val="374"/>
        </w:trPr>
        <w:tc>
          <w:tcPr>
            <w:tcW w:w="3686" w:type="dxa"/>
            <w:vMerge/>
            <w:tcBorders>
              <w:left w:val="nil"/>
              <w:bottom w:val="single" w:sz="2" w:space="0" w:color="auto"/>
              <w:right w:val="nil"/>
            </w:tcBorders>
          </w:tcPr>
          <w:p w14:paraId="62936716" w14:textId="77777777" w:rsidR="004A6BDA" w:rsidRPr="00C72A71" w:rsidRDefault="004A6BDA" w:rsidP="004A6BDA">
            <w:pPr>
              <w:rPr>
                <w:rFonts w:ascii="Times New Roman" w:eastAsia="Times New Roman" w:hAnsi="Times New Roman" w:cs="Times New Roman"/>
                <w:sz w:val="20"/>
                <w:szCs w:val="20"/>
              </w:rPr>
            </w:pPr>
          </w:p>
        </w:tc>
        <w:tc>
          <w:tcPr>
            <w:tcW w:w="1609" w:type="dxa"/>
            <w:tcBorders>
              <w:top w:val="single" w:sz="4" w:space="0" w:color="auto"/>
              <w:left w:val="nil"/>
              <w:bottom w:val="single" w:sz="2" w:space="0" w:color="auto"/>
              <w:right w:val="nil"/>
            </w:tcBorders>
          </w:tcPr>
          <w:p w14:paraId="4BE6A5F6" w14:textId="77777777" w:rsidR="004A6BDA" w:rsidRPr="004D150F" w:rsidRDefault="004A6BDA" w:rsidP="00952EE5">
            <w:pPr>
              <w:ind w:right="-97"/>
              <w:rPr>
                <w:rFonts w:ascii="Times New Roman" w:eastAsia="Calibri" w:hAnsi="Times New Roman" w:cs="Arial"/>
                <w:bCs/>
                <w:iCs/>
                <w:sz w:val="20"/>
                <w:szCs w:val="20"/>
              </w:rPr>
            </w:pPr>
            <w:r w:rsidRPr="004D150F">
              <w:rPr>
                <w:rFonts w:ascii="Times New Roman" w:eastAsia="Calibri" w:hAnsi="Times New Roman" w:cs="Arial"/>
                <w:bCs/>
                <w:iCs/>
                <w:sz w:val="20"/>
                <w:szCs w:val="20"/>
              </w:rPr>
              <w:t>Non-continuation in HE</w:t>
            </w:r>
          </w:p>
          <w:p w14:paraId="3031206F" w14:textId="77777777" w:rsidR="00952EE5" w:rsidRDefault="00952EE5" w:rsidP="004A6BDA">
            <w:pPr>
              <w:rPr>
                <w:rFonts w:ascii="Times New Roman" w:eastAsia="Times New Roman" w:hAnsi="Times New Roman" w:cs="Times New Roman"/>
                <w:sz w:val="20"/>
                <w:szCs w:val="20"/>
                <w:lang w:val="en-US" w:eastAsia="zh-CN"/>
              </w:rPr>
            </w:pPr>
          </w:p>
          <w:p w14:paraId="6A79A894" w14:textId="3DC45657"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lang w:val="en-US" w:eastAsia="zh-CN"/>
              </w:rPr>
              <w:t>(1)</w:t>
            </w:r>
          </w:p>
        </w:tc>
        <w:tc>
          <w:tcPr>
            <w:tcW w:w="1384" w:type="dxa"/>
            <w:tcBorders>
              <w:top w:val="single" w:sz="4" w:space="0" w:color="auto"/>
              <w:left w:val="nil"/>
              <w:bottom w:val="single" w:sz="2" w:space="0" w:color="auto"/>
              <w:right w:val="nil"/>
            </w:tcBorders>
          </w:tcPr>
          <w:p w14:paraId="58452A47" w14:textId="77777777" w:rsidR="004A6BDA" w:rsidRPr="004D150F" w:rsidRDefault="004A6BDA" w:rsidP="004A6BDA">
            <w:pPr>
              <w:rPr>
                <w:rFonts w:ascii="Times New Roman" w:eastAsia="Times New Roman" w:hAnsi="Times New Roman" w:cs="Times New Roman"/>
                <w:iCs/>
                <w:sz w:val="20"/>
                <w:szCs w:val="20"/>
                <w:lang w:eastAsia="zh-CN"/>
              </w:rPr>
            </w:pPr>
            <w:r w:rsidRPr="004D150F">
              <w:rPr>
                <w:rFonts w:ascii="Times New Roman" w:eastAsia="Times New Roman" w:hAnsi="Times New Roman" w:cs="Times New Roman"/>
                <w:iCs/>
                <w:sz w:val="20"/>
                <w:szCs w:val="20"/>
                <w:lang w:eastAsia="zh-CN"/>
              </w:rPr>
              <w:t>Community Contribution Index</w:t>
            </w:r>
          </w:p>
          <w:p w14:paraId="7073D0F0" w14:textId="77777777"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lang w:val="en-US" w:eastAsia="zh-CN"/>
              </w:rPr>
              <w:t>(2)</w:t>
            </w:r>
          </w:p>
        </w:tc>
        <w:tc>
          <w:tcPr>
            <w:tcW w:w="1609" w:type="dxa"/>
            <w:tcBorders>
              <w:top w:val="single" w:sz="4" w:space="0" w:color="auto"/>
              <w:left w:val="nil"/>
              <w:bottom w:val="single" w:sz="2" w:space="0" w:color="auto"/>
              <w:right w:val="nil"/>
            </w:tcBorders>
          </w:tcPr>
          <w:p w14:paraId="26237DA7" w14:textId="77777777" w:rsidR="004A6BDA" w:rsidRPr="004D150F" w:rsidRDefault="004A6BDA" w:rsidP="00952EE5">
            <w:pPr>
              <w:ind w:right="-80"/>
              <w:rPr>
                <w:rFonts w:ascii="Times New Roman" w:eastAsia="Calibri" w:hAnsi="Times New Roman" w:cs="Arial"/>
                <w:bCs/>
                <w:iCs/>
                <w:sz w:val="20"/>
                <w:szCs w:val="20"/>
              </w:rPr>
            </w:pPr>
            <w:r w:rsidRPr="004D150F">
              <w:rPr>
                <w:rFonts w:ascii="Times New Roman" w:eastAsia="Calibri" w:hAnsi="Times New Roman" w:cs="Arial"/>
                <w:bCs/>
                <w:iCs/>
                <w:sz w:val="20"/>
                <w:szCs w:val="20"/>
              </w:rPr>
              <w:t>Non-continuation in HE</w:t>
            </w:r>
          </w:p>
          <w:p w14:paraId="4F6EF3EC" w14:textId="77777777" w:rsidR="00952EE5" w:rsidRDefault="00952EE5" w:rsidP="004A6BDA">
            <w:pPr>
              <w:ind w:right="-192"/>
              <w:rPr>
                <w:rFonts w:ascii="Times New Roman" w:eastAsia="Times New Roman" w:hAnsi="Times New Roman" w:cs="Times New Roman"/>
                <w:sz w:val="20"/>
                <w:szCs w:val="20"/>
                <w:lang w:val="en-US" w:eastAsia="zh-CN"/>
              </w:rPr>
            </w:pPr>
          </w:p>
          <w:p w14:paraId="3A9829E3" w14:textId="67B615CB" w:rsidR="004A6BDA" w:rsidRPr="00C72A71" w:rsidRDefault="004A6BDA" w:rsidP="004A6BDA">
            <w:pPr>
              <w:ind w:right="-192"/>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lang w:val="en-US" w:eastAsia="zh-CN"/>
              </w:rPr>
              <w:t>(3)</w:t>
            </w:r>
          </w:p>
        </w:tc>
        <w:tc>
          <w:tcPr>
            <w:tcW w:w="1355" w:type="dxa"/>
            <w:tcBorders>
              <w:top w:val="single" w:sz="4" w:space="0" w:color="auto"/>
              <w:left w:val="nil"/>
              <w:bottom w:val="single" w:sz="2" w:space="0" w:color="auto"/>
              <w:right w:val="nil"/>
            </w:tcBorders>
          </w:tcPr>
          <w:p w14:paraId="7A8BC878" w14:textId="77777777" w:rsidR="004A6BDA" w:rsidRPr="004D150F" w:rsidRDefault="004A6BDA" w:rsidP="004A6BDA">
            <w:pPr>
              <w:rPr>
                <w:rFonts w:ascii="Times New Roman" w:eastAsia="Times New Roman" w:hAnsi="Times New Roman" w:cs="Times New Roman"/>
                <w:iCs/>
                <w:sz w:val="20"/>
                <w:szCs w:val="20"/>
                <w:lang w:eastAsia="zh-CN"/>
              </w:rPr>
            </w:pPr>
            <w:r w:rsidRPr="004D150F">
              <w:rPr>
                <w:rFonts w:ascii="Times New Roman" w:eastAsia="Times New Roman" w:hAnsi="Times New Roman" w:cs="Times New Roman"/>
                <w:iCs/>
                <w:sz w:val="20"/>
                <w:szCs w:val="20"/>
                <w:lang w:eastAsia="zh-CN"/>
              </w:rPr>
              <w:t>Community Contribution Index</w:t>
            </w:r>
          </w:p>
          <w:p w14:paraId="5F96B015" w14:textId="77777777"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lang w:val="en-US" w:eastAsia="zh-CN"/>
              </w:rPr>
              <w:t>(4)</w:t>
            </w:r>
          </w:p>
        </w:tc>
        <w:tc>
          <w:tcPr>
            <w:tcW w:w="1345" w:type="dxa"/>
            <w:tcBorders>
              <w:top w:val="single" w:sz="4" w:space="0" w:color="auto"/>
              <w:left w:val="nil"/>
              <w:bottom w:val="single" w:sz="2" w:space="0" w:color="auto"/>
              <w:right w:val="nil"/>
            </w:tcBorders>
          </w:tcPr>
          <w:p w14:paraId="32EE05A6" w14:textId="77777777" w:rsidR="004A6BDA" w:rsidRPr="004D150F" w:rsidRDefault="004A6BDA" w:rsidP="004A6BDA">
            <w:pPr>
              <w:rPr>
                <w:rFonts w:ascii="Times New Roman" w:eastAsia="Times New Roman" w:hAnsi="Times New Roman" w:cs="Times New Roman"/>
                <w:bCs/>
                <w:sz w:val="20"/>
                <w:szCs w:val="20"/>
                <w:lang w:eastAsia="zh-CN"/>
              </w:rPr>
            </w:pPr>
            <w:r w:rsidRPr="004D150F">
              <w:rPr>
                <w:rFonts w:ascii="Times New Roman" w:eastAsia="Times New Roman" w:hAnsi="Times New Roman" w:cs="Times New Roman"/>
                <w:bCs/>
                <w:sz w:val="20"/>
                <w:szCs w:val="20"/>
                <w:lang w:eastAsia="zh-CN"/>
              </w:rPr>
              <w:t>QS Ranking</w:t>
            </w:r>
          </w:p>
          <w:p w14:paraId="705B79FC" w14:textId="77777777" w:rsidR="004A6BDA" w:rsidRPr="004D150F" w:rsidRDefault="004A6BDA" w:rsidP="004A6BDA">
            <w:pPr>
              <w:rPr>
                <w:rFonts w:ascii="Times New Roman" w:eastAsia="Times New Roman" w:hAnsi="Times New Roman" w:cs="Times New Roman"/>
                <w:bCs/>
                <w:sz w:val="20"/>
                <w:szCs w:val="20"/>
                <w:lang w:eastAsia="zh-CN"/>
              </w:rPr>
            </w:pPr>
          </w:p>
          <w:p w14:paraId="3903F730" w14:textId="77777777" w:rsidR="00952EE5" w:rsidRDefault="00952EE5" w:rsidP="004A6BDA">
            <w:pPr>
              <w:rPr>
                <w:rFonts w:ascii="Times New Roman" w:eastAsia="Times New Roman" w:hAnsi="Times New Roman" w:cs="Times New Roman"/>
                <w:sz w:val="20"/>
                <w:szCs w:val="20"/>
                <w:lang w:val="en-US" w:eastAsia="zh-CN"/>
              </w:rPr>
            </w:pPr>
          </w:p>
          <w:p w14:paraId="006399BC" w14:textId="6E908324" w:rsidR="004A6BDA" w:rsidRPr="004D150F" w:rsidRDefault="004A6BDA" w:rsidP="004A6BDA">
            <w:pPr>
              <w:rPr>
                <w:rFonts w:ascii="Times New Roman" w:eastAsia="Times New Roman" w:hAnsi="Times New Roman" w:cs="Times New Roman"/>
                <w:sz w:val="20"/>
                <w:szCs w:val="20"/>
              </w:rPr>
            </w:pPr>
            <w:r w:rsidRPr="004D150F">
              <w:rPr>
                <w:rFonts w:ascii="Times New Roman" w:eastAsia="Times New Roman" w:hAnsi="Times New Roman" w:cs="Times New Roman"/>
                <w:sz w:val="20"/>
                <w:szCs w:val="20"/>
                <w:lang w:val="en-US" w:eastAsia="zh-CN"/>
              </w:rPr>
              <w:t>(5)</w:t>
            </w:r>
          </w:p>
        </w:tc>
        <w:tc>
          <w:tcPr>
            <w:tcW w:w="1414" w:type="dxa"/>
            <w:gridSpan w:val="2"/>
            <w:tcBorders>
              <w:top w:val="single" w:sz="4" w:space="0" w:color="auto"/>
              <w:left w:val="nil"/>
              <w:bottom w:val="single" w:sz="2" w:space="0" w:color="auto"/>
              <w:right w:val="nil"/>
            </w:tcBorders>
          </w:tcPr>
          <w:p w14:paraId="080D650B" w14:textId="77777777" w:rsidR="004A6BDA" w:rsidRPr="004D150F" w:rsidRDefault="004A6BDA" w:rsidP="004A6BDA">
            <w:pPr>
              <w:rPr>
                <w:rFonts w:ascii="Times New Roman" w:eastAsia="Times New Roman" w:hAnsi="Times New Roman" w:cs="Times New Roman"/>
                <w:bCs/>
                <w:sz w:val="20"/>
                <w:szCs w:val="20"/>
                <w:lang w:eastAsia="zh-CN"/>
              </w:rPr>
            </w:pPr>
            <w:r w:rsidRPr="004D150F">
              <w:rPr>
                <w:rFonts w:ascii="Times New Roman" w:eastAsia="Times New Roman" w:hAnsi="Times New Roman" w:cs="Times New Roman"/>
                <w:bCs/>
                <w:sz w:val="20"/>
                <w:szCs w:val="20"/>
                <w:lang w:eastAsia="zh-CN"/>
              </w:rPr>
              <w:t>THE Ranking</w:t>
            </w:r>
          </w:p>
          <w:p w14:paraId="04E9FCC4" w14:textId="682EB0B2" w:rsidR="004A6BDA" w:rsidRDefault="004A6BDA" w:rsidP="004A6BDA">
            <w:pPr>
              <w:rPr>
                <w:rFonts w:ascii="Times New Roman" w:eastAsia="Times New Roman" w:hAnsi="Times New Roman" w:cs="Times New Roman"/>
                <w:bCs/>
                <w:sz w:val="20"/>
                <w:szCs w:val="20"/>
                <w:lang w:eastAsia="zh-CN"/>
              </w:rPr>
            </w:pPr>
          </w:p>
          <w:p w14:paraId="623D88B5" w14:textId="77777777" w:rsidR="00952EE5" w:rsidRPr="004D150F" w:rsidRDefault="00952EE5" w:rsidP="004A6BDA">
            <w:pPr>
              <w:rPr>
                <w:rFonts w:ascii="Times New Roman" w:eastAsia="Times New Roman" w:hAnsi="Times New Roman" w:cs="Times New Roman"/>
                <w:bCs/>
                <w:sz w:val="20"/>
                <w:szCs w:val="20"/>
                <w:lang w:eastAsia="zh-CN"/>
              </w:rPr>
            </w:pPr>
          </w:p>
          <w:p w14:paraId="1F929BAD" w14:textId="77777777" w:rsidR="004A6BDA" w:rsidRPr="004D150F" w:rsidRDefault="004A6BDA" w:rsidP="004A6BDA">
            <w:pPr>
              <w:rPr>
                <w:rFonts w:ascii="Times New Roman" w:eastAsia="Times New Roman" w:hAnsi="Times New Roman" w:cs="Times New Roman"/>
                <w:sz w:val="20"/>
                <w:szCs w:val="20"/>
                <w:lang w:val="en-US" w:eastAsia="zh-CN"/>
              </w:rPr>
            </w:pPr>
            <w:r w:rsidRPr="004D150F">
              <w:rPr>
                <w:rFonts w:ascii="Times New Roman" w:eastAsia="Times New Roman" w:hAnsi="Times New Roman" w:cs="Times New Roman"/>
                <w:sz w:val="20"/>
                <w:szCs w:val="20"/>
                <w:lang w:val="en-US" w:eastAsia="zh-CN"/>
              </w:rPr>
              <w:t>(6)</w:t>
            </w:r>
          </w:p>
        </w:tc>
        <w:tc>
          <w:tcPr>
            <w:tcW w:w="1246" w:type="dxa"/>
            <w:tcBorders>
              <w:top w:val="single" w:sz="4" w:space="0" w:color="auto"/>
              <w:left w:val="nil"/>
              <w:bottom w:val="single" w:sz="2" w:space="0" w:color="auto"/>
              <w:right w:val="nil"/>
            </w:tcBorders>
          </w:tcPr>
          <w:p w14:paraId="566AF412" w14:textId="77777777" w:rsidR="004A6BDA" w:rsidRPr="004D150F" w:rsidRDefault="004A6BDA" w:rsidP="004A6BDA">
            <w:pPr>
              <w:rPr>
                <w:rFonts w:ascii="Times New Roman" w:eastAsia="Times New Roman" w:hAnsi="Times New Roman" w:cs="Times New Roman"/>
                <w:bCs/>
                <w:sz w:val="20"/>
                <w:szCs w:val="20"/>
                <w:lang w:eastAsia="zh-CN"/>
              </w:rPr>
            </w:pPr>
            <w:r w:rsidRPr="004D150F">
              <w:rPr>
                <w:rFonts w:ascii="Times New Roman" w:eastAsia="Times New Roman" w:hAnsi="Times New Roman" w:cs="Times New Roman"/>
                <w:bCs/>
                <w:sz w:val="20"/>
                <w:szCs w:val="20"/>
                <w:lang w:eastAsia="zh-CN"/>
              </w:rPr>
              <w:t>QS Ranking</w:t>
            </w:r>
          </w:p>
          <w:p w14:paraId="602240A3" w14:textId="6DB2851B" w:rsidR="004A6BDA" w:rsidRDefault="004A6BDA" w:rsidP="004A6BDA">
            <w:pPr>
              <w:rPr>
                <w:rFonts w:ascii="Times New Roman" w:eastAsia="Times New Roman" w:hAnsi="Times New Roman" w:cs="Times New Roman"/>
                <w:bCs/>
                <w:sz w:val="20"/>
                <w:szCs w:val="20"/>
                <w:lang w:eastAsia="zh-CN"/>
              </w:rPr>
            </w:pPr>
          </w:p>
          <w:p w14:paraId="74A95896" w14:textId="77777777" w:rsidR="00952EE5" w:rsidRPr="004D150F" w:rsidRDefault="00952EE5" w:rsidP="004A6BDA">
            <w:pPr>
              <w:rPr>
                <w:rFonts w:ascii="Times New Roman" w:eastAsia="Times New Roman" w:hAnsi="Times New Roman" w:cs="Times New Roman"/>
                <w:bCs/>
                <w:sz w:val="20"/>
                <w:szCs w:val="20"/>
                <w:lang w:eastAsia="zh-CN"/>
              </w:rPr>
            </w:pPr>
          </w:p>
          <w:p w14:paraId="1D168ED9" w14:textId="77777777" w:rsidR="004A6BDA" w:rsidRPr="004D150F" w:rsidRDefault="004A6BDA" w:rsidP="004A6BDA">
            <w:pPr>
              <w:rPr>
                <w:rFonts w:ascii="Times New Roman" w:eastAsia="Times New Roman" w:hAnsi="Times New Roman" w:cs="Times New Roman"/>
                <w:sz w:val="20"/>
                <w:szCs w:val="20"/>
                <w:lang w:val="en-US" w:eastAsia="zh-CN"/>
              </w:rPr>
            </w:pPr>
            <w:r w:rsidRPr="004D150F">
              <w:rPr>
                <w:rFonts w:ascii="Times New Roman" w:eastAsia="Times New Roman" w:hAnsi="Times New Roman" w:cs="Times New Roman"/>
                <w:sz w:val="20"/>
                <w:szCs w:val="20"/>
                <w:lang w:val="en-US" w:eastAsia="zh-CN"/>
              </w:rPr>
              <w:t>(7)</w:t>
            </w:r>
          </w:p>
        </w:tc>
        <w:tc>
          <w:tcPr>
            <w:tcW w:w="1561" w:type="dxa"/>
            <w:tcBorders>
              <w:top w:val="single" w:sz="4" w:space="0" w:color="auto"/>
              <w:left w:val="nil"/>
              <w:bottom w:val="single" w:sz="2" w:space="0" w:color="auto"/>
              <w:right w:val="nil"/>
            </w:tcBorders>
          </w:tcPr>
          <w:p w14:paraId="0572E850" w14:textId="77777777" w:rsidR="004A6BDA" w:rsidRPr="004D150F" w:rsidRDefault="004A6BDA" w:rsidP="004A6BDA">
            <w:pPr>
              <w:rPr>
                <w:rFonts w:ascii="Times New Roman" w:eastAsia="Times New Roman" w:hAnsi="Times New Roman" w:cs="Times New Roman"/>
                <w:bCs/>
                <w:sz w:val="20"/>
                <w:szCs w:val="20"/>
                <w:lang w:eastAsia="zh-CN"/>
              </w:rPr>
            </w:pPr>
            <w:r w:rsidRPr="004D150F">
              <w:rPr>
                <w:rFonts w:ascii="Times New Roman" w:eastAsia="Times New Roman" w:hAnsi="Times New Roman" w:cs="Times New Roman"/>
                <w:bCs/>
                <w:sz w:val="20"/>
                <w:szCs w:val="20"/>
                <w:lang w:eastAsia="zh-CN"/>
              </w:rPr>
              <w:t>THE Ranking</w:t>
            </w:r>
          </w:p>
          <w:p w14:paraId="2446F17F" w14:textId="1FB87565" w:rsidR="004A6BDA" w:rsidRDefault="004A6BDA" w:rsidP="004A6BDA">
            <w:pPr>
              <w:rPr>
                <w:rFonts w:ascii="Times New Roman" w:eastAsia="Times New Roman" w:hAnsi="Times New Roman" w:cs="Times New Roman"/>
                <w:sz w:val="20"/>
                <w:szCs w:val="20"/>
                <w:lang w:val="en-US" w:eastAsia="zh-CN"/>
              </w:rPr>
            </w:pPr>
          </w:p>
          <w:p w14:paraId="027C63C2" w14:textId="77777777" w:rsidR="00952EE5" w:rsidRPr="004D150F" w:rsidRDefault="00952EE5" w:rsidP="004A6BDA">
            <w:pPr>
              <w:rPr>
                <w:rFonts w:ascii="Times New Roman" w:eastAsia="Times New Roman" w:hAnsi="Times New Roman" w:cs="Times New Roman"/>
                <w:sz w:val="20"/>
                <w:szCs w:val="20"/>
                <w:lang w:val="en-US" w:eastAsia="zh-CN"/>
              </w:rPr>
            </w:pPr>
          </w:p>
          <w:p w14:paraId="50AB63F6" w14:textId="77777777" w:rsidR="004A6BDA" w:rsidRPr="004D150F" w:rsidRDefault="004A6BDA" w:rsidP="004A6BDA">
            <w:pPr>
              <w:rPr>
                <w:rFonts w:ascii="Times New Roman" w:eastAsia="Times New Roman" w:hAnsi="Times New Roman" w:cs="Times New Roman"/>
                <w:sz w:val="20"/>
                <w:szCs w:val="20"/>
                <w:lang w:val="en-US" w:eastAsia="zh-CN"/>
              </w:rPr>
            </w:pPr>
            <w:r w:rsidRPr="004D150F">
              <w:rPr>
                <w:rFonts w:ascii="Times New Roman" w:eastAsia="Times New Roman" w:hAnsi="Times New Roman" w:cs="Times New Roman"/>
                <w:sz w:val="20"/>
                <w:szCs w:val="20"/>
                <w:lang w:val="en-US" w:eastAsia="zh-CN"/>
              </w:rPr>
              <w:t>(8)</w:t>
            </w:r>
          </w:p>
        </w:tc>
      </w:tr>
      <w:tr w:rsidR="004A6BDA" w:rsidRPr="00C72A71" w14:paraId="73D4D38E" w14:textId="77777777" w:rsidTr="00EF5CFC">
        <w:trPr>
          <w:trHeight w:val="217"/>
        </w:trPr>
        <w:tc>
          <w:tcPr>
            <w:tcW w:w="15209" w:type="dxa"/>
            <w:gridSpan w:val="10"/>
            <w:tcBorders>
              <w:top w:val="single" w:sz="2" w:space="0" w:color="auto"/>
              <w:left w:val="nil"/>
              <w:bottom w:val="nil"/>
              <w:right w:val="nil"/>
            </w:tcBorders>
          </w:tcPr>
          <w:p w14:paraId="1974733D" w14:textId="77777777" w:rsidR="004A6BDA" w:rsidRPr="00C72A71" w:rsidRDefault="004A6BDA" w:rsidP="004A6BDA">
            <w:pPr>
              <w:rPr>
                <w:rFonts w:ascii="Times New Roman" w:eastAsia="Times New Roman" w:hAnsi="Times New Roman" w:cs="Times New Roman"/>
                <w:i/>
                <w:iCs/>
                <w:sz w:val="10"/>
                <w:szCs w:val="10"/>
              </w:rPr>
            </w:pPr>
          </w:p>
          <w:p w14:paraId="2375A8AE" w14:textId="77777777"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i/>
                <w:iCs/>
                <w:sz w:val="20"/>
                <w:szCs w:val="20"/>
              </w:rPr>
              <w:t>Explanatory variables (HEI performance)</w:t>
            </w:r>
          </w:p>
        </w:tc>
      </w:tr>
      <w:tr w:rsidR="00952EE5" w:rsidRPr="00C72A71" w14:paraId="774FF06C" w14:textId="77777777" w:rsidTr="00EF5CFC">
        <w:trPr>
          <w:trHeight w:val="217"/>
        </w:trPr>
        <w:tc>
          <w:tcPr>
            <w:tcW w:w="3686" w:type="dxa"/>
            <w:tcBorders>
              <w:top w:val="nil"/>
              <w:left w:val="nil"/>
              <w:bottom w:val="nil"/>
              <w:right w:val="nil"/>
            </w:tcBorders>
          </w:tcPr>
          <w:p w14:paraId="46C4DF34" w14:textId="4B05E5BF" w:rsidR="004A6BDA" w:rsidRPr="00C72A71" w:rsidRDefault="004A6BDA" w:rsidP="004A6BDA">
            <w:pPr>
              <w:rPr>
                <w:rFonts w:ascii="Times New Roman" w:eastAsia="Times New Roman" w:hAnsi="Times New Roman" w:cs="Times New Roman"/>
                <w:i/>
                <w:iCs/>
                <w:sz w:val="20"/>
                <w:szCs w:val="20"/>
              </w:rPr>
            </w:pPr>
            <w:bookmarkStart w:id="4" w:name="_Hlk64564564"/>
            <w:r w:rsidRPr="00C72A71">
              <w:rPr>
                <w:rFonts w:ascii="Times New Roman" w:eastAsia="Times New Roman" w:hAnsi="Times New Roman" w:cs="Arial"/>
                <w:iCs/>
                <w:color w:val="000000"/>
                <w:sz w:val="20"/>
                <w:szCs w:val="20"/>
                <w:lang w:val="en-US"/>
              </w:rPr>
              <w:t xml:space="preserve">    HEI</w:t>
            </w:r>
            <w:r w:rsidR="00FA3A51">
              <w:rPr>
                <w:rFonts w:ascii="Times New Roman" w:eastAsia="Times New Roman" w:hAnsi="Times New Roman" w:cs="Arial"/>
                <w:iCs/>
                <w:color w:val="000000"/>
                <w:sz w:val="20"/>
                <w:szCs w:val="20"/>
                <w:lang w:val="en-US"/>
              </w:rPr>
              <w:t xml:space="preserve"> Performance</w:t>
            </w:r>
          </w:p>
        </w:tc>
        <w:tc>
          <w:tcPr>
            <w:tcW w:w="1609" w:type="dxa"/>
            <w:tcBorders>
              <w:top w:val="nil"/>
              <w:left w:val="nil"/>
              <w:bottom w:val="nil"/>
              <w:right w:val="nil"/>
            </w:tcBorders>
          </w:tcPr>
          <w:p w14:paraId="0C9AB366" w14:textId="3D57817C" w:rsidR="00F47D59"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w:t>
            </w:r>
            <w:r w:rsidR="003A0EC9">
              <w:rPr>
                <w:rFonts w:ascii="Times New Roman" w:eastAsia="Times New Roman" w:hAnsi="Times New Roman" w:cs="Times New Roman"/>
                <w:sz w:val="20"/>
                <w:szCs w:val="20"/>
              </w:rPr>
              <w:t>52</w:t>
            </w:r>
            <w:r w:rsidR="000D7863" w:rsidRPr="00C72A71">
              <w:rPr>
                <w:rFonts w:ascii="Times New Roman" w:eastAsia="Times New Roman" w:hAnsi="Times New Roman" w:cs="Times New Roman"/>
                <w:sz w:val="20"/>
                <w:szCs w:val="20"/>
                <w:vertAlign w:val="superscript"/>
              </w:rPr>
              <w:t>***</w:t>
            </w:r>
          </w:p>
          <w:p w14:paraId="09B3A808" w14:textId="203B9388" w:rsidR="004A6BDA" w:rsidRPr="00C72A71" w:rsidRDefault="004A6BDA" w:rsidP="004A6BDA">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(.000</w:t>
            </w:r>
            <w:r w:rsidR="000D7863">
              <w:rPr>
                <w:rFonts w:ascii="Times New Roman" w:eastAsia="Times New Roman" w:hAnsi="Times New Roman" w:cs="Times New Roman"/>
                <w:sz w:val="20"/>
                <w:szCs w:val="20"/>
              </w:rPr>
              <w:t>)</w:t>
            </w:r>
          </w:p>
        </w:tc>
        <w:tc>
          <w:tcPr>
            <w:tcW w:w="1384" w:type="dxa"/>
            <w:tcBorders>
              <w:top w:val="nil"/>
              <w:left w:val="nil"/>
              <w:bottom w:val="nil"/>
              <w:right w:val="nil"/>
            </w:tcBorders>
          </w:tcPr>
          <w:p w14:paraId="4FA8DE7E" w14:textId="232138C9" w:rsidR="00F47D59" w:rsidRPr="000D7863" w:rsidRDefault="00371106" w:rsidP="004A6BDA">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-0.092</w:t>
            </w:r>
            <w:r w:rsidR="000D7863">
              <w:rPr>
                <w:rFonts w:ascii="Times New Roman" w:eastAsia="Times New Roman" w:hAnsi="Times New Roman" w:cs="Times New Roman"/>
                <w:sz w:val="20"/>
                <w:szCs w:val="20"/>
                <w:vertAlign w:val="superscript"/>
              </w:rPr>
              <w:t>*</w:t>
            </w:r>
          </w:p>
          <w:p w14:paraId="4C420216" w14:textId="4C8C4C4A" w:rsidR="004A6BDA" w:rsidRPr="00C72A71" w:rsidRDefault="004A6BDA" w:rsidP="004A6BDA">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(.06</w:t>
            </w:r>
            <w:r w:rsidR="00371106">
              <w:rPr>
                <w:rFonts w:ascii="Times New Roman" w:eastAsia="Times New Roman" w:hAnsi="Times New Roman" w:cs="Times New Roman"/>
                <w:sz w:val="20"/>
                <w:szCs w:val="20"/>
              </w:rPr>
              <w:t>2</w:t>
            </w:r>
            <w:r w:rsidRPr="00C72A71">
              <w:rPr>
                <w:rFonts w:ascii="Times New Roman" w:eastAsia="Times New Roman" w:hAnsi="Times New Roman" w:cs="Times New Roman"/>
                <w:sz w:val="20"/>
                <w:szCs w:val="20"/>
              </w:rPr>
              <w:t>)</w:t>
            </w:r>
          </w:p>
        </w:tc>
        <w:tc>
          <w:tcPr>
            <w:tcW w:w="1609" w:type="dxa"/>
            <w:tcBorders>
              <w:top w:val="nil"/>
              <w:left w:val="nil"/>
              <w:bottom w:val="nil"/>
              <w:right w:val="nil"/>
            </w:tcBorders>
          </w:tcPr>
          <w:p w14:paraId="07287BD8" w14:textId="77777777" w:rsidR="00F47D59"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-0.015</w:t>
            </w:r>
          </w:p>
          <w:p w14:paraId="1B56F543" w14:textId="7B1F2C5B"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(.1</w:t>
            </w:r>
            <w:r w:rsidR="003A0EC9">
              <w:rPr>
                <w:rFonts w:ascii="Times New Roman" w:eastAsia="Times New Roman" w:hAnsi="Times New Roman" w:cs="Times New Roman"/>
                <w:sz w:val="20"/>
                <w:szCs w:val="20"/>
              </w:rPr>
              <w:t>63</w:t>
            </w:r>
            <w:r w:rsidRPr="00C72A71">
              <w:rPr>
                <w:rFonts w:ascii="Times New Roman" w:eastAsia="Times New Roman" w:hAnsi="Times New Roman" w:cs="Times New Roman"/>
                <w:sz w:val="20"/>
                <w:szCs w:val="20"/>
              </w:rPr>
              <w:t>)</w:t>
            </w:r>
          </w:p>
        </w:tc>
        <w:tc>
          <w:tcPr>
            <w:tcW w:w="1355" w:type="dxa"/>
            <w:tcBorders>
              <w:top w:val="nil"/>
              <w:left w:val="nil"/>
              <w:bottom w:val="nil"/>
              <w:right w:val="nil"/>
            </w:tcBorders>
          </w:tcPr>
          <w:p w14:paraId="74937438" w14:textId="63F14FF5" w:rsidR="00F47D59"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w:t>
            </w:r>
            <w:r w:rsidR="00371106">
              <w:rPr>
                <w:rFonts w:ascii="Times New Roman" w:eastAsia="Times New Roman" w:hAnsi="Times New Roman" w:cs="Times New Roman"/>
                <w:sz w:val="20"/>
                <w:szCs w:val="20"/>
              </w:rPr>
              <w:t>03</w:t>
            </w:r>
          </w:p>
          <w:p w14:paraId="720BDB10" w14:textId="7602FA14"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w:t>
            </w:r>
            <w:r w:rsidR="00371106">
              <w:rPr>
                <w:rFonts w:ascii="Times New Roman" w:eastAsia="Times New Roman" w:hAnsi="Times New Roman" w:cs="Times New Roman"/>
                <w:sz w:val="20"/>
                <w:szCs w:val="20"/>
              </w:rPr>
              <w:t>861</w:t>
            </w:r>
            <w:r w:rsidRPr="00C72A71">
              <w:rPr>
                <w:rFonts w:ascii="Times New Roman" w:eastAsia="Times New Roman" w:hAnsi="Times New Roman" w:cs="Times New Roman"/>
                <w:sz w:val="20"/>
                <w:szCs w:val="20"/>
              </w:rPr>
              <w:t>)</w:t>
            </w:r>
          </w:p>
        </w:tc>
        <w:tc>
          <w:tcPr>
            <w:tcW w:w="1345" w:type="dxa"/>
            <w:tcBorders>
              <w:top w:val="nil"/>
              <w:left w:val="nil"/>
              <w:bottom w:val="nil"/>
              <w:right w:val="nil"/>
            </w:tcBorders>
          </w:tcPr>
          <w:p w14:paraId="0AFBE4B8" w14:textId="6283F007" w:rsidR="00F47D59"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w:t>
            </w:r>
            <w:r w:rsidR="000D7863">
              <w:rPr>
                <w:rFonts w:ascii="Times New Roman" w:eastAsia="Times New Roman" w:hAnsi="Times New Roman" w:cs="Times New Roman"/>
                <w:sz w:val="20"/>
                <w:szCs w:val="20"/>
              </w:rPr>
              <w:t>046</w:t>
            </w:r>
            <w:r w:rsidR="000D7863" w:rsidRPr="00C72A71">
              <w:rPr>
                <w:rFonts w:ascii="Times New Roman" w:eastAsia="Times New Roman" w:hAnsi="Times New Roman" w:cs="Times New Roman"/>
                <w:sz w:val="20"/>
                <w:szCs w:val="20"/>
                <w:vertAlign w:val="superscript"/>
              </w:rPr>
              <w:t>***</w:t>
            </w:r>
          </w:p>
          <w:p w14:paraId="4BDFD8D7" w14:textId="5204F469" w:rsidR="004A6BDA" w:rsidRPr="00C72A71" w:rsidRDefault="004A6BDA" w:rsidP="004A6BDA">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(.000</w:t>
            </w:r>
            <w:r w:rsidR="000D7863">
              <w:rPr>
                <w:rFonts w:ascii="Times New Roman" w:eastAsia="Times New Roman" w:hAnsi="Times New Roman" w:cs="Times New Roman"/>
                <w:sz w:val="20"/>
                <w:szCs w:val="20"/>
              </w:rPr>
              <w:t>)</w:t>
            </w:r>
          </w:p>
        </w:tc>
        <w:tc>
          <w:tcPr>
            <w:tcW w:w="1414" w:type="dxa"/>
            <w:gridSpan w:val="2"/>
            <w:tcBorders>
              <w:top w:val="nil"/>
              <w:left w:val="nil"/>
              <w:bottom w:val="nil"/>
              <w:right w:val="nil"/>
            </w:tcBorders>
          </w:tcPr>
          <w:p w14:paraId="26F924CC" w14:textId="241BC39B" w:rsidR="00F47D59"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w:t>
            </w:r>
            <w:r w:rsidR="000D7863">
              <w:rPr>
                <w:rFonts w:ascii="Times New Roman" w:eastAsia="Times New Roman" w:hAnsi="Times New Roman" w:cs="Times New Roman"/>
                <w:sz w:val="20"/>
                <w:szCs w:val="20"/>
              </w:rPr>
              <w:t>44</w:t>
            </w:r>
            <w:r w:rsidR="00BF4643" w:rsidRPr="00BF4643">
              <w:rPr>
                <w:rFonts w:ascii="Times New Roman" w:eastAsia="Times New Roman" w:hAnsi="Times New Roman" w:cs="Times New Roman"/>
                <w:sz w:val="20"/>
                <w:szCs w:val="20"/>
                <w:vertAlign w:val="superscript"/>
              </w:rPr>
              <w:t>***</w:t>
            </w:r>
          </w:p>
          <w:p w14:paraId="658E9CD3" w14:textId="1D3F653E" w:rsidR="004A6BDA" w:rsidRPr="00C72A71" w:rsidRDefault="004A6BDA" w:rsidP="004A6BDA">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(.000)</w:t>
            </w:r>
          </w:p>
        </w:tc>
        <w:tc>
          <w:tcPr>
            <w:tcW w:w="1246" w:type="dxa"/>
            <w:tcBorders>
              <w:top w:val="nil"/>
              <w:left w:val="nil"/>
              <w:bottom w:val="nil"/>
              <w:right w:val="nil"/>
            </w:tcBorders>
          </w:tcPr>
          <w:p w14:paraId="4FD9ACA8" w14:textId="18B1979C" w:rsidR="00F47D59" w:rsidRDefault="000D7863" w:rsidP="004A6BDA">
            <w:pP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p w14:paraId="2B2339FF" w14:textId="59F87F68"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w:t>
            </w:r>
            <w:r w:rsidR="000D7863">
              <w:rPr>
                <w:rFonts w:ascii="Times New Roman" w:eastAsia="Times New Roman" w:hAnsi="Times New Roman" w:cs="Times New Roman"/>
                <w:sz w:val="20"/>
                <w:szCs w:val="20"/>
              </w:rPr>
              <w:t>962</w:t>
            </w:r>
            <w:r w:rsidRPr="00C72A71">
              <w:rPr>
                <w:rFonts w:ascii="Times New Roman" w:eastAsia="Times New Roman" w:hAnsi="Times New Roman" w:cs="Times New Roman"/>
                <w:sz w:val="20"/>
                <w:szCs w:val="20"/>
              </w:rPr>
              <w:t>)</w:t>
            </w:r>
          </w:p>
        </w:tc>
        <w:tc>
          <w:tcPr>
            <w:tcW w:w="1561" w:type="dxa"/>
            <w:tcBorders>
              <w:top w:val="nil"/>
              <w:left w:val="nil"/>
              <w:bottom w:val="nil"/>
              <w:right w:val="nil"/>
            </w:tcBorders>
          </w:tcPr>
          <w:p w14:paraId="58EE5DDA" w14:textId="09298D21" w:rsidR="00F47D59"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-0.03</w:t>
            </w:r>
            <w:r w:rsidR="000D7863">
              <w:rPr>
                <w:rFonts w:ascii="Times New Roman" w:eastAsia="Times New Roman" w:hAnsi="Times New Roman" w:cs="Times New Roman"/>
                <w:sz w:val="20"/>
                <w:szCs w:val="20"/>
              </w:rPr>
              <w:t>2</w:t>
            </w:r>
            <w:r w:rsidR="00BF4643" w:rsidRPr="00BF4643">
              <w:rPr>
                <w:rFonts w:ascii="Times New Roman" w:eastAsia="Times New Roman" w:hAnsi="Times New Roman" w:cs="Times New Roman"/>
                <w:sz w:val="20"/>
                <w:szCs w:val="20"/>
                <w:vertAlign w:val="superscript"/>
              </w:rPr>
              <w:t>**</w:t>
            </w:r>
          </w:p>
          <w:p w14:paraId="0174C255" w14:textId="6FFAF22D" w:rsidR="004A6BDA" w:rsidRPr="00C72A71" w:rsidRDefault="004A6BDA" w:rsidP="004A6BDA">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w:t>
            </w:r>
            <w:r w:rsidR="000D7863">
              <w:rPr>
                <w:rFonts w:ascii="Times New Roman" w:eastAsia="Times New Roman" w:hAnsi="Times New Roman" w:cs="Times New Roman"/>
                <w:sz w:val="20"/>
                <w:szCs w:val="20"/>
              </w:rPr>
              <w:t>23</w:t>
            </w:r>
            <w:r w:rsidRPr="00C72A71">
              <w:rPr>
                <w:rFonts w:ascii="Times New Roman" w:eastAsia="Times New Roman" w:hAnsi="Times New Roman" w:cs="Times New Roman"/>
                <w:sz w:val="20"/>
                <w:szCs w:val="20"/>
              </w:rPr>
              <w:t>)</w:t>
            </w:r>
          </w:p>
        </w:tc>
      </w:tr>
      <w:bookmarkEnd w:id="4"/>
      <w:tr w:rsidR="004A6BDA" w:rsidRPr="00C72A71" w14:paraId="13B7D3C2" w14:textId="77777777" w:rsidTr="00EF5CFC">
        <w:trPr>
          <w:trHeight w:val="187"/>
        </w:trPr>
        <w:tc>
          <w:tcPr>
            <w:tcW w:w="15209" w:type="dxa"/>
            <w:gridSpan w:val="10"/>
            <w:tcBorders>
              <w:top w:val="nil"/>
              <w:left w:val="nil"/>
              <w:bottom w:val="nil"/>
              <w:right w:val="nil"/>
            </w:tcBorders>
          </w:tcPr>
          <w:p w14:paraId="50C74C41" w14:textId="77777777" w:rsidR="004A6BDA" w:rsidRPr="00C72A71" w:rsidRDefault="004A6BDA" w:rsidP="004A6BDA">
            <w:pPr>
              <w:rPr>
                <w:rFonts w:ascii="Times New Roman" w:eastAsia="Times New Roman" w:hAnsi="Times New Roman" w:cs="Times New Roman"/>
                <w:i/>
                <w:iCs/>
                <w:sz w:val="10"/>
                <w:szCs w:val="10"/>
              </w:rPr>
            </w:pPr>
          </w:p>
          <w:p w14:paraId="08C54A16" w14:textId="77777777" w:rsidR="004A6BDA" w:rsidRPr="00C72A71" w:rsidRDefault="004A6BDA" w:rsidP="004A6BDA">
            <w:pPr>
              <w:rPr>
                <w:rFonts w:ascii="Times New Roman" w:eastAsia="Times New Roman" w:hAnsi="Times New Roman" w:cs="Times New Roman"/>
                <w:sz w:val="20"/>
                <w:szCs w:val="20"/>
              </w:rPr>
            </w:pPr>
            <w:r w:rsidRPr="00C72A71">
              <w:rPr>
                <w:rFonts w:ascii="Times New Roman" w:eastAsia="Times New Roman" w:hAnsi="Times New Roman" w:cs="Times New Roman"/>
                <w:i/>
                <w:iCs/>
                <w:sz w:val="20"/>
                <w:szCs w:val="20"/>
              </w:rPr>
              <w:t>Controls (governance mechanisms)</w:t>
            </w:r>
          </w:p>
        </w:tc>
      </w:tr>
      <w:tr w:rsidR="00EF5CFC" w:rsidRPr="00C72A71" w14:paraId="1F9F23F0" w14:textId="77777777" w:rsidTr="00EF5CFC">
        <w:trPr>
          <w:trHeight w:val="187"/>
        </w:trPr>
        <w:tc>
          <w:tcPr>
            <w:tcW w:w="3686" w:type="dxa"/>
            <w:tcBorders>
              <w:top w:val="nil"/>
              <w:left w:val="nil"/>
              <w:bottom w:val="nil"/>
              <w:right w:val="nil"/>
            </w:tcBorders>
          </w:tcPr>
          <w:p w14:paraId="0E4381F0" w14:textId="0D08E567" w:rsidR="00EF5CFC" w:rsidRPr="00C72A71"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P</w:t>
            </w:r>
            <w:r>
              <w:rPr>
                <w:rFonts w:ascii="Times New Roman" w:eastAsia="Times New Roman" w:hAnsi="Times New Roman" w:cs="Times New Roman"/>
                <w:iCs/>
                <w:color w:val="000000"/>
                <w:sz w:val="20"/>
                <w:szCs w:val="20"/>
                <w:lang w:val="en-US"/>
              </w:rPr>
              <w:t>resence of Remuneration Committee</w:t>
            </w:r>
          </w:p>
        </w:tc>
        <w:tc>
          <w:tcPr>
            <w:tcW w:w="1609" w:type="dxa"/>
            <w:tcBorders>
              <w:top w:val="nil"/>
              <w:left w:val="nil"/>
              <w:bottom w:val="nil"/>
              <w:right w:val="nil"/>
            </w:tcBorders>
          </w:tcPr>
          <w:p w14:paraId="424EC13A" w14:textId="75C930BE" w:rsidR="00EF5CFC" w:rsidRDefault="00EF5CFC" w:rsidP="00EF5CFC">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w:t>
            </w:r>
            <w:r>
              <w:rPr>
                <w:rFonts w:ascii="Times New Roman" w:eastAsia="Times New Roman" w:hAnsi="Times New Roman" w:cs="Times New Roman"/>
                <w:sz w:val="20"/>
                <w:szCs w:val="20"/>
              </w:rPr>
              <w:t>58</w:t>
            </w:r>
          </w:p>
          <w:p w14:paraId="4EDC7A1A" w14:textId="6B58C54F" w:rsidR="00EF5CFC" w:rsidRPr="00C72A71" w:rsidRDefault="00EF5CFC" w:rsidP="00EF5CFC">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w:t>
            </w:r>
            <w:r>
              <w:rPr>
                <w:rFonts w:ascii="Times New Roman" w:eastAsia="Times New Roman" w:hAnsi="Times New Roman" w:cs="Times New Roman"/>
                <w:sz w:val="20"/>
                <w:szCs w:val="20"/>
              </w:rPr>
              <w:t>116</w:t>
            </w:r>
            <w:r w:rsidRPr="00C72A71">
              <w:rPr>
                <w:rFonts w:ascii="Times New Roman" w:eastAsia="Times New Roman" w:hAnsi="Times New Roman" w:cs="Times New Roman"/>
                <w:sz w:val="20"/>
                <w:szCs w:val="20"/>
              </w:rPr>
              <w:t>)</w:t>
            </w:r>
          </w:p>
        </w:tc>
        <w:tc>
          <w:tcPr>
            <w:tcW w:w="1384" w:type="dxa"/>
            <w:tcBorders>
              <w:top w:val="nil"/>
              <w:left w:val="nil"/>
              <w:bottom w:val="nil"/>
              <w:right w:val="nil"/>
            </w:tcBorders>
          </w:tcPr>
          <w:p w14:paraId="03A288F9" w14:textId="77777777" w:rsidR="00EF5CFC" w:rsidRDefault="00EF5CFC" w:rsidP="00EF5CFC">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-0.136</w:t>
            </w:r>
            <w:r w:rsidRPr="00C72A71">
              <w:rPr>
                <w:rFonts w:ascii="Times New Roman" w:eastAsia="Times New Roman" w:hAnsi="Times New Roman" w:cs="Times New Roman"/>
                <w:sz w:val="20"/>
                <w:szCs w:val="20"/>
                <w:vertAlign w:val="superscript"/>
              </w:rPr>
              <w:t>***</w:t>
            </w:r>
          </w:p>
          <w:p w14:paraId="7B450DD6" w14:textId="4BF2B067" w:rsidR="00EF5CFC" w:rsidRPr="00371106"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609" w:type="dxa"/>
            <w:tcBorders>
              <w:top w:val="nil"/>
              <w:left w:val="nil"/>
              <w:bottom w:val="nil"/>
              <w:right w:val="nil"/>
            </w:tcBorders>
          </w:tcPr>
          <w:p w14:paraId="1BC2761C" w14:textId="77777777" w:rsidR="00EF5CFC" w:rsidRPr="000D7863" w:rsidRDefault="00EF5CFC" w:rsidP="00EF5CFC">
            <w:pPr>
              <w:rPr>
                <w:rFonts w:ascii="Times New Roman" w:eastAsia="Times New Roman" w:hAnsi="Times New Roman" w:cs="Times New Roman"/>
                <w:sz w:val="20"/>
                <w:szCs w:val="20"/>
              </w:rPr>
            </w:pPr>
            <w:r w:rsidRPr="000D7863">
              <w:rPr>
                <w:rFonts w:ascii="Times New Roman" w:eastAsia="Times New Roman" w:hAnsi="Times New Roman" w:cs="Times New Roman"/>
                <w:sz w:val="20"/>
                <w:szCs w:val="20"/>
              </w:rPr>
              <w:t>-0.058</w:t>
            </w:r>
          </w:p>
          <w:p w14:paraId="2330B524" w14:textId="0E39BF4E" w:rsidR="00EF5CFC" w:rsidRPr="00F47D59" w:rsidRDefault="00EF5CFC" w:rsidP="00EF5CFC">
            <w:pPr>
              <w:rPr>
                <w:rFonts w:ascii="Times New Roman" w:eastAsia="Times New Roman" w:hAnsi="Times New Roman" w:cs="Times New Roman"/>
                <w:sz w:val="20"/>
                <w:szCs w:val="20"/>
              </w:rPr>
            </w:pPr>
            <w:r w:rsidRPr="000D7863">
              <w:rPr>
                <w:rFonts w:ascii="Times New Roman" w:eastAsia="Times New Roman" w:hAnsi="Times New Roman" w:cs="Times New Roman"/>
                <w:sz w:val="20"/>
                <w:szCs w:val="20"/>
              </w:rPr>
              <w:t>(.116)</w:t>
            </w:r>
          </w:p>
        </w:tc>
        <w:tc>
          <w:tcPr>
            <w:tcW w:w="1355" w:type="dxa"/>
            <w:tcBorders>
              <w:top w:val="nil"/>
              <w:left w:val="nil"/>
              <w:bottom w:val="nil"/>
              <w:right w:val="nil"/>
            </w:tcBorders>
          </w:tcPr>
          <w:p w14:paraId="79984A5E"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-0.034</w:t>
            </w:r>
          </w:p>
          <w:p w14:paraId="1EA1FD39" w14:textId="21DA8139"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(.459)</w:t>
            </w:r>
          </w:p>
        </w:tc>
        <w:tc>
          <w:tcPr>
            <w:tcW w:w="1345" w:type="dxa"/>
            <w:tcBorders>
              <w:top w:val="nil"/>
              <w:left w:val="nil"/>
              <w:bottom w:val="nil"/>
              <w:right w:val="nil"/>
            </w:tcBorders>
          </w:tcPr>
          <w:p w14:paraId="32347DCA"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-0.112</w:t>
            </w:r>
            <w:r w:rsidRPr="00C72A71">
              <w:rPr>
                <w:rFonts w:ascii="Times New Roman" w:eastAsia="Times New Roman" w:hAnsi="Times New Roman" w:cs="Times New Roman"/>
                <w:sz w:val="20"/>
                <w:szCs w:val="20"/>
                <w:vertAlign w:val="superscript"/>
              </w:rPr>
              <w:t>***</w:t>
            </w:r>
          </w:p>
          <w:p w14:paraId="477C30B3" w14:textId="3D374016" w:rsidR="00EF5CFC" w:rsidRPr="000D7863"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414" w:type="dxa"/>
            <w:gridSpan w:val="2"/>
            <w:tcBorders>
              <w:top w:val="nil"/>
              <w:left w:val="nil"/>
              <w:bottom w:val="nil"/>
              <w:right w:val="nil"/>
            </w:tcBorders>
          </w:tcPr>
          <w:p w14:paraId="67317CAD" w14:textId="2BA0C8DA"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-0.167</w:t>
            </w:r>
            <w:r w:rsidRPr="000D7863">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w:t>
            </w:r>
          </w:p>
          <w:p w14:paraId="02651753" w14:textId="10FBEC31"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46" w:type="dxa"/>
            <w:tcBorders>
              <w:top w:val="nil"/>
              <w:left w:val="nil"/>
              <w:bottom w:val="nil"/>
              <w:right w:val="nil"/>
            </w:tcBorders>
          </w:tcPr>
          <w:p w14:paraId="3F80467C" w14:textId="77777777" w:rsidR="00EF5CFC" w:rsidRPr="000D7863" w:rsidRDefault="00EF5CFC" w:rsidP="00EF5CFC">
            <w:pPr>
              <w:rPr>
                <w:rFonts w:ascii="Times New Roman" w:eastAsia="Times New Roman" w:hAnsi="Times New Roman" w:cs="Times New Roman"/>
                <w:sz w:val="20"/>
                <w:szCs w:val="20"/>
              </w:rPr>
            </w:pPr>
            <w:r w:rsidRPr="000D7863">
              <w:rPr>
                <w:rFonts w:ascii="Times New Roman" w:eastAsia="Times New Roman" w:hAnsi="Times New Roman" w:cs="Times New Roman"/>
                <w:sz w:val="20"/>
                <w:szCs w:val="20"/>
              </w:rPr>
              <w:t>-0.112</w:t>
            </w:r>
            <w:r w:rsidRPr="000D7863">
              <w:rPr>
                <w:rFonts w:ascii="Times New Roman" w:eastAsia="Times New Roman" w:hAnsi="Times New Roman" w:cs="Times New Roman"/>
                <w:sz w:val="20"/>
                <w:szCs w:val="20"/>
                <w:vertAlign w:val="superscript"/>
              </w:rPr>
              <w:t>***</w:t>
            </w:r>
          </w:p>
          <w:p w14:paraId="7B3C8BE3" w14:textId="371CCF8D" w:rsidR="00EF5CFC" w:rsidRPr="00F47D59" w:rsidRDefault="00EF5CFC" w:rsidP="00EF5CFC">
            <w:pPr>
              <w:rPr>
                <w:rFonts w:ascii="Times New Roman" w:eastAsia="Times New Roman" w:hAnsi="Times New Roman" w:cs="Times New Roman"/>
                <w:sz w:val="20"/>
                <w:szCs w:val="20"/>
              </w:rPr>
            </w:pPr>
            <w:r w:rsidRPr="000D7863">
              <w:rPr>
                <w:rFonts w:ascii="Times New Roman" w:eastAsia="Times New Roman" w:hAnsi="Times New Roman" w:cs="Times New Roman"/>
                <w:sz w:val="20"/>
                <w:szCs w:val="20"/>
              </w:rPr>
              <w:t>(.000)</w:t>
            </w:r>
          </w:p>
        </w:tc>
        <w:tc>
          <w:tcPr>
            <w:tcW w:w="1561" w:type="dxa"/>
            <w:tcBorders>
              <w:top w:val="nil"/>
              <w:left w:val="nil"/>
              <w:bottom w:val="nil"/>
              <w:right w:val="nil"/>
            </w:tcBorders>
          </w:tcPr>
          <w:p w14:paraId="70173271" w14:textId="35779642"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-0.043</w:t>
            </w:r>
            <w:r w:rsidRPr="000D7863">
              <w:rPr>
                <w:rFonts w:ascii="Times New Roman" w:eastAsia="Times New Roman" w:hAnsi="Times New Roman" w:cs="Times New Roman"/>
                <w:sz w:val="20"/>
                <w:szCs w:val="20"/>
                <w:vertAlign w:val="superscript"/>
              </w:rPr>
              <w:t>**</w:t>
            </w:r>
          </w:p>
          <w:p w14:paraId="5CCF8145" w14:textId="6DCDAA30"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r>
      <w:tr w:rsidR="00EF5CFC" w:rsidRPr="00C72A71" w14:paraId="5F5E290A" w14:textId="77777777" w:rsidTr="00EF5CFC">
        <w:trPr>
          <w:trHeight w:val="187"/>
        </w:trPr>
        <w:tc>
          <w:tcPr>
            <w:tcW w:w="3686" w:type="dxa"/>
            <w:tcBorders>
              <w:top w:val="nil"/>
              <w:left w:val="nil"/>
              <w:bottom w:val="nil"/>
              <w:right w:val="nil"/>
            </w:tcBorders>
          </w:tcPr>
          <w:p w14:paraId="373268EF" w14:textId="4CED026B" w:rsidR="00EF5CFC" w:rsidRPr="00C72A71"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iCs/>
                <w:color w:val="000000"/>
                <w:sz w:val="20"/>
                <w:szCs w:val="20"/>
                <w:lang w:val="en-US"/>
              </w:rPr>
              <w:t xml:space="preserve">    Presence of Governance Committee</w:t>
            </w:r>
          </w:p>
        </w:tc>
        <w:tc>
          <w:tcPr>
            <w:tcW w:w="1609" w:type="dxa"/>
            <w:tcBorders>
              <w:top w:val="nil"/>
              <w:left w:val="nil"/>
              <w:bottom w:val="nil"/>
              <w:right w:val="nil"/>
            </w:tcBorders>
          </w:tcPr>
          <w:p w14:paraId="591078F6" w14:textId="62EF84B2" w:rsidR="00EF5CFC" w:rsidRDefault="00EF5CFC" w:rsidP="00EF5CFC">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w:t>
            </w:r>
            <w:r>
              <w:rPr>
                <w:rFonts w:ascii="Times New Roman" w:eastAsia="Times New Roman" w:hAnsi="Times New Roman" w:cs="Times New Roman"/>
                <w:sz w:val="20"/>
                <w:szCs w:val="20"/>
              </w:rPr>
              <w:t>13</w:t>
            </w:r>
          </w:p>
          <w:p w14:paraId="23F05BE3" w14:textId="190F216D" w:rsidR="00EF5CFC" w:rsidRPr="00C72A71" w:rsidRDefault="00EF5CFC" w:rsidP="00EF5CFC">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w:t>
            </w:r>
            <w:r>
              <w:rPr>
                <w:rFonts w:ascii="Times New Roman" w:eastAsia="Times New Roman" w:hAnsi="Times New Roman" w:cs="Times New Roman"/>
                <w:sz w:val="20"/>
                <w:szCs w:val="20"/>
              </w:rPr>
              <w:t>499</w:t>
            </w:r>
            <w:r w:rsidRPr="00C72A71">
              <w:rPr>
                <w:rFonts w:ascii="Times New Roman" w:eastAsia="Times New Roman" w:hAnsi="Times New Roman" w:cs="Times New Roman"/>
                <w:sz w:val="20"/>
                <w:szCs w:val="20"/>
              </w:rPr>
              <w:t>)</w:t>
            </w:r>
          </w:p>
        </w:tc>
        <w:tc>
          <w:tcPr>
            <w:tcW w:w="1384" w:type="dxa"/>
            <w:tcBorders>
              <w:top w:val="nil"/>
              <w:left w:val="nil"/>
              <w:bottom w:val="nil"/>
              <w:right w:val="nil"/>
            </w:tcBorders>
          </w:tcPr>
          <w:p w14:paraId="3E338631"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r w:rsidRPr="00C72A71">
              <w:rPr>
                <w:rFonts w:ascii="Times New Roman" w:eastAsia="Times New Roman" w:hAnsi="Times New Roman" w:cs="Times New Roman"/>
                <w:sz w:val="20"/>
                <w:szCs w:val="20"/>
                <w:vertAlign w:val="superscript"/>
              </w:rPr>
              <w:t>***</w:t>
            </w:r>
          </w:p>
          <w:p w14:paraId="5701DCBE" w14:textId="69C04A57" w:rsidR="00EF5CFC" w:rsidRPr="00371106"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609" w:type="dxa"/>
            <w:tcBorders>
              <w:top w:val="nil"/>
              <w:left w:val="nil"/>
              <w:bottom w:val="nil"/>
              <w:right w:val="nil"/>
            </w:tcBorders>
          </w:tcPr>
          <w:p w14:paraId="397761B8" w14:textId="77777777" w:rsidR="00EF5CFC" w:rsidRPr="006C07C5" w:rsidRDefault="00EF5CFC" w:rsidP="00EF5CFC">
            <w:pPr>
              <w:rPr>
                <w:rFonts w:ascii="Times New Roman" w:eastAsia="Times New Roman" w:hAnsi="Times New Roman" w:cs="Times New Roman"/>
                <w:sz w:val="20"/>
                <w:szCs w:val="20"/>
                <w:vertAlign w:val="superscript"/>
              </w:rPr>
            </w:pPr>
            <w:r w:rsidRPr="006C07C5">
              <w:rPr>
                <w:rFonts w:ascii="Times New Roman" w:eastAsia="Times New Roman" w:hAnsi="Times New Roman" w:cs="Times New Roman"/>
                <w:sz w:val="20"/>
                <w:szCs w:val="20"/>
              </w:rPr>
              <w:t>0.015</w:t>
            </w:r>
            <w:r>
              <w:rPr>
                <w:rFonts w:ascii="Times New Roman" w:eastAsia="Times New Roman" w:hAnsi="Times New Roman" w:cs="Times New Roman"/>
                <w:sz w:val="20"/>
                <w:szCs w:val="20"/>
                <w:vertAlign w:val="superscript"/>
              </w:rPr>
              <w:t>*</w:t>
            </w:r>
          </w:p>
          <w:p w14:paraId="7D7E5796" w14:textId="33ECB286"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(.062)</w:t>
            </w:r>
          </w:p>
        </w:tc>
        <w:tc>
          <w:tcPr>
            <w:tcW w:w="1355" w:type="dxa"/>
            <w:tcBorders>
              <w:top w:val="nil"/>
              <w:left w:val="nil"/>
              <w:bottom w:val="nil"/>
              <w:right w:val="nil"/>
            </w:tcBorders>
          </w:tcPr>
          <w:p w14:paraId="76A4AE70"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0.034</w:t>
            </w:r>
            <w:r w:rsidRPr="00C72A71">
              <w:rPr>
                <w:rFonts w:ascii="Times New Roman" w:eastAsia="Times New Roman" w:hAnsi="Times New Roman" w:cs="Times New Roman"/>
                <w:sz w:val="20"/>
                <w:szCs w:val="20"/>
                <w:vertAlign w:val="superscript"/>
              </w:rPr>
              <w:t>*</w:t>
            </w:r>
          </w:p>
          <w:p w14:paraId="72F30B47" w14:textId="41BE9C58" w:rsidR="00EF5CFC" w:rsidRPr="00371106"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c>
          <w:tcPr>
            <w:tcW w:w="1345" w:type="dxa"/>
            <w:tcBorders>
              <w:top w:val="nil"/>
              <w:left w:val="nil"/>
              <w:bottom w:val="nil"/>
              <w:right w:val="nil"/>
            </w:tcBorders>
          </w:tcPr>
          <w:p w14:paraId="724015FE"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0.003</w:t>
            </w:r>
          </w:p>
          <w:p w14:paraId="7104914F" w14:textId="6BF4C539"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(.612)</w:t>
            </w:r>
          </w:p>
        </w:tc>
        <w:tc>
          <w:tcPr>
            <w:tcW w:w="1414" w:type="dxa"/>
            <w:gridSpan w:val="2"/>
            <w:tcBorders>
              <w:top w:val="nil"/>
              <w:left w:val="nil"/>
              <w:bottom w:val="nil"/>
              <w:right w:val="nil"/>
            </w:tcBorders>
          </w:tcPr>
          <w:p w14:paraId="4B4FC5C1"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-0.028</w:t>
            </w:r>
          </w:p>
          <w:p w14:paraId="574780E7" w14:textId="36689E9E"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010)</w:t>
            </w:r>
            <w:r w:rsidRPr="000D7863">
              <w:rPr>
                <w:rFonts w:ascii="Times New Roman" w:eastAsia="Times New Roman" w:hAnsi="Times New Roman" w:cs="Times New Roman"/>
                <w:sz w:val="20"/>
                <w:szCs w:val="20"/>
                <w:vertAlign w:val="superscript"/>
              </w:rPr>
              <w:t>*</w:t>
            </w:r>
            <w:proofErr w:type="gramEnd"/>
            <w:r w:rsidRPr="000D7863">
              <w:rPr>
                <w:rFonts w:ascii="Times New Roman" w:eastAsia="Times New Roman" w:hAnsi="Times New Roman" w:cs="Times New Roman"/>
                <w:sz w:val="20"/>
                <w:szCs w:val="20"/>
                <w:vertAlign w:val="superscript"/>
              </w:rPr>
              <w:t>**</w:t>
            </w:r>
          </w:p>
        </w:tc>
        <w:tc>
          <w:tcPr>
            <w:tcW w:w="1246" w:type="dxa"/>
            <w:tcBorders>
              <w:top w:val="nil"/>
              <w:left w:val="nil"/>
              <w:bottom w:val="nil"/>
              <w:right w:val="nil"/>
            </w:tcBorders>
          </w:tcPr>
          <w:p w14:paraId="08129F71"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0.012</w:t>
            </w:r>
          </w:p>
          <w:p w14:paraId="6D290BD6" w14:textId="67153F8F"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(.318)</w:t>
            </w:r>
          </w:p>
        </w:tc>
        <w:tc>
          <w:tcPr>
            <w:tcW w:w="1561" w:type="dxa"/>
            <w:tcBorders>
              <w:top w:val="nil"/>
              <w:left w:val="nil"/>
              <w:bottom w:val="nil"/>
              <w:right w:val="nil"/>
            </w:tcBorders>
          </w:tcPr>
          <w:p w14:paraId="7E76513F"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p>
          <w:p w14:paraId="5AB7FC7D" w14:textId="28237DC7"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(.836)</w:t>
            </w:r>
          </w:p>
        </w:tc>
      </w:tr>
      <w:tr w:rsidR="00EF5CFC" w:rsidRPr="00C72A71" w14:paraId="071119A3" w14:textId="77777777" w:rsidTr="00EF5CFC">
        <w:trPr>
          <w:trHeight w:val="187"/>
        </w:trPr>
        <w:tc>
          <w:tcPr>
            <w:tcW w:w="3686" w:type="dxa"/>
            <w:tcBorders>
              <w:top w:val="nil"/>
              <w:left w:val="nil"/>
              <w:bottom w:val="nil"/>
              <w:right w:val="nil"/>
            </w:tcBorders>
          </w:tcPr>
          <w:p w14:paraId="3A595879" w14:textId="1E0D54EB" w:rsidR="00EF5CFC" w:rsidRPr="00C72A71"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iCs/>
                <w:color w:val="000000"/>
                <w:sz w:val="20"/>
                <w:szCs w:val="20"/>
                <w:lang w:val="en-US"/>
              </w:rPr>
              <w:t xml:space="preserve">    Executive Management Team Size</w:t>
            </w:r>
          </w:p>
        </w:tc>
        <w:tc>
          <w:tcPr>
            <w:tcW w:w="1609" w:type="dxa"/>
            <w:tcBorders>
              <w:top w:val="nil"/>
              <w:left w:val="nil"/>
              <w:bottom w:val="nil"/>
              <w:right w:val="nil"/>
            </w:tcBorders>
          </w:tcPr>
          <w:p w14:paraId="7C3351A8" w14:textId="2021557C" w:rsidR="00EF5CFC" w:rsidRPr="003A0EC9" w:rsidRDefault="00EF5CFC" w:rsidP="00EF5CFC">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-0.0</w:t>
            </w:r>
            <w:r>
              <w:rPr>
                <w:rFonts w:ascii="Times New Roman" w:eastAsia="Times New Roman" w:hAnsi="Times New Roman" w:cs="Times New Roman"/>
                <w:sz w:val="20"/>
                <w:szCs w:val="20"/>
              </w:rPr>
              <w:t>70</w:t>
            </w:r>
            <w:r>
              <w:rPr>
                <w:rFonts w:ascii="Times New Roman" w:eastAsia="Times New Roman" w:hAnsi="Times New Roman" w:cs="Times New Roman"/>
                <w:sz w:val="20"/>
                <w:szCs w:val="20"/>
                <w:vertAlign w:val="superscript"/>
              </w:rPr>
              <w:t>***</w:t>
            </w:r>
          </w:p>
          <w:p w14:paraId="10A3ECC2" w14:textId="3E85922A" w:rsidR="00EF5CFC" w:rsidRPr="00C72A71" w:rsidRDefault="00EF5CFC" w:rsidP="00EF5CFC">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(.001</w:t>
            </w:r>
            <w:r>
              <w:rPr>
                <w:rFonts w:ascii="Times New Roman" w:eastAsia="Times New Roman" w:hAnsi="Times New Roman" w:cs="Times New Roman"/>
                <w:sz w:val="20"/>
                <w:szCs w:val="20"/>
              </w:rPr>
              <w:t>)</w:t>
            </w:r>
          </w:p>
        </w:tc>
        <w:tc>
          <w:tcPr>
            <w:tcW w:w="1384" w:type="dxa"/>
            <w:tcBorders>
              <w:top w:val="nil"/>
              <w:left w:val="nil"/>
              <w:bottom w:val="nil"/>
              <w:right w:val="nil"/>
            </w:tcBorders>
          </w:tcPr>
          <w:p w14:paraId="0638A949"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-0.044</w:t>
            </w:r>
            <w:r w:rsidRPr="00C72A71">
              <w:rPr>
                <w:rFonts w:ascii="Times New Roman" w:eastAsia="Times New Roman" w:hAnsi="Times New Roman" w:cs="Times New Roman"/>
                <w:sz w:val="20"/>
                <w:szCs w:val="20"/>
                <w:vertAlign w:val="superscript"/>
              </w:rPr>
              <w:t>**</w:t>
            </w:r>
          </w:p>
          <w:p w14:paraId="7BBE76EF" w14:textId="466962D8" w:rsidR="00EF5CFC" w:rsidRPr="00371106"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c>
          <w:tcPr>
            <w:tcW w:w="1609" w:type="dxa"/>
            <w:tcBorders>
              <w:top w:val="nil"/>
              <w:left w:val="nil"/>
              <w:bottom w:val="nil"/>
              <w:right w:val="nil"/>
            </w:tcBorders>
          </w:tcPr>
          <w:p w14:paraId="2CF1C960"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0.002</w:t>
            </w:r>
          </w:p>
          <w:p w14:paraId="54E5B253" w14:textId="2EB60FA1"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(.653)</w:t>
            </w:r>
          </w:p>
        </w:tc>
        <w:tc>
          <w:tcPr>
            <w:tcW w:w="1355" w:type="dxa"/>
            <w:tcBorders>
              <w:top w:val="nil"/>
              <w:left w:val="nil"/>
              <w:bottom w:val="nil"/>
              <w:right w:val="nil"/>
            </w:tcBorders>
          </w:tcPr>
          <w:p w14:paraId="387B9043"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r w:rsidRPr="00C72A71">
              <w:rPr>
                <w:rFonts w:ascii="Times New Roman" w:eastAsia="Times New Roman" w:hAnsi="Times New Roman" w:cs="Times New Roman"/>
                <w:sz w:val="20"/>
                <w:szCs w:val="20"/>
                <w:vertAlign w:val="superscript"/>
              </w:rPr>
              <w:t>***</w:t>
            </w:r>
          </w:p>
          <w:p w14:paraId="0AF6EB9A" w14:textId="66075440" w:rsidR="00EF5CFC" w:rsidRPr="00371106"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345" w:type="dxa"/>
            <w:tcBorders>
              <w:top w:val="nil"/>
              <w:left w:val="nil"/>
              <w:bottom w:val="nil"/>
              <w:right w:val="nil"/>
            </w:tcBorders>
          </w:tcPr>
          <w:p w14:paraId="74A5E501"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0.015</w:t>
            </w:r>
            <w:r w:rsidRPr="00C72A71">
              <w:rPr>
                <w:rFonts w:ascii="Times New Roman" w:eastAsia="Times New Roman" w:hAnsi="Times New Roman" w:cs="Times New Roman"/>
                <w:sz w:val="20"/>
                <w:szCs w:val="20"/>
                <w:vertAlign w:val="superscript"/>
              </w:rPr>
              <w:t>*</w:t>
            </w:r>
          </w:p>
          <w:p w14:paraId="3DB9376E" w14:textId="54E637AB" w:rsidR="00EF5CFC" w:rsidRPr="000D7863"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(.067)</w:t>
            </w:r>
          </w:p>
        </w:tc>
        <w:tc>
          <w:tcPr>
            <w:tcW w:w="1414" w:type="dxa"/>
            <w:gridSpan w:val="2"/>
            <w:tcBorders>
              <w:top w:val="nil"/>
              <w:left w:val="nil"/>
              <w:bottom w:val="nil"/>
              <w:right w:val="nil"/>
            </w:tcBorders>
          </w:tcPr>
          <w:p w14:paraId="71493B6A"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-0.006</w:t>
            </w:r>
          </w:p>
          <w:p w14:paraId="0590518E" w14:textId="19228455"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(.601)</w:t>
            </w:r>
          </w:p>
        </w:tc>
        <w:tc>
          <w:tcPr>
            <w:tcW w:w="1246" w:type="dxa"/>
            <w:tcBorders>
              <w:top w:val="nil"/>
              <w:left w:val="nil"/>
              <w:bottom w:val="nil"/>
              <w:right w:val="nil"/>
            </w:tcBorders>
          </w:tcPr>
          <w:p w14:paraId="30E3D051"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-0.010</w:t>
            </w:r>
          </w:p>
          <w:p w14:paraId="0C9558DB" w14:textId="4842A089"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(.265)</w:t>
            </w:r>
          </w:p>
        </w:tc>
        <w:tc>
          <w:tcPr>
            <w:tcW w:w="1561" w:type="dxa"/>
            <w:tcBorders>
              <w:top w:val="nil"/>
              <w:left w:val="nil"/>
              <w:bottom w:val="nil"/>
              <w:right w:val="nil"/>
            </w:tcBorders>
          </w:tcPr>
          <w:p w14:paraId="4FFAF588"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587E79BC" w14:textId="50DA3F49"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r>
      <w:tr w:rsidR="00EF5CFC" w:rsidRPr="00C72A71" w14:paraId="49EB34F1" w14:textId="77777777" w:rsidTr="00EF5CFC">
        <w:trPr>
          <w:trHeight w:val="187"/>
        </w:trPr>
        <w:tc>
          <w:tcPr>
            <w:tcW w:w="3686" w:type="dxa"/>
            <w:tcBorders>
              <w:top w:val="nil"/>
              <w:left w:val="nil"/>
              <w:bottom w:val="nil"/>
              <w:right w:val="nil"/>
            </w:tcBorders>
          </w:tcPr>
          <w:p w14:paraId="36112AC1" w14:textId="37728279" w:rsidR="00EF5CFC" w:rsidRPr="00C72A71"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iCs/>
                <w:color w:val="000000"/>
                <w:sz w:val="20"/>
                <w:szCs w:val="20"/>
                <w:lang w:val="en-US"/>
              </w:rPr>
              <w:t xml:space="preserve">    Executive Management Team Diversity</w:t>
            </w:r>
          </w:p>
        </w:tc>
        <w:tc>
          <w:tcPr>
            <w:tcW w:w="1609" w:type="dxa"/>
            <w:tcBorders>
              <w:top w:val="nil"/>
              <w:left w:val="nil"/>
              <w:bottom w:val="nil"/>
              <w:right w:val="nil"/>
            </w:tcBorders>
          </w:tcPr>
          <w:p w14:paraId="75868679" w14:textId="5FDD9484" w:rsidR="00EF5CFC" w:rsidRDefault="00EF5CFC" w:rsidP="00EF5CFC">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-0.02</w:t>
            </w:r>
            <w:r>
              <w:rPr>
                <w:rFonts w:ascii="Times New Roman" w:eastAsia="Times New Roman" w:hAnsi="Times New Roman" w:cs="Times New Roman"/>
                <w:sz w:val="20"/>
                <w:szCs w:val="20"/>
              </w:rPr>
              <w:t>4</w:t>
            </w:r>
          </w:p>
          <w:p w14:paraId="4BA1EBDB" w14:textId="3328CD07" w:rsidR="00EF5CFC" w:rsidRPr="00C72A71" w:rsidRDefault="00EF5CFC" w:rsidP="00EF5CFC">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w:t>
            </w:r>
            <w:r>
              <w:rPr>
                <w:rFonts w:ascii="Times New Roman" w:eastAsia="Times New Roman" w:hAnsi="Times New Roman" w:cs="Times New Roman"/>
                <w:sz w:val="20"/>
                <w:szCs w:val="20"/>
              </w:rPr>
              <w:t>478</w:t>
            </w:r>
            <w:r w:rsidRPr="00C72A71">
              <w:rPr>
                <w:rFonts w:ascii="Times New Roman" w:eastAsia="Times New Roman" w:hAnsi="Times New Roman" w:cs="Times New Roman"/>
                <w:sz w:val="20"/>
                <w:szCs w:val="20"/>
              </w:rPr>
              <w:t>)</w:t>
            </w:r>
          </w:p>
        </w:tc>
        <w:tc>
          <w:tcPr>
            <w:tcW w:w="1384" w:type="dxa"/>
            <w:tcBorders>
              <w:top w:val="nil"/>
              <w:left w:val="nil"/>
              <w:bottom w:val="nil"/>
              <w:right w:val="nil"/>
            </w:tcBorders>
          </w:tcPr>
          <w:p w14:paraId="62B7ABD9"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0.030</w:t>
            </w:r>
          </w:p>
          <w:p w14:paraId="1DE1FDD0" w14:textId="596CBD09"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(.404)</w:t>
            </w:r>
          </w:p>
        </w:tc>
        <w:tc>
          <w:tcPr>
            <w:tcW w:w="1609" w:type="dxa"/>
            <w:tcBorders>
              <w:top w:val="nil"/>
              <w:left w:val="nil"/>
              <w:bottom w:val="nil"/>
              <w:right w:val="nil"/>
            </w:tcBorders>
          </w:tcPr>
          <w:p w14:paraId="38590757"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0.016</w:t>
            </w:r>
          </w:p>
          <w:p w14:paraId="01D2D275" w14:textId="748A750C"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1355" w:type="dxa"/>
            <w:tcBorders>
              <w:top w:val="nil"/>
              <w:left w:val="nil"/>
              <w:bottom w:val="nil"/>
              <w:right w:val="nil"/>
            </w:tcBorders>
          </w:tcPr>
          <w:p w14:paraId="7BBBD73E"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-0.040</w:t>
            </w:r>
          </w:p>
          <w:p w14:paraId="0FE08755" w14:textId="0B8A1189"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1345" w:type="dxa"/>
            <w:tcBorders>
              <w:top w:val="nil"/>
              <w:left w:val="nil"/>
              <w:bottom w:val="nil"/>
              <w:right w:val="nil"/>
            </w:tcBorders>
          </w:tcPr>
          <w:p w14:paraId="55C2FB72"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0.015</w:t>
            </w:r>
          </w:p>
          <w:p w14:paraId="33B47D88" w14:textId="64807B3C"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(.158)</w:t>
            </w:r>
          </w:p>
        </w:tc>
        <w:tc>
          <w:tcPr>
            <w:tcW w:w="1414" w:type="dxa"/>
            <w:gridSpan w:val="2"/>
            <w:tcBorders>
              <w:top w:val="nil"/>
              <w:left w:val="nil"/>
              <w:bottom w:val="nil"/>
              <w:right w:val="nil"/>
            </w:tcBorders>
          </w:tcPr>
          <w:p w14:paraId="6FC1CEFE"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0.029</w:t>
            </w:r>
          </w:p>
          <w:p w14:paraId="2E4096FC" w14:textId="5BC339D8"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246" w:type="dxa"/>
            <w:tcBorders>
              <w:top w:val="nil"/>
              <w:left w:val="nil"/>
              <w:bottom w:val="nil"/>
              <w:right w:val="nil"/>
            </w:tcBorders>
          </w:tcPr>
          <w:p w14:paraId="36E371CD"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0.038</w:t>
            </w:r>
          </w:p>
          <w:p w14:paraId="7EED0D72" w14:textId="618BFD88"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(.173)</w:t>
            </w:r>
          </w:p>
        </w:tc>
        <w:tc>
          <w:tcPr>
            <w:tcW w:w="1561" w:type="dxa"/>
            <w:tcBorders>
              <w:top w:val="nil"/>
              <w:left w:val="nil"/>
              <w:bottom w:val="nil"/>
              <w:right w:val="nil"/>
            </w:tcBorders>
          </w:tcPr>
          <w:p w14:paraId="1A459551"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6729CEB0" w14:textId="08EB2E0F"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(.632)</w:t>
            </w:r>
          </w:p>
        </w:tc>
      </w:tr>
      <w:tr w:rsidR="00EF5CFC" w:rsidRPr="00C72A71" w14:paraId="63F76BB4" w14:textId="77777777" w:rsidTr="00EF5CFC">
        <w:trPr>
          <w:trHeight w:val="187"/>
        </w:trPr>
        <w:tc>
          <w:tcPr>
            <w:tcW w:w="3686" w:type="dxa"/>
            <w:tcBorders>
              <w:top w:val="nil"/>
              <w:left w:val="nil"/>
              <w:bottom w:val="nil"/>
              <w:right w:val="nil"/>
            </w:tcBorders>
          </w:tcPr>
          <w:p w14:paraId="5F5AD6D1" w14:textId="2000CB34" w:rsidR="00EF5CFC" w:rsidRPr="00C72A71"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iCs/>
                <w:color w:val="000000"/>
                <w:sz w:val="20"/>
                <w:szCs w:val="20"/>
                <w:lang w:val="en-US"/>
              </w:rPr>
              <w:t xml:space="preserve">    Executive Management Team Meeting</w:t>
            </w:r>
          </w:p>
        </w:tc>
        <w:tc>
          <w:tcPr>
            <w:tcW w:w="1609" w:type="dxa"/>
            <w:tcBorders>
              <w:top w:val="nil"/>
              <w:left w:val="nil"/>
              <w:bottom w:val="nil"/>
              <w:right w:val="nil"/>
            </w:tcBorders>
          </w:tcPr>
          <w:p w14:paraId="25CAA8EB" w14:textId="17B29131" w:rsidR="00EF5CFC" w:rsidRPr="003A0EC9" w:rsidRDefault="00EF5CFC" w:rsidP="00EF5CFC">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-0.04</w:t>
            </w:r>
            <w:r>
              <w:rPr>
                <w:rFonts w:ascii="Times New Roman" w:eastAsia="Times New Roman" w:hAnsi="Times New Roman" w:cs="Times New Roman"/>
                <w:sz w:val="20"/>
                <w:szCs w:val="20"/>
              </w:rPr>
              <w:t>6</w:t>
            </w:r>
            <w:r>
              <w:rPr>
                <w:rFonts w:ascii="Times New Roman" w:eastAsia="Times New Roman" w:hAnsi="Times New Roman" w:cs="Times New Roman"/>
                <w:sz w:val="20"/>
                <w:szCs w:val="20"/>
                <w:vertAlign w:val="superscript"/>
              </w:rPr>
              <w:t>***</w:t>
            </w:r>
          </w:p>
          <w:p w14:paraId="3AF004E4" w14:textId="5C5EEC97" w:rsidR="00EF5CFC" w:rsidRPr="00C72A71" w:rsidRDefault="00EF5CFC" w:rsidP="00EF5CFC">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(.00</w:t>
            </w:r>
            <w:r>
              <w:rPr>
                <w:rFonts w:ascii="Times New Roman" w:eastAsia="Times New Roman" w:hAnsi="Times New Roman" w:cs="Times New Roman"/>
                <w:sz w:val="20"/>
                <w:szCs w:val="20"/>
              </w:rPr>
              <w:t>7</w:t>
            </w:r>
            <w:r w:rsidRPr="00C72A71">
              <w:rPr>
                <w:rFonts w:ascii="Times New Roman" w:eastAsia="Times New Roman" w:hAnsi="Times New Roman" w:cs="Times New Roman"/>
                <w:sz w:val="20"/>
                <w:szCs w:val="20"/>
              </w:rPr>
              <w:t>)</w:t>
            </w:r>
          </w:p>
        </w:tc>
        <w:tc>
          <w:tcPr>
            <w:tcW w:w="1384" w:type="dxa"/>
            <w:tcBorders>
              <w:top w:val="nil"/>
              <w:left w:val="nil"/>
              <w:bottom w:val="nil"/>
              <w:right w:val="nil"/>
            </w:tcBorders>
          </w:tcPr>
          <w:p w14:paraId="0B619399"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0.008</w:t>
            </w:r>
          </w:p>
          <w:p w14:paraId="24F86710" w14:textId="2EF448EF"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(.657)</w:t>
            </w:r>
          </w:p>
        </w:tc>
        <w:tc>
          <w:tcPr>
            <w:tcW w:w="1609" w:type="dxa"/>
            <w:tcBorders>
              <w:top w:val="nil"/>
              <w:left w:val="nil"/>
              <w:bottom w:val="nil"/>
              <w:right w:val="nil"/>
            </w:tcBorders>
          </w:tcPr>
          <w:p w14:paraId="242C72B8"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6896882F" w14:textId="783F50F7"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(.574)</w:t>
            </w:r>
          </w:p>
        </w:tc>
        <w:tc>
          <w:tcPr>
            <w:tcW w:w="1355" w:type="dxa"/>
            <w:tcBorders>
              <w:top w:val="nil"/>
              <w:left w:val="nil"/>
              <w:bottom w:val="nil"/>
              <w:right w:val="nil"/>
            </w:tcBorders>
          </w:tcPr>
          <w:p w14:paraId="154043A2"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-0.025</w:t>
            </w:r>
          </w:p>
          <w:p w14:paraId="71F355D4" w14:textId="760D88E4"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1345" w:type="dxa"/>
            <w:tcBorders>
              <w:top w:val="nil"/>
              <w:left w:val="nil"/>
              <w:bottom w:val="nil"/>
              <w:right w:val="nil"/>
            </w:tcBorders>
          </w:tcPr>
          <w:p w14:paraId="513E7A7F"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-0.013</w:t>
            </w:r>
            <w:r w:rsidRPr="00C72A71">
              <w:rPr>
                <w:rFonts w:ascii="Times New Roman" w:eastAsia="Times New Roman" w:hAnsi="Times New Roman" w:cs="Times New Roman"/>
                <w:sz w:val="20"/>
                <w:szCs w:val="20"/>
                <w:vertAlign w:val="superscript"/>
              </w:rPr>
              <w:t>**</w:t>
            </w:r>
          </w:p>
          <w:p w14:paraId="1F308F4B" w14:textId="6C386AB1" w:rsidR="00EF5CFC" w:rsidRPr="000D7863"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c>
          <w:tcPr>
            <w:tcW w:w="1414" w:type="dxa"/>
            <w:gridSpan w:val="2"/>
            <w:tcBorders>
              <w:top w:val="nil"/>
              <w:left w:val="nil"/>
              <w:bottom w:val="nil"/>
              <w:right w:val="nil"/>
            </w:tcBorders>
          </w:tcPr>
          <w:p w14:paraId="6865FC83" w14:textId="27EFD256"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-0.016</w:t>
            </w:r>
            <w:r w:rsidRPr="000D7863">
              <w:rPr>
                <w:rFonts w:ascii="Times New Roman" w:eastAsia="Times New Roman" w:hAnsi="Times New Roman" w:cs="Times New Roman"/>
                <w:sz w:val="20"/>
                <w:szCs w:val="20"/>
                <w:vertAlign w:val="superscript"/>
              </w:rPr>
              <w:t>*</w:t>
            </w:r>
          </w:p>
          <w:p w14:paraId="24F5EBAB" w14:textId="6F3ECBE0"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(.071)</w:t>
            </w:r>
          </w:p>
        </w:tc>
        <w:tc>
          <w:tcPr>
            <w:tcW w:w="1246" w:type="dxa"/>
            <w:tcBorders>
              <w:top w:val="nil"/>
              <w:left w:val="nil"/>
              <w:bottom w:val="nil"/>
              <w:right w:val="nil"/>
            </w:tcBorders>
          </w:tcPr>
          <w:p w14:paraId="1D436105"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-0.003</w:t>
            </w:r>
          </w:p>
          <w:p w14:paraId="095EB42D" w14:textId="496C21A7"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(.802)</w:t>
            </w:r>
          </w:p>
        </w:tc>
        <w:tc>
          <w:tcPr>
            <w:tcW w:w="1561" w:type="dxa"/>
            <w:tcBorders>
              <w:top w:val="nil"/>
              <w:left w:val="nil"/>
              <w:bottom w:val="nil"/>
              <w:right w:val="nil"/>
            </w:tcBorders>
          </w:tcPr>
          <w:p w14:paraId="1E4C3990"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-0.003</w:t>
            </w:r>
          </w:p>
          <w:p w14:paraId="1132C68B" w14:textId="3C7E4E51"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(.751)</w:t>
            </w:r>
          </w:p>
        </w:tc>
      </w:tr>
      <w:tr w:rsidR="00EF5CFC" w:rsidRPr="00C72A71" w14:paraId="527B6720" w14:textId="77777777" w:rsidTr="00EF5CFC">
        <w:trPr>
          <w:trHeight w:val="187"/>
        </w:trPr>
        <w:tc>
          <w:tcPr>
            <w:tcW w:w="3686" w:type="dxa"/>
            <w:tcBorders>
              <w:top w:val="nil"/>
              <w:left w:val="nil"/>
              <w:bottom w:val="nil"/>
              <w:right w:val="nil"/>
            </w:tcBorders>
          </w:tcPr>
          <w:p w14:paraId="25EBD4D9" w14:textId="2B2329C4" w:rsidR="00EF5CFC" w:rsidRPr="00C72A71"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VC Change</w:t>
            </w:r>
          </w:p>
        </w:tc>
        <w:tc>
          <w:tcPr>
            <w:tcW w:w="1609" w:type="dxa"/>
            <w:tcBorders>
              <w:top w:val="nil"/>
              <w:left w:val="nil"/>
              <w:bottom w:val="nil"/>
              <w:right w:val="nil"/>
            </w:tcBorders>
          </w:tcPr>
          <w:p w14:paraId="3B7CD4BC" w14:textId="0E589E65" w:rsidR="00EF5CFC" w:rsidRDefault="00EF5CFC" w:rsidP="00EF5CFC">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0.00</w:t>
            </w:r>
            <w:r>
              <w:rPr>
                <w:rFonts w:ascii="Times New Roman" w:eastAsia="Times New Roman" w:hAnsi="Times New Roman" w:cs="Times New Roman"/>
                <w:sz w:val="20"/>
                <w:szCs w:val="20"/>
              </w:rPr>
              <w:t>5</w:t>
            </w:r>
          </w:p>
          <w:p w14:paraId="6351575B" w14:textId="631F2215" w:rsidR="00EF5CFC" w:rsidRPr="00C72A71" w:rsidRDefault="00EF5CFC" w:rsidP="00EF5CFC">
            <w:pPr>
              <w:rPr>
                <w:rFonts w:ascii="Times New Roman" w:eastAsia="Times New Roman" w:hAnsi="Times New Roman" w:cs="Times New Roman"/>
                <w:sz w:val="20"/>
                <w:szCs w:val="20"/>
              </w:rPr>
            </w:pPr>
            <w:r w:rsidRPr="00C72A71">
              <w:rPr>
                <w:rFonts w:ascii="Times New Roman" w:eastAsia="Times New Roman" w:hAnsi="Times New Roman" w:cs="Times New Roman"/>
                <w:sz w:val="20"/>
                <w:szCs w:val="20"/>
              </w:rPr>
              <w:t>(.</w:t>
            </w:r>
            <w:r>
              <w:rPr>
                <w:rFonts w:ascii="Times New Roman" w:eastAsia="Times New Roman" w:hAnsi="Times New Roman" w:cs="Times New Roman"/>
                <w:sz w:val="20"/>
                <w:szCs w:val="20"/>
              </w:rPr>
              <w:t>748</w:t>
            </w:r>
            <w:r w:rsidRPr="00C72A71">
              <w:rPr>
                <w:rFonts w:ascii="Times New Roman" w:eastAsia="Times New Roman" w:hAnsi="Times New Roman" w:cs="Times New Roman"/>
                <w:sz w:val="20"/>
                <w:szCs w:val="20"/>
              </w:rPr>
              <w:t>)</w:t>
            </w:r>
          </w:p>
        </w:tc>
        <w:tc>
          <w:tcPr>
            <w:tcW w:w="1384" w:type="dxa"/>
            <w:tcBorders>
              <w:top w:val="nil"/>
              <w:left w:val="nil"/>
              <w:bottom w:val="nil"/>
              <w:right w:val="nil"/>
            </w:tcBorders>
          </w:tcPr>
          <w:p w14:paraId="35C4AD35"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0.025</w:t>
            </w:r>
            <w:r w:rsidRPr="00C72A71">
              <w:rPr>
                <w:rFonts w:ascii="Times New Roman" w:eastAsia="Times New Roman" w:hAnsi="Times New Roman" w:cs="Times New Roman"/>
                <w:sz w:val="20"/>
                <w:szCs w:val="20"/>
                <w:vertAlign w:val="superscript"/>
              </w:rPr>
              <w:t>*</w:t>
            </w:r>
          </w:p>
          <w:p w14:paraId="429125AF" w14:textId="7806C103" w:rsidR="00EF5CFC" w:rsidRPr="00371106"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(.094)</w:t>
            </w:r>
          </w:p>
        </w:tc>
        <w:tc>
          <w:tcPr>
            <w:tcW w:w="1609" w:type="dxa"/>
            <w:tcBorders>
              <w:top w:val="nil"/>
              <w:left w:val="nil"/>
              <w:bottom w:val="nil"/>
              <w:right w:val="nil"/>
            </w:tcBorders>
          </w:tcPr>
          <w:p w14:paraId="3EC1DE86"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0.016</w:t>
            </w:r>
          </w:p>
          <w:p w14:paraId="555F8C6E" w14:textId="4F927928" w:rsidR="00EF5CFC" w:rsidRPr="006C07C5" w:rsidRDefault="00EF5CFC" w:rsidP="00EF5CFC">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012)</w:t>
            </w:r>
            <w:r>
              <w:rPr>
                <w:rFonts w:ascii="Times New Roman" w:eastAsia="Times New Roman" w:hAnsi="Times New Roman" w:cs="Times New Roman"/>
                <w:sz w:val="20"/>
                <w:szCs w:val="20"/>
                <w:vertAlign w:val="superscript"/>
              </w:rPr>
              <w:t>*</w:t>
            </w:r>
            <w:proofErr w:type="gramEnd"/>
            <w:r>
              <w:rPr>
                <w:rFonts w:ascii="Times New Roman" w:eastAsia="Times New Roman" w:hAnsi="Times New Roman" w:cs="Times New Roman"/>
                <w:sz w:val="20"/>
                <w:szCs w:val="20"/>
                <w:vertAlign w:val="superscript"/>
              </w:rPr>
              <w:t>*</w:t>
            </w:r>
          </w:p>
        </w:tc>
        <w:tc>
          <w:tcPr>
            <w:tcW w:w="1355" w:type="dxa"/>
            <w:tcBorders>
              <w:top w:val="nil"/>
              <w:left w:val="nil"/>
              <w:bottom w:val="nil"/>
              <w:right w:val="nil"/>
            </w:tcBorders>
          </w:tcPr>
          <w:p w14:paraId="1DC357E3"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-0.017</w:t>
            </w:r>
          </w:p>
          <w:p w14:paraId="4D9B3A57" w14:textId="0D1DF85E"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(.225)</w:t>
            </w:r>
          </w:p>
        </w:tc>
        <w:tc>
          <w:tcPr>
            <w:tcW w:w="1345" w:type="dxa"/>
            <w:tcBorders>
              <w:top w:val="nil"/>
              <w:left w:val="nil"/>
              <w:bottom w:val="nil"/>
              <w:right w:val="nil"/>
            </w:tcBorders>
          </w:tcPr>
          <w:p w14:paraId="445CFF9B"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0.012</w:t>
            </w:r>
            <w:r w:rsidRPr="00C72A71">
              <w:rPr>
                <w:rFonts w:ascii="Times New Roman" w:eastAsia="Times New Roman" w:hAnsi="Times New Roman" w:cs="Times New Roman"/>
                <w:sz w:val="20"/>
                <w:szCs w:val="20"/>
                <w:vertAlign w:val="superscript"/>
              </w:rPr>
              <w:t>**</w:t>
            </w:r>
          </w:p>
          <w:p w14:paraId="571A0866" w14:textId="77C4BCD4" w:rsidR="00EF5CFC" w:rsidRPr="000D7863"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414" w:type="dxa"/>
            <w:gridSpan w:val="2"/>
            <w:tcBorders>
              <w:top w:val="nil"/>
              <w:left w:val="nil"/>
              <w:bottom w:val="nil"/>
              <w:right w:val="nil"/>
            </w:tcBorders>
          </w:tcPr>
          <w:p w14:paraId="5C6BC6B2" w14:textId="638476BF"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0.018</w:t>
            </w:r>
            <w:r w:rsidRPr="000D7863">
              <w:rPr>
                <w:rFonts w:ascii="Times New Roman" w:eastAsia="Times New Roman" w:hAnsi="Times New Roman" w:cs="Times New Roman"/>
                <w:sz w:val="20"/>
                <w:szCs w:val="20"/>
                <w:vertAlign w:val="superscript"/>
              </w:rPr>
              <w:t>**</w:t>
            </w:r>
          </w:p>
          <w:p w14:paraId="1CC1275E" w14:textId="6CD445D1"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1246" w:type="dxa"/>
            <w:tcBorders>
              <w:top w:val="nil"/>
              <w:left w:val="nil"/>
              <w:bottom w:val="nil"/>
              <w:right w:val="nil"/>
            </w:tcBorders>
          </w:tcPr>
          <w:p w14:paraId="30432E74"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0.004</w:t>
            </w:r>
          </w:p>
          <w:p w14:paraId="391013B8" w14:textId="4E55AB48"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(.694)</w:t>
            </w:r>
          </w:p>
        </w:tc>
        <w:tc>
          <w:tcPr>
            <w:tcW w:w="1561" w:type="dxa"/>
            <w:tcBorders>
              <w:top w:val="nil"/>
              <w:left w:val="nil"/>
              <w:bottom w:val="nil"/>
              <w:right w:val="nil"/>
            </w:tcBorders>
          </w:tcPr>
          <w:p w14:paraId="191E2D84" w14:textId="77777777" w:rsidR="00EF5CFC"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0.007</w:t>
            </w:r>
          </w:p>
          <w:p w14:paraId="38D15A21" w14:textId="286E6072" w:rsidR="00EF5CFC" w:rsidRPr="00F47D59" w:rsidRDefault="00EF5CFC" w:rsidP="00EF5CFC">
            <w:pPr>
              <w:rPr>
                <w:rFonts w:ascii="Times New Roman" w:eastAsia="Times New Roman" w:hAnsi="Times New Roman" w:cs="Times New Roman"/>
                <w:sz w:val="20"/>
                <w:szCs w:val="20"/>
              </w:rPr>
            </w:pPr>
            <w:r>
              <w:rPr>
                <w:rFonts w:ascii="Times New Roman" w:eastAsia="Times New Roman" w:hAnsi="Times New Roman" w:cs="Times New Roman"/>
                <w:sz w:val="20"/>
                <w:szCs w:val="20"/>
              </w:rPr>
              <w:t>(.260)</w:t>
            </w:r>
          </w:p>
        </w:tc>
      </w:tr>
      <w:tr w:rsidR="000D7863" w:rsidRPr="00C72A71" w14:paraId="6D8F151B" w14:textId="77777777" w:rsidTr="00EF5CFC">
        <w:trPr>
          <w:trHeight w:val="187"/>
        </w:trPr>
        <w:tc>
          <w:tcPr>
            <w:tcW w:w="3686" w:type="dxa"/>
            <w:tcBorders>
              <w:top w:val="nil"/>
              <w:left w:val="nil"/>
              <w:bottom w:val="nil"/>
              <w:right w:val="nil"/>
            </w:tcBorders>
          </w:tcPr>
          <w:p w14:paraId="52E76BF8" w14:textId="6A29CB44" w:rsidR="000D7863" w:rsidRPr="00952EE5" w:rsidRDefault="000D7863" w:rsidP="000D7863">
            <w:pPr>
              <w:rPr>
                <w:rFonts w:ascii="Times New Roman" w:eastAsia="Times New Roman" w:hAnsi="Times New Roman" w:cs="Times New Roman"/>
                <w:sz w:val="20"/>
                <w:szCs w:val="20"/>
              </w:rPr>
            </w:pPr>
            <w:r w:rsidRPr="00952EE5">
              <w:rPr>
                <w:rFonts w:ascii="Times New Roman" w:eastAsia="Times New Roman" w:hAnsi="Times New Roman" w:cs="Times New Roman"/>
                <w:color w:val="000000"/>
                <w:sz w:val="20"/>
                <w:szCs w:val="20"/>
              </w:rPr>
              <w:t>Controls (general HEI characteristics)</w:t>
            </w:r>
          </w:p>
        </w:tc>
        <w:tc>
          <w:tcPr>
            <w:tcW w:w="1609" w:type="dxa"/>
            <w:tcBorders>
              <w:top w:val="nil"/>
              <w:left w:val="nil"/>
              <w:bottom w:val="nil"/>
              <w:right w:val="nil"/>
            </w:tcBorders>
          </w:tcPr>
          <w:p w14:paraId="1325F19F" w14:textId="26968ADC"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84" w:type="dxa"/>
            <w:tcBorders>
              <w:top w:val="nil"/>
              <w:left w:val="nil"/>
              <w:bottom w:val="nil"/>
              <w:right w:val="nil"/>
            </w:tcBorders>
          </w:tcPr>
          <w:p w14:paraId="31B32326" w14:textId="49F8316F"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609" w:type="dxa"/>
            <w:tcBorders>
              <w:top w:val="nil"/>
              <w:left w:val="nil"/>
              <w:bottom w:val="nil"/>
              <w:right w:val="nil"/>
            </w:tcBorders>
          </w:tcPr>
          <w:p w14:paraId="40584019" w14:textId="61D72296"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55" w:type="dxa"/>
            <w:tcBorders>
              <w:top w:val="nil"/>
              <w:left w:val="nil"/>
              <w:bottom w:val="nil"/>
              <w:right w:val="nil"/>
            </w:tcBorders>
          </w:tcPr>
          <w:p w14:paraId="149FCA03" w14:textId="0B03BA3E"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345" w:type="dxa"/>
            <w:tcBorders>
              <w:top w:val="nil"/>
              <w:left w:val="nil"/>
              <w:bottom w:val="nil"/>
              <w:right w:val="nil"/>
            </w:tcBorders>
          </w:tcPr>
          <w:p w14:paraId="5115A124" w14:textId="5BCBBA4D"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4" w:type="dxa"/>
            <w:gridSpan w:val="2"/>
            <w:tcBorders>
              <w:top w:val="nil"/>
              <w:left w:val="nil"/>
              <w:bottom w:val="nil"/>
              <w:right w:val="nil"/>
            </w:tcBorders>
          </w:tcPr>
          <w:p w14:paraId="45D3C9EE" w14:textId="4A2962F2"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46" w:type="dxa"/>
            <w:tcBorders>
              <w:top w:val="nil"/>
              <w:left w:val="nil"/>
              <w:bottom w:val="nil"/>
              <w:right w:val="nil"/>
            </w:tcBorders>
          </w:tcPr>
          <w:p w14:paraId="68F67FDB" w14:textId="0381001E"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561" w:type="dxa"/>
            <w:tcBorders>
              <w:top w:val="nil"/>
              <w:left w:val="nil"/>
              <w:bottom w:val="nil"/>
              <w:right w:val="nil"/>
            </w:tcBorders>
          </w:tcPr>
          <w:p w14:paraId="5393F0F0" w14:textId="0DEA4BB8" w:rsidR="000D7863" w:rsidRPr="00F47D5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0D7863" w:rsidRPr="00C72A71" w14:paraId="3C975126" w14:textId="77777777" w:rsidTr="00EF5CFC">
        <w:trPr>
          <w:trHeight w:val="187"/>
        </w:trPr>
        <w:tc>
          <w:tcPr>
            <w:tcW w:w="3686" w:type="dxa"/>
            <w:tcBorders>
              <w:top w:val="nil"/>
              <w:left w:val="nil"/>
              <w:bottom w:val="nil"/>
              <w:right w:val="nil"/>
            </w:tcBorders>
          </w:tcPr>
          <w:p w14:paraId="757010A2" w14:textId="77777777" w:rsidR="000D7863" w:rsidRPr="00C72A71" w:rsidRDefault="000D7863" w:rsidP="000D7863">
            <w:pPr>
              <w:rPr>
                <w:rFonts w:ascii="Times New Roman" w:hAnsi="Times New Roman" w:cs="Times New Roman"/>
                <w:color w:val="000000"/>
                <w:sz w:val="20"/>
                <w:szCs w:val="20"/>
                <w:lang w:val="en-US"/>
              </w:rPr>
            </w:pPr>
            <w:r w:rsidRPr="00C72A71">
              <w:rPr>
                <w:rFonts w:ascii="Times New Roman" w:hAnsi="Times New Roman" w:cs="Times New Roman"/>
                <w:color w:val="000000"/>
                <w:sz w:val="20"/>
                <w:szCs w:val="20"/>
                <w:lang w:val="en-US"/>
              </w:rPr>
              <w:t>Constant</w:t>
            </w:r>
          </w:p>
        </w:tc>
        <w:tc>
          <w:tcPr>
            <w:tcW w:w="1609" w:type="dxa"/>
            <w:tcBorders>
              <w:top w:val="nil"/>
              <w:left w:val="nil"/>
              <w:bottom w:val="nil"/>
              <w:right w:val="nil"/>
            </w:tcBorders>
          </w:tcPr>
          <w:p w14:paraId="673B1E8B" w14:textId="797F143D"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1.</w:t>
            </w:r>
            <w:r>
              <w:rPr>
                <w:rFonts w:ascii="Times New Roman" w:eastAsia="Times New Roman" w:hAnsi="Times New Roman" w:cs="Times New Roman"/>
                <w:sz w:val="20"/>
                <w:szCs w:val="20"/>
              </w:rPr>
              <w:t>400</w:t>
            </w:r>
            <w:r w:rsidRPr="00C72A71">
              <w:rPr>
                <w:rFonts w:ascii="Times New Roman" w:eastAsia="Times New Roman" w:hAnsi="Times New Roman" w:cs="Times New Roman"/>
                <w:sz w:val="20"/>
                <w:szCs w:val="20"/>
                <w:vertAlign w:val="superscript"/>
              </w:rPr>
              <w:t>***</w:t>
            </w:r>
          </w:p>
        </w:tc>
        <w:tc>
          <w:tcPr>
            <w:tcW w:w="1384" w:type="dxa"/>
            <w:tcBorders>
              <w:top w:val="nil"/>
              <w:left w:val="nil"/>
              <w:bottom w:val="nil"/>
              <w:right w:val="nil"/>
            </w:tcBorders>
          </w:tcPr>
          <w:p w14:paraId="620FB8E6" w14:textId="3A2E4E3F"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w:t>
            </w:r>
            <w:r>
              <w:rPr>
                <w:rFonts w:ascii="Times New Roman" w:eastAsia="Times New Roman" w:hAnsi="Times New Roman" w:cs="Times New Roman"/>
                <w:sz w:val="20"/>
                <w:szCs w:val="20"/>
              </w:rPr>
              <w:t>587</w:t>
            </w:r>
            <w:r w:rsidRPr="00C72A71">
              <w:rPr>
                <w:rFonts w:ascii="Times New Roman" w:eastAsia="Times New Roman" w:hAnsi="Times New Roman" w:cs="Times New Roman"/>
                <w:sz w:val="20"/>
                <w:szCs w:val="20"/>
                <w:vertAlign w:val="superscript"/>
              </w:rPr>
              <w:t>***</w:t>
            </w:r>
          </w:p>
        </w:tc>
        <w:tc>
          <w:tcPr>
            <w:tcW w:w="1609" w:type="dxa"/>
            <w:tcBorders>
              <w:top w:val="nil"/>
              <w:left w:val="nil"/>
              <w:bottom w:val="nil"/>
              <w:right w:val="nil"/>
            </w:tcBorders>
          </w:tcPr>
          <w:p w14:paraId="103539CE" w14:textId="5479AD6D"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1.2</w:t>
            </w:r>
            <w:r>
              <w:rPr>
                <w:rFonts w:ascii="Times New Roman" w:eastAsia="Times New Roman" w:hAnsi="Times New Roman" w:cs="Times New Roman"/>
                <w:sz w:val="20"/>
                <w:szCs w:val="20"/>
              </w:rPr>
              <w:t>53</w:t>
            </w:r>
            <w:r w:rsidRPr="00C72A71">
              <w:rPr>
                <w:rFonts w:ascii="Times New Roman" w:eastAsia="Times New Roman" w:hAnsi="Times New Roman" w:cs="Times New Roman"/>
                <w:sz w:val="20"/>
                <w:szCs w:val="20"/>
                <w:vertAlign w:val="superscript"/>
              </w:rPr>
              <w:t>***</w:t>
            </w:r>
          </w:p>
        </w:tc>
        <w:tc>
          <w:tcPr>
            <w:tcW w:w="1355" w:type="dxa"/>
            <w:tcBorders>
              <w:top w:val="nil"/>
              <w:left w:val="nil"/>
              <w:bottom w:val="nil"/>
              <w:right w:val="nil"/>
            </w:tcBorders>
          </w:tcPr>
          <w:p w14:paraId="64F75D0A" w14:textId="665BA2BC"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2.</w:t>
            </w:r>
            <w:r>
              <w:rPr>
                <w:rFonts w:ascii="Times New Roman" w:eastAsia="Times New Roman" w:hAnsi="Times New Roman" w:cs="Times New Roman"/>
                <w:sz w:val="20"/>
                <w:szCs w:val="20"/>
              </w:rPr>
              <w:t>280</w:t>
            </w:r>
            <w:r w:rsidRPr="00C72A71">
              <w:rPr>
                <w:rFonts w:ascii="Times New Roman" w:eastAsia="Times New Roman" w:hAnsi="Times New Roman" w:cs="Times New Roman"/>
                <w:sz w:val="20"/>
                <w:szCs w:val="20"/>
                <w:vertAlign w:val="superscript"/>
              </w:rPr>
              <w:t>***</w:t>
            </w:r>
          </w:p>
        </w:tc>
        <w:tc>
          <w:tcPr>
            <w:tcW w:w="1345" w:type="dxa"/>
            <w:tcBorders>
              <w:top w:val="nil"/>
              <w:left w:val="nil"/>
              <w:bottom w:val="nil"/>
              <w:right w:val="nil"/>
            </w:tcBorders>
          </w:tcPr>
          <w:p w14:paraId="00B9343C" w14:textId="0C7D40AF"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w:t>
            </w:r>
            <w:r>
              <w:rPr>
                <w:rFonts w:ascii="Times New Roman" w:eastAsia="Times New Roman" w:hAnsi="Times New Roman" w:cs="Times New Roman"/>
                <w:sz w:val="20"/>
                <w:szCs w:val="20"/>
              </w:rPr>
              <w:t>302</w:t>
            </w:r>
            <w:r w:rsidRPr="00C72A71">
              <w:rPr>
                <w:rFonts w:ascii="Times New Roman" w:eastAsia="Times New Roman" w:hAnsi="Times New Roman" w:cs="Times New Roman"/>
                <w:sz w:val="20"/>
                <w:szCs w:val="20"/>
                <w:vertAlign w:val="superscript"/>
              </w:rPr>
              <w:t>***</w:t>
            </w:r>
          </w:p>
        </w:tc>
        <w:tc>
          <w:tcPr>
            <w:tcW w:w="1414" w:type="dxa"/>
            <w:gridSpan w:val="2"/>
            <w:tcBorders>
              <w:top w:val="nil"/>
              <w:left w:val="nil"/>
              <w:bottom w:val="nil"/>
              <w:right w:val="nil"/>
            </w:tcBorders>
          </w:tcPr>
          <w:p w14:paraId="5C158EFA" w14:textId="6DB5508D"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0.4</w:t>
            </w:r>
            <w:r>
              <w:rPr>
                <w:rFonts w:ascii="Times New Roman" w:eastAsia="Times New Roman" w:hAnsi="Times New Roman" w:cs="Times New Roman"/>
                <w:sz w:val="20"/>
                <w:szCs w:val="20"/>
              </w:rPr>
              <w:t>19</w:t>
            </w:r>
            <w:r w:rsidRPr="00C72A71">
              <w:rPr>
                <w:rFonts w:ascii="Times New Roman" w:eastAsia="Times New Roman" w:hAnsi="Times New Roman" w:cs="Times New Roman"/>
                <w:sz w:val="20"/>
                <w:szCs w:val="20"/>
                <w:vertAlign w:val="superscript"/>
              </w:rPr>
              <w:t>***</w:t>
            </w:r>
          </w:p>
        </w:tc>
        <w:tc>
          <w:tcPr>
            <w:tcW w:w="1246" w:type="dxa"/>
            <w:tcBorders>
              <w:top w:val="nil"/>
              <w:left w:val="nil"/>
              <w:bottom w:val="nil"/>
              <w:right w:val="nil"/>
            </w:tcBorders>
          </w:tcPr>
          <w:p w14:paraId="421AFAF7" w14:textId="6ECDF44C"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1.</w:t>
            </w:r>
            <w:r>
              <w:rPr>
                <w:rFonts w:ascii="Times New Roman" w:eastAsia="Times New Roman" w:hAnsi="Times New Roman" w:cs="Times New Roman"/>
                <w:sz w:val="20"/>
                <w:szCs w:val="20"/>
              </w:rPr>
              <w:t>868</w:t>
            </w:r>
            <w:r w:rsidRPr="00C72A71">
              <w:rPr>
                <w:rFonts w:ascii="Times New Roman" w:eastAsia="Times New Roman" w:hAnsi="Times New Roman" w:cs="Times New Roman"/>
                <w:sz w:val="20"/>
                <w:szCs w:val="20"/>
                <w:vertAlign w:val="superscript"/>
              </w:rPr>
              <w:t>***</w:t>
            </w:r>
          </w:p>
        </w:tc>
        <w:tc>
          <w:tcPr>
            <w:tcW w:w="1561" w:type="dxa"/>
            <w:tcBorders>
              <w:top w:val="nil"/>
              <w:left w:val="nil"/>
              <w:bottom w:val="nil"/>
              <w:right w:val="nil"/>
            </w:tcBorders>
          </w:tcPr>
          <w:p w14:paraId="201ABB7C" w14:textId="221A3CE2" w:rsidR="000D7863" w:rsidRPr="00C72A71" w:rsidRDefault="000D7863" w:rsidP="000D7863">
            <w:pPr>
              <w:rPr>
                <w:rFonts w:ascii="Times New Roman" w:eastAsia="Times New Roman" w:hAnsi="Times New Roman" w:cs="Times New Roman"/>
                <w:sz w:val="20"/>
                <w:szCs w:val="20"/>
                <w:vertAlign w:val="superscript"/>
              </w:rPr>
            </w:pPr>
            <w:r w:rsidRPr="00C72A71">
              <w:rPr>
                <w:rFonts w:ascii="Times New Roman" w:eastAsia="Times New Roman" w:hAnsi="Times New Roman" w:cs="Times New Roman"/>
                <w:sz w:val="20"/>
                <w:szCs w:val="20"/>
              </w:rPr>
              <w:t>2.</w:t>
            </w:r>
            <w:r>
              <w:rPr>
                <w:rFonts w:ascii="Times New Roman" w:eastAsia="Times New Roman" w:hAnsi="Times New Roman" w:cs="Times New Roman"/>
                <w:sz w:val="20"/>
                <w:szCs w:val="20"/>
              </w:rPr>
              <w:t>347</w:t>
            </w:r>
            <w:r w:rsidRPr="00C72A71">
              <w:rPr>
                <w:rFonts w:ascii="Times New Roman" w:eastAsia="Times New Roman" w:hAnsi="Times New Roman" w:cs="Times New Roman"/>
                <w:sz w:val="20"/>
                <w:szCs w:val="20"/>
                <w:vertAlign w:val="superscript"/>
              </w:rPr>
              <w:t>***</w:t>
            </w:r>
          </w:p>
        </w:tc>
      </w:tr>
      <w:tr w:rsidR="000D7863" w:rsidRPr="00C72A71" w14:paraId="00E6750D" w14:textId="77777777" w:rsidTr="00EF5CFC">
        <w:trPr>
          <w:trHeight w:val="187"/>
        </w:trPr>
        <w:tc>
          <w:tcPr>
            <w:tcW w:w="3686" w:type="dxa"/>
            <w:tcBorders>
              <w:top w:val="nil"/>
              <w:left w:val="nil"/>
              <w:bottom w:val="nil"/>
              <w:right w:val="nil"/>
            </w:tcBorders>
          </w:tcPr>
          <w:p w14:paraId="4980CBEB" w14:textId="7C4724DD" w:rsidR="000D7863" w:rsidRPr="00C72A71" w:rsidRDefault="000D7863" w:rsidP="000D7863">
            <w:pPr>
              <w:rPr>
                <w:rFonts w:ascii="Times New Roman" w:hAnsi="Times New Roman" w:cs="Times New Roman"/>
                <w:i/>
                <w:iCs/>
                <w:color w:val="000000"/>
                <w:sz w:val="20"/>
                <w:szCs w:val="20"/>
                <w:lang w:val="en-US"/>
              </w:rPr>
            </w:pPr>
            <w:r w:rsidRPr="006B5786">
              <w:rPr>
                <w:rFonts w:ascii="Times New Roman" w:hAnsi="Times New Roman"/>
                <w:i/>
                <w:sz w:val="20"/>
                <w:szCs w:val="20"/>
                <w:lang w:val="en-US"/>
              </w:rPr>
              <w:t>R</w:t>
            </w:r>
            <w:r>
              <w:rPr>
                <w:rFonts w:ascii="Times New Roman" w:hAnsi="Times New Roman"/>
                <w:i/>
                <w:sz w:val="20"/>
                <w:szCs w:val="20"/>
                <w:lang w:val="en-US"/>
              </w:rPr>
              <w:t>-sq</w:t>
            </w:r>
          </w:p>
        </w:tc>
        <w:tc>
          <w:tcPr>
            <w:tcW w:w="1609" w:type="dxa"/>
            <w:tcBorders>
              <w:top w:val="nil"/>
              <w:left w:val="nil"/>
              <w:bottom w:val="nil"/>
              <w:right w:val="nil"/>
            </w:tcBorders>
          </w:tcPr>
          <w:p w14:paraId="6D1BC5A5" w14:textId="6833EF51"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0.617</w:t>
            </w:r>
          </w:p>
        </w:tc>
        <w:tc>
          <w:tcPr>
            <w:tcW w:w="1384" w:type="dxa"/>
            <w:tcBorders>
              <w:top w:val="nil"/>
              <w:left w:val="nil"/>
              <w:bottom w:val="nil"/>
              <w:right w:val="nil"/>
            </w:tcBorders>
          </w:tcPr>
          <w:p w14:paraId="5D7A2B86" w14:textId="1790C08C"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0.610</w:t>
            </w:r>
          </w:p>
        </w:tc>
        <w:tc>
          <w:tcPr>
            <w:tcW w:w="1609" w:type="dxa"/>
            <w:tcBorders>
              <w:top w:val="nil"/>
              <w:left w:val="nil"/>
              <w:bottom w:val="nil"/>
              <w:right w:val="nil"/>
            </w:tcBorders>
          </w:tcPr>
          <w:p w14:paraId="32E492C4" w14:textId="04AF3A0D"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0.737</w:t>
            </w:r>
          </w:p>
        </w:tc>
        <w:tc>
          <w:tcPr>
            <w:tcW w:w="1355" w:type="dxa"/>
            <w:tcBorders>
              <w:top w:val="nil"/>
              <w:left w:val="nil"/>
              <w:bottom w:val="nil"/>
              <w:right w:val="nil"/>
            </w:tcBorders>
          </w:tcPr>
          <w:p w14:paraId="05DF2FF0" w14:textId="2BDF210F"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0.645</w:t>
            </w:r>
          </w:p>
        </w:tc>
        <w:tc>
          <w:tcPr>
            <w:tcW w:w="1345" w:type="dxa"/>
            <w:tcBorders>
              <w:top w:val="nil"/>
              <w:left w:val="nil"/>
              <w:bottom w:val="nil"/>
              <w:right w:val="nil"/>
            </w:tcBorders>
          </w:tcPr>
          <w:p w14:paraId="5E3ECFA5" w14:textId="639C0C96"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0.832</w:t>
            </w:r>
          </w:p>
        </w:tc>
        <w:tc>
          <w:tcPr>
            <w:tcW w:w="1414" w:type="dxa"/>
            <w:gridSpan w:val="2"/>
            <w:tcBorders>
              <w:top w:val="nil"/>
              <w:left w:val="nil"/>
              <w:bottom w:val="nil"/>
              <w:right w:val="nil"/>
            </w:tcBorders>
          </w:tcPr>
          <w:p w14:paraId="2AB0D565" w14:textId="2A8BD912"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0.542</w:t>
            </w:r>
          </w:p>
        </w:tc>
        <w:tc>
          <w:tcPr>
            <w:tcW w:w="1246" w:type="dxa"/>
            <w:tcBorders>
              <w:top w:val="nil"/>
              <w:left w:val="nil"/>
              <w:bottom w:val="nil"/>
              <w:right w:val="nil"/>
            </w:tcBorders>
          </w:tcPr>
          <w:p w14:paraId="5CF73F1C" w14:textId="77161652"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0.651</w:t>
            </w:r>
          </w:p>
        </w:tc>
        <w:tc>
          <w:tcPr>
            <w:tcW w:w="1561" w:type="dxa"/>
            <w:tcBorders>
              <w:top w:val="nil"/>
              <w:left w:val="nil"/>
              <w:bottom w:val="nil"/>
              <w:right w:val="nil"/>
            </w:tcBorders>
          </w:tcPr>
          <w:p w14:paraId="143CF096" w14:textId="0DF85348" w:rsidR="000D7863" w:rsidRPr="003A0EC9" w:rsidRDefault="000D7863" w:rsidP="000D7863">
            <w:pPr>
              <w:rPr>
                <w:rFonts w:ascii="Times New Roman" w:eastAsia="Times New Roman" w:hAnsi="Times New Roman" w:cs="Times New Roman"/>
                <w:sz w:val="20"/>
                <w:szCs w:val="20"/>
              </w:rPr>
            </w:pPr>
            <w:r>
              <w:rPr>
                <w:rFonts w:ascii="Times New Roman" w:eastAsia="Times New Roman" w:hAnsi="Times New Roman" w:cs="Times New Roman"/>
                <w:sz w:val="20"/>
                <w:szCs w:val="20"/>
              </w:rPr>
              <w:t>0.757</w:t>
            </w:r>
          </w:p>
        </w:tc>
      </w:tr>
      <w:tr w:rsidR="000D7863" w:rsidRPr="00C72A71" w14:paraId="5EF850E2" w14:textId="77777777" w:rsidTr="00EF5CFC">
        <w:trPr>
          <w:trHeight w:val="187"/>
        </w:trPr>
        <w:tc>
          <w:tcPr>
            <w:tcW w:w="15209" w:type="dxa"/>
            <w:gridSpan w:val="10"/>
            <w:tcBorders>
              <w:top w:val="single" w:sz="2" w:space="0" w:color="auto"/>
              <w:left w:val="nil"/>
              <w:bottom w:val="nil"/>
              <w:right w:val="nil"/>
            </w:tcBorders>
          </w:tcPr>
          <w:p w14:paraId="67DE8745" w14:textId="1BA44D9F" w:rsidR="000D7863" w:rsidRPr="00C72A71" w:rsidRDefault="000D7863" w:rsidP="000D7863">
            <w:pPr>
              <w:rPr>
                <w:rFonts w:ascii="Times New Roman" w:eastAsia="Times New Roman" w:hAnsi="Times New Roman" w:cs="Times New Roman"/>
                <w:sz w:val="20"/>
                <w:szCs w:val="20"/>
              </w:rPr>
            </w:pPr>
            <w:r w:rsidRPr="00C72A71">
              <w:rPr>
                <w:rFonts w:ascii="Times New Roman" w:eastAsia="Times New Roman" w:hAnsi="Times New Roman" w:cs="Times New Roman"/>
                <w:color w:val="000000"/>
                <w:sz w:val="20"/>
                <w:szCs w:val="20"/>
                <w:lang w:val="en-US"/>
              </w:rPr>
              <w:t xml:space="preserve">Please </w:t>
            </w:r>
            <w:r w:rsidR="003134B1">
              <w:rPr>
                <w:rFonts w:ascii="Times New Roman" w:eastAsia="Times New Roman" w:hAnsi="Times New Roman" w:cs="Times New Roman"/>
                <w:color w:val="000000"/>
                <w:sz w:val="20"/>
                <w:szCs w:val="20"/>
                <w:lang w:val="en-US"/>
              </w:rPr>
              <w:t xml:space="preserve">refer to the </w:t>
            </w:r>
            <w:r w:rsidRPr="008F5521">
              <w:rPr>
                <w:rFonts w:ascii="Times New Roman" w:eastAsia="Times New Roman" w:hAnsi="Times New Roman" w:cs="Times New Roman"/>
                <w:b/>
                <w:bCs/>
                <w:i/>
                <w:iCs/>
                <w:color w:val="000000"/>
                <w:sz w:val="20"/>
                <w:szCs w:val="20"/>
                <w:lang w:val="en-US"/>
              </w:rPr>
              <w:t>online Appendix 1</w:t>
            </w:r>
            <w:r w:rsidRPr="00C72A71">
              <w:rPr>
                <w:rFonts w:ascii="Times New Roman" w:eastAsia="Times New Roman" w:hAnsi="Times New Roman" w:cs="Times New Roman"/>
                <w:color w:val="000000"/>
                <w:sz w:val="20"/>
                <w:szCs w:val="20"/>
                <w:lang w:val="en-US"/>
              </w:rPr>
              <w:t xml:space="preserve"> for variable definitions. </w:t>
            </w:r>
            <w:r w:rsidRPr="00C72A71">
              <w:rPr>
                <w:rFonts w:ascii="Times New Roman" w:hAnsi="Times New Roman" w:cs="Times New Roman"/>
                <w:sz w:val="20"/>
                <w:szCs w:val="20"/>
                <w:lang w:val="en-US"/>
              </w:rPr>
              <w:t>*** Significance at the 1% level (p&lt;0.01)</w:t>
            </w:r>
            <w:r>
              <w:rPr>
                <w:rFonts w:ascii="Times New Roman" w:hAnsi="Times New Roman" w:cs="Times New Roman"/>
                <w:sz w:val="20"/>
                <w:szCs w:val="20"/>
                <w:lang w:val="en-US"/>
              </w:rPr>
              <w:t xml:space="preserve">, </w:t>
            </w:r>
            <w:r w:rsidRPr="00C72A71">
              <w:rPr>
                <w:rFonts w:ascii="Times New Roman" w:hAnsi="Times New Roman" w:cs="Times New Roman"/>
                <w:sz w:val="20"/>
                <w:szCs w:val="20"/>
                <w:lang w:val="en-US"/>
              </w:rPr>
              <w:t>** Significance at the 5% level (p&lt;0.05)</w:t>
            </w:r>
            <w:r>
              <w:rPr>
                <w:rFonts w:ascii="Times New Roman" w:hAnsi="Times New Roman" w:cs="Times New Roman"/>
                <w:sz w:val="20"/>
                <w:szCs w:val="20"/>
                <w:lang w:val="en-US"/>
              </w:rPr>
              <w:t xml:space="preserve"> and </w:t>
            </w:r>
            <w:r w:rsidRPr="00C72A71">
              <w:rPr>
                <w:rFonts w:ascii="Times New Roman" w:hAnsi="Times New Roman" w:cs="Times New Roman"/>
                <w:sz w:val="20"/>
                <w:szCs w:val="20"/>
                <w:lang w:val="en-US"/>
              </w:rPr>
              <w:t>* Significance at the 10% level (p&lt;0.10).</w:t>
            </w:r>
          </w:p>
        </w:tc>
      </w:tr>
    </w:tbl>
    <w:p w14:paraId="0C33B08D" w14:textId="77777777" w:rsidR="00741579" w:rsidRPr="007D3C7E" w:rsidRDefault="00741579">
      <w:pPr>
        <w:sectPr w:rsidR="00741579" w:rsidRPr="007D3C7E" w:rsidSect="00741579">
          <w:pgSz w:w="16838" w:h="11906" w:orient="landscape"/>
          <w:pgMar w:top="1440" w:right="1440" w:bottom="1440" w:left="1440" w:header="708" w:footer="708" w:gutter="0"/>
          <w:cols w:space="708"/>
          <w:docGrid w:linePitch="360"/>
        </w:sectPr>
      </w:pPr>
    </w:p>
    <w:p w14:paraId="1EC8E0BC" w14:textId="074FB6FE" w:rsidR="00741579" w:rsidRPr="00741579" w:rsidRDefault="00741579" w:rsidP="00741579">
      <w:pPr>
        <w:spacing w:after="0" w:line="480" w:lineRule="auto"/>
        <w:ind w:firstLine="720"/>
        <w:jc w:val="both"/>
        <w:rPr>
          <w:rFonts w:ascii="Times New Roman" w:eastAsia="Calibri" w:hAnsi="Times New Roman" w:cs="Times New Roman"/>
          <w:sz w:val="24"/>
          <w:szCs w:val="24"/>
          <w:shd w:val="clear" w:color="auto" w:fill="FFFFFF"/>
        </w:rPr>
      </w:pPr>
      <w:r w:rsidRPr="007D3C7E">
        <w:rPr>
          <w:rFonts w:ascii="Times New Roman" w:eastAsia="Calibri" w:hAnsi="Times New Roman" w:cs="Times New Roman"/>
          <w:sz w:val="24"/>
          <w:szCs w:val="24"/>
        </w:rPr>
        <w:lastRenderedPageBreak/>
        <w:t>I</w:t>
      </w:r>
      <w:r w:rsidRPr="00741579">
        <w:rPr>
          <w:rFonts w:ascii="Times New Roman" w:eastAsia="Calibri" w:hAnsi="Times New Roman" w:cs="Times New Roman"/>
          <w:sz w:val="24"/>
          <w:szCs w:val="24"/>
        </w:rPr>
        <w:t>n</w:t>
      </w:r>
      <w:r w:rsidRPr="00741579">
        <w:rPr>
          <w:rFonts w:ascii="Times New Roman" w:eastAsia="Calibri" w:hAnsi="Times New Roman" w:cs="Times New Roman"/>
          <w:sz w:val="24"/>
          <w:szCs w:val="24"/>
          <w:shd w:val="clear" w:color="auto" w:fill="FFFFFF"/>
        </w:rPr>
        <w:t xml:space="preserve"> addition to examining the impact of HEIs short- and long-term performance on VC pay for all 117 UK HEIs</w:t>
      </w:r>
      <w:r w:rsidRPr="007D3C7E">
        <w:rPr>
          <w:rFonts w:ascii="Times New Roman" w:eastAsia="Calibri" w:hAnsi="Times New Roman" w:cs="Times New Roman"/>
          <w:sz w:val="24"/>
          <w:szCs w:val="24"/>
          <w:shd w:val="clear" w:color="auto" w:fill="FFFFFF"/>
        </w:rPr>
        <w:t xml:space="preserve"> (Table 2)</w:t>
      </w:r>
      <w:r w:rsidRPr="00741579">
        <w:rPr>
          <w:rFonts w:ascii="Times New Roman" w:eastAsia="Calibri" w:hAnsi="Times New Roman" w:cs="Times New Roman"/>
          <w:sz w:val="24"/>
          <w:szCs w:val="24"/>
          <w:shd w:val="clear" w:color="auto" w:fill="FFFFFF"/>
        </w:rPr>
        <w:t xml:space="preserve">, we divided our sample into two main groups: (i) HEIs prioritising long-term performance (HEIs having low number of student non-continuation below the mean value of 199.36 students; and HEIs having high community contribution index score above the mean value of 43.27%); (ii) HEIs prioritising short-term performance (HEIs </w:t>
      </w:r>
      <w:r w:rsidRPr="00741579">
        <w:rPr>
          <w:rFonts w:ascii="Times New Roman" w:eastAsia="Calibri" w:hAnsi="Times New Roman" w:cs="Times New Roman"/>
          <w:sz w:val="24"/>
          <w:szCs w:val="24"/>
          <w:shd w:val="clear" w:color="auto" w:fill="FFFFFF"/>
          <w:lang w:val="en-US"/>
        </w:rPr>
        <w:t xml:space="preserve">having </w:t>
      </w:r>
      <w:r w:rsidRPr="00741579">
        <w:rPr>
          <w:rFonts w:ascii="Times New Roman" w:eastAsia="Calibri" w:hAnsi="Times New Roman" w:cs="Times New Roman"/>
          <w:i/>
          <w:iCs/>
          <w:sz w:val="24"/>
          <w:szCs w:val="24"/>
          <w:shd w:val="clear" w:color="auto" w:fill="FFFFFF"/>
          <w:lang w:val="en-US"/>
        </w:rPr>
        <w:t>QS</w:t>
      </w:r>
      <w:r w:rsidRPr="00741579">
        <w:rPr>
          <w:rFonts w:ascii="Times New Roman" w:eastAsia="Calibri" w:hAnsi="Times New Roman" w:cs="Times New Roman"/>
          <w:sz w:val="24"/>
          <w:szCs w:val="24"/>
          <w:shd w:val="clear" w:color="auto" w:fill="FFFFFF"/>
          <w:lang w:val="en-US"/>
        </w:rPr>
        <w:t xml:space="preserve"> and </w:t>
      </w:r>
      <w:r w:rsidRPr="00741579">
        <w:rPr>
          <w:rFonts w:ascii="Times New Roman" w:eastAsia="Calibri" w:hAnsi="Times New Roman" w:cs="Times New Roman"/>
          <w:i/>
          <w:iCs/>
          <w:sz w:val="24"/>
          <w:szCs w:val="24"/>
          <w:shd w:val="clear" w:color="auto" w:fill="FFFFFF"/>
          <w:lang w:val="en-US"/>
        </w:rPr>
        <w:t>THE</w:t>
      </w:r>
      <w:r w:rsidRPr="00741579">
        <w:rPr>
          <w:rFonts w:ascii="Times New Roman" w:eastAsia="Calibri" w:hAnsi="Times New Roman" w:cs="Times New Roman"/>
          <w:sz w:val="24"/>
          <w:szCs w:val="24"/>
          <w:shd w:val="clear" w:color="auto" w:fill="FFFFFF"/>
          <w:lang w:val="en-US"/>
        </w:rPr>
        <w:t xml:space="preserve"> rankings below the mean value of </w:t>
      </w:r>
      <w:r w:rsidRPr="00741579">
        <w:rPr>
          <w:rFonts w:ascii="Times New Roman" w:eastAsia="Calibri" w:hAnsi="Times New Roman" w:cs="Times New Roman"/>
          <w:sz w:val="24"/>
          <w:szCs w:val="24"/>
          <w:shd w:val="clear" w:color="auto" w:fill="FFFFFF"/>
        </w:rPr>
        <w:t>355.85 and 371.47, respectively). The results are reported in</w:t>
      </w:r>
      <w:r w:rsidR="003134B1">
        <w:rPr>
          <w:rFonts w:ascii="Times New Roman" w:eastAsia="Calibri" w:hAnsi="Times New Roman" w:cs="Times New Roman"/>
          <w:sz w:val="24"/>
          <w:szCs w:val="24"/>
          <w:shd w:val="clear" w:color="auto" w:fill="FFFFFF"/>
        </w:rPr>
        <w:t xml:space="preserve"> the</w:t>
      </w:r>
      <w:r w:rsidRPr="00741579">
        <w:rPr>
          <w:rFonts w:ascii="Times New Roman" w:eastAsia="Calibri" w:hAnsi="Times New Roman" w:cs="Times New Roman"/>
          <w:sz w:val="24"/>
          <w:szCs w:val="24"/>
          <w:shd w:val="clear" w:color="auto" w:fill="FFFFFF"/>
        </w:rPr>
        <w:t xml:space="preserve"> </w:t>
      </w:r>
      <w:r w:rsidR="0051717F" w:rsidRPr="008F5521">
        <w:rPr>
          <w:rFonts w:ascii="Times New Roman" w:eastAsia="Calibri" w:hAnsi="Times New Roman" w:cs="Times New Roman"/>
          <w:b/>
          <w:bCs/>
          <w:i/>
          <w:iCs/>
          <w:sz w:val="24"/>
          <w:szCs w:val="24"/>
          <w:shd w:val="clear" w:color="auto" w:fill="FFFFFF"/>
        </w:rPr>
        <w:t xml:space="preserve">online </w:t>
      </w:r>
      <w:r w:rsidRPr="008F5521">
        <w:rPr>
          <w:rFonts w:ascii="Times New Roman" w:eastAsia="Calibri" w:hAnsi="Times New Roman" w:cs="Times New Roman"/>
          <w:b/>
          <w:bCs/>
          <w:i/>
          <w:iCs/>
          <w:sz w:val="24"/>
          <w:szCs w:val="24"/>
          <w:shd w:val="clear" w:color="auto" w:fill="FFFFFF"/>
        </w:rPr>
        <w:t>Appendix 5</w:t>
      </w:r>
      <w:r w:rsidRPr="00741579">
        <w:rPr>
          <w:rFonts w:ascii="Times New Roman" w:eastAsia="Calibri" w:hAnsi="Times New Roman" w:cs="Times New Roman"/>
          <w:sz w:val="24"/>
          <w:szCs w:val="24"/>
          <w:shd w:val="clear" w:color="auto" w:fill="FFFFFF"/>
        </w:rPr>
        <w:t xml:space="preserve">. In terms of the long-term performance, the reported results in Models 1-4 of </w:t>
      </w:r>
      <w:r w:rsidR="003134B1">
        <w:rPr>
          <w:rFonts w:ascii="Times New Roman" w:eastAsia="Calibri" w:hAnsi="Times New Roman" w:cs="Times New Roman"/>
          <w:sz w:val="24"/>
          <w:szCs w:val="24"/>
          <w:shd w:val="clear" w:color="auto" w:fill="FFFFFF"/>
        </w:rPr>
        <w:t xml:space="preserve">the </w:t>
      </w:r>
      <w:r w:rsidR="0051717F" w:rsidRPr="008F5521">
        <w:rPr>
          <w:rFonts w:ascii="Times New Roman" w:eastAsia="Calibri" w:hAnsi="Times New Roman" w:cs="Times New Roman"/>
          <w:b/>
          <w:bCs/>
          <w:i/>
          <w:iCs/>
          <w:sz w:val="24"/>
          <w:szCs w:val="24"/>
          <w:shd w:val="clear" w:color="auto" w:fill="FFFFFF"/>
        </w:rPr>
        <w:t xml:space="preserve">online </w:t>
      </w:r>
      <w:r w:rsidRPr="008F5521">
        <w:rPr>
          <w:rFonts w:ascii="Times New Roman" w:eastAsia="Calibri" w:hAnsi="Times New Roman" w:cs="Times New Roman"/>
          <w:b/>
          <w:bCs/>
          <w:i/>
          <w:iCs/>
          <w:sz w:val="24"/>
          <w:szCs w:val="24"/>
          <w:shd w:val="clear" w:color="auto" w:fill="FFFFFF"/>
        </w:rPr>
        <w:t>Appendix 5</w:t>
      </w:r>
      <w:r w:rsidRPr="00741579">
        <w:rPr>
          <w:rFonts w:ascii="Times New Roman" w:eastAsia="Calibri" w:hAnsi="Times New Roman" w:cs="Times New Roman"/>
          <w:sz w:val="24"/>
          <w:szCs w:val="24"/>
          <w:shd w:val="clear" w:color="auto" w:fill="FFFFFF"/>
        </w:rPr>
        <w:t xml:space="preserve"> indicate that HEIs prioritising setting and meeting long-term performance pay their VCs significantly lower packages than their short-term oriented counterparts, suggesting that </w:t>
      </w:r>
      <w:r w:rsidRPr="00741579">
        <w:rPr>
          <w:rFonts w:ascii="Times New Roman" w:eastAsia="Calibri" w:hAnsi="Times New Roman" w:cs="Times New Roman"/>
          <w:i/>
          <w:iCs/>
          <w:sz w:val="24"/>
          <w:szCs w:val="24"/>
          <w:shd w:val="clear" w:color="auto" w:fill="FFFFFF"/>
        </w:rPr>
        <w:t>H1a</w:t>
      </w:r>
      <w:r w:rsidRPr="00741579">
        <w:rPr>
          <w:rFonts w:ascii="Times New Roman" w:eastAsia="Calibri" w:hAnsi="Times New Roman" w:cs="Times New Roman"/>
          <w:sz w:val="24"/>
          <w:szCs w:val="24"/>
          <w:shd w:val="clear" w:color="auto" w:fill="FFFFFF"/>
        </w:rPr>
        <w:t xml:space="preserve"> is empirically supported. Additionally, and regarding the short-term performance measures, the coefficients of </w:t>
      </w:r>
      <w:r w:rsidRPr="00741579">
        <w:rPr>
          <w:rFonts w:ascii="Times New Roman" w:eastAsia="Calibri" w:hAnsi="Times New Roman" w:cs="Times New Roman"/>
          <w:i/>
          <w:iCs/>
          <w:sz w:val="24"/>
          <w:szCs w:val="24"/>
          <w:shd w:val="clear" w:color="auto" w:fill="FFFFFF"/>
        </w:rPr>
        <w:t xml:space="preserve">QS </w:t>
      </w:r>
      <w:r w:rsidRPr="00741579">
        <w:rPr>
          <w:rFonts w:ascii="Times New Roman" w:eastAsia="Calibri" w:hAnsi="Times New Roman" w:cs="Times New Roman"/>
          <w:sz w:val="24"/>
          <w:szCs w:val="24"/>
          <w:shd w:val="clear" w:color="auto" w:fill="FFFFFF"/>
        </w:rPr>
        <w:t xml:space="preserve">and </w:t>
      </w:r>
      <w:r w:rsidRPr="00741579">
        <w:rPr>
          <w:rFonts w:ascii="Times New Roman" w:eastAsia="Calibri" w:hAnsi="Times New Roman" w:cs="Times New Roman"/>
          <w:i/>
          <w:iCs/>
          <w:sz w:val="24"/>
          <w:szCs w:val="24"/>
          <w:shd w:val="clear" w:color="auto" w:fill="FFFFFF"/>
        </w:rPr>
        <w:t>THE</w:t>
      </w:r>
      <w:r w:rsidRPr="00741579">
        <w:rPr>
          <w:rFonts w:ascii="Times New Roman" w:eastAsia="Calibri" w:hAnsi="Times New Roman" w:cs="Times New Roman"/>
          <w:sz w:val="24"/>
          <w:szCs w:val="24"/>
          <w:shd w:val="clear" w:color="auto" w:fill="FFFFFF"/>
        </w:rPr>
        <w:t xml:space="preserve"> on VC total pay (Models 5 and 6 of </w:t>
      </w:r>
      <w:r w:rsidR="003134B1">
        <w:rPr>
          <w:rFonts w:ascii="Times New Roman" w:eastAsia="Calibri" w:hAnsi="Times New Roman" w:cs="Times New Roman"/>
          <w:sz w:val="24"/>
          <w:szCs w:val="24"/>
          <w:shd w:val="clear" w:color="auto" w:fill="FFFFFF"/>
        </w:rPr>
        <w:t xml:space="preserve">the </w:t>
      </w:r>
      <w:r w:rsidR="0051717F" w:rsidRPr="008F5521">
        <w:rPr>
          <w:rFonts w:ascii="Times New Roman" w:eastAsia="Calibri" w:hAnsi="Times New Roman" w:cs="Times New Roman"/>
          <w:b/>
          <w:bCs/>
          <w:i/>
          <w:iCs/>
          <w:sz w:val="24"/>
          <w:szCs w:val="24"/>
          <w:shd w:val="clear" w:color="auto" w:fill="FFFFFF"/>
        </w:rPr>
        <w:t xml:space="preserve">online </w:t>
      </w:r>
      <w:r w:rsidRPr="008F5521">
        <w:rPr>
          <w:rFonts w:ascii="Times New Roman" w:eastAsia="Calibri" w:hAnsi="Times New Roman" w:cs="Times New Roman"/>
          <w:b/>
          <w:bCs/>
          <w:i/>
          <w:iCs/>
          <w:sz w:val="24"/>
          <w:szCs w:val="24"/>
          <w:shd w:val="clear" w:color="auto" w:fill="FFFFFF"/>
        </w:rPr>
        <w:t>Appendix 5</w:t>
      </w:r>
      <w:r w:rsidRPr="00741579">
        <w:rPr>
          <w:rFonts w:ascii="Times New Roman" w:eastAsia="Calibri" w:hAnsi="Times New Roman" w:cs="Times New Roman"/>
          <w:sz w:val="24"/>
          <w:szCs w:val="24"/>
          <w:shd w:val="clear" w:color="auto" w:fill="FFFFFF"/>
        </w:rPr>
        <w:t xml:space="preserve">) are positive and statistically significant, whereas the coefficients of </w:t>
      </w:r>
      <w:r w:rsidRPr="00741579">
        <w:rPr>
          <w:rFonts w:ascii="Times New Roman" w:eastAsia="Calibri" w:hAnsi="Times New Roman" w:cs="Times New Roman"/>
          <w:i/>
          <w:iCs/>
          <w:sz w:val="24"/>
          <w:szCs w:val="24"/>
          <w:shd w:val="clear" w:color="auto" w:fill="FFFFFF"/>
        </w:rPr>
        <w:t xml:space="preserve">QS </w:t>
      </w:r>
      <w:r w:rsidRPr="00741579">
        <w:rPr>
          <w:rFonts w:ascii="Times New Roman" w:eastAsia="Calibri" w:hAnsi="Times New Roman" w:cs="Times New Roman"/>
          <w:sz w:val="24"/>
          <w:szCs w:val="24"/>
          <w:shd w:val="clear" w:color="auto" w:fill="FFFFFF"/>
        </w:rPr>
        <w:t xml:space="preserve">and </w:t>
      </w:r>
      <w:r w:rsidRPr="00741579">
        <w:rPr>
          <w:rFonts w:ascii="Times New Roman" w:eastAsia="Calibri" w:hAnsi="Times New Roman" w:cs="Times New Roman"/>
          <w:i/>
          <w:iCs/>
          <w:sz w:val="24"/>
          <w:szCs w:val="24"/>
          <w:shd w:val="clear" w:color="auto" w:fill="FFFFFF"/>
        </w:rPr>
        <w:t xml:space="preserve">THE </w:t>
      </w:r>
      <w:r w:rsidRPr="00741579">
        <w:rPr>
          <w:rFonts w:ascii="Times New Roman" w:eastAsia="Calibri" w:hAnsi="Times New Roman" w:cs="Times New Roman"/>
          <w:sz w:val="24"/>
          <w:szCs w:val="24"/>
          <w:shd w:val="clear" w:color="auto" w:fill="FFFFFF"/>
        </w:rPr>
        <w:t xml:space="preserve">rankings on VC total pay in Models 7 and 8 of </w:t>
      </w:r>
      <w:r w:rsidR="003134B1">
        <w:rPr>
          <w:rFonts w:ascii="Times New Roman" w:eastAsia="Calibri" w:hAnsi="Times New Roman" w:cs="Times New Roman"/>
          <w:sz w:val="24"/>
          <w:szCs w:val="24"/>
          <w:shd w:val="clear" w:color="auto" w:fill="FFFFFF"/>
        </w:rPr>
        <w:t xml:space="preserve">the </w:t>
      </w:r>
      <w:r w:rsidR="0051717F">
        <w:rPr>
          <w:rFonts w:ascii="Times New Roman" w:eastAsia="Calibri" w:hAnsi="Times New Roman" w:cs="Times New Roman"/>
          <w:b/>
          <w:bCs/>
          <w:i/>
          <w:iCs/>
          <w:sz w:val="24"/>
          <w:szCs w:val="24"/>
          <w:shd w:val="clear" w:color="auto" w:fill="FFFFFF"/>
        </w:rPr>
        <w:t xml:space="preserve">online </w:t>
      </w:r>
      <w:r w:rsidR="007D3C7E" w:rsidRPr="008F5521">
        <w:rPr>
          <w:rFonts w:ascii="Times New Roman" w:eastAsia="Calibri" w:hAnsi="Times New Roman" w:cs="Times New Roman"/>
          <w:b/>
          <w:bCs/>
          <w:i/>
          <w:iCs/>
          <w:sz w:val="24"/>
          <w:szCs w:val="24"/>
          <w:shd w:val="clear" w:color="auto" w:fill="FFFFFF"/>
        </w:rPr>
        <w:t>Appendix 5</w:t>
      </w:r>
      <w:r w:rsidRPr="00741579">
        <w:rPr>
          <w:rFonts w:ascii="Times New Roman" w:eastAsia="Calibri" w:hAnsi="Times New Roman" w:cs="Times New Roman"/>
          <w:sz w:val="24"/>
          <w:szCs w:val="24"/>
          <w:shd w:val="clear" w:color="auto" w:fill="FFFFFF"/>
        </w:rPr>
        <w:t xml:space="preserve"> are negative (significant for </w:t>
      </w:r>
      <w:r w:rsidRPr="00741579">
        <w:rPr>
          <w:rFonts w:ascii="Times New Roman" w:eastAsia="Calibri" w:hAnsi="Times New Roman" w:cs="Times New Roman"/>
          <w:i/>
          <w:iCs/>
          <w:sz w:val="24"/>
          <w:szCs w:val="24"/>
          <w:shd w:val="clear" w:color="auto" w:fill="FFFFFF"/>
        </w:rPr>
        <w:t>THE</w:t>
      </w:r>
      <w:r w:rsidRPr="00741579">
        <w:rPr>
          <w:rFonts w:ascii="Times New Roman" w:eastAsia="Calibri" w:hAnsi="Times New Roman" w:cs="Times New Roman"/>
          <w:sz w:val="24"/>
          <w:szCs w:val="24"/>
          <w:shd w:val="clear" w:color="auto" w:fill="FFFFFF"/>
        </w:rPr>
        <w:t xml:space="preserve"> rankings), implying that HEIs prioritising short-term performance tend to pay high packages to their VCs, which is again consistent with </w:t>
      </w:r>
      <w:r w:rsidRPr="00741579">
        <w:rPr>
          <w:rFonts w:ascii="Times New Roman" w:eastAsia="Calibri" w:hAnsi="Times New Roman" w:cs="Times New Roman"/>
          <w:i/>
          <w:iCs/>
          <w:sz w:val="24"/>
          <w:szCs w:val="24"/>
          <w:shd w:val="clear" w:color="auto" w:fill="FFFFFF"/>
        </w:rPr>
        <w:t>H1b</w:t>
      </w:r>
      <w:r w:rsidRPr="00741579">
        <w:rPr>
          <w:rFonts w:ascii="Times New Roman" w:eastAsia="Calibri" w:hAnsi="Times New Roman" w:cs="Times New Roman"/>
          <w:sz w:val="24"/>
          <w:szCs w:val="24"/>
          <w:shd w:val="clear" w:color="auto" w:fill="FFFFFF"/>
        </w:rPr>
        <w:t xml:space="preserve">. </w:t>
      </w:r>
    </w:p>
    <w:p w14:paraId="7E56E9F1" w14:textId="55DFF7D6" w:rsidR="00D845BA" w:rsidRDefault="00D845BA"/>
    <w:p w14:paraId="63DAFA5B" w14:textId="77777777" w:rsidR="005760DC" w:rsidRDefault="005760DC"/>
    <w:p w14:paraId="398749EB" w14:textId="162B959D" w:rsidR="005760DC" w:rsidRDefault="005760DC"/>
    <w:p w14:paraId="21176853" w14:textId="1A0A0C26" w:rsidR="005760DC" w:rsidRDefault="005760DC"/>
    <w:p w14:paraId="0E80D909" w14:textId="0012EFD6" w:rsidR="005760DC" w:rsidRDefault="005760DC"/>
    <w:p w14:paraId="718795BE" w14:textId="79889248" w:rsidR="005760DC" w:rsidRDefault="005760DC"/>
    <w:p w14:paraId="0760D02B" w14:textId="6AD66582" w:rsidR="005760DC" w:rsidRDefault="005760DC"/>
    <w:p w14:paraId="3E012D41" w14:textId="4E31E85C" w:rsidR="005B27E8" w:rsidRDefault="005B27E8"/>
    <w:p w14:paraId="6BABF1C7" w14:textId="3E674FC3" w:rsidR="005B27E8" w:rsidRDefault="005B27E8"/>
    <w:p w14:paraId="1C6BB80B" w14:textId="6B804D6B" w:rsidR="005B27E8" w:rsidRDefault="005B27E8"/>
    <w:p w14:paraId="3426F064" w14:textId="54E1032B" w:rsidR="005B27E8" w:rsidRDefault="005B27E8"/>
    <w:tbl>
      <w:tblPr>
        <w:tblpPr w:leftFromText="180" w:rightFromText="180" w:vertAnchor="page" w:horzAnchor="margin" w:tblpXSpec="center" w:tblpY="2233"/>
        <w:tblW w:w="10217" w:type="dxa"/>
        <w:tblLayout w:type="fixed"/>
        <w:tblLook w:val="04A0" w:firstRow="1" w:lastRow="0" w:firstColumn="1" w:lastColumn="0" w:noHBand="0" w:noVBand="1"/>
      </w:tblPr>
      <w:tblGrid>
        <w:gridCol w:w="3828"/>
        <w:gridCol w:w="991"/>
        <w:gridCol w:w="996"/>
        <w:gridCol w:w="997"/>
        <w:gridCol w:w="236"/>
        <w:gridCol w:w="1046"/>
        <w:gridCol w:w="1129"/>
        <w:gridCol w:w="994"/>
      </w:tblGrid>
      <w:tr w:rsidR="005B27E8" w:rsidRPr="00F5674C" w14:paraId="3879F0EA" w14:textId="77777777" w:rsidTr="00434AFB">
        <w:tc>
          <w:tcPr>
            <w:tcW w:w="10213" w:type="dxa"/>
            <w:gridSpan w:val="8"/>
            <w:tcBorders>
              <w:left w:val="nil"/>
              <w:bottom w:val="single" w:sz="12" w:space="0" w:color="auto"/>
              <w:right w:val="nil"/>
            </w:tcBorders>
          </w:tcPr>
          <w:p w14:paraId="38EB5DCA" w14:textId="6BFE4B74" w:rsidR="005B27E8" w:rsidRPr="00F5674C" w:rsidRDefault="005B27E8" w:rsidP="00434AFB">
            <w:pPr>
              <w:spacing w:after="0"/>
              <w:rPr>
                <w:rFonts w:ascii="Times New Roman" w:eastAsia="Calibri" w:hAnsi="Times New Roman" w:cs="Times New Roman"/>
                <w:iCs/>
                <w:sz w:val="20"/>
                <w:szCs w:val="20"/>
              </w:rPr>
            </w:pPr>
            <w:r>
              <w:rPr>
                <w:rFonts w:ascii="Times New Roman" w:eastAsia="Times New Roman" w:hAnsi="Times New Roman" w:cs="Times New Roman"/>
                <w:b/>
                <w:bCs/>
                <w:sz w:val="20"/>
                <w:szCs w:val="20"/>
                <w:lang w:val="en-US" w:eastAsia="zh-CN"/>
              </w:rPr>
              <w:lastRenderedPageBreak/>
              <w:t>Online Appendix 6</w:t>
            </w:r>
            <w:r w:rsidRPr="00F5674C">
              <w:rPr>
                <w:rFonts w:ascii="Times New Roman" w:eastAsia="Times New Roman" w:hAnsi="Times New Roman" w:cs="Times New Roman"/>
                <w:b/>
                <w:bCs/>
                <w:sz w:val="20"/>
                <w:szCs w:val="20"/>
                <w:lang w:val="en-US" w:eastAsia="zh-CN"/>
              </w:rPr>
              <w:t xml:space="preserve">. </w:t>
            </w:r>
            <w:r w:rsidRPr="00F5674C">
              <w:rPr>
                <w:rFonts w:ascii="Times New Roman" w:eastAsia="Times New Roman" w:hAnsi="Times New Roman" w:cs="Times New Roman"/>
                <w:bCs/>
                <w:sz w:val="20"/>
                <w:szCs w:val="20"/>
                <w:lang w:val="en-US" w:eastAsia="zh-CN"/>
              </w:rPr>
              <w:t xml:space="preserve"> VC pay </w:t>
            </w:r>
            <w:r>
              <w:rPr>
                <w:rFonts w:ascii="Times New Roman" w:eastAsia="Times New Roman" w:hAnsi="Times New Roman" w:cs="Times New Roman"/>
                <w:bCs/>
                <w:sz w:val="20"/>
                <w:szCs w:val="20"/>
                <w:lang w:val="en-US" w:eastAsia="zh-CN"/>
              </w:rPr>
              <w:t>and</w:t>
            </w:r>
            <w:r w:rsidRPr="00F5674C">
              <w:rPr>
                <w:rFonts w:ascii="Times New Roman" w:eastAsia="Times New Roman" w:hAnsi="Times New Roman" w:cs="Times New Roman"/>
                <w:bCs/>
                <w:sz w:val="20"/>
                <w:szCs w:val="20"/>
                <w:lang w:val="en-US" w:eastAsia="zh-CN"/>
              </w:rPr>
              <w:t xml:space="preserve"> performance relationship (HEIs’ </w:t>
            </w:r>
            <w:r w:rsidR="00E92030">
              <w:rPr>
                <w:rFonts w:ascii="Times New Roman" w:eastAsia="Times New Roman" w:hAnsi="Times New Roman" w:cs="Times New Roman"/>
                <w:bCs/>
                <w:sz w:val="20"/>
                <w:szCs w:val="20"/>
                <w:lang w:val="en-US" w:eastAsia="zh-CN"/>
              </w:rPr>
              <w:t xml:space="preserve">short-term </w:t>
            </w:r>
            <w:r>
              <w:rPr>
                <w:rFonts w:ascii="Times New Roman" w:eastAsia="Times New Roman" w:hAnsi="Times New Roman" w:cs="Times New Roman"/>
                <w:bCs/>
                <w:sz w:val="20"/>
                <w:szCs w:val="20"/>
                <w:lang w:val="en-US" w:eastAsia="zh-CN"/>
              </w:rPr>
              <w:t>financial</w:t>
            </w:r>
            <w:r w:rsidRPr="00F5674C">
              <w:rPr>
                <w:rFonts w:ascii="Times New Roman" w:eastAsia="Times New Roman" w:hAnsi="Times New Roman" w:cs="Times New Roman"/>
                <w:bCs/>
                <w:sz w:val="20"/>
                <w:szCs w:val="20"/>
                <w:lang w:val="en-US" w:eastAsia="zh-CN"/>
              </w:rPr>
              <w:t xml:space="preserve"> performance)</w:t>
            </w:r>
          </w:p>
        </w:tc>
      </w:tr>
      <w:tr w:rsidR="005B27E8" w:rsidRPr="00F5674C" w14:paraId="5B342C29" w14:textId="77777777" w:rsidTr="00434AFB">
        <w:tc>
          <w:tcPr>
            <w:tcW w:w="3828" w:type="dxa"/>
            <w:vMerge w:val="restart"/>
            <w:tcBorders>
              <w:top w:val="single" w:sz="12" w:space="0" w:color="auto"/>
              <w:left w:val="nil"/>
              <w:right w:val="nil"/>
            </w:tcBorders>
          </w:tcPr>
          <w:p w14:paraId="391C1561" w14:textId="77777777" w:rsidR="005B27E8" w:rsidRPr="00F5674C" w:rsidRDefault="005B27E8" w:rsidP="00434AFB">
            <w:pPr>
              <w:spacing w:after="0"/>
              <w:rPr>
                <w:rFonts w:ascii="Times New Roman" w:eastAsia="Times New Roman" w:hAnsi="Times New Roman" w:cs="Times New Roman"/>
                <w:sz w:val="20"/>
                <w:szCs w:val="20"/>
              </w:rPr>
            </w:pPr>
          </w:p>
          <w:p w14:paraId="056CF1F3"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Dep. Variable</w:t>
            </w:r>
          </w:p>
          <w:p w14:paraId="3F8AA43C" w14:textId="77777777" w:rsidR="005B27E8" w:rsidRDefault="005B27E8" w:rsidP="00434AFB">
            <w:pPr>
              <w:spacing w:after="0"/>
              <w:rPr>
                <w:rFonts w:ascii="Times New Roman" w:eastAsia="Times New Roman" w:hAnsi="Times New Roman" w:cs="Times New Roman"/>
                <w:sz w:val="20"/>
                <w:szCs w:val="20"/>
              </w:rPr>
            </w:pPr>
          </w:p>
          <w:p w14:paraId="44CB6B09"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Pr="00F5674C">
              <w:rPr>
                <w:rFonts w:ascii="Times New Roman" w:eastAsia="Times New Roman" w:hAnsi="Times New Roman" w:cs="Times New Roman"/>
                <w:i/>
                <w:iCs/>
                <w:sz w:val="20"/>
                <w:szCs w:val="20"/>
              </w:rPr>
              <w:t>Model</w:t>
            </w:r>
            <w:r w:rsidRPr="00F5674C">
              <w:rPr>
                <w:rFonts w:ascii="Times New Roman" w:eastAsia="Times New Roman" w:hAnsi="Times New Roman" w:cs="Times New Roman"/>
                <w:sz w:val="20"/>
                <w:szCs w:val="20"/>
              </w:rPr>
              <w:t>)</w:t>
            </w:r>
          </w:p>
        </w:tc>
        <w:tc>
          <w:tcPr>
            <w:tcW w:w="2984" w:type="dxa"/>
            <w:gridSpan w:val="3"/>
            <w:tcBorders>
              <w:top w:val="single" w:sz="12" w:space="0" w:color="auto"/>
              <w:left w:val="nil"/>
              <w:bottom w:val="single" w:sz="4" w:space="0" w:color="auto"/>
              <w:right w:val="nil"/>
            </w:tcBorders>
          </w:tcPr>
          <w:p w14:paraId="4AD61EEC" w14:textId="4B7E21DA" w:rsidR="005B27E8" w:rsidRPr="00F5674C" w:rsidRDefault="00AC7759" w:rsidP="00434AFB">
            <w:pPr>
              <w:spacing w:after="0"/>
              <w:jc w:val="center"/>
              <w:rPr>
                <w:rFonts w:ascii="Times New Roman" w:eastAsia="Calibri" w:hAnsi="Times New Roman" w:cs="Times New Roman"/>
                <w:iCs/>
                <w:sz w:val="20"/>
                <w:szCs w:val="20"/>
              </w:rPr>
            </w:pPr>
            <w:r>
              <w:rPr>
                <w:rFonts w:ascii="Times New Roman" w:eastAsia="Calibri" w:hAnsi="Times New Roman" w:cs="Times New Roman"/>
                <w:bCs/>
                <w:iCs/>
                <w:sz w:val="20"/>
                <w:szCs w:val="20"/>
              </w:rPr>
              <w:t>Return on assets (</w:t>
            </w:r>
            <w:r w:rsidR="005B27E8">
              <w:rPr>
                <w:rFonts w:ascii="Times New Roman" w:eastAsia="Calibri" w:hAnsi="Times New Roman" w:cs="Times New Roman"/>
                <w:bCs/>
                <w:iCs/>
                <w:sz w:val="20"/>
                <w:szCs w:val="20"/>
              </w:rPr>
              <w:t>ROA</w:t>
            </w:r>
            <w:r>
              <w:rPr>
                <w:rFonts w:ascii="Times New Roman" w:eastAsia="Calibri" w:hAnsi="Times New Roman" w:cs="Times New Roman"/>
                <w:bCs/>
                <w:iCs/>
                <w:sz w:val="20"/>
                <w:szCs w:val="20"/>
              </w:rPr>
              <w:t>)</w:t>
            </w:r>
          </w:p>
        </w:tc>
        <w:tc>
          <w:tcPr>
            <w:tcW w:w="3405" w:type="dxa"/>
            <w:gridSpan w:val="4"/>
            <w:tcBorders>
              <w:top w:val="single" w:sz="12" w:space="0" w:color="auto"/>
              <w:left w:val="nil"/>
              <w:right w:val="nil"/>
            </w:tcBorders>
          </w:tcPr>
          <w:p w14:paraId="136D17BB" w14:textId="43EBD9E1" w:rsidR="005B27E8" w:rsidRPr="00F5674C" w:rsidRDefault="00AC7759" w:rsidP="00434AFB">
            <w:pPr>
              <w:spacing w:after="0"/>
              <w:jc w:val="center"/>
              <w:rPr>
                <w:rFonts w:ascii="Times New Roman" w:eastAsia="Calibri" w:hAnsi="Times New Roman" w:cs="Times New Roman"/>
                <w:iCs/>
                <w:sz w:val="20"/>
                <w:szCs w:val="20"/>
              </w:rPr>
            </w:pPr>
            <w:r>
              <w:rPr>
                <w:rFonts w:ascii="Times New Roman" w:eastAsia="Calibri" w:hAnsi="Times New Roman" w:cs="Times New Roman"/>
                <w:iCs/>
                <w:sz w:val="20"/>
                <w:szCs w:val="20"/>
              </w:rPr>
              <w:t>Return on equity (</w:t>
            </w:r>
            <w:r w:rsidR="005B27E8">
              <w:rPr>
                <w:rFonts w:ascii="Times New Roman" w:eastAsia="Calibri" w:hAnsi="Times New Roman" w:cs="Times New Roman"/>
                <w:iCs/>
                <w:sz w:val="20"/>
                <w:szCs w:val="20"/>
              </w:rPr>
              <w:t>ROE</w:t>
            </w:r>
            <w:r>
              <w:rPr>
                <w:rFonts w:ascii="Times New Roman" w:eastAsia="Calibri" w:hAnsi="Times New Roman" w:cs="Times New Roman"/>
                <w:iCs/>
                <w:sz w:val="20"/>
                <w:szCs w:val="20"/>
              </w:rPr>
              <w:t>)</w:t>
            </w:r>
          </w:p>
        </w:tc>
      </w:tr>
      <w:tr w:rsidR="005B27E8" w:rsidRPr="00F5674C" w14:paraId="2C51462F" w14:textId="77777777" w:rsidTr="00434AFB">
        <w:tc>
          <w:tcPr>
            <w:tcW w:w="3828" w:type="dxa"/>
            <w:vMerge/>
            <w:tcBorders>
              <w:top w:val="single" w:sz="4" w:space="0" w:color="auto"/>
              <w:left w:val="nil"/>
              <w:bottom w:val="single" w:sz="4" w:space="0" w:color="auto"/>
              <w:right w:val="nil"/>
            </w:tcBorders>
          </w:tcPr>
          <w:p w14:paraId="7B8F08D1" w14:textId="77777777" w:rsidR="005B27E8" w:rsidRPr="00F5674C" w:rsidRDefault="005B27E8" w:rsidP="00434AFB">
            <w:pPr>
              <w:spacing w:after="0"/>
              <w:rPr>
                <w:rFonts w:ascii="Times New Roman" w:eastAsia="Times New Roman" w:hAnsi="Times New Roman" w:cs="Times New Roman"/>
                <w:sz w:val="20"/>
                <w:szCs w:val="20"/>
              </w:rPr>
            </w:pPr>
          </w:p>
        </w:tc>
        <w:tc>
          <w:tcPr>
            <w:tcW w:w="991" w:type="dxa"/>
            <w:tcBorders>
              <w:top w:val="single" w:sz="2" w:space="0" w:color="auto"/>
              <w:left w:val="nil"/>
              <w:bottom w:val="single" w:sz="4" w:space="0" w:color="auto"/>
              <w:right w:val="nil"/>
            </w:tcBorders>
          </w:tcPr>
          <w:p w14:paraId="395237A8" w14:textId="77777777" w:rsidR="005B27E8" w:rsidRPr="00F5674C" w:rsidRDefault="005B27E8" w:rsidP="00434AFB">
            <w:pPr>
              <w:spacing w:after="0"/>
              <w:rPr>
                <w:rFonts w:ascii="Times New Roman" w:eastAsia="Times New Roman" w:hAnsi="Times New Roman" w:cs="Times New Roman"/>
                <w:sz w:val="20"/>
                <w:szCs w:val="20"/>
                <w:lang w:val="en-US" w:eastAsia="zh-CN"/>
              </w:rPr>
            </w:pPr>
            <w:r w:rsidRPr="00F5674C">
              <w:rPr>
                <w:rFonts w:ascii="Times New Roman" w:eastAsia="Times New Roman" w:hAnsi="Times New Roman" w:cs="Times New Roman"/>
                <w:sz w:val="20"/>
                <w:szCs w:val="20"/>
                <w:lang w:val="en-US" w:eastAsia="zh-CN"/>
              </w:rPr>
              <w:t>VC Basic Pay</w:t>
            </w:r>
          </w:p>
          <w:p w14:paraId="222DFA14"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1</w:t>
            </w:r>
            <w:r w:rsidRPr="00F5674C">
              <w:rPr>
                <w:rFonts w:ascii="Times New Roman" w:eastAsia="Times New Roman" w:hAnsi="Times New Roman" w:cs="Times New Roman"/>
                <w:sz w:val="20"/>
                <w:szCs w:val="20"/>
                <w:lang w:val="en-US" w:eastAsia="zh-CN"/>
              </w:rPr>
              <w:t>)</w:t>
            </w:r>
          </w:p>
        </w:tc>
        <w:tc>
          <w:tcPr>
            <w:tcW w:w="996" w:type="dxa"/>
            <w:tcBorders>
              <w:top w:val="single" w:sz="2" w:space="0" w:color="auto"/>
              <w:left w:val="nil"/>
              <w:bottom w:val="single" w:sz="4" w:space="0" w:color="auto"/>
              <w:right w:val="nil"/>
            </w:tcBorders>
          </w:tcPr>
          <w:p w14:paraId="58DFA722" w14:textId="77777777" w:rsidR="005B27E8" w:rsidRPr="00F5674C" w:rsidRDefault="005B27E8" w:rsidP="00434AFB">
            <w:pPr>
              <w:spacing w:after="0"/>
              <w:ind w:right="-115"/>
              <w:rPr>
                <w:rFonts w:ascii="Times New Roman" w:eastAsia="Times New Roman" w:hAnsi="Times New Roman" w:cs="Times New Roman"/>
                <w:sz w:val="20"/>
                <w:szCs w:val="20"/>
                <w:lang w:val="en-US" w:eastAsia="zh-CN"/>
              </w:rPr>
            </w:pPr>
            <w:r w:rsidRPr="00F5674C">
              <w:rPr>
                <w:rFonts w:ascii="Times New Roman" w:eastAsia="Calibri" w:hAnsi="Times New Roman" w:cs="Times New Roman"/>
                <w:bCs/>
                <w:sz w:val="20"/>
                <w:szCs w:val="20"/>
              </w:rPr>
              <w:t>VC Non-Basic Pay</w:t>
            </w:r>
          </w:p>
          <w:p w14:paraId="171BA356"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2</w:t>
            </w:r>
            <w:r w:rsidRPr="00F5674C">
              <w:rPr>
                <w:rFonts w:ascii="Times New Roman" w:eastAsia="Times New Roman" w:hAnsi="Times New Roman" w:cs="Times New Roman"/>
                <w:sz w:val="20"/>
                <w:szCs w:val="20"/>
                <w:lang w:val="en-US" w:eastAsia="zh-CN"/>
              </w:rPr>
              <w:t>)</w:t>
            </w:r>
          </w:p>
        </w:tc>
        <w:tc>
          <w:tcPr>
            <w:tcW w:w="997" w:type="dxa"/>
            <w:tcBorders>
              <w:top w:val="single" w:sz="2" w:space="0" w:color="auto"/>
              <w:left w:val="nil"/>
              <w:bottom w:val="single" w:sz="4" w:space="0" w:color="auto"/>
              <w:right w:val="nil"/>
            </w:tcBorders>
          </w:tcPr>
          <w:p w14:paraId="1A55E7DF" w14:textId="77777777" w:rsidR="005B27E8" w:rsidRPr="00F5674C" w:rsidRDefault="005B27E8" w:rsidP="00434AFB">
            <w:pPr>
              <w:spacing w:after="0"/>
              <w:ind w:right="-102"/>
              <w:rPr>
                <w:rFonts w:ascii="Times New Roman" w:eastAsia="Calibri" w:hAnsi="Times New Roman" w:cs="Times New Roman"/>
                <w:iCs/>
                <w:sz w:val="20"/>
                <w:szCs w:val="20"/>
              </w:rPr>
            </w:pPr>
            <w:r w:rsidRPr="00F5674C">
              <w:rPr>
                <w:rFonts w:ascii="Times New Roman" w:eastAsia="Calibri" w:hAnsi="Times New Roman" w:cs="Times New Roman"/>
                <w:iCs/>
                <w:sz w:val="20"/>
                <w:szCs w:val="20"/>
              </w:rPr>
              <w:t>VC Total Pay</w:t>
            </w:r>
          </w:p>
          <w:p w14:paraId="6CAD1061" w14:textId="77777777" w:rsidR="005B27E8" w:rsidRPr="00F5674C" w:rsidRDefault="005B27E8" w:rsidP="00434AFB">
            <w:pPr>
              <w:spacing w:after="0"/>
              <w:rPr>
                <w:rFonts w:ascii="Times New Roman" w:eastAsia="Calibri" w:hAnsi="Times New Roman" w:cs="Times New Roman"/>
                <w:iCs/>
                <w:sz w:val="20"/>
                <w:szCs w:val="20"/>
              </w:rPr>
            </w:pPr>
            <w:r w:rsidRPr="00F5674C">
              <w:rPr>
                <w:rFonts w:ascii="Times New Roman" w:eastAsia="Calibri" w:hAnsi="Times New Roman" w:cs="Times New Roman"/>
                <w:iCs/>
                <w:sz w:val="20"/>
                <w:szCs w:val="20"/>
              </w:rPr>
              <w:t>(</w:t>
            </w:r>
            <w:r>
              <w:rPr>
                <w:rFonts w:ascii="Times New Roman" w:eastAsia="Calibri" w:hAnsi="Times New Roman" w:cs="Times New Roman"/>
                <w:iCs/>
                <w:sz w:val="20"/>
                <w:szCs w:val="20"/>
              </w:rPr>
              <w:t>3</w:t>
            </w:r>
            <w:r w:rsidRPr="00F5674C">
              <w:rPr>
                <w:rFonts w:ascii="Times New Roman" w:eastAsia="Calibri" w:hAnsi="Times New Roman" w:cs="Times New Roman"/>
                <w:iCs/>
                <w:sz w:val="20"/>
                <w:szCs w:val="20"/>
              </w:rPr>
              <w:t>)</w:t>
            </w:r>
          </w:p>
        </w:tc>
        <w:tc>
          <w:tcPr>
            <w:tcW w:w="236" w:type="dxa"/>
            <w:tcBorders>
              <w:left w:val="nil"/>
              <w:bottom w:val="single" w:sz="4" w:space="0" w:color="auto"/>
              <w:right w:val="nil"/>
            </w:tcBorders>
          </w:tcPr>
          <w:p w14:paraId="465A462F" w14:textId="77777777" w:rsidR="005B27E8" w:rsidRPr="00F5674C" w:rsidRDefault="005B27E8" w:rsidP="00434AFB">
            <w:pPr>
              <w:spacing w:after="0"/>
              <w:rPr>
                <w:rFonts w:ascii="Times New Roman" w:eastAsia="Calibri" w:hAnsi="Times New Roman" w:cs="Times New Roman"/>
                <w:iCs/>
                <w:sz w:val="20"/>
                <w:szCs w:val="20"/>
              </w:rPr>
            </w:pPr>
          </w:p>
        </w:tc>
        <w:tc>
          <w:tcPr>
            <w:tcW w:w="1046" w:type="dxa"/>
            <w:tcBorders>
              <w:top w:val="single" w:sz="2" w:space="0" w:color="auto"/>
              <w:left w:val="nil"/>
              <w:bottom w:val="single" w:sz="4" w:space="0" w:color="auto"/>
              <w:right w:val="nil"/>
            </w:tcBorders>
          </w:tcPr>
          <w:p w14:paraId="1043571D" w14:textId="77777777" w:rsidR="005B27E8" w:rsidRPr="00F5674C" w:rsidRDefault="005B27E8" w:rsidP="00434AFB">
            <w:pPr>
              <w:spacing w:after="0"/>
              <w:rPr>
                <w:rFonts w:ascii="Times New Roman" w:eastAsia="Times New Roman" w:hAnsi="Times New Roman" w:cs="Times New Roman"/>
                <w:sz w:val="20"/>
                <w:szCs w:val="20"/>
                <w:lang w:val="en-US" w:eastAsia="zh-CN"/>
              </w:rPr>
            </w:pPr>
            <w:r w:rsidRPr="00F5674C">
              <w:rPr>
                <w:rFonts w:ascii="Times New Roman" w:eastAsia="Times New Roman" w:hAnsi="Times New Roman" w:cs="Times New Roman"/>
                <w:sz w:val="20"/>
                <w:szCs w:val="20"/>
                <w:lang w:val="en-US" w:eastAsia="zh-CN"/>
              </w:rPr>
              <w:t>VC Basic Pay</w:t>
            </w:r>
          </w:p>
          <w:p w14:paraId="0271A571"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4</w:t>
            </w:r>
            <w:r w:rsidRPr="00F5674C">
              <w:rPr>
                <w:rFonts w:ascii="Times New Roman" w:eastAsia="Times New Roman" w:hAnsi="Times New Roman" w:cs="Times New Roman"/>
                <w:sz w:val="20"/>
                <w:szCs w:val="20"/>
                <w:lang w:val="en-US" w:eastAsia="zh-CN"/>
              </w:rPr>
              <w:t>)</w:t>
            </w:r>
          </w:p>
        </w:tc>
        <w:tc>
          <w:tcPr>
            <w:tcW w:w="1129" w:type="dxa"/>
            <w:tcBorders>
              <w:top w:val="single" w:sz="2" w:space="0" w:color="auto"/>
              <w:left w:val="nil"/>
              <w:bottom w:val="single" w:sz="4" w:space="0" w:color="auto"/>
              <w:right w:val="nil"/>
            </w:tcBorders>
          </w:tcPr>
          <w:p w14:paraId="5CE4927A" w14:textId="77777777" w:rsidR="005B27E8" w:rsidRPr="00F5674C" w:rsidRDefault="005B27E8" w:rsidP="00434AFB">
            <w:pPr>
              <w:spacing w:after="0"/>
              <w:ind w:right="-109"/>
              <w:rPr>
                <w:rFonts w:ascii="Times New Roman" w:eastAsia="Times New Roman" w:hAnsi="Times New Roman" w:cs="Times New Roman"/>
                <w:sz w:val="20"/>
                <w:szCs w:val="20"/>
                <w:lang w:val="en-US" w:eastAsia="zh-CN"/>
              </w:rPr>
            </w:pPr>
            <w:r w:rsidRPr="00F5674C">
              <w:rPr>
                <w:rFonts w:ascii="Times New Roman" w:eastAsia="Calibri" w:hAnsi="Times New Roman" w:cs="Times New Roman"/>
                <w:bCs/>
                <w:sz w:val="20"/>
                <w:szCs w:val="20"/>
              </w:rPr>
              <w:t>VC Non-Basic Pay</w:t>
            </w:r>
          </w:p>
          <w:p w14:paraId="47D43587" w14:textId="77777777" w:rsidR="005B27E8" w:rsidRPr="00F5674C" w:rsidRDefault="005B27E8" w:rsidP="00434AFB">
            <w:pPr>
              <w:spacing w:after="0"/>
              <w:rPr>
                <w:rFonts w:ascii="Times New Roman" w:eastAsia="Calibri" w:hAnsi="Times New Roman" w:cs="Times New Roman"/>
                <w:sz w:val="20"/>
                <w:szCs w:val="20"/>
              </w:rPr>
            </w:pPr>
            <w:r w:rsidRPr="00F5674C">
              <w:rPr>
                <w:rFonts w:ascii="Times New Roman" w:eastAsia="Times New Roman" w:hAnsi="Times New Roman" w:cs="Times New Roman"/>
                <w:sz w:val="20"/>
                <w:szCs w:val="20"/>
                <w:lang w:val="en-US" w:eastAsia="zh-CN"/>
              </w:rPr>
              <w:t>(</w:t>
            </w:r>
            <w:r>
              <w:rPr>
                <w:rFonts w:ascii="Times New Roman" w:eastAsia="Times New Roman" w:hAnsi="Times New Roman" w:cs="Times New Roman"/>
                <w:sz w:val="20"/>
                <w:szCs w:val="20"/>
                <w:lang w:val="en-US" w:eastAsia="zh-CN"/>
              </w:rPr>
              <w:t>5</w:t>
            </w:r>
            <w:r w:rsidRPr="00F5674C">
              <w:rPr>
                <w:rFonts w:ascii="Times New Roman" w:eastAsia="Times New Roman" w:hAnsi="Times New Roman" w:cs="Times New Roman"/>
                <w:sz w:val="20"/>
                <w:szCs w:val="20"/>
                <w:lang w:val="en-US" w:eastAsia="zh-CN"/>
              </w:rPr>
              <w:t>)</w:t>
            </w:r>
          </w:p>
        </w:tc>
        <w:tc>
          <w:tcPr>
            <w:tcW w:w="994" w:type="dxa"/>
            <w:tcBorders>
              <w:top w:val="single" w:sz="2" w:space="0" w:color="auto"/>
              <w:left w:val="nil"/>
              <w:bottom w:val="single" w:sz="4" w:space="0" w:color="auto"/>
              <w:right w:val="nil"/>
            </w:tcBorders>
          </w:tcPr>
          <w:p w14:paraId="33165968" w14:textId="77777777" w:rsidR="005B27E8" w:rsidRPr="00F5674C" w:rsidRDefault="005B27E8" w:rsidP="00434AFB">
            <w:pPr>
              <w:spacing w:after="0"/>
              <w:rPr>
                <w:rFonts w:ascii="Times New Roman" w:eastAsia="Calibri" w:hAnsi="Times New Roman" w:cs="Times New Roman"/>
                <w:iCs/>
                <w:sz w:val="20"/>
                <w:szCs w:val="20"/>
              </w:rPr>
            </w:pPr>
            <w:r w:rsidRPr="00F5674C">
              <w:rPr>
                <w:rFonts w:ascii="Times New Roman" w:eastAsia="Calibri" w:hAnsi="Times New Roman" w:cs="Times New Roman"/>
                <w:iCs/>
                <w:sz w:val="20"/>
                <w:szCs w:val="20"/>
              </w:rPr>
              <w:t>VC Total Pay</w:t>
            </w:r>
          </w:p>
          <w:p w14:paraId="7B70AAB1" w14:textId="77777777" w:rsidR="005B27E8" w:rsidRPr="00F5674C" w:rsidRDefault="005B27E8" w:rsidP="00434AFB">
            <w:pPr>
              <w:spacing w:after="0"/>
              <w:rPr>
                <w:rFonts w:ascii="Times New Roman" w:eastAsia="Times New Roman" w:hAnsi="Times New Roman" w:cs="Times New Roman"/>
                <w:sz w:val="20"/>
                <w:szCs w:val="20"/>
                <w:lang w:val="en-US" w:eastAsia="zh-CN"/>
              </w:rPr>
            </w:pPr>
            <w:r w:rsidRPr="00F5674C">
              <w:rPr>
                <w:rFonts w:ascii="Times New Roman" w:eastAsia="Calibri" w:hAnsi="Times New Roman" w:cs="Times New Roman"/>
                <w:iCs/>
                <w:sz w:val="20"/>
                <w:szCs w:val="20"/>
              </w:rPr>
              <w:t>(</w:t>
            </w:r>
            <w:r>
              <w:rPr>
                <w:rFonts w:ascii="Times New Roman" w:eastAsia="Calibri" w:hAnsi="Times New Roman" w:cs="Times New Roman"/>
                <w:iCs/>
                <w:sz w:val="20"/>
                <w:szCs w:val="20"/>
              </w:rPr>
              <w:t>6</w:t>
            </w:r>
            <w:r w:rsidRPr="00F5674C">
              <w:rPr>
                <w:rFonts w:ascii="Times New Roman" w:eastAsia="Calibri" w:hAnsi="Times New Roman" w:cs="Times New Roman"/>
                <w:iCs/>
                <w:sz w:val="20"/>
                <w:szCs w:val="20"/>
              </w:rPr>
              <w:t>)</w:t>
            </w:r>
          </w:p>
        </w:tc>
      </w:tr>
      <w:tr w:rsidR="005B27E8" w:rsidRPr="00F5674C" w14:paraId="1C7DB7D6" w14:textId="77777777" w:rsidTr="00434AFB">
        <w:trPr>
          <w:trHeight w:val="127"/>
        </w:trPr>
        <w:tc>
          <w:tcPr>
            <w:tcW w:w="10213" w:type="dxa"/>
            <w:gridSpan w:val="8"/>
            <w:tcBorders>
              <w:top w:val="single" w:sz="4" w:space="0" w:color="auto"/>
              <w:left w:val="nil"/>
              <w:bottom w:val="nil"/>
              <w:right w:val="nil"/>
            </w:tcBorders>
          </w:tcPr>
          <w:p w14:paraId="44FE328B" w14:textId="77777777" w:rsidR="005B27E8" w:rsidRPr="00F5674C" w:rsidRDefault="005B27E8" w:rsidP="00434AFB">
            <w:pPr>
              <w:spacing w:after="0"/>
              <w:ind w:right="-62" w:hanging="250"/>
              <w:rPr>
                <w:rFonts w:ascii="Times New Roman" w:eastAsia="Times New Roman" w:hAnsi="Times New Roman" w:cs="Times New Roman"/>
                <w:i/>
                <w:iCs/>
                <w:sz w:val="10"/>
                <w:szCs w:val="10"/>
              </w:rPr>
            </w:pPr>
          </w:p>
          <w:p w14:paraId="66E5E48C" w14:textId="77777777" w:rsidR="005B27E8" w:rsidRPr="00F5674C" w:rsidRDefault="005B27E8" w:rsidP="00434AFB">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i/>
                <w:iCs/>
                <w:sz w:val="20"/>
                <w:szCs w:val="20"/>
              </w:rPr>
              <w:t>Explanatory variables (HEI performance)</w:t>
            </w:r>
          </w:p>
        </w:tc>
      </w:tr>
      <w:tr w:rsidR="005B27E8" w:rsidRPr="00F5674C" w14:paraId="08EC5329" w14:textId="77777777" w:rsidTr="00434AFB">
        <w:trPr>
          <w:trHeight w:val="127"/>
        </w:trPr>
        <w:tc>
          <w:tcPr>
            <w:tcW w:w="3828" w:type="dxa"/>
            <w:tcBorders>
              <w:top w:val="nil"/>
              <w:left w:val="nil"/>
              <w:bottom w:val="nil"/>
              <w:right w:val="nil"/>
            </w:tcBorders>
          </w:tcPr>
          <w:p w14:paraId="1E025294" w14:textId="77777777" w:rsidR="005B27E8" w:rsidRPr="00F5674C" w:rsidRDefault="005B27E8" w:rsidP="00434AFB">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HEI</w:t>
            </w:r>
            <w:r>
              <w:rPr>
                <w:rFonts w:ascii="Times New Roman" w:eastAsia="Times New Roman" w:hAnsi="Times New Roman" w:cs="Times New Roman"/>
                <w:iCs/>
                <w:color w:val="000000"/>
                <w:sz w:val="20"/>
                <w:szCs w:val="20"/>
                <w:lang w:val="en-US"/>
              </w:rPr>
              <w:t xml:space="preserve"> Performance</w:t>
            </w:r>
          </w:p>
        </w:tc>
        <w:tc>
          <w:tcPr>
            <w:tcW w:w="991" w:type="dxa"/>
            <w:tcBorders>
              <w:top w:val="nil"/>
              <w:left w:val="nil"/>
              <w:bottom w:val="nil"/>
              <w:right w:val="nil"/>
            </w:tcBorders>
          </w:tcPr>
          <w:p w14:paraId="5A26B654" w14:textId="643FC472"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0.084</w:t>
            </w:r>
          </w:p>
          <w:p w14:paraId="1A2DA80F" w14:textId="1184B667"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561</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6494FE5F" w14:textId="0D2AE22D"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0</w:t>
            </w:r>
            <w:r w:rsidR="00A06288">
              <w:rPr>
                <w:rFonts w:ascii="Times New Roman" w:eastAsia="Times New Roman" w:hAnsi="Times New Roman" w:cs="Times New Roman"/>
                <w:sz w:val="20"/>
                <w:szCs w:val="20"/>
              </w:rPr>
              <w:t>3</w:t>
            </w:r>
          </w:p>
          <w:p w14:paraId="42EF61D2" w14:textId="7B01C3E0"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924</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748890EC" w14:textId="6E9F56DA" w:rsidR="005B27E8" w:rsidRDefault="00A06288" w:rsidP="00434AFB">
            <w:pPr>
              <w:spacing w:after="0"/>
              <w:ind w:right="-111"/>
              <w:rPr>
                <w:rFonts w:ascii="Times New Roman" w:eastAsia="Times New Roman" w:hAnsi="Times New Roman" w:cs="Times New Roman"/>
                <w:sz w:val="20"/>
                <w:szCs w:val="20"/>
              </w:rPr>
            </w:pPr>
            <w:r>
              <w:rPr>
                <w:rFonts w:ascii="Times New Roman" w:eastAsia="Times New Roman" w:hAnsi="Times New Roman" w:cs="Times New Roman"/>
                <w:sz w:val="20"/>
                <w:szCs w:val="20"/>
              </w:rPr>
              <w:t>0.081</w:t>
            </w:r>
          </w:p>
          <w:p w14:paraId="362CB38F" w14:textId="12E3AC1A" w:rsidR="005B27E8" w:rsidRPr="00F5674C" w:rsidRDefault="005B27E8" w:rsidP="00434AFB">
            <w:pPr>
              <w:spacing w:after="0"/>
              <w:ind w:right="-111"/>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627</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6BF1384F"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200A13DB" w14:textId="2D1F27F4"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r w:rsidR="002A0AB8">
              <w:rPr>
                <w:rFonts w:ascii="Times New Roman" w:eastAsia="Times New Roman" w:hAnsi="Times New Roman" w:cs="Times New Roman"/>
                <w:sz w:val="20"/>
                <w:szCs w:val="20"/>
              </w:rPr>
              <w:t>75</w:t>
            </w:r>
          </w:p>
          <w:p w14:paraId="3DA8746D" w14:textId="0277834F"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414</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02875876" w14:textId="55BCCD8A"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D468A">
              <w:rPr>
                <w:rFonts w:ascii="Times New Roman" w:eastAsia="Times New Roman" w:hAnsi="Times New Roman" w:cs="Times New Roman"/>
                <w:sz w:val="20"/>
                <w:szCs w:val="20"/>
              </w:rPr>
              <w:t>30</w:t>
            </w:r>
          </w:p>
          <w:p w14:paraId="1D5958B2" w14:textId="7B2F1FB0"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107</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07AC767E" w14:textId="50EA7EE2" w:rsidR="005B27E8" w:rsidRDefault="005B27E8" w:rsidP="00434AFB">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F68BA">
              <w:rPr>
                <w:rFonts w:ascii="Times New Roman" w:eastAsia="Times New Roman" w:hAnsi="Times New Roman" w:cs="Times New Roman"/>
                <w:sz w:val="20"/>
                <w:szCs w:val="20"/>
              </w:rPr>
              <w:t>106</w:t>
            </w:r>
          </w:p>
          <w:p w14:paraId="7E4A715F" w14:textId="2CAB3158" w:rsidR="005B27E8" w:rsidRPr="00F5674C" w:rsidRDefault="005B27E8" w:rsidP="00434AFB">
            <w:pPr>
              <w:spacing w:after="0"/>
              <w:ind w:right="-62"/>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321</w:t>
            </w:r>
            <w:r w:rsidRPr="00F5674C">
              <w:rPr>
                <w:rFonts w:ascii="Times New Roman" w:eastAsia="Times New Roman" w:hAnsi="Times New Roman" w:cs="Times New Roman"/>
                <w:sz w:val="20"/>
                <w:szCs w:val="20"/>
              </w:rPr>
              <w:t>)</w:t>
            </w:r>
          </w:p>
        </w:tc>
      </w:tr>
      <w:tr w:rsidR="005B27E8" w:rsidRPr="00F5674C" w14:paraId="000C879E" w14:textId="77777777" w:rsidTr="00434AFB">
        <w:trPr>
          <w:trHeight w:val="173"/>
        </w:trPr>
        <w:tc>
          <w:tcPr>
            <w:tcW w:w="10213" w:type="dxa"/>
            <w:gridSpan w:val="8"/>
            <w:tcBorders>
              <w:top w:val="nil"/>
              <w:left w:val="nil"/>
              <w:bottom w:val="nil"/>
              <w:right w:val="nil"/>
            </w:tcBorders>
          </w:tcPr>
          <w:p w14:paraId="6D3EF2EE" w14:textId="77777777" w:rsidR="005B27E8" w:rsidRPr="00F5674C" w:rsidRDefault="005B27E8" w:rsidP="00434AFB">
            <w:pPr>
              <w:spacing w:after="0"/>
              <w:rPr>
                <w:rFonts w:ascii="Times New Roman" w:eastAsia="Times New Roman" w:hAnsi="Times New Roman" w:cs="Times New Roman"/>
                <w:i/>
                <w:iCs/>
                <w:sz w:val="10"/>
                <w:szCs w:val="10"/>
              </w:rPr>
            </w:pPr>
            <w:r w:rsidRPr="00F5674C">
              <w:rPr>
                <w:rFonts w:ascii="Times New Roman" w:eastAsia="Times New Roman" w:hAnsi="Times New Roman" w:cs="Times New Roman"/>
                <w:i/>
                <w:iCs/>
                <w:sz w:val="10"/>
                <w:szCs w:val="10"/>
              </w:rPr>
              <w:t>\</w:t>
            </w:r>
          </w:p>
          <w:p w14:paraId="22FA86A7"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i/>
                <w:iCs/>
                <w:sz w:val="20"/>
                <w:szCs w:val="20"/>
              </w:rPr>
              <w:t>Controls (governance mechanisms)</w:t>
            </w:r>
          </w:p>
        </w:tc>
      </w:tr>
      <w:tr w:rsidR="005B27E8" w:rsidRPr="00F5674C" w14:paraId="1C6C7436" w14:textId="77777777" w:rsidTr="00434AFB">
        <w:trPr>
          <w:trHeight w:val="173"/>
        </w:trPr>
        <w:tc>
          <w:tcPr>
            <w:tcW w:w="3828" w:type="dxa"/>
            <w:tcBorders>
              <w:top w:val="nil"/>
              <w:left w:val="nil"/>
              <w:bottom w:val="nil"/>
              <w:right w:val="nil"/>
            </w:tcBorders>
          </w:tcPr>
          <w:p w14:paraId="7BBB6ECB" w14:textId="77777777" w:rsidR="005B27E8" w:rsidRPr="00F5674C" w:rsidRDefault="005B27E8" w:rsidP="00434AFB">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P</w:t>
            </w:r>
            <w:r>
              <w:rPr>
                <w:rFonts w:ascii="Times New Roman" w:eastAsia="Times New Roman" w:hAnsi="Times New Roman" w:cs="Times New Roman"/>
                <w:iCs/>
                <w:color w:val="000000"/>
                <w:sz w:val="20"/>
                <w:szCs w:val="20"/>
                <w:lang w:val="en-US"/>
              </w:rPr>
              <w:t>resence of Remuneration Committee</w:t>
            </w:r>
          </w:p>
        </w:tc>
        <w:tc>
          <w:tcPr>
            <w:tcW w:w="991" w:type="dxa"/>
            <w:tcBorders>
              <w:top w:val="nil"/>
              <w:left w:val="nil"/>
              <w:bottom w:val="nil"/>
              <w:right w:val="nil"/>
            </w:tcBorders>
          </w:tcPr>
          <w:p w14:paraId="60965D01" w14:textId="39302A64" w:rsidR="005B27E8" w:rsidRPr="005B27E8" w:rsidRDefault="005B27E8" w:rsidP="00434AFB">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w:t>
            </w: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96</w:t>
            </w:r>
            <w:r>
              <w:rPr>
                <w:rFonts w:ascii="Times New Roman" w:eastAsia="Times New Roman" w:hAnsi="Times New Roman" w:cs="Times New Roman"/>
                <w:sz w:val="20"/>
                <w:szCs w:val="20"/>
                <w:vertAlign w:val="superscript"/>
              </w:rPr>
              <w:t>***</w:t>
            </w:r>
          </w:p>
          <w:p w14:paraId="037ACF33" w14:textId="73965BD5"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196B9738" w14:textId="005952E6"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r w:rsidR="00A06288">
              <w:rPr>
                <w:rFonts w:ascii="Times New Roman" w:eastAsia="Times New Roman" w:hAnsi="Times New Roman" w:cs="Times New Roman"/>
                <w:sz w:val="20"/>
                <w:szCs w:val="20"/>
              </w:rPr>
              <w:t>22</w:t>
            </w:r>
            <w:r w:rsidRPr="00394410">
              <w:rPr>
                <w:rFonts w:ascii="Times New Roman" w:eastAsia="Times New Roman" w:hAnsi="Times New Roman" w:cs="Times New Roman"/>
                <w:sz w:val="20"/>
                <w:szCs w:val="20"/>
                <w:vertAlign w:val="superscript"/>
              </w:rPr>
              <w:t>**</w:t>
            </w:r>
            <w:r w:rsidR="00A06288">
              <w:rPr>
                <w:rFonts w:ascii="Times New Roman" w:eastAsia="Times New Roman" w:hAnsi="Times New Roman" w:cs="Times New Roman"/>
                <w:sz w:val="20"/>
                <w:szCs w:val="20"/>
                <w:vertAlign w:val="superscript"/>
              </w:rPr>
              <w:t>*</w:t>
            </w:r>
          </w:p>
          <w:p w14:paraId="4F9501F4" w14:textId="388D8EC4"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06288">
              <w:rPr>
                <w:rFonts w:ascii="Times New Roman" w:eastAsia="Times New Roman" w:hAnsi="Times New Roman" w:cs="Times New Roman"/>
                <w:sz w:val="20"/>
                <w:szCs w:val="20"/>
              </w:rPr>
              <w:t>00</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2278D9D7" w14:textId="0DC26A09" w:rsidR="005B27E8" w:rsidRPr="002A0AB8"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2A0AB8">
              <w:rPr>
                <w:rFonts w:ascii="Times New Roman" w:eastAsia="Times New Roman" w:hAnsi="Times New Roman" w:cs="Times New Roman"/>
                <w:sz w:val="20"/>
                <w:szCs w:val="20"/>
              </w:rPr>
              <w:t>118</w:t>
            </w:r>
            <w:r w:rsidR="002A0AB8">
              <w:rPr>
                <w:rFonts w:ascii="Times New Roman" w:eastAsia="Times New Roman" w:hAnsi="Times New Roman" w:cs="Times New Roman"/>
                <w:sz w:val="20"/>
                <w:szCs w:val="20"/>
                <w:vertAlign w:val="superscript"/>
              </w:rPr>
              <w:t>***</w:t>
            </w:r>
          </w:p>
          <w:p w14:paraId="1149CBAC" w14:textId="4233DED9"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000</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571752A9"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34CAFAAE" w14:textId="612620E8" w:rsidR="005B27E8" w:rsidRPr="002A0AB8" w:rsidRDefault="005B27E8" w:rsidP="00434AFB">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w:t>
            </w: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r w:rsidR="002A0AB8">
              <w:rPr>
                <w:rFonts w:ascii="Times New Roman" w:eastAsia="Times New Roman" w:hAnsi="Times New Roman" w:cs="Times New Roman"/>
                <w:sz w:val="20"/>
                <w:szCs w:val="20"/>
              </w:rPr>
              <w:t>95</w:t>
            </w:r>
            <w:r w:rsidR="002A0AB8">
              <w:rPr>
                <w:rFonts w:ascii="Times New Roman" w:eastAsia="Times New Roman" w:hAnsi="Times New Roman" w:cs="Times New Roman"/>
                <w:sz w:val="20"/>
                <w:szCs w:val="20"/>
                <w:vertAlign w:val="superscript"/>
              </w:rPr>
              <w:t>***</w:t>
            </w:r>
          </w:p>
          <w:p w14:paraId="69FFC484" w14:textId="35F2C1A6"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.002</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1422FDF5" w14:textId="5998057D"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D468A">
              <w:rPr>
                <w:rFonts w:ascii="Times New Roman" w:eastAsia="Times New Roman" w:hAnsi="Times New Roman" w:cs="Times New Roman"/>
                <w:sz w:val="20"/>
                <w:szCs w:val="20"/>
              </w:rPr>
              <w:t>21</w:t>
            </w:r>
            <w:r w:rsidRPr="00394410">
              <w:rPr>
                <w:rFonts w:ascii="Times New Roman" w:eastAsia="Times New Roman" w:hAnsi="Times New Roman" w:cs="Times New Roman"/>
                <w:sz w:val="20"/>
                <w:szCs w:val="20"/>
                <w:vertAlign w:val="superscript"/>
              </w:rPr>
              <w:t>***</w:t>
            </w:r>
          </w:p>
          <w:p w14:paraId="1D75591A" w14:textId="6883B066"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01</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39E7FDA8" w14:textId="3951BE50" w:rsidR="005B27E8" w:rsidRPr="00AF68BA"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F68BA">
              <w:rPr>
                <w:rFonts w:ascii="Times New Roman" w:eastAsia="Times New Roman" w:hAnsi="Times New Roman" w:cs="Times New Roman"/>
                <w:sz w:val="20"/>
                <w:szCs w:val="20"/>
              </w:rPr>
              <w:t>116</w:t>
            </w:r>
            <w:r w:rsidR="00AF68BA">
              <w:rPr>
                <w:rFonts w:ascii="Times New Roman" w:eastAsia="Times New Roman" w:hAnsi="Times New Roman" w:cs="Times New Roman"/>
                <w:sz w:val="20"/>
                <w:szCs w:val="20"/>
                <w:vertAlign w:val="superscript"/>
              </w:rPr>
              <w:t>***</w:t>
            </w:r>
          </w:p>
          <w:p w14:paraId="13FAED40" w14:textId="2CE05344"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001</w:t>
            </w:r>
            <w:r w:rsidRPr="00F5674C">
              <w:rPr>
                <w:rFonts w:ascii="Times New Roman" w:eastAsia="Times New Roman" w:hAnsi="Times New Roman" w:cs="Times New Roman"/>
                <w:sz w:val="20"/>
                <w:szCs w:val="20"/>
              </w:rPr>
              <w:t>)</w:t>
            </w:r>
          </w:p>
        </w:tc>
      </w:tr>
      <w:tr w:rsidR="005B27E8" w:rsidRPr="00F5674C" w14:paraId="1A1F8BA2" w14:textId="77777777" w:rsidTr="00434AFB">
        <w:trPr>
          <w:trHeight w:val="91"/>
        </w:trPr>
        <w:tc>
          <w:tcPr>
            <w:tcW w:w="3828" w:type="dxa"/>
            <w:tcBorders>
              <w:top w:val="nil"/>
              <w:left w:val="nil"/>
              <w:bottom w:val="nil"/>
              <w:right w:val="nil"/>
            </w:tcBorders>
          </w:tcPr>
          <w:p w14:paraId="07B30BCB" w14:textId="77777777" w:rsidR="005B27E8" w:rsidRPr="00F5674C" w:rsidRDefault="005B27E8" w:rsidP="00434AFB">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Presence of Governance Committee</w:t>
            </w:r>
          </w:p>
        </w:tc>
        <w:tc>
          <w:tcPr>
            <w:tcW w:w="991" w:type="dxa"/>
            <w:tcBorders>
              <w:top w:val="nil"/>
              <w:left w:val="nil"/>
              <w:bottom w:val="nil"/>
              <w:right w:val="nil"/>
            </w:tcBorders>
          </w:tcPr>
          <w:p w14:paraId="7AD82BDB" w14:textId="4D0D82C3"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52176AD7" w14:textId="693D6B8E"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713</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676AA4BA" w14:textId="6BAC8B61" w:rsidR="005B27E8" w:rsidRDefault="00A0628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p w14:paraId="013E5F9F" w14:textId="30393BFB"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799</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50E70764" w14:textId="58129CB3" w:rsidR="005B27E8" w:rsidRDefault="002A0AB8" w:rsidP="00434AFB">
            <w:pPr>
              <w:spacing w:after="0"/>
              <w:ind w:right="-111"/>
              <w:rPr>
                <w:rFonts w:ascii="Times New Roman" w:eastAsia="Times New Roman" w:hAnsi="Times New Roman" w:cs="Times New Roman"/>
                <w:sz w:val="20"/>
                <w:szCs w:val="20"/>
              </w:rPr>
            </w:pPr>
            <w:r>
              <w:rPr>
                <w:rFonts w:ascii="Times New Roman" w:eastAsia="Times New Roman" w:hAnsi="Times New Roman" w:cs="Times New Roman"/>
                <w:sz w:val="20"/>
                <w:szCs w:val="20"/>
              </w:rPr>
              <w:t>0.006</w:t>
            </w:r>
          </w:p>
          <w:p w14:paraId="4A135CBF" w14:textId="5CAFF6D8" w:rsidR="005B27E8" w:rsidRPr="00F5674C" w:rsidRDefault="005B27E8" w:rsidP="00434AFB">
            <w:pPr>
              <w:spacing w:after="0"/>
              <w:ind w:right="-111"/>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716</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63D9F363"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3B5AFB4D" w14:textId="50CD7296" w:rsidR="005B27E8" w:rsidRDefault="002A0AB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0.006</w:t>
            </w:r>
          </w:p>
          <w:p w14:paraId="2C6786C0" w14:textId="08EAFA13"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640</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1AA93C0F" w14:textId="449BD63B" w:rsidR="005B27E8" w:rsidRDefault="00AD468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p w14:paraId="6971C9CA" w14:textId="60328CEE"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687</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4D572904" w14:textId="690D29DE" w:rsidR="005B27E8" w:rsidRDefault="00AF68B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0.007</w:t>
            </w:r>
          </w:p>
          <w:p w14:paraId="23CD681B" w14:textId="4FDE5256"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634</w:t>
            </w:r>
            <w:r w:rsidRPr="00F5674C">
              <w:rPr>
                <w:rFonts w:ascii="Times New Roman" w:eastAsia="Times New Roman" w:hAnsi="Times New Roman" w:cs="Times New Roman"/>
                <w:sz w:val="20"/>
                <w:szCs w:val="20"/>
              </w:rPr>
              <w:t>)</w:t>
            </w:r>
          </w:p>
        </w:tc>
      </w:tr>
      <w:tr w:rsidR="005B27E8" w:rsidRPr="00F5674C" w14:paraId="5BC3FECD" w14:textId="77777777" w:rsidTr="00434AFB">
        <w:trPr>
          <w:trHeight w:val="87"/>
        </w:trPr>
        <w:tc>
          <w:tcPr>
            <w:tcW w:w="3828" w:type="dxa"/>
            <w:tcBorders>
              <w:top w:val="nil"/>
              <w:left w:val="nil"/>
              <w:bottom w:val="nil"/>
              <w:right w:val="nil"/>
            </w:tcBorders>
          </w:tcPr>
          <w:p w14:paraId="473C85B1" w14:textId="77777777" w:rsidR="005B27E8" w:rsidRPr="00F5674C" w:rsidRDefault="005B27E8" w:rsidP="00434AFB">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Executive Management Team Size</w:t>
            </w:r>
          </w:p>
        </w:tc>
        <w:tc>
          <w:tcPr>
            <w:tcW w:w="991" w:type="dxa"/>
            <w:tcBorders>
              <w:top w:val="nil"/>
              <w:left w:val="nil"/>
              <w:bottom w:val="nil"/>
              <w:right w:val="nil"/>
            </w:tcBorders>
          </w:tcPr>
          <w:p w14:paraId="77E1A7D8" w14:textId="43AF9510"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46</w:t>
            </w:r>
            <w:r w:rsidRPr="00394410">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w:t>
            </w:r>
          </w:p>
          <w:p w14:paraId="26F113CA" w14:textId="11C085E3"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00</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0990EBDA" w14:textId="1FB9A6C8" w:rsidR="005B27E8" w:rsidRPr="00A06288"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sidR="00A06288">
              <w:rPr>
                <w:rFonts w:ascii="Times New Roman" w:eastAsia="Times New Roman" w:hAnsi="Times New Roman" w:cs="Times New Roman"/>
                <w:sz w:val="20"/>
                <w:szCs w:val="20"/>
              </w:rPr>
              <w:t>9</w:t>
            </w:r>
            <w:r w:rsidR="00A06288">
              <w:rPr>
                <w:rFonts w:ascii="Times New Roman" w:eastAsia="Times New Roman" w:hAnsi="Times New Roman" w:cs="Times New Roman"/>
                <w:sz w:val="20"/>
                <w:szCs w:val="20"/>
                <w:vertAlign w:val="superscript"/>
              </w:rPr>
              <w:t>***</w:t>
            </w:r>
          </w:p>
          <w:p w14:paraId="17B4B7E8" w14:textId="5F61B8A1"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000</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0AFFEB1E" w14:textId="2AF0BA01"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2A0AB8">
              <w:rPr>
                <w:rFonts w:ascii="Times New Roman" w:eastAsia="Times New Roman" w:hAnsi="Times New Roman" w:cs="Times New Roman"/>
                <w:sz w:val="20"/>
                <w:szCs w:val="20"/>
              </w:rPr>
              <w:t>56</w:t>
            </w:r>
            <w:r w:rsidRPr="00394410">
              <w:rPr>
                <w:rFonts w:ascii="Times New Roman" w:eastAsia="Times New Roman" w:hAnsi="Times New Roman" w:cs="Times New Roman"/>
                <w:sz w:val="20"/>
                <w:szCs w:val="20"/>
                <w:vertAlign w:val="superscript"/>
              </w:rPr>
              <w:t>**</w:t>
            </w:r>
            <w:r w:rsidR="002A0AB8">
              <w:rPr>
                <w:rFonts w:ascii="Times New Roman" w:eastAsia="Times New Roman" w:hAnsi="Times New Roman" w:cs="Times New Roman"/>
                <w:sz w:val="20"/>
                <w:szCs w:val="20"/>
                <w:vertAlign w:val="superscript"/>
              </w:rPr>
              <w:t>*</w:t>
            </w:r>
          </w:p>
          <w:p w14:paraId="16EB9B58" w14:textId="2E5EBD95"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2A0AB8">
              <w:rPr>
                <w:rFonts w:ascii="Times New Roman" w:eastAsia="Times New Roman" w:hAnsi="Times New Roman" w:cs="Times New Roman"/>
                <w:sz w:val="20"/>
                <w:szCs w:val="20"/>
              </w:rPr>
              <w:t>00</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67B33058"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605294B5" w14:textId="0F0638DD"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46</w:t>
            </w:r>
            <w:r w:rsidRPr="00403102">
              <w:rPr>
                <w:rFonts w:ascii="Times New Roman" w:eastAsia="Times New Roman" w:hAnsi="Times New Roman" w:cs="Times New Roman"/>
                <w:sz w:val="20"/>
                <w:szCs w:val="20"/>
                <w:vertAlign w:val="superscript"/>
              </w:rPr>
              <w:t>**</w:t>
            </w:r>
            <w:r w:rsidR="00AD468A">
              <w:rPr>
                <w:rFonts w:ascii="Times New Roman" w:eastAsia="Times New Roman" w:hAnsi="Times New Roman" w:cs="Times New Roman"/>
                <w:sz w:val="20"/>
                <w:szCs w:val="20"/>
                <w:vertAlign w:val="superscript"/>
              </w:rPr>
              <w:t>*</w:t>
            </w:r>
          </w:p>
          <w:p w14:paraId="5B1FBD71" w14:textId="2A095210"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00</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6BB38226" w14:textId="665577A9" w:rsidR="005B27E8" w:rsidRPr="00AD468A"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9</w:t>
            </w:r>
            <w:r w:rsidR="00AD468A">
              <w:rPr>
                <w:rFonts w:ascii="Times New Roman" w:eastAsia="Times New Roman" w:hAnsi="Times New Roman" w:cs="Times New Roman"/>
                <w:sz w:val="20"/>
                <w:szCs w:val="20"/>
                <w:vertAlign w:val="superscript"/>
              </w:rPr>
              <w:t>***</w:t>
            </w:r>
          </w:p>
          <w:p w14:paraId="6094CD6F" w14:textId="6C1DAF88"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000</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479A0F3D" w14:textId="4D8BB4BC"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68BA">
              <w:rPr>
                <w:rFonts w:ascii="Times New Roman" w:eastAsia="Times New Roman" w:hAnsi="Times New Roman" w:cs="Times New Roman"/>
                <w:sz w:val="20"/>
                <w:szCs w:val="20"/>
              </w:rPr>
              <w:t>55</w:t>
            </w:r>
            <w:r w:rsidRPr="00403102">
              <w:rPr>
                <w:rFonts w:ascii="Times New Roman" w:eastAsia="Times New Roman" w:hAnsi="Times New Roman" w:cs="Times New Roman"/>
                <w:sz w:val="20"/>
                <w:szCs w:val="20"/>
                <w:vertAlign w:val="superscript"/>
              </w:rPr>
              <w:t>*</w:t>
            </w:r>
            <w:r w:rsidR="00AF68BA">
              <w:rPr>
                <w:rFonts w:ascii="Times New Roman" w:eastAsia="Times New Roman" w:hAnsi="Times New Roman" w:cs="Times New Roman"/>
                <w:sz w:val="20"/>
                <w:szCs w:val="20"/>
                <w:vertAlign w:val="superscript"/>
              </w:rPr>
              <w:t>**</w:t>
            </w:r>
          </w:p>
          <w:p w14:paraId="7C4770EC" w14:textId="4C588103"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F68BA">
              <w:rPr>
                <w:rFonts w:ascii="Times New Roman" w:eastAsia="Times New Roman" w:hAnsi="Times New Roman" w:cs="Times New Roman"/>
                <w:sz w:val="20"/>
                <w:szCs w:val="20"/>
              </w:rPr>
              <w:t>00</w:t>
            </w:r>
            <w:r w:rsidRPr="00F5674C">
              <w:rPr>
                <w:rFonts w:ascii="Times New Roman" w:eastAsia="Times New Roman" w:hAnsi="Times New Roman" w:cs="Times New Roman"/>
                <w:sz w:val="20"/>
                <w:szCs w:val="20"/>
              </w:rPr>
              <w:t>)</w:t>
            </w:r>
          </w:p>
        </w:tc>
      </w:tr>
      <w:tr w:rsidR="005B27E8" w:rsidRPr="00F5674C" w14:paraId="5EED9E92" w14:textId="77777777" w:rsidTr="00434AFB">
        <w:trPr>
          <w:trHeight w:val="87"/>
        </w:trPr>
        <w:tc>
          <w:tcPr>
            <w:tcW w:w="3828" w:type="dxa"/>
            <w:tcBorders>
              <w:top w:val="nil"/>
              <w:left w:val="nil"/>
              <w:bottom w:val="nil"/>
              <w:right w:val="nil"/>
            </w:tcBorders>
          </w:tcPr>
          <w:p w14:paraId="0912DC10" w14:textId="77777777" w:rsidR="005B27E8" w:rsidRPr="00F5674C" w:rsidRDefault="005B27E8" w:rsidP="00434AFB">
            <w:pPr>
              <w:spacing w:after="0" w:line="240" w:lineRule="auto"/>
              <w:ind w:right="-114"/>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Executive Management Team Diversity</w:t>
            </w:r>
          </w:p>
        </w:tc>
        <w:tc>
          <w:tcPr>
            <w:tcW w:w="991" w:type="dxa"/>
            <w:tcBorders>
              <w:top w:val="nil"/>
              <w:left w:val="nil"/>
              <w:bottom w:val="nil"/>
              <w:right w:val="nil"/>
            </w:tcBorders>
          </w:tcPr>
          <w:p w14:paraId="33910045" w14:textId="29A1ACF5"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37</w:t>
            </w:r>
            <w:r w:rsidRPr="00394410">
              <w:rPr>
                <w:rFonts w:ascii="Times New Roman" w:eastAsia="Times New Roman" w:hAnsi="Times New Roman" w:cs="Times New Roman"/>
                <w:sz w:val="20"/>
                <w:szCs w:val="20"/>
                <w:vertAlign w:val="superscript"/>
              </w:rPr>
              <w:t>*</w:t>
            </w:r>
          </w:p>
          <w:p w14:paraId="5CC42238" w14:textId="7D55CB19" w:rsidR="005B27E8" w:rsidRPr="001E2C83"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087</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6B619F4C" w14:textId="1869BF94" w:rsidR="005B27E8" w:rsidRDefault="00A0628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14:paraId="1B292876" w14:textId="7DA0AF15"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946</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15020878" w14:textId="1E74AA33"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2A0AB8">
              <w:rPr>
                <w:rFonts w:ascii="Times New Roman" w:eastAsia="Times New Roman" w:hAnsi="Times New Roman" w:cs="Times New Roman"/>
                <w:sz w:val="20"/>
                <w:szCs w:val="20"/>
              </w:rPr>
              <w:t>37</w:t>
            </w:r>
          </w:p>
          <w:p w14:paraId="0A0B8FA8" w14:textId="316203C2" w:rsidR="005B27E8" w:rsidRPr="00446E30"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135</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7892CC03"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32A980D5" w14:textId="65CE8962"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00AD468A">
              <w:rPr>
                <w:rFonts w:ascii="Times New Roman" w:eastAsia="Times New Roman" w:hAnsi="Times New Roman" w:cs="Times New Roman"/>
                <w:sz w:val="20"/>
                <w:szCs w:val="20"/>
              </w:rPr>
              <w:t>0</w:t>
            </w:r>
            <w:r w:rsidRPr="00394410">
              <w:rPr>
                <w:rFonts w:ascii="Times New Roman" w:eastAsia="Times New Roman" w:hAnsi="Times New Roman" w:cs="Times New Roman"/>
                <w:sz w:val="20"/>
                <w:szCs w:val="20"/>
                <w:vertAlign w:val="superscript"/>
              </w:rPr>
              <w:t>*</w:t>
            </w:r>
          </w:p>
          <w:p w14:paraId="2BC03B07" w14:textId="70B37D48" w:rsidR="005B27E8" w:rsidRPr="00AF0CFD"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66</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08A5589C" w14:textId="4679F575"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r w:rsidR="00AD468A">
              <w:rPr>
                <w:rFonts w:ascii="Times New Roman" w:eastAsia="Times New Roman" w:hAnsi="Times New Roman" w:cs="Times New Roman"/>
                <w:sz w:val="20"/>
                <w:szCs w:val="20"/>
              </w:rPr>
              <w:t>1</w:t>
            </w:r>
          </w:p>
          <w:p w14:paraId="4A44FCB6" w14:textId="2884E4AF"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825</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539FBA1E" w14:textId="02D71F5B" w:rsidR="005B27E8" w:rsidRDefault="005B27E8" w:rsidP="00434AFB">
            <w:pPr>
              <w:spacing w:after="0"/>
              <w:ind w:right="-69"/>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00AF68BA">
              <w:rPr>
                <w:rFonts w:ascii="Times New Roman" w:eastAsia="Times New Roman" w:hAnsi="Times New Roman" w:cs="Times New Roman"/>
                <w:sz w:val="20"/>
                <w:szCs w:val="20"/>
              </w:rPr>
              <w:t>1</w:t>
            </w:r>
          </w:p>
          <w:p w14:paraId="31B3EF3C" w14:textId="08F3090C" w:rsidR="005B27E8" w:rsidRPr="006C3C66" w:rsidRDefault="005B27E8" w:rsidP="00434AFB">
            <w:pPr>
              <w:spacing w:after="0"/>
              <w:ind w:right="-69"/>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103</w:t>
            </w:r>
            <w:r w:rsidRPr="00F5674C">
              <w:rPr>
                <w:rFonts w:ascii="Times New Roman" w:eastAsia="Times New Roman" w:hAnsi="Times New Roman" w:cs="Times New Roman"/>
                <w:sz w:val="20"/>
                <w:szCs w:val="20"/>
              </w:rPr>
              <w:t>)</w:t>
            </w:r>
          </w:p>
        </w:tc>
      </w:tr>
      <w:tr w:rsidR="005B27E8" w:rsidRPr="00F5674C" w14:paraId="17492C69" w14:textId="77777777" w:rsidTr="00434AFB">
        <w:trPr>
          <w:trHeight w:val="87"/>
        </w:trPr>
        <w:tc>
          <w:tcPr>
            <w:tcW w:w="3828" w:type="dxa"/>
            <w:tcBorders>
              <w:top w:val="nil"/>
              <w:left w:val="nil"/>
              <w:bottom w:val="nil"/>
              <w:right w:val="nil"/>
            </w:tcBorders>
          </w:tcPr>
          <w:p w14:paraId="5CE935B5" w14:textId="77777777" w:rsidR="005B27E8" w:rsidRPr="00F5674C" w:rsidRDefault="005B27E8" w:rsidP="00434AFB">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Executive Management Team Meeting</w:t>
            </w:r>
          </w:p>
        </w:tc>
        <w:tc>
          <w:tcPr>
            <w:tcW w:w="991" w:type="dxa"/>
            <w:tcBorders>
              <w:top w:val="nil"/>
              <w:left w:val="nil"/>
              <w:bottom w:val="nil"/>
              <w:right w:val="nil"/>
            </w:tcBorders>
          </w:tcPr>
          <w:p w14:paraId="79BE4574" w14:textId="5DDE68E5"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13</w:t>
            </w:r>
          </w:p>
          <w:p w14:paraId="137B7824" w14:textId="2568A32E"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290</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02BCC071" w14:textId="6CF9EF01"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A06288">
              <w:rPr>
                <w:rFonts w:ascii="Times New Roman" w:eastAsia="Times New Roman" w:hAnsi="Times New Roman" w:cs="Times New Roman"/>
                <w:sz w:val="20"/>
                <w:szCs w:val="20"/>
              </w:rPr>
              <w:t>4</w:t>
            </w:r>
          </w:p>
          <w:p w14:paraId="1E2F6DD8" w14:textId="2E743799"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139</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1C95B331" w14:textId="77777777"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17</w:t>
            </w:r>
          </w:p>
          <w:p w14:paraId="3608205D" w14:textId="07580F70"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239</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70CE6726"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39581511" w14:textId="48CFB6CE"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D468A">
              <w:rPr>
                <w:rFonts w:ascii="Times New Roman" w:eastAsia="Times New Roman" w:hAnsi="Times New Roman" w:cs="Times New Roman"/>
                <w:sz w:val="20"/>
                <w:szCs w:val="20"/>
              </w:rPr>
              <w:t>13</w:t>
            </w:r>
          </w:p>
          <w:p w14:paraId="032CF530" w14:textId="7CE7D408"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284</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6EC6D4E7" w14:textId="75A461AA"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AD468A">
              <w:rPr>
                <w:rFonts w:ascii="Times New Roman" w:eastAsia="Times New Roman" w:hAnsi="Times New Roman" w:cs="Times New Roman"/>
                <w:sz w:val="20"/>
                <w:szCs w:val="20"/>
              </w:rPr>
              <w:t>4</w:t>
            </w:r>
          </w:p>
          <w:p w14:paraId="5CE2910A" w14:textId="09A1ABA1" w:rsidR="005B27E8" w:rsidRPr="00E30146"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132</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7AE3056B" w14:textId="08F86E83"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68BA">
              <w:rPr>
                <w:rFonts w:ascii="Times New Roman" w:eastAsia="Times New Roman" w:hAnsi="Times New Roman" w:cs="Times New Roman"/>
                <w:sz w:val="20"/>
                <w:szCs w:val="20"/>
              </w:rPr>
              <w:t>17</w:t>
            </w:r>
          </w:p>
          <w:p w14:paraId="7253E370" w14:textId="19C2F9D1"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232</w:t>
            </w:r>
            <w:r w:rsidRPr="00F5674C">
              <w:rPr>
                <w:rFonts w:ascii="Times New Roman" w:eastAsia="Times New Roman" w:hAnsi="Times New Roman" w:cs="Times New Roman"/>
                <w:sz w:val="20"/>
                <w:szCs w:val="20"/>
              </w:rPr>
              <w:t>)</w:t>
            </w:r>
          </w:p>
        </w:tc>
      </w:tr>
      <w:tr w:rsidR="005B27E8" w:rsidRPr="00F5674C" w14:paraId="28BBFB10" w14:textId="77777777" w:rsidTr="00434AFB">
        <w:trPr>
          <w:trHeight w:val="87"/>
        </w:trPr>
        <w:tc>
          <w:tcPr>
            <w:tcW w:w="3828" w:type="dxa"/>
            <w:tcBorders>
              <w:top w:val="nil"/>
              <w:left w:val="nil"/>
              <w:bottom w:val="nil"/>
              <w:right w:val="nil"/>
            </w:tcBorders>
          </w:tcPr>
          <w:p w14:paraId="6D398132" w14:textId="77777777" w:rsidR="005B27E8" w:rsidRPr="00F5674C" w:rsidRDefault="005B27E8" w:rsidP="00434AFB">
            <w:pPr>
              <w:spacing w:after="0" w:line="240" w:lineRule="auto"/>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VC Change</w:t>
            </w:r>
          </w:p>
        </w:tc>
        <w:tc>
          <w:tcPr>
            <w:tcW w:w="991" w:type="dxa"/>
            <w:tcBorders>
              <w:top w:val="nil"/>
              <w:left w:val="nil"/>
              <w:bottom w:val="nil"/>
              <w:right w:val="nil"/>
            </w:tcBorders>
          </w:tcPr>
          <w:p w14:paraId="521E5F30" w14:textId="197FF0BD"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7</w:t>
            </w:r>
          </w:p>
          <w:p w14:paraId="7236905F" w14:textId="1E8E12FE"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512</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324D87D8" w14:textId="61325377" w:rsidR="005B27E8" w:rsidRDefault="00A0628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-0.003</w:t>
            </w:r>
          </w:p>
          <w:p w14:paraId="636142B5" w14:textId="5E2F1228"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168</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25490068" w14:textId="402B3AB4"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2A0AB8">
              <w:rPr>
                <w:rFonts w:ascii="Times New Roman" w:eastAsia="Times New Roman" w:hAnsi="Times New Roman" w:cs="Times New Roman"/>
                <w:sz w:val="20"/>
                <w:szCs w:val="20"/>
              </w:rPr>
              <w:t>10</w:t>
            </w:r>
          </w:p>
          <w:p w14:paraId="7CA169C6" w14:textId="0B9170CD"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417</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5763C285"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292A503E" w14:textId="6F83286F"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AD468A">
              <w:rPr>
                <w:rFonts w:ascii="Times New Roman" w:eastAsia="Times New Roman" w:hAnsi="Times New Roman" w:cs="Times New Roman"/>
                <w:sz w:val="20"/>
                <w:szCs w:val="20"/>
              </w:rPr>
              <w:t>7</w:t>
            </w:r>
          </w:p>
          <w:p w14:paraId="575531E4" w14:textId="10D02448"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5</w:t>
            </w:r>
            <w:r>
              <w:rPr>
                <w:rFonts w:ascii="Times New Roman" w:eastAsia="Times New Roman" w:hAnsi="Times New Roman" w:cs="Times New Roman"/>
                <w:sz w:val="20"/>
                <w:szCs w:val="20"/>
              </w:rPr>
              <w:t>32</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7A67C9B9" w14:textId="722EFB94"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sidR="00AD468A">
              <w:rPr>
                <w:rFonts w:ascii="Times New Roman" w:eastAsia="Times New Roman" w:hAnsi="Times New Roman" w:cs="Times New Roman"/>
                <w:sz w:val="20"/>
                <w:szCs w:val="20"/>
              </w:rPr>
              <w:t>3</w:t>
            </w:r>
          </w:p>
          <w:p w14:paraId="7AB2AC80" w14:textId="2B0B1F1B"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186</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339092BA" w14:textId="0B35CD38"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68BA">
              <w:rPr>
                <w:rFonts w:ascii="Times New Roman" w:eastAsia="Times New Roman" w:hAnsi="Times New Roman" w:cs="Times New Roman"/>
                <w:sz w:val="20"/>
                <w:szCs w:val="20"/>
              </w:rPr>
              <w:t>10</w:t>
            </w:r>
          </w:p>
          <w:p w14:paraId="4C59B685" w14:textId="06F8218B"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438</w:t>
            </w:r>
            <w:r w:rsidRPr="00F5674C">
              <w:rPr>
                <w:rFonts w:ascii="Times New Roman" w:eastAsia="Times New Roman" w:hAnsi="Times New Roman" w:cs="Times New Roman"/>
                <w:sz w:val="20"/>
                <w:szCs w:val="20"/>
              </w:rPr>
              <w:t>)</w:t>
            </w:r>
          </w:p>
        </w:tc>
      </w:tr>
      <w:tr w:rsidR="005B27E8" w:rsidRPr="00F5674C" w14:paraId="18CB62F5" w14:textId="77777777" w:rsidTr="00434AFB">
        <w:trPr>
          <w:trHeight w:val="164"/>
        </w:trPr>
        <w:tc>
          <w:tcPr>
            <w:tcW w:w="10213" w:type="dxa"/>
            <w:gridSpan w:val="8"/>
            <w:tcBorders>
              <w:top w:val="nil"/>
              <w:left w:val="nil"/>
              <w:bottom w:val="nil"/>
              <w:right w:val="nil"/>
            </w:tcBorders>
          </w:tcPr>
          <w:p w14:paraId="4E9B5A1F" w14:textId="77777777" w:rsidR="005B27E8" w:rsidRPr="00F5674C" w:rsidRDefault="005B27E8" w:rsidP="00434AFB">
            <w:pPr>
              <w:spacing w:after="0"/>
              <w:rPr>
                <w:rFonts w:ascii="Times New Roman" w:eastAsia="Times New Roman" w:hAnsi="Times New Roman" w:cs="Times New Roman"/>
                <w:i/>
                <w:iCs/>
                <w:sz w:val="10"/>
                <w:szCs w:val="10"/>
              </w:rPr>
            </w:pPr>
          </w:p>
          <w:p w14:paraId="38DD31C7"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i/>
                <w:iCs/>
                <w:sz w:val="20"/>
                <w:szCs w:val="20"/>
              </w:rPr>
              <w:t>Controls (general HEI characteristics)</w:t>
            </w:r>
          </w:p>
        </w:tc>
      </w:tr>
      <w:tr w:rsidR="005B27E8" w:rsidRPr="00F5674C" w14:paraId="0E9B59E9" w14:textId="77777777" w:rsidTr="00434AFB">
        <w:trPr>
          <w:trHeight w:val="164"/>
        </w:trPr>
        <w:tc>
          <w:tcPr>
            <w:tcW w:w="3828" w:type="dxa"/>
            <w:tcBorders>
              <w:top w:val="nil"/>
              <w:left w:val="nil"/>
              <w:bottom w:val="nil"/>
              <w:right w:val="nil"/>
            </w:tcBorders>
          </w:tcPr>
          <w:p w14:paraId="4DA0054E"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iCs/>
                <w:color w:val="000000"/>
                <w:sz w:val="20"/>
                <w:szCs w:val="20"/>
                <w:lang w:val="en-US"/>
              </w:rPr>
              <w:t xml:space="preserve">    </w:t>
            </w:r>
            <w:r w:rsidRPr="00F5674C">
              <w:rPr>
                <w:rFonts w:ascii="Times New Roman" w:eastAsia="Times New Roman" w:hAnsi="Times New Roman" w:cs="Times New Roman"/>
                <w:iCs/>
                <w:color w:val="000000"/>
                <w:sz w:val="20"/>
                <w:szCs w:val="20"/>
                <w:lang w:val="en-US"/>
              </w:rPr>
              <w:t>P</w:t>
            </w:r>
            <w:r>
              <w:rPr>
                <w:rFonts w:ascii="Times New Roman" w:eastAsia="Times New Roman" w:hAnsi="Times New Roman" w:cs="Times New Roman"/>
                <w:iCs/>
                <w:color w:val="000000"/>
                <w:sz w:val="20"/>
                <w:szCs w:val="20"/>
                <w:lang w:val="en-US"/>
              </w:rPr>
              <w:t>O</w:t>
            </w:r>
            <w:r w:rsidRPr="00F5674C">
              <w:rPr>
                <w:rFonts w:ascii="Times New Roman" w:eastAsia="Times New Roman" w:hAnsi="Times New Roman" w:cs="Times New Roman"/>
                <w:iCs/>
                <w:color w:val="000000"/>
                <w:sz w:val="20"/>
                <w:szCs w:val="20"/>
                <w:lang w:val="en-US"/>
              </w:rPr>
              <w:t>ST_</w:t>
            </w:r>
            <w:r>
              <w:rPr>
                <w:rFonts w:ascii="Times New Roman" w:eastAsia="Times New Roman" w:hAnsi="Times New Roman" w:cs="Times New Roman"/>
                <w:iCs/>
                <w:color w:val="000000"/>
                <w:sz w:val="20"/>
                <w:szCs w:val="20"/>
                <w:lang w:val="en-US"/>
              </w:rPr>
              <w:t>19</w:t>
            </w:r>
            <w:r w:rsidRPr="00F5674C">
              <w:rPr>
                <w:rFonts w:ascii="Times New Roman" w:eastAsia="Times New Roman" w:hAnsi="Times New Roman" w:cs="Times New Roman"/>
                <w:iCs/>
                <w:color w:val="000000"/>
                <w:sz w:val="20"/>
                <w:szCs w:val="20"/>
                <w:lang w:val="en-US"/>
              </w:rPr>
              <w:t>92</w:t>
            </w:r>
          </w:p>
        </w:tc>
        <w:tc>
          <w:tcPr>
            <w:tcW w:w="991" w:type="dxa"/>
            <w:tcBorders>
              <w:top w:val="nil"/>
              <w:left w:val="nil"/>
              <w:bottom w:val="nil"/>
              <w:right w:val="nil"/>
            </w:tcBorders>
          </w:tcPr>
          <w:p w14:paraId="0EF852F0" w14:textId="1455A4E3"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032</w:t>
            </w:r>
            <w:r w:rsidRPr="00394410">
              <w:rPr>
                <w:rFonts w:ascii="Times New Roman" w:eastAsia="Times New Roman" w:hAnsi="Times New Roman" w:cs="Times New Roman"/>
                <w:sz w:val="20"/>
                <w:szCs w:val="20"/>
                <w:vertAlign w:val="superscript"/>
              </w:rPr>
              <w:t>***</w:t>
            </w:r>
          </w:p>
          <w:p w14:paraId="67926D3E" w14:textId="7B2605DF"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5</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7775DC3B" w14:textId="5BE17F0C" w:rsidR="005B27E8" w:rsidRDefault="00A0628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p w14:paraId="7F8EB52C" w14:textId="19DE5236"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792</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20C94F00" w14:textId="2E3C3622"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0</w:t>
            </w:r>
            <w:r w:rsidR="002A0AB8">
              <w:rPr>
                <w:rFonts w:ascii="Times New Roman" w:eastAsia="Times New Roman" w:hAnsi="Times New Roman" w:cs="Times New Roman"/>
                <w:sz w:val="20"/>
                <w:szCs w:val="20"/>
              </w:rPr>
              <w:t>31</w:t>
            </w:r>
            <w:r w:rsidRPr="00E822AF">
              <w:rPr>
                <w:rFonts w:ascii="Times New Roman" w:eastAsia="Times New Roman" w:hAnsi="Times New Roman" w:cs="Times New Roman"/>
                <w:sz w:val="20"/>
                <w:szCs w:val="20"/>
                <w:vertAlign w:val="superscript"/>
              </w:rPr>
              <w:t>**</w:t>
            </w:r>
          </w:p>
          <w:p w14:paraId="65E869C5" w14:textId="0CF1664B"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2A0AB8">
              <w:rPr>
                <w:rFonts w:ascii="Times New Roman" w:eastAsia="Times New Roman" w:hAnsi="Times New Roman" w:cs="Times New Roman"/>
                <w:sz w:val="20"/>
                <w:szCs w:val="20"/>
              </w:rPr>
              <w:t>16</w:t>
            </w:r>
            <w:r>
              <w:rPr>
                <w:rFonts w:ascii="Times New Roman" w:eastAsia="Times New Roman" w:hAnsi="Times New Roman" w:cs="Times New Roman"/>
                <w:sz w:val="20"/>
                <w:szCs w:val="20"/>
              </w:rPr>
              <w:t>)</w:t>
            </w:r>
          </w:p>
        </w:tc>
        <w:tc>
          <w:tcPr>
            <w:tcW w:w="236" w:type="dxa"/>
            <w:tcBorders>
              <w:top w:val="nil"/>
              <w:left w:val="nil"/>
              <w:bottom w:val="nil"/>
              <w:right w:val="nil"/>
            </w:tcBorders>
          </w:tcPr>
          <w:p w14:paraId="202EA24E"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381547DA" w14:textId="63B67AA2" w:rsidR="005B27E8" w:rsidRDefault="00AD468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0.036</w:t>
            </w:r>
            <w:r w:rsidR="005B27E8" w:rsidRPr="00E822AF">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w:t>
            </w:r>
          </w:p>
          <w:p w14:paraId="237254E8" w14:textId="58B9CF7C"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02</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74301288" w14:textId="25DD47BF" w:rsidR="005B27E8" w:rsidRDefault="00AD468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14:paraId="7343EBD5" w14:textId="03BC33F9"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867</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0FBB311C" w14:textId="1AB5601A" w:rsidR="005B27E8" w:rsidRDefault="00AF68B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0.036</w:t>
            </w:r>
            <w:r w:rsidR="005B27E8" w:rsidRPr="00E822AF">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w:t>
            </w:r>
          </w:p>
          <w:p w14:paraId="1B57B3D9" w14:textId="6B298AE1"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F68BA">
              <w:rPr>
                <w:rFonts w:ascii="Times New Roman" w:eastAsia="Times New Roman" w:hAnsi="Times New Roman" w:cs="Times New Roman"/>
                <w:sz w:val="20"/>
                <w:szCs w:val="20"/>
              </w:rPr>
              <w:t>06</w:t>
            </w:r>
            <w:r w:rsidRPr="00F5674C">
              <w:rPr>
                <w:rFonts w:ascii="Times New Roman" w:eastAsia="Times New Roman" w:hAnsi="Times New Roman" w:cs="Times New Roman"/>
                <w:sz w:val="20"/>
                <w:szCs w:val="20"/>
              </w:rPr>
              <w:t>)</w:t>
            </w:r>
          </w:p>
        </w:tc>
      </w:tr>
      <w:tr w:rsidR="005B27E8" w:rsidRPr="00F5674C" w14:paraId="22F18A01" w14:textId="77777777" w:rsidTr="00434AFB">
        <w:trPr>
          <w:trHeight w:val="87"/>
        </w:trPr>
        <w:tc>
          <w:tcPr>
            <w:tcW w:w="3828" w:type="dxa"/>
            <w:tcBorders>
              <w:top w:val="nil"/>
              <w:left w:val="nil"/>
              <w:bottom w:val="nil"/>
              <w:right w:val="nil"/>
            </w:tcBorders>
          </w:tcPr>
          <w:p w14:paraId="78D4FD75"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Auditing Firm Size</w:t>
            </w:r>
          </w:p>
        </w:tc>
        <w:tc>
          <w:tcPr>
            <w:tcW w:w="991" w:type="dxa"/>
            <w:tcBorders>
              <w:top w:val="nil"/>
              <w:left w:val="nil"/>
              <w:bottom w:val="nil"/>
              <w:right w:val="nil"/>
            </w:tcBorders>
          </w:tcPr>
          <w:p w14:paraId="1E0C6C17" w14:textId="5956BEA5"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p w14:paraId="5D9B6820" w14:textId="1DB20281"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.947</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2DF66F30" w14:textId="7D601040" w:rsidR="005B27E8" w:rsidRDefault="00A0628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14:paraId="62145CED" w14:textId="273E2015"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871</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423DDDCB" w14:textId="3A46F856"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5674C">
              <w:rPr>
                <w:rFonts w:ascii="Times New Roman" w:eastAsia="Times New Roman" w:hAnsi="Times New Roman" w:cs="Times New Roman"/>
                <w:sz w:val="20"/>
                <w:szCs w:val="20"/>
              </w:rPr>
              <w:t>0.0</w:t>
            </w:r>
            <w:r w:rsidR="002A0AB8">
              <w:rPr>
                <w:rFonts w:ascii="Times New Roman" w:eastAsia="Times New Roman" w:hAnsi="Times New Roman" w:cs="Times New Roman"/>
                <w:sz w:val="20"/>
                <w:szCs w:val="20"/>
              </w:rPr>
              <w:t>00</w:t>
            </w:r>
          </w:p>
          <w:p w14:paraId="5A728B96" w14:textId="67F2882A"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977</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7761E756"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01F4B306" w14:textId="3A66F86D"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5674C">
              <w:rPr>
                <w:rFonts w:ascii="Times New Roman" w:eastAsia="Times New Roman" w:hAnsi="Times New Roman" w:cs="Times New Roman"/>
                <w:sz w:val="20"/>
                <w:szCs w:val="20"/>
              </w:rPr>
              <w:t>0.0</w:t>
            </w:r>
            <w:r w:rsidR="00AD468A">
              <w:rPr>
                <w:rFonts w:ascii="Times New Roman" w:eastAsia="Times New Roman" w:hAnsi="Times New Roman" w:cs="Times New Roman"/>
                <w:sz w:val="20"/>
                <w:szCs w:val="20"/>
              </w:rPr>
              <w:t>02</w:t>
            </w:r>
          </w:p>
          <w:p w14:paraId="2384AC7F" w14:textId="567DC0C0"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875</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33DA4A46" w14:textId="47AC5904" w:rsidR="005B27E8" w:rsidRDefault="00AD468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14:paraId="58602A82" w14:textId="134618BC"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981</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7C4B9736" w14:textId="2E73E8A4"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F5674C">
              <w:rPr>
                <w:rFonts w:ascii="Times New Roman" w:eastAsia="Times New Roman" w:hAnsi="Times New Roman" w:cs="Times New Roman"/>
                <w:sz w:val="20"/>
                <w:szCs w:val="20"/>
              </w:rPr>
              <w:t>0.00</w:t>
            </w:r>
            <w:r w:rsidR="00AF68BA">
              <w:rPr>
                <w:rFonts w:ascii="Times New Roman" w:eastAsia="Times New Roman" w:hAnsi="Times New Roman" w:cs="Times New Roman"/>
                <w:sz w:val="20"/>
                <w:szCs w:val="20"/>
              </w:rPr>
              <w:t>2</w:t>
            </w:r>
          </w:p>
          <w:p w14:paraId="7AF4F896" w14:textId="45BCA306"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895</w:t>
            </w:r>
            <w:r w:rsidRPr="00F5674C">
              <w:rPr>
                <w:rFonts w:ascii="Times New Roman" w:eastAsia="Times New Roman" w:hAnsi="Times New Roman" w:cs="Times New Roman"/>
                <w:sz w:val="20"/>
                <w:szCs w:val="20"/>
              </w:rPr>
              <w:t>)</w:t>
            </w:r>
          </w:p>
        </w:tc>
      </w:tr>
      <w:tr w:rsidR="005B27E8" w:rsidRPr="00F5674C" w14:paraId="154C4E50" w14:textId="77777777" w:rsidTr="00434AFB">
        <w:trPr>
          <w:trHeight w:val="87"/>
        </w:trPr>
        <w:tc>
          <w:tcPr>
            <w:tcW w:w="3828" w:type="dxa"/>
            <w:tcBorders>
              <w:top w:val="nil"/>
              <w:left w:val="nil"/>
              <w:bottom w:val="nil"/>
              <w:right w:val="nil"/>
            </w:tcBorders>
          </w:tcPr>
          <w:p w14:paraId="2748176A"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Leverage</w:t>
            </w:r>
          </w:p>
        </w:tc>
        <w:tc>
          <w:tcPr>
            <w:tcW w:w="991" w:type="dxa"/>
            <w:tcBorders>
              <w:top w:val="nil"/>
              <w:left w:val="nil"/>
              <w:bottom w:val="nil"/>
              <w:right w:val="nil"/>
            </w:tcBorders>
          </w:tcPr>
          <w:p w14:paraId="13B70930" w14:textId="207D1142"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43</w:t>
            </w:r>
          </w:p>
          <w:p w14:paraId="6FE83B72" w14:textId="02E60194"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313</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3B3D696B" w14:textId="2F7A8843" w:rsidR="005B27E8" w:rsidRPr="00A06288" w:rsidRDefault="00A06288" w:rsidP="00434AFB">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0.023</w:t>
            </w:r>
            <w:r>
              <w:rPr>
                <w:rFonts w:ascii="Times New Roman" w:eastAsia="Times New Roman" w:hAnsi="Times New Roman" w:cs="Times New Roman"/>
                <w:sz w:val="20"/>
                <w:szCs w:val="20"/>
                <w:vertAlign w:val="superscript"/>
              </w:rPr>
              <w:t>***</w:t>
            </w:r>
          </w:p>
          <w:p w14:paraId="3E020204" w14:textId="050357C4"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008</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6E142C9E" w14:textId="5ADD1A40"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2A0AB8">
              <w:rPr>
                <w:rFonts w:ascii="Times New Roman" w:eastAsia="Times New Roman" w:hAnsi="Times New Roman" w:cs="Times New Roman"/>
                <w:sz w:val="20"/>
                <w:szCs w:val="20"/>
              </w:rPr>
              <w:t>20</w:t>
            </w:r>
          </w:p>
          <w:p w14:paraId="17008916" w14:textId="6994F36C"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686</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0A97C2D3"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7B19C41C" w14:textId="059D3EE6"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D468A">
              <w:rPr>
                <w:rFonts w:ascii="Times New Roman" w:eastAsia="Times New Roman" w:hAnsi="Times New Roman" w:cs="Times New Roman"/>
                <w:sz w:val="20"/>
                <w:szCs w:val="20"/>
              </w:rPr>
              <w:t>42</w:t>
            </w:r>
          </w:p>
          <w:p w14:paraId="26854D80" w14:textId="4E5ECE13"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328</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62FAED8E" w14:textId="18B7CBB3" w:rsidR="005B27E8" w:rsidRPr="00AD468A" w:rsidRDefault="00AD468A" w:rsidP="00434AFB">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0.025</w:t>
            </w:r>
            <w:r>
              <w:rPr>
                <w:rFonts w:ascii="Times New Roman" w:eastAsia="Times New Roman" w:hAnsi="Times New Roman" w:cs="Times New Roman"/>
                <w:sz w:val="20"/>
                <w:szCs w:val="20"/>
                <w:vertAlign w:val="superscript"/>
              </w:rPr>
              <w:t>***</w:t>
            </w:r>
          </w:p>
          <w:p w14:paraId="4F785A6B" w14:textId="3F4D4B68"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004</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5731A20C" w14:textId="2578FC99"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68BA">
              <w:rPr>
                <w:rFonts w:ascii="Times New Roman" w:eastAsia="Times New Roman" w:hAnsi="Times New Roman" w:cs="Times New Roman"/>
                <w:sz w:val="20"/>
                <w:szCs w:val="20"/>
              </w:rPr>
              <w:t>17</w:t>
            </w:r>
          </w:p>
          <w:p w14:paraId="262284C5" w14:textId="25AD63C6"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732</w:t>
            </w:r>
            <w:r w:rsidRPr="00F5674C">
              <w:rPr>
                <w:rFonts w:ascii="Times New Roman" w:eastAsia="Times New Roman" w:hAnsi="Times New Roman" w:cs="Times New Roman"/>
                <w:sz w:val="20"/>
                <w:szCs w:val="20"/>
              </w:rPr>
              <w:t>)</w:t>
            </w:r>
          </w:p>
        </w:tc>
      </w:tr>
      <w:tr w:rsidR="005B27E8" w:rsidRPr="00F5674C" w14:paraId="60306342" w14:textId="77777777" w:rsidTr="00434AFB">
        <w:trPr>
          <w:trHeight w:val="87"/>
        </w:trPr>
        <w:tc>
          <w:tcPr>
            <w:tcW w:w="3828" w:type="dxa"/>
            <w:tcBorders>
              <w:top w:val="nil"/>
              <w:left w:val="nil"/>
              <w:bottom w:val="nil"/>
              <w:right w:val="nil"/>
            </w:tcBorders>
          </w:tcPr>
          <w:p w14:paraId="2B651740"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Liquidity </w:t>
            </w:r>
          </w:p>
        </w:tc>
        <w:tc>
          <w:tcPr>
            <w:tcW w:w="991" w:type="dxa"/>
            <w:tcBorders>
              <w:top w:val="nil"/>
              <w:left w:val="nil"/>
              <w:bottom w:val="nil"/>
              <w:right w:val="nil"/>
            </w:tcBorders>
          </w:tcPr>
          <w:p w14:paraId="6039B0F7" w14:textId="28C737C2"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2046CED8" w14:textId="39BCA044"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956</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577A0983" w14:textId="1C9CED9A"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0.000</w:t>
            </w:r>
          </w:p>
          <w:p w14:paraId="7FCBC6A5" w14:textId="4932966A" w:rsidR="005B27E8" w:rsidRPr="00F5674C"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989</w:t>
            </w:r>
            <w:r>
              <w:rPr>
                <w:rFonts w:ascii="Times New Roman" w:eastAsia="Times New Roman" w:hAnsi="Times New Roman" w:cs="Times New Roman"/>
                <w:sz w:val="20"/>
                <w:szCs w:val="20"/>
              </w:rPr>
              <w:t>)</w:t>
            </w:r>
          </w:p>
        </w:tc>
        <w:tc>
          <w:tcPr>
            <w:tcW w:w="997" w:type="dxa"/>
            <w:tcBorders>
              <w:top w:val="nil"/>
              <w:left w:val="nil"/>
              <w:bottom w:val="nil"/>
              <w:right w:val="nil"/>
            </w:tcBorders>
          </w:tcPr>
          <w:p w14:paraId="4790A2E6" w14:textId="2E0BAC56" w:rsidR="005B27E8" w:rsidRDefault="002A0AB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12C62E3E" w14:textId="21AA0B2E"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964</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57E8CE73"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1944E806" w14:textId="08317970" w:rsidR="005B27E8" w:rsidRDefault="00AD468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0.023</w:t>
            </w:r>
          </w:p>
          <w:p w14:paraId="0385E448" w14:textId="6FB31E88"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sidR="00AD468A">
              <w:rPr>
                <w:rFonts w:ascii="Times New Roman" w:eastAsia="Times New Roman" w:hAnsi="Times New Roman" w:cs="Times New Roman"/>
                <w:sz w:val="20"/>
                <w:szCs w:val="20"/>
              </w:rPr>
              <w:t>791</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4293572D" w14:textId="674190E9" w:rsidR="005B27E8" w:rsidRDefault="00AD468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0.004</w:t>
            </w:r>
          </w:p>
          <w:p w14:paraId="29843BF4" w14:textId="1AA4DC2E"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830</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50FCDAFA" w14:textId="73B1F38D" w:rsidR="005B27E8" w:rsidRDefault="00AF68B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0.027</w:t>
            </w:r>
          </w:p>
          <w:p w14:paraId="0F6992C6" w14:textId="2373BC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789</w:t>
            </w:r>
            <w:r w:rsidRPr="00F5674C">
              <w:rPr>
                <w:rFonts w:ascii="Times New Roman" w:eastAsia="Times New Roman" w:hAnsi="Times New Roman" w:cs="Times New Roman"/>
                <w:sz w:val="20"/>
                <w:szCs w:val="20"/>
              </w:rPr>
              <w:t>)</w:t>
            </w:r>
          </w:p>
        </w:tc>
      </w:tr>
      <w:tr w:rsidR="005B27E8" w:rsidRPr="00F5674C" w14:paraId="7D6A5F83" w14:textId="77777777" w:rsidTr="00434AFB">
        <w:trPr>
          <w:trHeight w:val="87"/>
        </w:trPr>
        <w:tc>
          <w:tcPr>
            <w:tcW w:w="3828" w:type="dxa"/>
            <w:tcBorders>
              <w:top w:val="nil"/>
              <w:left w:val="nil"/>
              <w:bottom w:val="nil"/>
              <w:right w:val="nil"/>
            </w:tcBorders>
          </w:tcPr>
          <w:p w14:paraId="3B5CD70F"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Size</w:t>
            </w:r>
          </w:p>
        </w:tc>
        <w:tc>
          <w:tcPr>
            <w:tcW w:w="991" w:type="dxa"/>
            <w:tcBorders>
              <w:top w:val="nil"/>
              <w:left w:val="nil"/>
              <w:bottom w:val="nil"/>
              <w:right w:val="nil"/>
            </w:tcBorders>
          </w:tcPr>
          <w:p w14:paraId="73B32C7E" w14:textId="0B86305B"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74</w:t>
            </w:r>
            <w:r w:rsidRPr="00394410">
              <w:rPr>
                <w:rFonts w:ascii="Times New Roman" w:eastAsia="Times New Roman" w:hAnsi="Times New Roman" w:cs="Times New Roman"/>
                <w:sz w:val="20"/>
                <w:szCs w:val="20"/>
                <w:vertAlign w:val="superscript"/>
              </w:rPr>
              <w:t>***</w:t>
            </w:r>
          </w:p>
          <w:p w14:paraId="3BBEDA01" w14:textId="77777777"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p>
        </w:tc>
        <w:tc>
          <w:tcPr>
            <w:tcW w:w="996" w:type="dxa"/>
            <w:tcBorders>
              <w:top w:val="nil"/>
              <w:left w:val="nil"/>
              <w:bottom w:val="nil"/>
              <w:right w:val="nil"/>
            </w:tcBorders>
          </w:tcPr>
          <w:p w14:paraId="23BE3880" w14:textId="0525E6AA"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r w:rsidR="00A06288">
              <w:rPr>
                <w:rFonts w:ascii="Times New Roman" w:eastAsia="Times New Roman" w:hAnsi="Times New Roman" w:cs="Times New Roman"/>
                <w:sz w:val="20"/>
                <w:szCs w:val="20"/>
              </w:rPr>
              <w:t>14</w:t>
            </w:r>
            <w:r w:rsidRPr="00E822AF">
              <w:rPr>
                <w:rFonts w:ascii="Times New Roman" w:eastAsia="Times New Roman" w:hAnsi="Times New Roman" w:cs="Times New Roman"/>
                <w:sz w:val="20"/>
                <w:szCs w:val="20"/>
                <w:vertAlign w:val="superscript"/>
              </w:rPr>
              <w:t>***</w:t>
            </w:r>
          </w:p>
          <w:p w14:paraId="538A3BB3" w14:textId="77777777" w:rsidR="005B27E8" w:rsidRPr="00735F7E"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000)</w:t>
            </w:r>
          </w:p>
        </w:tc>
        <w:tc>
          <w:tcPr>
            <w:tcW w:w="997" w:type="dxa"/>
            <w:tcBorders>
              <w:top w:val="nil"/>
              <w:left w:val="nil"/>
              <w:bottom w:val="nil"/>
              <w:right w:val="nil"/>
            </w:tcBorders>
          </w:tcPr>
          <w:p w14:paraId="79211A84" w14:textId="545D9A7C"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2A0AB8">
              <w:rPr>
                <w:rFonts w:ascii="Times New Roman" w:eastAsia="Times New Roman" w:hAnsi="Times New Roman" w:cs="Times New Roman"/>
                <w:sz w:val="20"/>
                <w:szCs w:val="20"/>
              </w:rPr>
              <w:t>88</w:t>
            </w:r>
            <w:r w:rsidRPr="00E822AF">
              <w:rPr>
                <w:rFonts w:ascii="Times New Roman" w:eastAsia="Times New Roman" w:hAnsi="Times New Roman" w:cs="Times New Roman"/>
                <w:sz w:val="20"/>
                <w:szCs w:val="20"/>
                <w:vertAlign w:val="superscript"/>
              </w:rPr>
              <w:t>***</w:t>
            </w:r>
          </w:p>
          <w:p w14:paraId="060327A7" w14:textId="77777777"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w:t>
            </w:r>
          </w:p>
        </w:tc>
        <w:tc>
          <w:tcPr>
            <w:tcW w:w="236" w:type="dxa"/>
            <w:tcBorders>
              <w:top w:val="nil"/>
              <w:left w:val="nil"/>
              <w:bottom w:val="nil"/>
              <w:right w:val="nil"/>
            </w:tcBorders>
          </w:tcPr>
          <w:p w14:paraId="4214E226"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3634934A" w14:textId="7ED561C4"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D468A">
              <w:rPr>
                <w:rFonts w:ascii="Times New Roman" w:eastAsia="Times New Roman" w:hAnsi="Times New Roman" w:cs="Times New Roman"/>
                <w:sz w:val="20"/>
                <w:szCs w:val="20"/>
              </w:rPr>
              <w:t>75</w:t>
            </w:r>
            <w:r w:rsidRPr="00E822AF">
              <w:rPr>
                <w:rFonts w:ascii="Times New Roman" w:eastAsia="Times New Roman" w:hAnsi="Times New Roman" w:cs="Times New Roman"/>
                <w:sz w:val="20"/>
                <w:szCs w:val="20"/>
                <w:vertAlign w:val="superscript"/>
              </w:rPr>
              <w:t>***</w:t>
            </w:r>
          </w:p>
          <w:p w14:paraId="1A033C4D" w14:textId="77777777"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w:t>
            </w:r>
          </w:p>
        </w:tc>
        <w:tc>
          <w:tcPr>
            <w:tcW w:w="1129" w:type="dxa"/>
            <w:tcBorders>
              <w:top w:val="nil"/>
              <w:left w:val="nil"/>
              <w:bottom w:val="nil"/>
              <w:right w:val="nil"/>
            </w:tcBorders>
          </w:tcPr>
          <w:p w14:paraId="092D1537" w14:textId="21C9BE27"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1</w:t>
            </w:r>
            <w:r w:rsidR="00AF68BA">
              <w:rPr>
                <w:rFonts w:ascii="Times New Roman" w:eastAsia="Times New Roman" w:hAnsi="Times New Roman" w:cs="Times New Roman"/>
                <w:sz w:val="20"/>
                <w:szCs w:val="20"/>
              </w:rPr>
              <w:t>4</w:t>
            </w:r>
            <w:r w:rsidRPr="00E822AF">
              <w:rPr>
                <w:rFonts w:ascii="Times New Roman" w:eastAsia="Times New Roman" w:hAnsi="Times New Roman" w:cs="Times New Roman"/>
                <w:sz w:val="20"/>
                <w:szCs w:val="20"/>
                <w:vertAlign w:val="superscript"/>
              </w:rPr>
              <w:t>***</w:t>
            </w:r>
          </w:p>
          <w:p w14:paraId="21939E26" w14:textId="77777777"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w:t>
            </w:r>
          </w:p>
        </w:tc>
        <w:tc>
          <w:tcPr>
            <w:tcW w:w="994" w:type="dxa"/>
            <w:tcBorders>
              <w:top w:val="nil"/>
              <w:left w:val="nil"/>
              <w:bottom w:val="nil"/>
              <w:right w:val="nil"/>
            </w:tcBorders>
          </w:tcPr>
          <w:p w14:paraId="3726D000" w14:textId="087403F3"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F68BA">
              <w:rPr>
                <w:rFonts w:ascii="Times New Roman" w:eastAsia="Times New Roman" w:hAnsi="Times New Roman" w:cs="Times New Roman"/>
                <w:sz w:val="20"/>
                <w:szCs w:val="20"/>
              </w:rPr>
              <w:t>88</w:t>
            </w:r>
            <w:r w:rsidRPr="00E822AF">
              <w:rPr>
                <w:rFonts w:ascii="Times New Roman" w:eastAsia="Times New Roman" w:hAnsi="Times New Roman" w:cs="Times New Roman"/>
                <w:sz w:val="20"/>
                <w:szCs w:val="20"/>
                <w:vertAlign w:val="superscript"/>
              </w:rPr>
              <w:t>***</w:t>
            </w:r>
          </w:p>
          <w:p w14:paraId="670672AE" w14:textId="77777777"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w:t>
            </w:r>
          </w:p>
        </w:tc>
      </w:tr>
      <w:tr w:rsidR="005B27E8" w:rsidRPr="00F5674C" w14:paraId="1E0E6BB4" w14:textId="77777777" w:rsidTr="00434AFB">
        <w:trPr>
          <w:trHeight w:val="87"/>
        </w:trPr>
        <w:tc>
          <w:tcPr>
            <w:tcW w:w="3828" w:type="dxa"/>
            <w:tcBorders>
              <w:top w:val="nil"/>
              <w:left w:val="nil"/>
              <w:bottom w:val="nil"/>
              <w:right w:val="nil"/>
            </w:tcBorders>
          </w:tcPr>
          <w:p w14:paraId="74DF30C7"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Growth</w:t>
            </w:r>
          </w:p>
        </w:tc>
        <w:tc>
          <w:tcPr>
            <w:tcW w:w="991" w:type="dxa"/>
            <w:tcBorders>
              <w:top w:val="nil"/>
              <w:left w:val="nil"/>
              <w:bottom w:val="nil"/>
              <w:right w:val="nil"/>
            </w:tcBorders>
          </w:tcPr>
          <w:p w14:paraId="315F3CCD" w14:textId="7B6AFC6D" w:rsidR="005B27E8"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2DAC5DB7" w14:textId="0E8274B8"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640</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4893F5C5" w14:textId="77777777"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0</w:t>
            </w:r>
          </w:p>
          <w:p w14:paraId="6F485A8F" w14:textId="76C45C0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9</w:t>
            </w:r>
            <w:r w:rsidR="00A06288">
              <w:rPr>
                <w:rFonts w:ascii="Times New Roman" w:eastAsia="Times New Roman" w:hAnsi="Times New Roman" w:cs="Times New Roman"/>
                <w:sz w:val="20"/>
                <w:szCs w:val="20"/>
              </w:rPr>
              <w:t>86</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45C7118A" w14:textId="484CCD11" w:rsidR="005B27E8" w:rsidRDefault="002A0AB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p w14:paraId="00F8C310" w14:textId="62DF0151"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2A0AB8">
              <w:rPr>
                <w:rFonts w:ascii="Times New Roman" w:eastAsia="Times New Roman" w:hAnsi="Times New Roman" w:cs="Times New Roman"/>
                <w:sz w:val="20"/>
                <w:szCs w:val="20"/>
              </w:rPr>
              <w:t>687</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625FEDD0"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15333CD4" w14:textId="2E7BECF6" w:rsidR="005B27E8" w:rsidRDefault="00AD468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0.006</w:t>
            </w:r>
          </w:p>
          <w:p w14:paraId="69B13E0C" w14:textId="793CD37C"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r w:rsidR="00AD468A">
              <w:rPr>
                <w:rFonts w:ascii="Times New Roman" w:eastAsia="Times New Roman" w:hAnsi="Times New Roman" w:cs="Times New Roman"/>
                <w:sz w:val="20"/>
                <w:szCs w:val="20"/>
              </w:rPr>
              <w:t>96</w:t>
            </w:r>
            <w:r w:rsidRPr="00F5674C">
              <w:rPr>
                <w:rFonts w:ascii="Times New Roman" w:eastAsia="Times New Roman" w:hAnsi="Times New Roman" w:cs="Times New Roman"/>
                <w:sz w:val="20"/>
                <w:szCs w:val="20"/>
              </w:rPr>
              <w:t>)</w:t>
            </w:r>
          </w:p>
        </w:tc>
        <w:tc>
          <w:tcPr>
            <w:tcW w:w="1129" w:type="dxa"/>
            <w:tcBorders>
              <w:top w:val="nil"/>
              <w:left w:val="nil"/>
              <w:bottom w:val="nil"/>
              <w:right w:val="nil"/>
            </w:tcBorders>
          </w:tcPr>
          <w:p w14:paraId="4FA63291" w14:textId="5484D257" w:rsidR="005B27E8" w:rsidRDefault="00AF68BA"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14:paraId="35EEC735" w14:textId="0715732A"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954</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245D10A0" w14:textId="1F8C9E5A" w:rsidR="005B27E8" w:rsidRDefault="00AF68BA" w:rsidP="00434AFB">
            <w:pPr>
              <w:spacing w:after="0"/>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0.006</w:t>
            </w:r>
          </w:p>
          <w:p w14:paraId="215391D5" w14:textId="1A4724AE" w:rsidR="005B27E8" w:rsidRPr="00F5674C" w:rsidRDefault="005B27E8" w:rsidP="00434AFB">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639</w:t>
            </w:r>
            <w:r w:rsidRPr="00F5674C">
              <w:rPr>
                <w:rFonts w:ascii="Times New Roman" w:eastAsia="Times New Roman" w:hAnsi="Times New Roman" w:cs="Times New Roman"/>
                <w:sz w:val="20"/>
                <w:szCs w:val="20"/>
              </w:rPr>
              <w:t>)</w:t>
            </w:r>
          </w:p>
        </w:tc>
      </w:tr>
      <w:tr w:rsidR="005B27E8" w:rsidRPr="00F5674C" w14:paraId="32F425F2" w14:textId="77777777" w:rsidTr="00434AFB">
        <w:trPr>
          <w:trHeight w:val="87"/>
        </w:trPr>
        <w:tc>
          <w:tcPr>
            <w:tcW w:w="3828" w:type="dxa"/>
            <w:tcBorders>
              <w:top w:val="nil"/>
              <w:left w:val="nil"/>
              <w:bottom w:val="nil"/>
              <w:right w:val="nil"/>
            </w:tcBorders>
          </w:tcPr>
          <w:p w14:paraId="2A468B45"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Expenditure</w:t>
            </w:r>
          </w:p>
        </w:tc>
        <w:tc>
          <w:tcPr>
            <w:tcW w:w="991" w:type="dxa"/>
            <w:tcBorders>
              <w:top w:val="nil"/>
              <w:left w:val="nil"/>
              <w:bottom w:val="nil"/>
              <w:right w:val="nil"/>
            </w:tcBorders>
          </w:tcPr>
          <w:p w14:paraId="6F59965A" w14:textId="5EECDE9D"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52</w:t>
            </w:r>
            <w:r w:rsidRPr="00394410">
              <w:rPr>
                <w:rFonts w:ascii="Times New Roman" w:eastAsia="Times New Roman" w:hAnsi="Times New Roman" w:cs="Times New Roman"/>
                <w:sz w:val="20"/>
                <w:szCs w:val="20"/>
                <w:vertAlign w:val="superscript"/>
              </w:rPr>
              <w:t>*</w:t>
            </w:r>
            <w:r w:rsidR="00A06288">
              <w:rPr>
                <w:rFonts w:ascii="Times New Roman" w:eastAsia="Times New Roman" w:hAnsi="Times New Roman" w:cs="Times New Roman"/>
                <w:sz w:val="20"/>
                <w:szCs w:val="20"/>
                <w:vertAlign w:val="superscript"/>
              </w:rPr>
              <w:t>**</w:t>
            </w:r>
          </w:p>
          <w:p w14:paraId="5AE9F50D" w14:textId="7471B8E3" w:rsidR="005B27E8" w:rsidRPr="0018087A"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A06288">
              <w:rPr>
                <w:rFonts w:ascii="Times New Roman" w:eastAsia="Times New Roman" w:hAnsi="Times New Roman" w:cs="Times New Roman"/>
                <w:sz w:val="20"/>
                <w:szCs w:val="20"/>
              </w:rPr>
              <w:t>02</w:t>
            </w:r>
            <w:r w:rsidRPr="00F5674C">
              <w:rPr>
                <w:rFonts w:ascii="Times New Roman" w:eastAsia="Times New Roman" w:hAnsi="Times New Roman" w:cs="Times New Roman"/>
                <w:sz w:val="20"/>
                <w:szCs w:val="20"/>
              </w:rPr>
              <w:t>)</w:t>
            </w:r>
          </w:p>
        </w:tc>
        <w:tc>
          <w:tcPr>
            <w:tcW w:w="996" w:type="dxa"/>
            <w:tcBorders>
              <w:top w:val="nil"/>
              <w:left w:val="nil"/>
              <w:bottom w:val="nil"/>
              <w:right w:val="nil"/>
            </w:tcBorders>
          </w:tcPr>
          <w:p w14:paraId="5C6AE563" w14:textId="09AFD2B5" w:rsidR="005B27E8" w:rsidRPr="00A06288" w:rsidRDefault="005B27E8" w:rsidP="00434AFB">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w:t>
            </w:r>
            <w:r w:rsidRPr="00F5674C">
              <w:rPr>
                <w:rFonts w:ascii="Times New Roman" w:eastAsia="Times New Roman" w:hAnsi="Times New Roman" w:cs="Times New Roman"/>
                <w:sz w:val="20"/>
                <w:szCs w:val="20"/>
              </w:rPr>
              <w:t>0.00</w:t>
            </w:r>
            <w:r w:rsidR="00A06288">
              <w:rPr>
                <w:rFonts w:ascii="Times New Roman" w:eastAsia="Times New Roman" w:hAnsi="Times New Roman" w:cs="Times New Roman"/>
                <w:sz w:val="20"/>
                <w:szCs w:val="20"/>
              </w:rPr>
              <w:t>6</w:t>
            </w:r>
            <w:r w:rsidR="00A06288">
              <w:rPr>
                <w:rFonts w:ascii="Times New Roman" w:eastAsia="Times New Roman" w:hAnsi="Times New Roman" w:cs="Times New Roman"/>
                <w:sz w:val="20"/>
                <w:szCs w:val="20"/>
                <w:vertAlign w:val="superscript"/>
              </w:rPr>
              <w:t>*</w:t>
            </w:r>
          </w:p>
          <w:p w14:paraId="0BEEF5DD" w14:textId="58339A2D"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06288">
              <w:rPr>
                <w:rFonts w:ascii="Times New Roman" w:eastAsia="Times New Roman" w:hAnsi="Times New Roman" w:cs="Times New Roman"/>
                <w:sz w:val="20"/>
                <w:szCs w:val="20"/>
              </w:rPr>
              <w:t>068</w:t>
            </w:r>
            <w:r w:rsidRPr="00F5674C">
              <w:rPr>
                <w:rFonts w:ascii="Times New Roman" w:eastAsia="Times New Roman" w:hAnsi="Times New Roman" w:cs="Times New Roman"/>
                <w:sz w:val="20"/>
                <w:szCs w:val="20"/>
              </w:rPr>
              <w:t>)</w:t>
            </w:r>
          </w:p>
        </w:tc>
        <w:tc>
          <w:tcPr>
            <w:tcW w:w="997" w:type="dxa"/>
            <w:tcBorders>
              <w:top w:val="nil"/>
              <w:left w:val="nil"/>
              <w:bottom w:val="nil"/>
              <w:right w:val="nil"/>
            </w:tcBorders>
          </w:tcPr>
          <w:p w14:paraId="695ACC2A" w14:textId="7E8306F5"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2A0AB8">
              <w:rPr>
                <w:rFonts w:ascii="Times New Roman" w:eastAsia="Times New Roman" w:hAnsi="Times New Roman" w:cs="Times New Roman"/>
                <w:sz w:val="20"/>
                <w:szCs w:val="20"/>
              </w:rPr>
              <w:t>58</w:t>
            </w:r>
            <w:r w:rsidRPr="00E822AF">
              <w:rPr>
                <w:rFonts w:ascii="Times New Roman" w:eastAsia="Times New Roman" w:hAnsi="Times New Roman" w:cs="Times New Roman"/>
                <w:sz w:val="20"/>
                <w:szCs w:val="20"/>
                <w:vertAlign w:val="superscript"/>
              </w:rPr>
              <w:t>**</w:t>
            </w:r>
            <w:r w:rsidR="002A0AB8">
              <w:rPr>
                <w:rFonts w:ascii="Times New Roman" w:eastAsia="Times New Roman" w:hAnsi="Times New Roman" w:cs="Times New Roman"/>
                <w:sz w:val="20"/>
                <w:szCs w:val="20"/>
                <w:vertAlign w:val="superscript"/>
              </w:rPr>
              <w:t>*</w:t>
            </w:r>
          </w:p>
          <w:p w14:paraId="5B575FE4" w14:textId="3F782CD6" w:rsidR="005B27E8" w:rsidRPr="00AF0CFD"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2A0AB8">
              <w:rPr>
                <w:rFonts w:ascii="Times New Roman" w:eastAsia="Times New Roman" w:hAnsi="Times New Roman" w:cs="Times New Roman"/>
                <w:sz w:val="20"/>
                <w:szCs w:val="20"/>
              </w:rPr>
              <w:t>02</w:t>
            </w:r>
            <w:r w:rsidRPr="00F5674C">
              <w:rPr>
                <w:rFonts w:ascii="Times New Roman" w:eastAsia="Times New Roman" w:hAnsi="Times New Roman" w:cs="Times New Roman"/>
                <w:sz w:val="20"/>
                <w:szCs w:val="20"/>
              </w:rPr>
              <w:t>)</w:t>
            </w:r>
          </w:p>
        </w:tc>
        <w:tc>
          <w:tcPr>
            <w:tcW w:w="236" w:type="dxa"/>
            <w:tcBorders>
              <w:top w:val="nil"/>
              <w:left w:val="nil"/>
              <w:bottom w:val="nil"/>
              <w:right w:val="nil"/>
            </w:tcBorders>
          </w:tcPr>
          <w:p w14:paraId="4206989A"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12191F92" w14:textId="6CD7C946"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sidR="00AD468A">
              <w:rPr>
                <w:rFonts w:ascii="Times New Roman" w:eastAsia="Times New Roman" w:hAnsi="Times New Roman" w:cs="Times New Roman"/>
                <w:sz w:val="20"/>
                <w:szCs w:val="20"/>
              </w:rPr>
              <w:t>38</w:t>
            </w:r>
            <w:r w:rsidRPr="00E822AF">
              <w:rPr>
                <w:rFonts w:ascii="Times New Roman" w:eastAsia="Times New Roman" w:hAnsi="Times New Roman" w:cs="Times New Roman"/>
                <w:sz w:val="20"/>
                <w:szCs w:val="20"/>
                <w:vertAlign w:val="superscript"/>
              </w:rPr>
              <w:t>**</w:t>
            </w:r>
          </w:p>
          <w:p w14:paraId="68DCCC6C" w14:textId="5ED4956D"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34</w:t>
            </w:r>
            <w:r>
              <w:rPr>
                <w:rFonts w:ascii="Times New Roman" w:eastAsia="Times New Roman" w:hAnsi="Times New Roman" w:cs="Times New Roman"/>
                <w:sz w:val="20"/>
                <w:szCs w:val="20"/>
              </w:rPr>
              <w:t>)</w:t>
            </w:r>
          </w:p>
        </w:tc>
        <w:tc>
          <w:tcPr>
            <w:tcW w:w="1129" w:type="dxa"/>
            <w:tcBorders>
              <w:top w:val="nil"/>
              <w:left w:val="nil"/>
              <w:bottom w:val="nil"/>
              <w:right w:val="nil"/>
            </w:tcBorders>
          </w:tcPr>
          <w:p w14:paraId="799B47C3" w14:textId="77777777" w:rsidR="005B27E8"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-0.00</w:t>
            </w:r>
            <w:r>
              <w:rPr>
                <w:rFonts w:ascii="Times New Roman" w:eastAsia="Times New Roman" w:hAnsi="Times New Roman" w:cs="Times New Roman"/>
                <w:sz w:val="20"/>
                <w:szCs w:val="20"/>
              </w:rPr>
              <w:t>3</w:t>
            </w:r>
          </w:p>
          <w:p w14:paraId="551CFFB2" w14:textId="43043830"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w:t>
            </w:r>
            <w:r w:rsidR="00AF68BA">
              <w:rPr>
                <w:rFonts w:ascii="Times New Roman" w:eastAsia="Times New Roman" w:hAnsi="Times New Roman" w:cs="Times New Roman"/>
                <w:sz w:val="20"/>
                <w:szCs w:val="20"/>
              </w:rPr>
              <w:t>479</w:t>
            </w:r>
            <w:r w:rsidRPr="00F5674C">
              <w:rPr>
                <w:rFonts w:ascii="Times New Roman" w:eastAsia="Times New Roman" w:hAnsi="Times New Roman" w:cs="Times New Roman"/>
                <w:sz w:val="20"/>
                <w:szCs w:val="20"/>
              </w:rPr>
              <w:t>)</w:t>
            </w:r>
          </w:p>
        </w:tc>
        <w:tc>
          <w:tcPr>
            <w:tcW w:w="994" w:type="dxa"/>
            <w:tcBorders>
              <w:top w:val="nil"/>
              <w:left w:val="nil"/>
              <w:bottom w:val="nil"/>
              <w:right w:val="nil"/>
            </w:tcBorders>
          </w:tcPr>
          <w:p w14:paraId="548A333E" w14:textId="3FEA82C3" w:rsidR="005B27E8" w:rsidRDefault="005B27E8" w:rsidP="00434AFB">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-0.0</w:t>
            </w:r>
            <w:r>
              <w:rPr>
                <w:rFonts w:ascii="Times New Roman" w:eastAsia="Times New Roman" w:hAnsi="Times New Roman" w:cs="Times New Roman"/>
                <w:sz w:val="20"/>
                <w:szCs w:val="20"/>
              </w:rPr>
              <w:t>4</w:t>
            </w:r>
            <w:r w:rsidR="00AF68BA">
              <w:rPr>
                <w:rFonts w:ascii="Times New Roman" w:eastAsia="Times New Roman" w:hAnsi="Times New Roman" w:cs="Times New Roman"/>
                <w:sz w:val="20"/>
                <w:szCs w:val="20"/>
              </w:rPr>
              <w:t>1</w:t>
            </w:r>
            <w:r w:rsidRPr="00E822AF">
              <w:rPr>
                <w:rFonts w:ascii="Times New Roman" w:eastAsia="Times New Roman" w:hAnsi="Times New Roman" w:cs="Times New Roman"/>
                <w:sz w:val="20"/>
                <w:szCs w:val="20"/>
                <w:vertAlign w:val="superscript"/>
              </w:rPr>
              <w:t>**</w:t>
            </w:r>
          </w:p>
          <w:p w14:paraId="54DCBAB9" w14:textId="1D740C2E" w:rsidR="005B27E8" w:rsidRPr="00F5674C" w:rsidRDefault="005B27E8" w:rsidP="00434AFB">
            <w:pPr>
              <w:spacing w:after="0"/>
              <w:ind w:right="-62"/>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F68BA">
              <w:rPr>
                <w:rFonts w:ascii="Times New Roman" w:eastAsia="Times New Roman" w:hAnsi="Times New Roman" w:cs="Times New Roman"/>
                <w:sz w:val="20"/>
                <w:szCs w:val="20"/>
              </w:rPr>
              <w:t>50</w:t>
            </w:r>
            <w:r w:rsidRPr="00F5674C">
              <w:rPr>
                <w:rFonts w:ascii="Times New Roman" w:eastAsia="Times New Roman" w:hAnsi="Times New Roman" w:cs="Times New Roman"/>
                <w:sz w:val="20"/>
                <w:szCs w:val="20"/>
              </w:rPr>
              <w:t>)</w:t>
            </w:r>
          </w:p>
        </w:tc>
      </w:tr>
      <w:tr w:rsidR="005B27E8" w:rsidRPr="00F5674C" w14:paraId="2E6B8B22" w14:textId="77777777" w:rsidTr="00434AFB">
        <w:trPr>
          <w:trHeight w:val="87"/>
        </w:trPr>
        <w:tc>
          <w:tcPr>
            <w:tcW w:w="3828" w:type="dxa"/>
            <w:tcBorders>
              <w:top w:val="nil"/>
              <w:left w:val="nil"/>
              <w:bottom w:val="nil"/>
              <w:right w:val="nil"/>
            </w:tcBorders>
          </w:tcPr>
          <w:p w14:paraId="5B608D7A"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Year dummies</w:t>
            </w:r>
          </w:p>
        </w:tc>
        <w:tc>
          <w:tcPr>
            <w:tcW w:w="991" w:type="dxa"/>
            <w:tcBorders>
              <w:top w:val="nil"/>
              <w:left w:val="nil"/>
              <w:bottom w:val="nil"/>
              <w:right w:val="nil"/>
            </w:tcBorders>
          </w:tcPr>
          <w:p w14:paraId="222075FC"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6" w:type="dxa"/>
            <w:tcBorders>
              <w:top w:val="nil"/>
              <w:left w:val="nil"/>
              <w:bottom w:val="nil"/>
              <w:right w:val="nil"/>
            </w:tcBorders>
          </w:tcPr>
          <w:p w14:paraId="525B1744"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7" w:type="dxa"/>
            <w:tcBorders>
              <w:top w:val="nil"/>
              <w:left w:val="nil"/>
              <w:bottom w:val="nil"/>
              <w:right w:val="nil"/>
            </w:tcBorders>
          </w:tcPr>
          <w:p w14:paraId="0B9879ED"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236" w:type="dxa"/>
            <w:tcBorders>
              <w:top w:val="nil"/>
              <w:left w:val="nil"/>
              <w:bottom w:val="nil"/>
              <w:right w:val="nil"/>
            </w:tcBorders>
          </w:tcPr>
          <w:p w14:paraId="738A33FD" w14:textId="77777777" w:rsidR="005B27E8" w:rsidRPr="0018087A"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17F96846"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129" w:type="dxa"/>
            <w:tcBorders>
              <w:top w:val="nil"/>
              <w:left w:val="nil"/>
              <w:bottom w:val="nil"/>
              <w:right w:val="nil"/>
            </w:tcBorders>
          </w:tcPr>
          <w:p w14:paraId="5622068B"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4" w:type="dxa"/>
            <w:tcBorders>
              <w:top w:val="nil"/>
              <w:left w:val="nil"/>
              <w:bottom w:val="nil"/>
              <w:right w:val="nil"/>
            </w:tcBorders>
          </w:tcPr>
          <w:p w14:paraId="7261D66A" w14:textId="77777777" w:rsidR="005B27E8" w:rsidRPr="0018087A" w:rsidRDefault="005B27E8" w:rsidP="00434AFB">
            <w:pPr>
              <w:spacing w:after="0"/>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5B27E8" w:rsidRPr="00F5674C" w14:paraId="6DAA3AE1" w14:textId="77777777" w:rsidTr="00434AFB">
        <w:trPr>
          <w:trHeight w:val="87"/>
        </w:trPr>
        <w:tc>
          <w:tcPr>
            <w:tcW w:w="3828" w:type="dxa"/>
            <w:tcBorders>
              <w:top w:val="nil"/>
              <w:left w:val="nil"/>
              <w:bottom w:val="nil"/>
              <w:right w:val="nil"/>
            </w:tcBorders>
          </w:tcPr>
          <w:p w14:paraId="6EC55D1B" w14:textId="77777777" w:rsidR="005B27E8" w:rsidRPr="00F5674C" w:rsidRDefault="005B27E8" w:rsidP="00434AFB">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Country dummies</w:t>
            </w:r>
          </w:p>
        </w:tc>
        <w:tc>
          <w:tcPr>
            <w:tcW w:w="991" w:type="dxa"/>
            <w:tcBorders>
              <w:top w:val="nil"/>
              <w:left w:val="nil"/>
              <w:bottom w:val="nil"/>
              <w:right w:val="nil"/>
            </w:tcBorders>
          </w:tcPr>
          <w:p w14:paraId="2491D922"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6" w:type="dxa"/>
            <w:tcBorders>
              <w:top w:val="nil"/>
              <w:left w:val="nil"/>
              <w:bottom w:val="nil"/>
              <w:right w:val="nil"/>
            </w:tcBorders>
          </w:tcPr>
          <w:p w14:paraId="0A43BECD"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7" w:type="dxa"/>
            <w:tcBorders>
              <w:top w:val="nil"/>
              <w:left w:val="nil"/>
              <w:bottom w:val="nil"/>
              <w:right w:val="nil"/>
            </w:tcBorders>
          </w:tcPr>
          <w:p w14:paraId="63FB82F5"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236" w:type="dxa"/>
            <w:tcBorders>
              <w:top w:val="nil"/>
              <w:left w:val="nil"/>
              <w:bottom w:val="nil"/>
              <w:right w:val="nil"/>
            </w:tcBorders>
          </w:tcPr>
          <w:p w14:paraId="42DBCB98" w14:textId="77777777" w:rsidR="005B27E8" w:rsidRPr="0018087A"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051E50DA"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129" w:type="dxa"/>
            <w:tcBorders>
              <w:top w:val="nil"/>
              <w:left w:val="nil"/>
              <w:bottom w:val="nil"/>
              <w:right w:val="nil"/>
            </w:tcBorders>
          </w:tcPr>
          <w:p w14:paraId="77106B5F" w14:textId="77777777" w:rsidR="005B27E8" w:rsidRPr="0018087A" w:rsidRDefault="005B27E8" w:rsidP="00434A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4" w:type="dxa"/>
            <w:tcBorders>
              <w:top w:val="nil"/>
              <w:left w:val="nil"/>
              <w:bottom w:val="nil"/>
              <w:right w:val="nil"/>
            </w:tcBorders>
          </w:tcPr>
          <w:p w14:paraId="4BF413D9" w14:textId="77777777" w:rsidR="005B27E8" w:rsidRPr="0018087A" w:rsidRDefault="005B27E8" w:rsidP="00434AFB">
            <w:pPr>
              <w:spacing w:after="0"/>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r>
      <w:tr w:rsidR="005B27E8" w:rsidRPr="00F5674C" w14:paraId="60E5F544" w14:textId="77777777" w:rsidTr="00434AFB">
        <w:tc>
          <w:tcPr>
            <w:tcW w:w="3828" w:type="dxa"/>
            <w:tcBorders>
              <w:top w:val="nil"/>
              <w:left w:val="nil"/>
              <w:bottom w:val="nil"/>
              <w:right w:val="nil"/>
            </w:tcBorders>
          </w:tcPr>
          <w:p w14:paraId="36A1BBC8" w14:textId="77777777" w:rsidR="005B27E8" w:rsidRPr="00F5674C" w:rsidRDefault="005B27E8" w:rsidP="00434AFB">
            <w:pPr>
              <w:spacing w:after="0"/>
              <w:rPr>
                <w:rFonts w:ascii="Times New Roman" w:eastAsia="SimSun" w:hAnsi="Times New Roman" w:cs="Times New Roman"/>
                <w:color w:val="000000"/>
                <w:sz w:val="20"/>
                <w:szCs w:val="20"/>
                <w:lang w:val="en-US"/>
              </w:rPr>
            </w:pPr>
            <w:r w:rsidRPr="00F5674C">
              <w:rPr>
                <w:rFonts w:ascii="Times New Roman" w:eastAsia="SimSun" w:hAnsi="Times New Roman" w:cs="Times New Roman"/>
                <w:color w:val="000000"/>
                <w:sz w:val="20"/>
                <w:szCs w:val="20"/>
                <w:lang w:val="en-US"/>
              </w:rPr>
              <w:t>Constant</w:t>
            </w:r>
          </w:p>
        </w:tc>
        <w:tc>
          <w:tcPr>
            <w:tcW w:w="991" w:type="dxa"/>
            <w:tcBorders>
              <w:top w:val="nil"/>
              <w:left w:val="nil"/>
              <w:bottom w:val="nil"/>
              <w:right w:val="nil"/>
            </w:tcBorders>
          </w:tcPr>
          <w:p w14:paraId="75ADACD0" w14:textId="0BA52510"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1.</w:t>
            </w:r>
            <w:r w:rsidR="00A06288">
              <w:rPr>
                <w:rFonts w:ascii="Times New Roman" w:eastAsia="Times New Roman" w:hAnsi="Times New Roman" w:cs="Times New Roman"/>
                <w:sz w:val="20"/>
                <w:szCs w:val="20"/>
              </w:rPr>
              <w:t>400</w:t>
            </w:r>
            <w:r w:rsidRPr="00F5674C">
              <w:rPr>
                <w:rFonts w:ascii="Times New Roman" w:eastAsia="Times New Roman" w:hAnsi="Times New Roman" w:cs="Times New Roman"/>
                <w:sz w:val="20"/>
                <w:szCs w:val="20"/>
                <w:vertAlign w:val="superscript"/>
              </w:rPr>
              <w:t>***</w:t>
            </w:r>
          </w:p>
        </w:tc>
        <w:tc>
          <w:tcPr>
            <w:tcW w:w="996" w:type="dxa"/>
            <w:tcBorders>
              <w:top w:val="nil"/>
              <w:left w:val="nil"/>
              <w:bottom w:val="nil"/>
              <w:right w:val="nil"/>
            </w:tcBorders>
          </w:tcPr>
          <w:p w14:paraId="22CB9A81" w14:textId="4DF1C53A"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00A06288">
              <w:rPr>
                <w:rFonts w:ascii="Times New Roman" w:eastAsia="Times New Roman" w:hAnsi="Times New Roman" w:cs="Times New Roman"/>
                <w:sz w:val="20"/>
                <w:szCs w:val="20"/>
              </w:rPr>
              <w:t>46</w:t>
            </w:r>
            <w:r w:rsidRPr="00F5674C">
              <w:rPr>
                <w:rFonts w:ascii="Times New Roman" w:eastAsia="Times New Roman" w:hAnsi="Times New Roman" w:cs="Times New Roman"/>
                <w:sz w:val="20"/>
                <w:szCs w:val="20"/>
                <w:vertAlign w:val="superscript"/>
              </w:rPr>
              <w:t>***</w:t>
            </w:r>
          </w:p>
        </w:tc>
        <w:tc>
          <w:tcPr>
            <w:tcW w:w="997" w:type="dxa"/>
            <w:tcBorders>
              <w:top w:val="nil"/>
              <w:left w:val="nil"/>
              <w:bottom w:val="nil"/>
              <w:right w:val="nil"/>
            </w:tcBorders>
          </w:tcPr>
          <w:p w14:paraId="77F312EA" w14:textId="5F1C9DFD"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1.</w:t>
            </w:r>
            <w:r w:rsidR="002A0AB8">
              <w:rPr>
                <w:rFonts w:ascii="Times New Roman" w:eastAsia="Times New Roman" w:hAnsi="Times New Roman" w:cs="Times New Roman"/>
                <w:sz w:val="20"/>
                <w:szCs w:val="20"/>
              </w:rPr>
              <w:t>646</w:t>
            </w:r>
            <w:r w:rsidRPr="00F5674C">
              <w:rPr>
                <w:rFonts w:ascii="Times New Roman" w:eastAsia="Times New Roman" w:hAnsi="Times New Roman" w:cs="Times New Roman"/>
                <w:sz w:val="20"/>
                <w:szCs w:val="20"/>
                <w:vertAlign w:val="superscript"/>
              </w:rPr>
              <w:t>***</w:t>
            </w:r>
          </w:p>
        </w:tc>
        <w:tc>
          <w:tcPr>
            <w:tcW w:w="236" w:type="dxa"/>
            <w:tcBorders>
              <w:top w:val="nil"/>
              <w:left w:val="nil"/>
              <w:bottom w:val="nil"/>
              <w:right w:val="nil"/>
            </w:tcBorders>
          </w:tcPr>
          <w:p w14:paraId="432982DC"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nil"/>
              <w:right w:val="nil"/>
            </w:tcBorders>
          </w:tcPr>
          <w:p w14:paraId="2A8E0279" w14:textId="5DCFDF50" w:rsidR="005B27E8" w:rsidRPr="00F5674C" w:rsidRDefault="00AD468A" w:rsidP="00434AFB">
            <w:pPr>
              <w:spacing w:after="0"/>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1.392</w:t>
            </w:r>
            <w:r w:rsidR="005B27E8" w:rsidRPr="00F5674C">
              <w:rPr>
                <w:rFonts w:ascii="Times New Roman" w:eastAsia="Times New Roman" w:hAnsi="Times New Roman" w:cs="Times New Roman"/>
                <w:sz w:val="20"/>
                <w:szCs w:val="20"/>
                <w:vertAlign w:val="superscript"/>
              </w:rPr>
              <w:t>***</w:t>
            </w:r>
          </w:p>
        </w:tc>
        <w:tc>
          <w:tcPr>
            <w:tcW w:w="1129" w:type="dxa"/>
            <w:tcBorders>
              <w:top w:val="nil"/>
              <w:left w:val="nil"/>
              <w:bottom w:val="nil"/>
              <w:right w:val="nil"/>
            </w:tcBorders>
          </w:tcPr>
          <w:p w14:paraId="2501998D" w14:textId="05C2E1B6"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0.</w:t>
            </w:r>
            <w:r w:rsidR="00AF68BA">
              <w:rPr>
                <w:rFonts w:ascii="Times New Roman" w:eastAsia="Times New Roman" w:hAnsi="Times New Roman" w:cs="Times New Roman"/>
                <w:sz w:val="20"/>
                <w:szCs w:val="20"/>
              </w:rPr>
              <w:t>244</w:t>
            </w:r>
            <w:r w:rsidRPr="00F5674C">
              <w:rPr>
                <w:rFonts w:ascii="Times New Roman" w:eastAsia="Times New Roman" w:hAnsi="Times New Roman" w:cs="Times New Roman"/>
                <w:sz w:val="20"/>
                <w:szCs w:val="20"/>
                <w:vertAlign w:val="superscript"/>
              </w:rPr>
              <w:t>***</w:t>
            </w:r>
          </w:p>
        </w:tc>
        <w:tc>
          <w:tcPr>
            <w:tcW w:w="994" w:type="dxa"/>
            <w:tcBorders>
              <w:top w:val="nil"/>
              <w:left w:val="nil"/>
              <w:bottom w:val="nil"/>
              <w:right w:val="nil"/>
            </w:tcBorders>
          </w:tcPr>
          <w:p w14:paraId="496C7589" w14:textId="30CEAD73" w:rsidR="005B27E8" w:rsidRPr="00F5674C" w:rsidRDefault="005B27E8" w:rsidP="00434AFB">
            <w:pPr>
              <w:spacing w:after="0"/>
              <w:rPr>
                <w:rFonts w:ascii="Times New Roman" w:eastAsia="Times New Roman" w:hAnsi="Times New Roman" w:cs="Times New Roman"/>
                <w:sz w:val="20"/>
                <w:szCs w:val="20"/>
                <w:vertAlign w:val="superscript"/>
              </w:rPr>
            </w:pPr>
            <w:r w:rsidRPr="00F5674C">
              <w:rPr>
                <w:rFonts w:ascii="Times New Roman" w:eastAsia="Times New Roman" w:hAnsi="Times New Roman" w:cs="Times New Roman"/>
                <w:sz w:val="20"/>
                <w:szCs w:val="20"/>
              </w:rPr>
              <w:t>1.</w:t>
            </w:r>
            <w:r>
              <w:rPr>
                <w:rFonts w:ascii="Times New Roman" w:eastAsia="Times New Roman" w:hAnsi="Times New Roman" w:cs="Times New Roman"/>
                <w:sz w:val="20"/>
                <w:szCs w:val="20"/>
              </w:rPr>
              <w:t>1</w:t>
            </w:r>
            <w:r w:rsidR="00AF68BA">
              <w:rPr>
                <w:rFonts w:ascii="Times New Roman" w:eastAsia="Times New Roman" w:hAnsi="Times New Roman" w:cs="Times New Roman"/>
                <w:sz w:val="20"/>
                <w:szCs w:val="20"/>
              </w:rPr>
              <w:t>37</w:t>
            </w:r>
            <w:r w:rsidRPr="00F5674C">
              <w:rPr>
                <w:rFonts w:ascii="Times New Roman" w:eastAsia="Times New Roman" w:hAnsi="Times New Roman" w:cs="Times New Roman"/>
                <w:sz w:val="20"/>
                <w:szCs w:val="20"/>
                <w:vertAlign w:val="superscript"/>
              </w:rPr>
              <w:t>***</w:t>
            </w:r>
          </w:p>
        </w:tc>
      </w:tr>
      <w:tr w:rsidR="005B27E8" w:rsidRPr="00F5674C" w14:paraId="44DE4DBD" w14:textId="77777777" w:rsidTr="00434AFB">
        <w:tc>
          <w:tcPr>
            <w:tcW w:w="3828" w:type="dxa"/>
            <w:tcBorders>
              <w:top w:val="nil"/>
              <w:left w:val="nil"/>
              <w:right w:val="nil"/>
            </w:tcBorders>
          </w:tcPr>
          <w:p w14:paraId="70FF0C24" w14:textId="77777777" w:rsidR="005B27E8" w:rsidRPr="00F5674C" w:rsidRDefault="005B27E8" w:rsidP="00434AFB">
            <w:pPr>
              <w:spacing w:after="0"/>
              <w:rPr>
                <w:rFonts w:ascii="Times New Roman" w:eastAsia="SimSun" w:hAnsi="Times New Roman" w:cs="Times New Roman"/>
                <w:color w:val="000000"/>
                <w:sz w:val="20"/>
                <w:szCs w:val="20"/>
                <w:lang w:val="en-US"/>
              </w:rPr>
            </w:pPr>
            <w:r w:rsidRPr="00F5674C">
              <w:rPr>
                <w:rFonts w:ascii="Times New Roman" w:eastAsia="SimSun" w:hAnsi="Times New Roman" w:cs="Times New Roman"/>
                <w:i/>
                <w:sz w:val="20"/>
                <w:szCs w:val="20"/>
                <w:lang w:val="en-US"/>
              </w:rPr>
              <w:t>R</w:t>
            </w:r>
            <w:r>
              <w:rPr>
                <w:rFonts w:ascii="Times New Roman" w:eastAsia="SimSun" w:hAnsi="Times New Roman" w:cs="Times New Roman"/>
                <w:i/>
                <w:sz w:val="20"/>
                <w:szCs w:val="20"/>
                <w:lang w:val="en-US"/>
              </w:rPr>
              <w:t>-sq</w:t>
            </w:r>
          </w:p>
        </w:tc>
        <w:tc>
          <w:tcPr>
            <w:tcW w:w="991" w:type="dxa"/>
            <w:tcBorders>
              <w:top w:val="nil"/>
              <w:left w:val="nil"/>
              <w:right w:val="nil"/>
            </w:tcBorders>
          </w:tcPr>
          <w:p w14:paraId="0381A423" w14:textId="454F248B"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06288">
              <w:rPr>
                <w:rFonts w:ascii="Times New Roman" w:eastAsia="Times New Roman" w:hAnsi="Times New Roman" w:cs="Times New Roman"/>
                <w:sz w:val="20"/>
                <w:szCs w:val="20"/>
              </w:rPr>
              <w:t>446</w:t>
            </w:r>
          </w:p>
        </w:tc>
        <w:tc>
          <w:tcPr>
            <w:tcW w:w="996" w:type="dxa"/>
            <w:tcBorders>
              <w:top w:val="nil"/>
              <w:left w:val="nil"/>
              <w:right w:val="nil"/>
            </w:tcBorders>
          </w:tcPr>
          <w:p w14:paraId="1F828B4A" w14:textId="1EC9A9CE"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06288">
              <w:rPr>
                <w:rFonts w:ascii="Times New Roman" w:eastAsia="Times New Roman" w:hAnsi="Times New Roman" w:cs="Times New Roman"/>
                <w:sz w:val="20"/>
                <w:szCs w:val="20"/>
              </w:rPr>
              <w:t>374</w:t>
            </w:r>
          </w:p>
        </w:tc>
        <w:tc>
          <w:tcPr>
            <w:tcW w:w="997" w:type="dxa"/>
            <w:tcBorders>
              <w:top w:val="nil"/>
              <w:left w:val="nil"/>
              <w:right w:val="nil"/>
            </w:tcBorders>
          </w:tcPr>
          <w:p w14:paraId="6E264EAD" w14:textId="76EC87E9"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45</w:t>
            </w:r>
            <w:r w:rsidR="002A0AB8">
              <w:rPr>
                <w:rFonts w:ascii="Times New Roman" w:eastAsia="Times New Roman" w:hAnsi="Times New Roman" w:cs="Times New Roman"/>
                <w:sz w:val="20"/>
                <w:szCs w:val="20"/>
              </w:rPr>
              <w:t>1</w:t>
            </w:r>
          </w:p>
        </w:tc>
        <w:tc>
          <w:tcPr>
            <w:tcW w:w="236" w:type="dxa"/>
            <w:tcBorders>
              <w:top w:val="nil"/>
              <w:left w:val="nil"/>
              <w:right w:val="nil"/>
            </w:tcBorders>
          </w:tcPr>
          <w:p w14:paraId="4EA536E9"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right w:val="nil"/>
            </w:tcBorders>
          </w:tcPr>
          <w:p w14:paraId="3338706C" w14:textId="42147914"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Pr>
                <w:rFonts w:ascii="Times New Roman" w:eastAsia="Times New Roman" w:hAnsi="Times New Roman" w:cs="Times New Roman"/>
                <w:sz w:val="20"/>
                <w:szCs w:val="20"/>
              </w:rPr>
              <w:t>4</w:t>
            </w:r>
            <w:r w:rsidR="002A0AB8">
              <w:rPr>
                <w:rFonts w:ascii="Times New Roman" w:eastAsia="Times New Roman" w:hAnsi="Times New Roman" w:cs="Times New Roman"/>
                <w:sz w:val="20"/>
                <w:szCs w:val="20"/>
              </w:rPr>
              <w:t>49</w:t>
            </w:r>
          </w:p>
        </w:tc>
        <w:tc>
          <w:tcPr>
            <w:tcW w:w="1129" w:type="dxa"/>
            <w:tcBorders>
              <w:top w:val="nil"/>
              <w:left w:val="nil"/>
              <w:right w:val="nil"/>
            </w:tcBorders>
          </w:tcPr>
          <w:p w14:paraId="173DA8AB" w14:textId="4DBEEA8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w:t>
            </w:r>
            <w:r w:rsidR="00AD468A">
              <w:rPr>
                <w:rFonts w:ascii="Times New Roman" w:eastAsia="Times New Roman" w:hAnsi="Times New Roman" w:cs="Times New Roman"/>
                <w:sz w:val="20"/>
                <w:szCs w:val="20"/>
              </w:rPr>
              <w:t>381</w:t>
            </w:r>
          </w:p>
        </w:tc>
        <w:tc>
          <w:tcPr>
            <w:tcW w:w="994" w:type="dxa"/>
            <w:tcBorders>
              <w:top w:val="nil"/>
              <w:left w:val="nil"/>
              <w:right w:val="nil"/>
            </w:tcBorders>
          </w:tcPr>
          <w:p w14:paraId="337C5BE6" w14:textId="59880FC6"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0.4</w:t>
            </w:r>
            <w:r w:rsidR="00AF68BA">
              <w:rPr>
                <w:rFonts w:ascii="Times New Roman" w:eastAsia="Times New Roman" w:hAnsi="Times New Roman" w:cs="Times New Roman"/>
                <w:sz w:val="20"/>
                <w:szCs w:val="20"/>
              </w:rPr>
              <w:t>55</w:t>
            </w:r>
          </w:p>
        </w:tc>
      </w:tr>
      <w:tr w:rsidR="005B27E8" w:rsidRPr="00F5674C" w14:paraId="643F5B8F" w14:textId="77777777" w:rsidTr="00434AFB">
        <w:tc>
          <w:tcPr>
            <w:tcW w:w="3828" w:type="dxa"/>
            <w:tcBorders>
              <w:top w:val="nil"/>
              <w:left w:val="nil"/>
              <w:bottom w:val="single" w:sz="4" w:space="0" w:color="auto"/>
              <w:right w:val="nil"/>
            </w:tcBorders>
          </w:tcPr>
          <w:p w14:paraId="1F591491" w14:textId="77777777" w:rsidR="005B27E8" w:rsidRPr="00F5674C" w:rsidRDefault="005B27E8" w:rsidP="00434AFB">
            <w:pPr>
              <w:spacing w:after="0"/>
              <w:rPr>
                <w:rFonts w:ascii="Times New Roman" w:eastAsia="SimSun" w:hAnsi="Times New Roman" w:cs="Times New Roman"/>
                <w:color w:val="000000"/>
                <w:sz w:val="20"/>
                <w:szCs w:val="20"/>
                <w:lang w:val="en-US"/>
              </w:rPr>
            </w:pPr>
            <w:r w:rsidRPr="00F5674C">
              <w:rPr>
                <w:rFonts w:ascii="Times New Roman" w:eastAsia="SimSun" w:hAnsi="Times New Roman" w:cs="Times New Roman"/>
                <w:color w:val="000000"/>
                <w:sz w:val="20"/>
                <w:szCs w:val="20"/>
                <w:lang w:val="en-US"/>
              </w:rPr>
              <w:t>N</w:t>
            </w:r>
            <w:r>
              <w:rPr>
                <w:rFonts w:ascii="Times New Roman" w:eastAsia="SimSun" w:hAnsi="Times New Roman" w:cs="Times New Roman"/>
                <w:color w:val="000000"/>
                <w:sz w:val="20"/>
                <w:szCs w:val="20"/>
                <w:lang w:val="en-US"/>
              </w:rPr>
              <w:t>umber of observations</w:t>
            </w:r>
          </w:p>
        </w:tc>
        <w:tc>
          <w:tcPr>
            <w:tcW w:w="991" w:type="dxa"/>
            <w:tcBorders>
              <w:top w:val="nil"/>
              <w:left w:val="nil"/>
              <w:bottom w:val="single" w:sz="4" w:space="0" w:color="auto"/>
              <w:right w:val="nil"/>
            </w:tcBorders>
          </w:tcPr>
          <w:p w14:paraId="3776CE66"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996" w:type="dxa"/>
            <w:tcBorders>
              <w:top w:val="nil"/>
              <w:left w:val="nil"/>
              <w:bottom w:val="single" w:sz="4" w:space="0" w:color="auto"/>
              <w:right w:val="nil"/>
            </w:tcBorders>
          </w:tcPr>
          <w:p w14:paraId="63D90315"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997" w:type="dxa"/>
            <w:tcBorders>
              <w:top w:val="nil"/>
              <w:left w:val="nil"/>
              <w:bottom w:val="single" w:sz="4" w:space="0" w:color="auto"/>
              <w:right w:val="nil"/>
            </w:tcBorders>
          </w:tcPr>
          <w:p w14:paraId="17582947"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236" w:type="dxa"/>
            <w:tcBorders>
              <w:top w:val="nil"/>
              <w:left w:val="nil"/>
              <w:bottom w:val="single" w:sz="4" w:space="0" w:color="auto"/>
              <w:right w:val="nil"/>
            </w:tcBorders>
          </w:tcPr>
          <w:p w14:paraId="2C344ACE" w14:textId="77777777" w:rsidR="005B27E8" w:rsidRPr="00F5674C" w:rsidRDefault="005B27E8" w:rsidP="00434AFB">
            <w:pPr>
              <w:spacing w:after="0"/>
              <w:rPr>
                <w:rFonts w:ascii="Times New Roman" w:eastAsia="Times New Roman" w:hAnsi="Times New Roman" w:cs="Times New Roman"/>
                <w:sz w:val="20"/>
                <w:szCs w:val="20"/>
              </w:rPr>
            </w:pPr>
          </w:p>
        </w:tc>
        <w:tc>
          <w:tcPr>
            <w:tcW w:w="1046" w:type="dxa"/>
            <w:tcBorders>
              <w:top w:val="nil"/>
              <w:left w:val="nil"/>
              <w:bottom w:val="single" w:sz="4" w:space="0" w:color="auto"/>
              <w:right w:val="nil"/>
            </w:tcBorders>
          </w:tcPr>
          <w:p w14:paraId="6D269BA6"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1129" w:type="dxa"/>
            <w:tcBorders>
              <w:top w:val="nil"/>
              <w:left w:val="nil"/>
              <w:bottom w:val="single" w:sz="4" w:space="0" w:color="auto"/>
              <w:right w:val="nil"/>
            </w:tcBorders>
          </w:tcPr>
          <w:p w14:paraId="7D2E0ED6"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c>
          <w:tcPr>
            <w:tcW w:w="994" w:type="dxa"/>
            <w:tcBorders>
              <w:top w:val="nil"/>
              <w:left w:val="nil"/>
              <w:bottom w:val="single" w:sz="4" w:space="0" w:color="auto"/>
              <w:right w:val="nil"/>
            </w:tcBorders>
          </w:tcPr>
          <w:p w14:paraId="6AFC185B" w14:textId="77777777" w:rsidR="005B27E8" w:rsidRPr="00F5674C" w:rsidRDefault="005B27E8" w:rsidP="00434AFB">
            <w:pPr>
              <w:spacing w:after="0"/>
              <w:rPr>
                <w:rFonts w:ascii="Times New Roman" w:eastAsia="Times New Roman" w:hAnsi="Times New Roman" w:cs="Times New Roman"/>
                <w:sz w:val="20"/>
                <w:szCs w:val="20"/>
              </w:rPr>
            </w:pPr>
            <w:r w:rsidRPr="00F5674C">
              <w:rPr>
                <w:rFonts w:ascii="Times New Roman" w:eastAsia="Times New Roman" w:hAnsi="Times New Roman" w:cs="Times New Roman"/>
                <w:sz w:val="20"/>
                <w:szCs w:val="20"/>
              </w:rPr>
              <w:t>702</w:t>
            </w:r>
          </w:p>
        </w:tc>
      </w:tr>
      <w:tr w:rsidR="005B27E8" w:rsidRPr="00F5674C" w14:paraId="710D32E9" w14:textId="77777777" w:rsidTr="00434AFB">
        <w:tc>
          <w:tcPr>
            <w:tcW w:w="10213" w:type="dxa"/>
            <w:gridSpan w:val="8"/>
            <w:tcBorders>
              <w:top w:val="single" w:sz="4" w:space="0" w:color="auto"/>
              <w:left w:val="nil"/>
              <w:right w:val="nil"/>
            </w:tcBorders>
          </w:tcPr>
          <w:p w14:paraId="6DA86A91" w14:textId="77777777" w:rsidR="005B27E8" w:rsidRPr="00F5674C" w:rsidRDefault="005B27E8" w:rsidP="00434AFB">
            <w:pPr>
              <w:spacing w:after="0"/>
              <w:rPr>
                <w:rFonts w:ascii="Times New Roman" w:eastAsia="Calibri" w:hAnsi="Times New Roman" w:cs="Times New Roman"/>
                <w:sz w:val="16"/>
                <w:szCs w:val="16"/>
                <w:lang w:val="en-US"/>
              </w:rPr>
            </w:pPr>
            <w:r w:rsidRPr="00F5674C">
              <w:rPr>
                <w:rFonts w:ascii="Times New Roman" w:eastAsia="Times New Roman" w:hAnsi="Times New Roman" w:cs="Times New Roman"/>
                <w:color w:val="000000"/>
                <w:sz w:val="20"/>
                <w:szCs w:val="20"/>
                <w:lang w:val="en-US" w:eastAsia="en-GB"/>
              </w:rPr>
              <w:t xml:space="preserve">Please </w:t>
            </w:r>
            <w:r>
              <w:rPr>
                <w:rFonts w:ascii="Times New Roman" w:eastAsia="Times New Roman" w:hAnsi="Times New Roman" w:cs="Times New Roman"/>
                <w:color w:val="000000"/>
                <w:sz w:val="20"/>
                <w:szCs w:val="20"/>
                <w:lang w:val="en-US" w:eastAsia="en-GB"/>
              </w:rPr>
              <w:t>refer to the</w:t>
            </w:r>
            <w:r w:rsidRPr="00F5674C">
              <w:rPr>
                <w:rFonts w:ascii="Times New Roman" w:eastAsia="Times New Roman" w:hAnsi="Times New Roman" w:cs="Times New Roman"/>
                <w:color w:val="000000"/>
                <w:sz w:val="20"/>
                <w:szCs w:val="20"/>
                <w:lang w:val="en-US" w:eastAsia="en-GB"/>
              </w:rPr>
              <w:t xml:space="preserve"> </w:t>
            </w:r>
            <w:r w:rsidRPr="008113B5">
              <w:rPr>
                <w:rFonts w:ascii="Times New Roman" w:eastAsia="Times New Roman" w:hAnsi="Times New Roman" w:cs="Times New Roman"/>
                <w:b/>
                <w:bCs/>
                <w:i/>
                <w:iCs/>
                <w:color w:val="000000"/>
                <w:sz w:val="20"/>
                <w:szCs w:val="20"/>
                <w:lang w:val="en-US" w:eastAsia="en-GB"/>
              </w:rPr>
              <w:t>online Appendix 1</w:t>
            </w:r>
            <w:r w:rsidRPr="00F5674C">
              <w:rPr>
                <w:rFonts w:ascii="Times New Roman" w:eastAsia="Times New Roman" w:hAnsi="Times New Roman" w:cs="Times New Roman"/>
                <w:color w:val="000000"/>
                <w:sz w:val="20"/>
                <w:szCs w:val="20"/>
                <w:lang w:val="en-US" w:eastAsia="en-GB"/>
              </w:rPr>
              <w:t xml:space="preserve"> for variable definitions. </w:t>
            </w:r>
            <w:r w:rsidRPr="00F5674C">
              <w:rPr>
                <w:rFonts w:ascii="Times New Roman" w:eastAsia="Calibri" w:hAnsi="Times New Roman" w:cs="Times New Roman"/>
                <w:sz w:val="20"/>
                <w:szCs w:val="20"/>
                <w:lang w:val="en-US"/>
              </w:rPr>
              <w:t>*** Significance at the 1% level (p&lt;0.01)</w:t>
            </w:r>
            <w:r>
              <w:rPr>
                <w:rFonts w:ascii="Times New Roman" w:eastAsia="Calibri" w:hAnsi="Times New Roman" w:cs="Times New Roman"/>
                <w:sz w:val="20"/>
                <w:szCs w:val="20"/>
                <w:lang w:val="en-US"/>
              </w:rPr>
              <w:t xml:space="preserve">, </w:t>
            </w:r>
            <w:r w:rsidRPr="00F5674C">
              <w:rPr>
                <w:rFonts w:ascii="Times New Roman" w:eastAsia="Calibri" w:hAnsi="Times New Roman" w:cs="Times New Roman"/>
                <w:sz w:val="20"/>
                <w:szCs w:val="20"/>
                <w:lang w:val="en-US"/>
              </w:rPr>
              <w:t>** Significance at the 5% level (p&lt;0.05)</w:t>
            </w:r>
            <w:r>
              <w:rPr>
                <w:rFonts w:ascii="Times New Roman" w:eastAsia="Calibri" w:hAnsi="Times New Roman" w:cs="Times New Roman"/>
                <w:sz w:val="20"/>
                <w:szCs w:val="20"/>
                <w:lang w:val="en-US"/>
              </w:rPr>
              <w:t xml:space="preserve"> and </w:t>
            </w:r>
            <w:r w:rsidRPr="00F5674C">
              <w:rPr>
                <w:rFonts w:ascii="Times New Roman" w:eastAsia="Calibri" w:hAnsi="Times New Roman" w:cs="Times New Roman"/>
                <w:sz w:val="20"/>
                <w:szCs w:val="20"/>
                <w:lang w:val="en-US"/>
              </w:rPr>
              <w:t>* Significance at the 10% level (p&lt;0.10).</w:t>
            </w:r>
          </w:p>
        </w:tc>
      </w:tr>
    </w:tbl>
    <w:p w14:paraId="57437677" w14:textId="77777777" w:rsidR="005B27E8" w:rsidRDefault="005B27E8"/>
    <w:p w14:paraId="3AE2EB1A" w14:textId="2E621FEF" w:rsidR="005760DC" w:rsidRDefault="005760DC"/>
    <w:p w14:paraId="056FE55A" w14:textId="30BE52C9" w:rsidR="005760DC" w:rsidRDefault="005760DC"/>
    <w:p w14:paraId="107ABF7D" w14:textId="5010E96A" w:rsidR="005760DC" w:rsidRDefault="005760DC"/>
    <w:p w14:paraId="33D75A88" w14:textId="67B8D0C5" w:rsidR="005760DC" w:rsidRDefault="005760DC"/>
    <w:p w14:paraId="382E0CB4" w14:textId="59AA27E3" w:rsidR="005760DC" w:rsidRDefault="005760DC"/>
    <w:p w14:paraId="12376E5B" w14:textId="52EC764D" w:rsidR="009C039C" w:rsidRPr="009078C1" w:rsidRDefault="009C039C" w:rsidP="009C039C">
      <w:pPr>
        <w:spacing w:after="0" w:line="480" w:lineRule="auto"/>
        <w:jc w:val="both"/>
        <w:rPr>
          <w:rFonts w:ascii="Times New Roman" w:eastAsia="Calibri" w:hAnsi="Times New Roman" w:cs="Times New Roman"/>
          <w:sz w:val="24"/>
          <w:szCs w:val="24"/>
          <w:shd w:val="clear" w:color="auto" w:fill="FFFFFF"/>
        </w:rPr>
      </w:pPr>
      <w:r w:rsidRPr="009078C1">
        <w:rPr>
          <w:rFonts w:ascii="Times New Roman" w:eastAsia="Calibri" w:hAnsi="Times New Roman" w:cs="Times New Roman"/>
          <w:b/>
          <w:bCs/>
          <w:i/>
          <w:iCs/>
          <w:sz w:val="24"/>
          <w:szCs w:val="24"/>
          <w:shd w:val="clear" w:color="auto" w:fill="FFFFFF"/>
        </w:rPr>
        <w:lastRenderedPageBreak/>
        <w:t>Online Appendix 6</w:t>
      </w:r>
      <w:r w:rsidRPr="009078C1">
        <w:rPr>
          <w:rFonts w:ascii="Times New Roman" w:eastAsia="Calibri" w:hAnsi="Times New Roman" w:cs="Times New Roman"/>
          <w:sz w:val="24"/>
          <w:szCs w:val="24"/>
          <w:shd w:val="clear" w:color="auto" w:fill="FFFFFF"/>
        </w:rPr>
        <w:t xml:space="preserve"> presents the multivariate regression estimates relating to the impact of HEIs </w:t>
      </w:r>
      <w:r w:rsidR="00E92030">
        <w:rPr>
          <w:rFonts w:ascii="Times New Roman" w:eastAsia="Calibri" w:hAnsi="Times New Roman" w:cs="Times New Roman"/>
          <w:sz w:val="24"/>
          <w:szCs w:val="24"/>
          <w:shd w:val="clear" w:color="auto" w:fill="FFFFFF"/>
        </w:rPr>
        <w:t xml:space="preserve">short-term </w:t>
      </w:r>
      <w:r w:rsidRPr="009078C1">
        <w:rPr>
          <w:rFonts w:ascii="Times New Roman" w:eastAsia="Calibri" w:hAnsi="Times New Roman" w:cs="Times New Roman"/>
          <w:sz w:val="24"/>
          <w:szCs w:val="24"/>
          <w:shd w:val="clear" w:color="auto" w:fill="FFFFFF"/>
        </w:rPr>
        <w:t>financial performance</w:t>
      </w:r>
      <w:r>
        <w:rPr>
          <w:rFonts w:ascii="Times New Roman" w:eastAsia="Calibri" w:hAnsi="Times New Roman" w:cs="Times New Roman"/>
          <w:sz w:val="24"/>
          <w:szCs w:val="24"/>
          <w:shd w:val="clear" w:color="auto" w:fill="FFFFFF"/>
        </w:rPr>
        <w:t xml:space="preserve">. </w:t>
      </w:r>
      <w:r w:rsidRPr="001B27AC">
        <w:rPr>
          <w:rFonts w:ascii="Times New Roman" w:eastAsia="Calibri" w:hAnsi="Times New Roman" w:cs="Times New Roman"/>
          <w:sz w:val="24"/>
          <w:szCs w:val="24"/>
          <w:shd w:val="clear" w:color="auto" w:fill="FFFFFF"/>
        </w:rPr>
        <w:t>Following prior studies (Barros &amp; Nunes, 2007</w:t>
      </w:r>
      <w:r>
        <w:rPr>
          <w:rFonts w:ascii="Times New Roman" w:eastAsia="Calibri" w:hAnsi="Times New Roman" w:cs="Times New Roman"/>
          <w:sz w:val="24"/>
          <w:szCs w:val="24"/>
          <w:shd w:val="clear" w:color="auto" w:fill="FFFFFF"/>
        </w:rPr>
        <w:t xml:space="preserve">; </w:t>
      </w:r>
      <w:proofErr w:type="spellStart"/>
      <w:r w:rsidRPr="001B27AC">
        <w:rPr>
          <w:rFonts w:ascii="Times New Roman" w:eastAsia="Calibri" w:hAnsi="Times New Roman" w:cs="Times New Roman"/>
          <w:sz w:val="24"/>
          <w:szCs w:val="24"/>
          <w:shd w:val="clear" w:color="auto" w:fill="FFFFFF"/>
        </w:rPr>
        <w:t>Brickley</w:t>
      </w:r>
      <w:proofErr w:type="spellEnd"/>
      <w:r w:rsidRPr="001B27AC">
        <w:rPr>
          <w:rFonts w:ascii="Times New Roman" w:eastAsia="Calibri" w:hAnsi="Times New Roman" w:cs="Times New Roman"/>
          <w:sz w:val="24"/>
          <w:szCs w:val="24"/>
          <w:shd w:val="clear" w:color="auto" w:fill="FFFFFF"/>
        </w:rPr>
        <w:t xml:space="preserve"> et al., 2010), financial performance has been measured using return on assets (</w:t>
      </w:r>
      <w:r w:rsidRPr="001B27AC">
        <w:rPr>
          <w:rFonts w:ascii="Times New Roman" w:eastAsia="Calibri" w:hAnsi="Times New Roman" w:cs="Times New Roman"/>
          <w:i/>
          <w:iCs/>
          <w:sz w:val="24"/>
          <w:szCs w:val="24"/>
          <w:shd w:val="clear" w:color="auto" w:fill="FFFFFF"/>
        </w:rPr>
        <w:t>ROA</w:t>
      </w:r>
      <w:r w:rsidRPr="001B27AC">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and return on equity (</w:t>
      </w:r>
      <w:r>
        <w:rPr>
          <w:rFonts w:ascii="Times New Roman" w:eastAsia="Calibri" w:hAnsi="Times New Roman" w:cs="Times New Roman"/>
          <w:i/>
          <w:iCs/>
          <w:sz w:val="24"/>
          <w:szCs w:val="24"/>
          <w:shd w:val="clear" w:color="auto" w:fill="FFFFFF"/>
        </w:rPr>
        <w:t>ROE</w:t>
      </w:r>
      <w:r>
        <w:rPr>
          <w:rFonts w:ascii="Times New Roman" w:eastAsia="Calibri" w:hAnsi="Times New Roman" w:cs="Times New Roman"/>
          <w:sz w:val="24"/>
          <w:szCs w:val="24"/>
          <w:shd w:val="clear" w:color="auto" w:fill="FFFFFF"/>
        </w:rPr>
        <w:t xml:space="preserve">). </w:t>
      </w:r>
      <w:r w:rsidRPr="001B27AC">
        <w:rPr>
          <w:rFonts w:ascii="Times New Roman" w:eastAsia="Calibri" w:hAnsi="Times New Roman" w:cs="Times New Roman"/>
          <w:i/>
          <w:iCs/>
          <w:sz w:val="24"/>
          <w:szCs w:val="24"/>
          <w:shd w:val="clear" w:color="auto" w:fill="FFFFFF"/>
        </w:rPr>
        <w:t>ROA</w:t>
      </w:r>
      <w:r>
        <w:rPr>
          <w:rFonts w:ascii="Times New Roman" w:eastAsia="Calibri" w:hAnsi="Times New Roman" w:cs="Times New Roman"/>
          <w:sz w:val="24"/>
          <w:szCs w:val="24"/>
          <w:shd w:val="clear" w:color="auto" w:fill="FFFFFF"/>
        </w:rPr>
        <w:t xml:space="preserve"> is defined as </w:t>
      </w:r>
      <w:r w:rsidRPr="001B27AC">
        <w:rPr>
          <w:rFonts w:ascii="Times New Roman" w:eastAsia="Calibri" w:hAnsi="Times New Roman" w:cs="Times New Roman"/>
          <w:bCs/>
          <w:sz w:val="24"/>
          <w:szCs w:val="24"/>
          <w:shd w:val="clear" w:color="auto" w:fill="FFFFFF"/>
        </w:rPr>
        <w:t>financial surplus divided by total assets</w:t>
      </w:r>
      <w:r>
        <w:rPr>
          <w:rFonts w:ascii="Times New Roman" w:eastAsia="Calibri" w:hAnsi="Times New Roman" w:cs="Times New Roman"/>
          <w:bCs/>
          <w:sz w:val="24"/>
          <w:szCs w:val="24"/>
          <w:shd w:val="clear" w:color="auto" w:fill="FFFFFF"/>
        </w:rPr>
        <w:t xml:space="preserve">, whereas </w:t>
      </w:r>
      <w:r w:rsidRPr="001B27AC">
        <w:rPr>
          <w:rFonts w:ascii="Times New Roman" w:eastAsia="Calibri" w:hAnsi="Times New Roman" w:cs="Times New Roman"/>
          <w:bCs/>
          <w:i/>
          <w:iCs/>
          <w:sz w:val="24"/>
          <w:szCs w:val="24"/>
          <w:shd w:val="clear" w:color="auto" w:fill="FFFFFF"/>
        </w:rPr>
        <w:t>ROE</w:t>
      </w:r>
      <w:r>
        <w:rPr>
          <w:rFonts w:ascii="Times New Roman" w:eastAsia="Calibri" w:hAnsi="Times New Roman" w:cs="Times New Roman"/>
          <w:bCs/>
          <w:sz w:val="24"/>
          <w:szCs w:val="24"/>
          <w:shd w:val="clear" w:color="auto" w:fill="FFFFFF"/>
        </w:rPr>
        <w:t xml:space="preserve"> is defined as </w:t>
      </w:r>
      <w:r w:rsidRPr="001B27AC">
        <w:rPr>
          <w:rFonts w:ascii="Times New Roman" w:eastAsia="Calibri" w:hAnsi="Times New Roman" w:cs="Times New Roman"/>
          <w:bCs/>
          <w:sz w:val="24"/>
          <w:szCs w:val="24"/>
          <w:shd w:val="clear" w:color="auto" w:fill="FFFFFF"/>
        </w:rPr>
        <w:t>financial surplus divided by total funds</w:t>
      </w:r>
      <w:r>
        <w:rPr>
          <w:rFonts w:ascii="Times New Roman" w:eastAsia="Calibri" w:hAnsi="Times New Roman" w:cs="Times New Roman"/>
          <w:bCs/>
          <w:sz w:val="24"/>
          <w:szCs w:val="24"/>
          <w:shd w:val="clear" w:color="auto" w:fill="FFFFFF"/>
        </w:rPr>
        <w:t xml:space="preserve">. The reported results in the </w:t>
      </w:r>
      <w:r w:rsidR="00B0249B" w:rsidRPr="00B0249B">
        <w:rPr>
          <w:rFonts w:ascii="Times New Roman" w:eastAsia="Calibri" w:hAnsi="Times New Roman" w:cs="Times New Roman"/>
          <w:b/>
          <w:i/>
          <w:iCs/>
          <w:sz w:val="24"/>
          <w:szCs w:val="24"/>
          <w:shd w:val="clear" w:color="auto" w:fill="FFFFFF"/>
        </w:rPr>
        <w:t>o</w:t>
      </w:r>
      <w:r w:rsidRPr="001B27AC">
        <w:rPr>
          <w:rFonts w:ascii="Times New Roman" w:eastAsia="Calibri" w:hAnsi="Times New Roman" w:cs="Times New Roman"/>
          <w:b/>
          <w:bCs/>
          <w:i/>
          <w:iCs/>
          <w:sz w:val="24"/>
          <w:szCs w:val="24"/>
          <w:shd w:val="clear" w:color="auto" w:fill="FFFFFF"/>
        </w:rPr>
        <w:t>nline Appendix 6</w:t>
      </w:r>
      <w:r>
        <w:rPr>
          <w:rFonts w:ascii="Times New Roman" w:eastAsia="Calibri" w:hAnsi="Times New Roman" w:cs="Times New Roman"/>
          <w:sz w:val="24"/>
          <w:szCs w:val="24"/>
          <w:shd w:val="clear" w:color="auto" w:fill="FFFFFF"/>
        </w:rPr>
        <w:t xml:space="preserve"> suggest that </w:t>
      </w:r>
      <w:r>
        <w:rPr>
          <w:rFonts w:ascii="Times New Roman" w:eastAsia="Calibri" w:hAnsi="Times New Roman" w:cs="Times New Roman"/>
          <w:i/>
          <w:iCs/>
          <w:sz w:val="24"/>
          <w:szCs w:val="24"/>
          <w:shd w:val="clear" w:color="auto" w:fill="FFFFFF"/>
        </w:rPr>
        <w:t xml:space="preserve">ROA </w:t>
      </w:r>
      <w:r>
        <w:rPr>
          <w:rFonts w:ascii="Times New Roman" w:eastAsia="Calibri" w:hAnsi="Times New Roman" w:cs="Times New Roman"/>
          <w:sz w:val="24"/>
          <w:szCs w:val="24"/>
          <w:shd w:val="clear" w:color="auto" w:fill="FFFFFF"/>
        </w:rPr>
        <w:t xml:space="preserve">and </w:t>
      </w:r>
      <w:r>
        <w:rPr>
          <w:rFonts w:ascii="Times New Roman" w:eastAsia="Calibri" w:hAnsi="Times New Roman" w:cs="Times New Roman"/>
          <w:i/>
          <w:iCs/>
          <w:sz w:val="24"/>
          <w:szCs w:val="24"/>
          <w:shd w:val="clear" w:color="auto" w:fill="FFFFFF"/>
        </w:rPr>
        <w:t xml:space="preserve">ROE </w:t>
      </w:r>
      <w:r>
        <w:rPr>
          <w:rFonts w:ascii="Times New Roman" w:eastAsia="Calibri" w:hAnsi="Times New Roman" w:cs="Times New Roman"/>
          <w:sz w:val="24"/>
          <w:szCs w:val="24"/>
          <w:shd w:val="clear" w:color="auto" w:fill="FFFFFF"/>
        </w:rPr>
        <w:t xml:space="preserve">are </w:t>
      </w:r>
      <w:r w:rsidRPr="009078C1">
        <w:rPr>
          <w:rFonts w:ascii="Times New Roman" w:eastAsia="Calibri" w:hAnsi="Times New Roman" w:cs="Times New Roman"/>
          <w:sz w:val="24"/>
          <w:szCs w:val="24"/>
          <w:shd w:val="clear" w:color="auto" w:fill="FFFFFF"/>
        </w:rPr>
        <w:t>insignificantly associated with VCs basic, non-basic and total pay</w:t>
      </w:r>
      <w:r>
        <w:rPr>
          <w:rFonts w:ascii="Times New Roman" w:eastAsia="Calibri" w:hAnsi="Times New Roman" w:cs="Times New Roman"/>
          <w:sz w:val="24"/>
          <w:szCs w:val="24"/>
          <w:shd w:val="clear" w:color="auto" w:fill="FFFFFF"/>
        </w:rPr>
        <w:t>. T</w:t>
      </w:r>
      <w:r w:rsidRPr="009078C1">
        <w:rPr>
          <w:rFonts w:ascii="Times New Roman" w:eastAsia="Calibri" w:hAnsi="Times New Roman" w:cs="Times New Roman"/>
          <w:sz w:val="24"/>
          <w:szCs w:val="24"/>
          <w:shd w:val="clear" w:color="auto" w:fill="FFFFFF"/>
        </w:rPr>
        <w:t xml:space="preserve">he weak </w:t>
      </w:r>
      <w:r>
        <w:rPr>
          <w:rFonts w:ascii="Times New Roman" w:eastAsia="Calibri" w:hAnsi="Times New Roman" w:cs="Times New Roman"/>
          <w:sz w:val="24"/>
          <w:szCs w:val="24"/>
          <w:shd w:val="clear" w:color="auto" w:fill="FFFFFF"/>
        </w:rPr>
        <w:t xml:space="preserve">financial </w:t>
      </w:r>
      <w:r w:rsidRPr="009078C1">
        <w:rPr>
          <w:rFonts w:ascii="Times New Roman" w:eastAsia="Calibri" w:hAnsi="Times New Roman" w:cs="Times New Roman"/>
          <w:sz w:val="24"/>
          <w:szCs w:val="24"/>
          <w:shd w:val="clear" w:color="auto" w:fill="FFFFFF"/>
        </w:rPr>
        <w:t>performance</w:t>
      </w:r>
      <w:r w:rsidR="00E92030">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pay</w:t>
      </w:r>
      <w:r w:rsidRPr="009078C1">
        <w:rPr>
          <w:rFonts w:ascii="Times New Roman" w:eastAsia="Calibri" w:hAnsi="Times New Roman" w:cs="Times New Roman"/>
          <w:sz w:val="24"/>
          <w:szCs w:val="24"/>
          <w:shd w:val="clear" w:color="auto" w:fill="FFFFFF"/>
        </w:rPr>
        <w:t xml:space="preserve"> </w:t>
      </w:r>
      <w:r w:rsidR="00E92030">
        <w:rPr>
          <w:rFonts w:ascii="Times New Roman" w:eastAsia="Calibri" w:hAnsi="Times New Roman" w:cs="Times New Roman"/>
          <w:sz w:val="24"/>
          <w:szCs w:val="24"/>
          <w:shd w:val="clear" w:color="auto" w:fill="FFFFFF"/>
        </w:rPr>
        <w:t xml:space="preserve">link </w:t>
      </w:r>
      <w:r>
        <w:rPr>
          <w:rFonts w:ascii="Times New Roman" w:eastAsia="Calibri" w:hAnsi="Times New Roman" w:cs="Times New Roman"/>
          <w:sz w:val="24"/>
          <w:szCs w:val="24"/>
          <w:shd w:val="clear" w:color="auto" w:fill="FFFFFF"/>
        </w:rPr>
        <w:t xml:space="preserve">may </w:t>
      </w:r>
      <w:r w:rsidR="00F739BC">
        <w:rPr>
          <w:rFonts w:ascii="Times New Roman" w:eastAsia="Calibri" w:hAnsi="Times New Roman" w:cs="Times New Roman"/>
          <w:sz w:val="24"/>
          <w:szCs w:val="24"/>
          <w:shd w:val="clear" w:color="auto" w:fill="FFFFFF"/>
        </w:rPr>
        <w:t xml:space="preserve">be </w:t>
      </w:r>
      <w:r w:rsidRPr="009078C1">
        <w:rPr>
          <w:rFonts w:ascii="Times New Roman" w:eastAsia="Calibri" w:hAnsi="Times New Roman" w:cs="Times New Roman"/>
          <w:sz w:val="24"/>
          <w:szCs w:val="24"/>
          <w:shd w:val="clear" w:color="auto" w:fill="FFFFFF"/>
        </w:rPr>
        <w:t>that top</w:t>
      </w:r>
      <w:r>
        <w:rPr>
          <w:rFonts w:ascii="Times New Roman" w:eastAsia="Calibri" w:hAnsi="Times New Roman" w:cs="Times New Roman"/>
          <w:sz w:val="24"/>
          <w:szCs w:val="24"/>
          <w:shd w:val="clear" w:color="auto" w:fill="FFFFFF"/>
        </w:rPr>
        <w:t>-</w:t>
      </w:r>
      <w:r w:rsidRPr="009078C1">
        <w:rPr>
          <w:rFonts w:ascii="Times New Roman" w:eastAsia="Calibri" w:hAnsi="Times New Roman" w:cs="Times New Roman"/>
          <w:sz w:val="24"/>
          <w:szCs w:val="24"/>
          <w:shd w:val="clear" w:color="auto" w:fill="FFFFFF"/>
        </w:rPr>
        <w:t>managers</w:t>
      </w:r>
      <w:r>
        <w:rPr>
          <w:rFonts w:ascii="Times New Roman" w:eastAsia="Calibri" w:hAnsi="Times New Roman" w:cs="Times New Roman"/>
          <w:sz w:val="24"/>
          <w:szCs w:val="24"/>
          <w:shd w:val="clear" w:color="auto" w:fill="FFFFFF"/>
        </w:rPr>
        <w:t>, particularly</w:t>
      </w:r>
      <w:r w:rsidRPr="009078C1">
        <w:rPr>
          <w:rFonts w:ascii="Times New Roman" w:eastAsia="Calibri" w:hAnsi="Times New Roman" w:cs="Times New Roman"/>
          <w:sz w:val="24"/>
          <w:szCs w:val="24"/>
          <w:shd w:val="clear" w:color="auto" w:fill="FFFFFF"/>
        </w:rPr>
        <w:t xml:space="preserve"> </w:t>
      </w:r>
      <w:r w:rsidR="00F739BC">
        <w:rPr>
          <w:rFonts w:ascii="Times New Roman" w:eastAsia="Calibri" w:hAnsi="Times New Roman" w:cs="Times New Roman"/>
          <w:sz w:val="24"/>
          <w:szCs w:val="24"/>
          <w:shd w:val="clear" w:color="auto" w:fill="FFFFFF"/>
        </w:rPr>
        <w:t xml:space="preserve">those </w:t>
      </w:r>
      <w:r w:rsidRPr="009078C1">
        <w:rPr>
          <w:rFonts w:ascii="Times New Roman" w:eastAsia="Calibri" w:hAnsi="Times New Roman" w:cs="Times New Roman"/>
          <w:sz w:val="24"/>
          <w:szCs w:val="24"/>
          <w:shd w:val="clear" w:color="auto" w:fill="FFFFFF"/>
        </w:rPr>
        <w:t>in organisations with weak monitoring mechanisms</w:t>
      </w:r>
      <w:r w:rsidR="00F739BC">
        <w:rPr>
          <w:rFonts w:ascii="Times New Roman" w:eastAsia="Calibri" w:hAnsi="Times New Roman" w:cs="Times New Roman"/>
          <w:sz w:val="24"/>
          <w:szCs w:val="24"/>
          <w:shd w:val="clear" w:color="auto" w:fill="FFFFFF"/>
        </w:rPr>
        <w:t xml:space="preserve"> are</w:t>
      </w:r>
      <w:r w:rsidRPr="009078C1">
        <w:rPr>
          <w:rFonts w:ascii="Times New Roman" w:eastAsia="Calibri" w:hAnsi="Times New Roman" w:cs="Times New Roman"/>
          <w:sz w:val="24"/>
          <w:szCs w:val="24"/>
          <w:shd w:val="clear" w:color="auto" w:fill="FFFFFF"/>
        </w:rPr>
        <w:t xml:space="preserve"> often encouraged to expropriate organisations resources by rewarding themselves </w:t>
      </w:r>
      <w:r w:rsidR="00F739BC">
        <w:rPr>
          <w:rFonts w:ascii="Times New Roman" w:eastAsia="Calibri" w:hAnsi="Times New Roman" w:cs="Times New Roman"/>
          <w:sz w:val="24"/>
          <w:szCs w:val="24"/>
          <w:shd w:val="clear" w:color="auto" w:fill="FFFFFF"/>
        </w:rPr>
        <w:t xml:space="preserve">with </w:t>
      </w:r>
      <w:r w:rsidRPr="009078C1">
        <w:rPr>
          <w:rFonts w:ascii="Times New Roman" w:eastAsia="Calibri" w:hAnsi="Times New Roman" w:cs="Times New Roman"/>
          <w:sz w:val="24"/>
          <w:szCs w:val="24"/>
          <w:shd w:val="clear" w:color="auto" w:fill="FFFFFF"/>
        </w:rPr>
        <w:t>high pay packages that do not necessarily relate to</w:t>
      </w:r>
      <w:r w:rsidR="00F739BC">
        <w:rPr>
          <w:rFonts w:ascii="Times New Roman" w:eastAsia="Calibri" w:hAnsi="Times New Roman" w:cs="Times New Roman"/>
          <w:sz w:val="24"/>
          <w:szCs w:val="24"/>
          <w:shd w:val="clear" w:color="auto" w:fill="FFFFFF"/>
        </w:rPr>
        <w:t xml:space="preserve"> their institutions’</w:t>
      </w:r>
      <w:r w:rsidRPr="009078C1">
        <w:rPr>
          <w:rFonts w:ascii="Times New Roman" w:eastAsia="Calibri" w:hAnsi="Times New Roman" w:cs="Times New Roman"/>
          <w:sz w:val="24"/>
          <w:szCs w:val="24"/>
          <w:shd w:val="clear" w:color="auto" w:fill="FFFFFF"/>
        </w:rPr>
        <w:t xml:space="preserve"> performance</w:t>
      </w:r>
      <w:r>
        <w:rPr>
          <w:rFonts w:ascii="Times New Roman" w:eastAsia="Calibri" w:hAnsi="Times New Roman" w:cs="Times New Roman"/>
          <w:sz w:val="24"/>
          <w:szCs w:val="24"/>
          <w:shd w:val="clear" w:color="auto" w:fill="FFFFFF"/>
        </w:rPr>
        <w:t>. O</w:t>
      </w:r>
      <w:r w:rsidRPr="009078C1">
        <w:rPr>
          <w:rFonts w:ascii="Times New Roman" w:eastAsia="Calibri" w:hAnsi="Times New Roman" w:cs="Times New Roman"/>
          <w:sz w:val="24"/>
          <w:szCs w:val="24"/>
          <w:shd w:val="clear" w:color="auto" w:fill="FFFFFF"/>
        </w:rPr>
        <w:t xml:space="preserve">ur evidence generally </w:t>
      </w:r>
      <w:r w:rsidR="00F739BC">
        <w:rPr>
          <w:rFonts w:ascii="Times New Roman" w:eastAsia="Calibri" w:hAnsi="Times New Roman" w:cs="Times New Roman"/>
          <w:sz w:val="24"/>
          <w:szCs w:val="24"/>
          <w:shd w:val="clear" w:color="auto" w:fill="FFFFFF"/>
        </w:rPr>
        <w:t>provides</w:t>
      </w:r>
      <w:r w:rsidRPr="009078C1">
        <w:rPr>
          <w:rFonts w:ascii="Times New Roman" w:eastAsia="Calibri" w:hAnsi="Times New Roman" w:cs="Times New Roman"/>
          <w:sz w:val="24"/>
          <w:szCs w:val="24"/>
          <w:shd w:val="clear" w:color="auto" w:fill="FFFFFF"/>
        </w:rPr>
        <w:t xml:space="preserve"> support </w:t>
      </w:r>
      <w:r w:rsidR="00F739BC">
        <w:rPr>
          <w:rFonts w:ascii="Times New Roman" w:eastAsia="Calibri" w:hAnsi="Times New Roman" w:cs="Times New Roman"/>
          <w:sz w:val="24"/>
          <w:szCs w:val="24"/>
          <w:shd w:val="clear" w:color="auto" w:fill="FFFFFF"/>
        </w:rPr>
        <w:t>for</w:t>
      </w:r>
      <w:r w:rsidRPr="009078C1">
        <w:rPr>
          <w:rFonts w:ascii="Times New Roman" w:eastAsia="Calibri" w:hAnsi="Times New Roman" w:cs="Times New Roman"/>
          <w:sz w:val="24"/>
          <w:szCs w:val="24"/>
          <w:shd w:val="clear" w:color="auto" w:fill="FFFFFF"/>
        </w:rPr>
        <w:t xml:space="preserve"> previous empirical studies that have been conducted </w:t>
      </w:r>
      <w:r w:rsidR="00F739BC">
        <w:rPr>
          <w:rFonts w:ascii="Times New Roman" w:eastAsia="Calibri" w:hAnsi="Times New Roman" w:cs="Times New Roman"/>
          <w:sz w:val="24"/>
          <w:szCs w:val="24"/>
          <w:shd w:val="clear" w:color="auto" w:fill="FFFFFF"/>
        </w:rPr>
        <w:t>i</w:t>
      </w:r>
      <w:r w:rsidRPr="009078C1">
        <w:rPr>
          <w:rFonts w:ascii="Times New Roman" w:eastAsia="Calibri" w:hAnsi="Times New Roman" w:cs="Times New Roman"/>
          <w:sz w:val="24"/>
          <w:szCs w:val="24"/>
          <w:shd w:val="clear" w:color="auto" w:fill="FFFFFF"/>
        </w:rPr>
        <w:t>n publicly listed companies (</w:t>
      </w:r>
      <w:proofErr w:type="spellStart"/>
      <w:r w:rsidRPr="009078C1">
        <w:rPr>
          <w:rFonts w:ascii="Times New Roman" w:eastAsia="Calibri" w:hAnsi="Times New Roman" w:cs="Times New Roman"/>
          <w:sz w:val="24"/>
          <w:szCs w:val="24"/>
          <w:shd w:val="clear" w:color="auto" w:fill="FFFFFF"/>
        </w:rPr>
        <w:t>Conyon</w:t>
      </w:r>
      <w:proofErr w:type="spellEnd"/>
      <w:r w:rsidRPr="009078C1">
        <w:rPr>
          <w:rFonts w:ascii="Times New Roman" w:eastAsia="Calibri" w:hAnsi="Times New Roman" w:cs="Times New Roman"/>
          <w:sz w:val="24"/>
          <w:szCs w:val="24"/>
          <w:shd w:val="clear" w:color="auto" w:fill="FFFFFF"/>
        </w:rPr>
        <w:t xml:space="preserve"> &amp; He, 2011), but particularly for the </w:t>
      </w:r>
      <w:r w:rsidR="00F739BC">
        <w:rPr>
          <w:rFonts w:ascii="Times New Roman" w:eastAsia="Calibri" w:hAnsi="Times New Roman" w:cs="Times New Roman"/>
          <w:sz w:val="24"/>
          <w:szCs w:val="24"/>
          <w:shd w:val="clear" w:color="auto" w:fill="FFFFFF"/>
        </w:rPr>
        <w:t xml:space="preserve">similar </w:t>
      </w:r>
      <w:r w:rsidRPr="009078C1">
        <w:rPr>
          <w:rFonts w:ascii="Times New Roman" w:eastAsia="Calibri" w:hAnsi="Times New Roman" w:cs="Times New Roman"/>
          <w:sz w:val="24"/>
          <w:szCs w:val="24"/>
          <w:shd w:val="clear" w:color="auto" w:fill="FFFFFF"/>
        </w:rPr>
        <w:t>finding of Ballantine et al. (2008)</w:t>
      </w:r>
      <w:r w:rsidR="00F739BC">
        <w:rPr>
          <w:rFonts w:ascii="Times New Roman" w:eastAsia="Calibri" w:hAnsi="Times New Roman" w:cs="Times New Roman"/>
          <w:sz w:val="24"/>
          <w:szCs w:val="24"/>
          <w:shd w:val="clear" w:color="auto" w:fill="FFFFFF"/>
        </w:rPr>
        <w:t>,</w:t>
      </w:r>
      <w:r w:rsidRPr="009078C1">
        <w:rPr>
          <w:rFonts w:ascii="Times New Roman" w:eastAsia="Calibri" w:hAnsi="Times New Roman" w:cs="Times New Roman"/>
          <w:sz w:val="24"/>
          <w:szCs w:val="24"/>
          <w:shd w:val="clear" w:color="auto" w:fill="FFFFFF"/>
        </w:rPr>
        <w:t xml:space="preserve"> who report that </w:t>
      </w:r>
      <w:r w:rsidR="00F739BC">
        <w:rPr>
          <w:rFonts w:ascii="Times New Roman" w:eastAsia="Calibri" w:hAnsi="Times New Roman" w:cs="Times New Roman"/>
          <w:sz w:val="24"/>
          <w:szCs w:val="24"/>
          <w:shd w:val="clear" w:color="auto" w:fill="FFFFFF"/>
        </w:rPr>
        <w:t xml:space="preserve">short-term </w:t>
      </w:r>
      <w:r w:rsidRPr="003E6A80">
        <w:rPr>
          <w:rFonts w:ascii="Times New Roman" w:eastAsia="Calibri" w:hAnsi="Times New Roman" w:cs="Times New Roman"/>
          <w:sz w:val="24"/>
          <w:szCs w:val="24"/>
          <w:shd w:val="clear" w:color="auto" w:fill="FFFFFF"/>
        </w:rPr>
        <w:t>financial performance</w:t>
      </w:r>
      <w:r w:rsidRPr="009078C1">
        <w:rPr>
          <w:rFonts w:ascii="Times New Roman" w:eastAsia="Calibri" w:hAnsi="Times New Roman" w:cs="Times New Roman"/>
          <w:i/>
          <w:iCs/>
          <w:sz w:val="24"/>
          <w:szCs w:val="24"/>
          <w:shd w:val="clear" w:color="auto" w:fill="FFFFFF"/>
        </w:rPr>
        <w:t xml:space="preserve"> </w:t>
      </w:r>
      <w:r w:rsidRPr="009078C1">
        <w:rPr>
          <w:rFonts w:ascii="Times New Roman" w:eastAsia="Calibri" w:hAnsi="Times New Roman" w:cs="Times New Roman"/>
          <w:sz w:val="24"/>
          <w:szCs w:val="24"/>
          <w:shd w:val="clear" w:color="auto" w:fill="FFFFFF"/>
        </w:rPr>
        <w:t>is insignificantly associated with CEO pay among UK NHS hospital trusts.</w:t>
      </w:r>
    </w:p>
    <w:p w14:paraId="4815CF4A" w14:textId="4B5B4168" w:rsidR="001B27AC" w:rsidRPr="001B27AC" w:rsidRDefault="001B27AC" w:rsidP="009078C1">
      <w:pPr>
        <w:spacing w:after="0" w:line="480" w:lineRule="auto"/>
        <w:jc w:val="both"/>
        <w:rPr>
          <w:rFonts w:ascii="Times New Roman" w:eastAsia="Calibri" w:hAnsi="Times New Roman" w:cs="Times New Roman"/>
          <w:sz w:val="24"/>
          <w:szCs w:val="24"/>
          <w:shd w:val="clear" w:color="auto" w:fill="FFFFFF"/>
        </w:rPr>
      </w:pPr>
    </w:p>
    <w:p w14:paraId="5DE54625" w14:textId="77777777" w:rsidR="003E6A80" w:rsidRDefault="003E6A80">
      <w:pPr>
        <w:sectPr w:rsidR="003E6A80" w:rsidSect="004D65E3">
          <w:pgSz w:w="11906" w:h="16838"/>
          <w:pgMar w:top="1440" w:right="1440" w:bottom="1440" w:left="1440" w:header="708" w:footer="708" w:gutter="0"/>
          <w:cols w:space="708"/>
          <w:docGrid w:linePitch="360"/>
        </w:sectPr>
      </w:pPr>
    </w:p>
    <w:p w14:paraId="26CEB1B1" w14:textId="77777777" w:rsidR="002212B9" w:rsidRPr="005760DC" w:rsidRDefault="002212B9" w:rsidP="002212B9">
      <w:pPr>
        <w:spacing w:after="0" w:line="240" w:lineRule="auto"/>
        <w:ind w:left="170" w:hanging="170"/>
        <w:jc w:val="both"/>
        <w:rPr>
          <w:rFonts w:ascii="Times New Roman" w:eastAsia="Calibri" w:hAnsi="Times New Roman" w:cs="Times New Roman"/>
          <w:b/>
          <w:bCs/>
          <w:sz w:val="24"/>
          <w:szCs w:val="24"/>
          <w:shd w:val="clear" w:color="auto" w:fill="FFFFFF"/>
        </w:rPr>
      </w:pPr>
      <w:r w:rsidRPr="005760DC">
        <w:rPr>
          <w:rFonts w:ascii="Times New Roman" w:eastAsia="Calibri" w:hAnsi="Times New Roman" w:cs="Times New Roman"/>
          <w:b/>
          <w:bCs/>
          <w:sz w:val="24"/>
          <w:szCs w:val="24"/>
          <w:shd w:val="clear" w:color="auto" w:fill="FFFFFF"/>
        </w:rPr>
        <w:lastRenderedPageBreak/>
        <w:t>References</w:t>
      </w:r>
    </w:p>
    <w:p w14:paraId="68D4CB53" w14:textId="56DF185F" w:rsidR="00726230" w:rsidRDefault="00726230" w:rsidP="00726230">
      <w:pPr>
        <w:spacing w:after="0" w:line="240" w:lineRule="auto"/>
        <w:ind w:left="170" w:hanging="170"/>
        <w:jc w:val="both"/>
        <w:rPr>
          <w:rFonts w:ascii="Times New Roman" w:eastAsia="Calibri" w:hAnsi="Times New Roman" w:cs="Times New Roman"/>
          <w:sz w:val="24"/>
          <w:szCs w:val="24"/>
          <w:shd w:val="clear" w:color="auto" w:fill="FFFFFF"/>
        </w:rPr>
      </w:pPr>
      <w:r w:rsidRPr="00726230">
        <w:rPr>
          <w:rFonts w:ascii="Times New Roman" w:eastAsia="Calibri" w:hAnsi="Times New Roman" w:cs="Times New Roman"/>
          <w:sz w:val="24"/>
          <w:szCs w:val="24"/>
          <w:shd w:val="clear" w:color="auto" w:fill="FFFFFF"/>
        </w:rPr>
        <w:t>Ballantine J, Forker J</w:t>
      </w:r>
      <w:r>
        <w:rPr>
          <w:rFonts w:ascii="Times New Roman" w:eastAsia="Calibri" w:hAnsi="Times New Roman" w:cs="Times New Roman"/>
          <w:sz w:val="24"/>
          <w:szCs w:val="24"/>
          <w:shd w:val="clear" w:color="auto" w:fill="FFFFFF"/>
        </w:rPr>
        <w:t xml:space="preserve"> and</w:t>
      </w:r>
      <w:r w:rsidRPr="00726230">
        <w:rPr>
          <w:rFonts w:ascii="Times New Roman" w:eastAsia="Calibri" w:hAnsi="Times New Roman" w:cs="Times New Roman"/>
          <w:sz w:val="24"/>
          <w:szCs w:val="24"/>
          <w:shd w:val="clear" w:color="auto" w:fill="FFFFFF"/>
        </w:rPr>
        <w:t xml:space="preserve"> Greenwood M (2008) The governance of CEO incentives in English NHS hospital trusts. </w:t>
      </w:r>
      <w:r w:rsidRPr="00726230">
        <w:rPr>
          <w:rFonts w:ascii="Times New Roman" w:eastAsia="Calibri" w:hAnsi="Times New Roman" w:cs="Times New Roman"/>
          <w:i/>
          <w:iCs/>
          <w:sz w:val="24"/>
          <w:szCs w:val="24"/>
          <w:shd w:val="clear" w:color="auto" w:fill="FFFFFF"/>
        </w:rPr>
        <w:t>Financial Accountability &amp; Management</w:t>
      </w:r>
      <w:r w:rsidRPr="00726230">
        <w:rPr>
          <w:rFonts w:ascii="Times New Roman" w:eastAsia="Calibri" w:hAnsi="Times New Roman" w:cs="Times New Roman"/>
          <w:sz w:val="24"/>
          <w:szCs w:val="24"/>
          <w:shd w:val="clear" w:color="auto" w:fill="FFFFFF"/>
        </w:rPr>
        <w:t> 24(4)</w:t>
      </w:r>
      <w:r>
        <w:rPr>
          <w:rFonts w:ascii="Times New Roman" w:eastAsia="Calibri" w:hAnsi="Times New Roman" w:cs="Times New Roman"/>
          <w:sz w:val="24"/>
          <w:szCs w:val="24"/>
          <w:shd w:val="clear" w:color="auto" w:fill="FFFFFF"/>
        </w:rPr>
        <w:t>:</w:t>
      </w:r>
      <w:r w:rsidRPr="00726230">
        <w:rPr>
          <w:rFonts w:ascii="Times New Roman" w:eastAsia="Calibri" w:hAnsi="Times New Roman" w:cs="Times New Roman"/>
          <w:sz w:val="24"/>
          <w:szCs w:val="24"/>
          <w:shd w:val="clear" w:color="auto" w:fill="FFFFFF"/>
        </w:rPr>
        <w:t xml:space="preserve"> 385-410.</w:t>
      </w:r>
    </w:p>
    <w:p w14:paraId="2B09FF91" w14:textId="27A7BB9A" w:rsidR="003E6A80" w:rsidRDefault="003E6A80" w:rsidP="002212B9">
      <w:pPr>
        <w:spacing w:after="0" w:line="240" w:lineRule="auto"/>
        <w:ind w:left="170" w:hanging="170"/>
        <w:jc w:val="both"/>
        <w:rPr>
          <w:rFonts w:ascii="Times New Roman" w:eastAsia="Calibri" w:hAnsi="Times New Roman" w:cs="Times New Roman"/>
          <w:sz w:val="24"/>
          <w:szCs w:val="24"/>
          <w:shd w:val="clear" w:color="auto" w:fill="FFFFFF"/>
        </w:rPr>
      </w:pPr>
      <w:r w:rsidRPr="003E6A80">
        <w:rPr>
          <w:rFonts w:ascii="Times New Roman" w:eastAsia="Calibri" w:hAnsi="Times New Roman" w:cs="Times New Roman"/>
          <w:sz w:val="24"/>
          <w:szCs w:val="24"/>
          <w:shd w:val="clear" w:color="auto" w:fill="FFFFFF"/>
        </w:rPr>
        <w:t>Barros CP</w:t>
      </w:r>
      <w:r w:rsidR="00AD7B5F">
        <w:rPr>
          <w:rFonts w:ascii="Times New Roman" w:eastAsia="Calibri" w:hAnsi="Times New Roman" w:cs="Times New Roman"/>
          <w:sz w:val="24"/>
          <w:szCs w:val="24"/>
          <w:shd w:val="clear" w:color="auto" w:fill="FFFFFF"/>
        </w:rPr>
        <w:t xml:space="preserve"> and</w:t>
      </w:r>
      <w:r w:rsidRPr="003E6A80">
        <w:rPr>
          <w:rFonts w:ascii="Times New Roman" w:eastAsia="Calibri" w:hAnsi="Times New Roman" w:cs="Times New Roman"/>
          <w:sz w:val="24"/>
          <w:szCs w:val="24"/>
          <w:shd w:val="clear" w:color="auto" w:fill="FFFFFF"/>
        </w:rPr>
        <w:t xml:space="preserve"> Nunes F (2007) Governance and CEO pay and performance in non‐profit organizations. </w:t>
      </w:r>
      <w:r w:rsidRPr="003E6A80">
        <w:rPr>
          <w:rFonts w:ascii="Times New Roman" w:eastAsia="Calibri" w:hAnsi="Times New Roman" w:cs="Times New Roman"/>
          <w:i/>
          <w:iCs/>
          <w:sz w:val="24"/>
          <w:szCs w:val="24"/>
          <w:shd w:val="clear" w:color="auto" w:fill="FFFFFF"/>
        </w:rPr>
        <w:t xml:space="preserve">International </w:t>
      </w:r>
      <w:r w:rsidR="00AD7B5F">
        <w:rPr>
          <w:rFonts w:ascii="Times New Roman" w:eastAsia="Calibri" w:hAnsi="Times New Roman" w:cs="Times New Roman"/>
          <w:i/>
          <w:iCs/>
          <w:sz w:val="24"/>
          <w:szCs w:val="24"/>
          <w:shd w:val="clear" w:color="auto" w:fill="FFFFFF"/>
        </w:rPr>
        <w:t>J</w:t>
      </w:r>
      <w:r w:rsidRPr="003E6A80">
        <w:rPr>
          <w:rFonts w:ascii="Times New Roman" w:eastAsia="Calibri" w:hAnsi="Times New Roman" w:cs="Times New Roman"/>
          <w:i/>
          <w:iCs/>
          <w:sz w:val="24"/>
          <w:szCs w:val="24"/>
          <w:shd w:val="clear" w:color="auto" w:fill="FFFFFF"/>
        </w:rPr>
        <w:t xml:space="preserve">ournal of </w:t>
      </w:r>
      <w:r>
        <w:rPr>
          <w:rFonts w:ascii="Times New Roman" w:eastAsia="Calibri" w:hAnsi="Times New Roman" w:cs="Times New Roman"/>
          <w:i/>
          <w:iCs/>
          <w:sz w:val="24"/>
          <w:szCs w:val="24"/>
          <w:shd w:val="clear" w:color="auto" w:fill="FFFFFF"/>
        </w:rPr>
        <w:t>S</w:t>
      </w:r>
      <w:r w:rsidRPr="003E6A80">
        <w:rPr>
          <w:rFonts w:ascii="Times New Roman" w:eastAsia="Calibri" w:hAnsi="Times New Roman" w:cs="Times New Roman"/>
          <w:i/>
          <w:iCs/>
          <w:sz w:val="24"/>
          <w:szCs w:val="24"/>
          <w:shd w:val="clear" w:color="auto" w:fill="FFFFFF"/>
        </w:rPr>
        <w:t xml:space="preserve">ocial </w:t>
      </w:r>
      <w:r>
        <w:rPr>
          <w:rFonts w:ascii="Times New Roman" w:eastAsia="Calibri" w:hAnsi="Times New Roman" w:cs="Times New Roman"/>
          <w:i/>
          <w:iCs/>
          <w:sz w:val="24"/>
          <w:szCs w:val="24"/>
          <w:shd w:val="clear" w:color="auto" w:fill="FFFFFF"/>
        </w:rPr>
        <w:t>E</w:t>
      </w:r>
      <w:r w:rsidRPr="003E6A80">
        <w:rPr>
          <w:rFonts w:ascii="Times New Roman" w:eastAsia="Calibri" w:hAnsi="Times New Roman" w:cs="Times New Roman"/>
          <w:i/>
          <w:iCs/>
          <w:sz w:val="24"/>
          <w:szCs w:val="24"/>
          <w:shd w:val="clear" w:color="auto" w:fill="FFFFFF"/>
        </w:rPr>
        <w:t>conomics</w:t>
      </w:r>
      <w:r w:rsidRPr="003E6A80">
        <w:rPr>
          <w:rFonts w:ascii="Times New Roman" w:eastAsia="Calibri" w:hAnsi="Times New Roman" w:cs="Times New Roman"/>
          <w:sz w:val="24"/>
          <w:szCs w:val="24"/>
          <w:shd w:val="clear" w:color="auto" w:fill="FFFFFF"/>
        </w:rPr>
        <w:t> </w:t>
      </w:r>
      <w:r w:rsidRPr="00F0647B">
        <w:rPr>
          <w:rFonts w:ascii="Times New Roman" w:eastAsia="Calibri" w:hAnsi="Times New Roman" w:cs="Times New Roman"/>
          <w:sz w:val="24"/>
          <w:szCs w:val="24"/>
          <w:shd w:val="clear" w:color="auto" w:fill="FFFFFF"/>
        </w:rPr>
        <w:t>34</w:t>
      </w:r>
      <w:r w:rsidRPr="003E6A80">
        <w:rPr>
          <w:rFonts w:ascii="Times New Roman" w:eastAsia="Calibri" w:hAnsi="Times New Roman" w:cs="Times New Roman"/>
          <w:sz w:val="24"/>
          <w:szCs w:val="24"/>
          <w:shd w:val="clear" w:color="auto" w:fill="FFFFFF"/>
        </w:rPr>
        <w:t>(11)</w:t>
      </w:r>
      <w:r w:rsidR="00AD7B5F">
        <w:rPr>
          <w:rFonts w:ascii="Times New Roman" w:eastAsia="Calibri" w:hAnsi="Times New Roman" w:cs="Times New Roman"/>
          <w:sz w:val="24"/>
          <w:szCs w:val="24"/>
          <w:shd w:val="clear" w:color="auto" w:fill="FFFFFF"/>
        </w:rPr>
        <w:t>:</w:t>
      </w:r>
      <w:r w:rsidRPr="003E6A80">
        <w:rPr>
          <w:rFonts w:ascii="Times New Roman" w:eastAsia="Calibri" w:hAnsi="Times New Roman" w:cs="Times New Roman"/>
          <w:sz w:val="24"/>
          <w:szCs w:val="24"/>
          <w:shd w:val="clear" w:color="auto" w:fill="FFFFFF"/>
        </w:rPr>
        <w:t xml:space="preserve"> 811-827.</w:t>
      </w:r>
    </w:p>
    <w:p w14:paraId="62838F04" w14:textId="6EF0E83B" w:rsidR="002212B9" w:rsidRDefault="002212B9" w:rsidP="002212B9">
      <w:pPr>
        <w:spacing w:after="0" w:line="240" w:lineRule="auto"/>
        <w:ind w:left="170" w:hanging="170"/>
        <w:jc w:val="both"/>
        <w:rPr>
          <w:rFonts w:ascii="Times New Roman" w:eastAsia="Calibri" w:hAnsi="Times New Roman" w:cs="Times New Roman"/>
          <w:sz w:val="24"/>
          <w:szCs w:val="24"/>
          <w:shd w:val="clear" w:color="auto" w:fill="FFFFFF"/>
        </w:rPr>
      </w:pPr>
      <w:r w:rsidRPr="005760DC">
        <w:rPr>
          <w:rFonts w:ascii="Times New Roman" w:eastAsia="Calibri" w:hAnsi="Times New Roman" w:cs="Times New Roman"/>
          <w:sz w:val="24"/>
          <w:szCs w:val="24"/>
          <w:shd w:val="clear" w:color="auto" w:fill="FFFFFF"/>
        </w:rPr>
        <w:t xml:space="preserve">Breakwell GM and </w:t>
      </w:r>
      <w:proofErr w:type="spellStart"/>
      <w:r w:rsidRPr="005760DC">
        <w:rPr>
          <w:rFonts w:ascii="Times New Roman" w:eastAsia="Calibri" w:hAnsi="Times New Roman" w:cs="Times New Roman"/>
          <w:sz w:val="24"/>
          <w:szCs w:val="24"/>
          <w:shd w:val="clear" w:color="auto" w:fill="FFFFFF"/>
        </w:rPr>
        <w:t>Tytherleigh</w:t>
      </w:r>
      <w:proofErr w:type="spellEnd"/>
      <w:r w:rsidRPr="005760DC">
        <w:rPr>
          <w:rFonts w:ascii="Times New Roman" w:eastAsia="Calibri" w:hAnsi="Times New Roman" w:cs="Times New Roman"/>
          <w:sz w:val="24"/>
          <w:szCs w:val="24"/>
          <w:shd w:val="clear" w:color="auto" w:fill="FFFFFF"/>
        </w:rPr>
        <w:t xml:space="preserve"> MY (2010) University leaders and university performance in the United Kingdom: is it ‘who’ leads, or ‘where’ they lead that matters most? </w:t>
      </w:r>
      <w:r w:rsidRPr="005760DC">
        <w:rPr>
          <w:rFonts w:ascii="Times New Roman" w:eastAsia="Calibri" w:hAnsi="Times New Roman" w:cs="Times New Roman"/>
          <w:bCs/>
          <w:i/>
          <w:iCs/>
          <w:sz w:val="24"/>
          <w:szCs w:val="24"/>
          <w:shd w:val="clear" w:color="auto" w:fill="FFFFFF"/>
        </w:rPr>
        <w:t>Higher Education</w:t>
      </w:r>
      <w:r w:rsidRPr="005760DC">
        <w:rPr>
          <w:rFonts w:ascii="Times New Roman" w:eastAsia="Calibri" w:hAnsi="Times New Roman" w:cs="Times New Roman"/>
          <w:i/>
          <w:iCs/>
          <w:sz w:val="24"/>
          <w:szCs w:val="24"/>
          <w:shd w:val="clear" w:color="auto" w:fill="FFFFFF"/>
        </w:rPr>
        <w:t> </w:t>
      </w:r>
      <w:r w:rsidRPr="005760DC">
        <w:rPr>
          <w:rFonts w:ascii="Times New Roman" w:eastAsia="Calibri" w:hAnsi="Times New Roman" w:cs="Times New Roman"/>
          <w:sz w:val="24"/>
          <w:szCs w:val="24"/>
          <w:shd w:val="clear" w:color="auto" w:fill="FFFFFF"/>
        </w:rPr>
        <w:t>60(5): 491-506.</w:t>
      </w:r>
    </w:p>
    <w:p w14:paraId="1944DEAE" w14:textId="0B7104D2" w:rsidR="003E6A80" w:rsidRDefault="003E6A80" w:rsidP="003E6A80">
      <w:pPr>
        <w:spacing w:after="0" w:line="240" w:lineRule="auto"/>
        <w:ind w:left="170" w:hanging="170"/>
        <w:jc w:val="both"/>
        <w:rPr>
          <w:rFonts w:ascii="Times New Roman" w:eastAsia="Calibri" w:hAnsi="Times New Roman" w:cs="Times New Roman"/>
          <w:sz w:val="24"/>
          <w:szCs w:val="24"/>
          <w:shd w:val="clear" w:color="auto" w:fill="FFFFFF"/>
        </w:rPr>
      </w:pPr>
      <w:proofErr w:type="spellStart"/>
      <w:r w:rsidRPr="003E6A80">
        <w:rPr>
          <w:rFonts w:ascii="Times New Roman" w:eastAsia="Calibri" w:hAnsi="Times New Roman" w:cs="Times New Roman"/>
          <w:sz w:val="24"/>
          <w:szCs w:val="24"/>
          <w:shd w:val="clear" w:color="auto" w:fill="FFFFFF"/>
        </w:rPr>
        <w:t>Brickley</w:t>
      </w:r>
      <w:proofErr w:type="spellEnd"/>
      <w:r w:rsidRPr="003E6A80">
        <w:rPr>
          <w:rFonts w:ascii="Times New Roman" w:eastAsia="Calibri" w:hAnsi="Times New Roman" w:cs="Times New Roman"/>
          <w:sz w:val="24"/>
          <w:szCs w:val="24"/>
          <w:shd w:val="clear" w:color="auto" w:fill="FFFFFF"/>
        </w:rPr>
        <w:t xml:space="preserve"> JA, Van Horn RL</w:t>
      </w:r>
      <w:r w:rsidR="00AD7B5F">
        <w:rPr>
          <w:rFonts w:ascii="Times New Roman" w:eastAsia="Calibri" w:hAnsi="Times New Roman" w:cs="Times New Roman"/>
          <w:sz w:val="24"/>
          <w:szCs w:val="24"/>
          <w:shd w:val="clear" w:color="auto" w:fill="FFFFFF"/>
        </w:rPr>
        <w:t xml:space="preserve"> and </w:t>
      </w:r>
      <w:proofErr w:type="spellStart"/>
      <w:r w:rsidRPr="003E6A80">
        <w:rPr>
          <w:rFonts w:ascii="Times New Roman" w:eastAsia="Calibri" w:hAnsi="Times New Roman" w:cs="Times New Roman"/>
          <w:sz w:val="24"/>
          <w:szCs w:val="24"/>
          <w:shd w:val="clear" w:color="auto" w:fill="FFFFFF"/>
        </w:rPr>
        <w:t>Wedig</w:t>
      </w:r>
      <w:proofErr w:type="spellEnd"/>
      <w:r w:rsidRPr="003E6A80">
        <w:rPr>
          <w:rFonts w:ascii="Times New Roman" w:eastAsia="Calibri" w:hAnsi="Times New Roman" w:cs="Times New Roman"/>
          <w:sz w:val="24"/>
          <w:szCs w:val="24"/>
          <w:shd w:val="clear" w:color="auto" w:fill="FFFFFF"/>
        </w:rPr>
        <w:t xml:space="preserve"> GJ (2010)</w:t>
      </w:r>
      <w:r w:rsidR="00F0647B">
        <w:rPr>
          <w:rFonts w:ascii="Times New Roman" w:eastAsia="Calibri" w:hAnsi="Times New Roman" w:cs="Times New Roman"/>
          <w:sz w:val="24"/>
          <w:szCs w:val="24"/>
          <w:shd w:val="clear" w:color="auto" w:fill="FFFFFF"/>
        </w:rPr>
        <w:t xml:space="preserve"> </w:t>
      </w:r>
      <w:r w:rsidRPr="003E6A80">
        <w:rPr>
          <w:rFonts w:ascii="Times New Roman" w:eastAsia="Calibri" w:hAnsi="Times New Roman" w:cs="Times New Roman"/>
          <w:sz w:val="24"/>
          <w:szCs w:val="24"/>
          <w:shd w:val="clear" w:color="auto" w:fill="FFFFFF"/>
        </w:rPr>
        <w:t xml:space="preserve">Board composition and </w:t>
      </w:r>
      <w:proofErr w:type="spellStart"/>
      <w:r w:rsidRPr="003E6A80">
        <w:rPr>
          <w:rFonts w:ascii="Times New Roman" w:eastAsia="Calibri" w:hAnsi="Times New Roman" w:cs="Times New Roman"/>
          <w:sz w:val="24"/>
          <w:szCs w:val="24"/>
          <w:shd w:val="clear" w:color="auto" w:fill="FFFFFF"/>
        </w:rPr>
        <w:t>nonprofit</w:t>
      </w:r>
      <w:proofErr w:type="spellEnd"/>
      <w:r w:rsidRPr="003E6A80">
        <w:rPr>
          <w:rFonts w:ascii="Times New Roman" w:eastAsia="Calibri" w:hAnsi="Times New Roman" w:cs="Times New Roman"/>
          <w:sz w:val="24"/>
          <w:szCs w:val="24"/>
          <w:shd w:val="clear" w:color="auto" w:fill="FFFFFF"/>
        </w:rPr>
        <w:t xml:space="preserve"> conduct: Evidence from hospitals. </w:t>
      </w:r>
      <w:r w:rsidRPr="003E6A80">
        <w:rPr>
          <w:rFonts w:ascii="Times New Roman" w:eastAsia="Calibri" w:hAnsi="Times New Roman" w:cs="Times New Roman"/>
          <w:i/>
          <w:iCs/>
          <w:sz w:val="24"/>
          <w:szCs w:val="24"/>
          <w:shd w:val="clear" w:color="auto" w:fill="FFFFFF"/>
        </w:rPr>
        <w:t xml:space="preserve">Journal of Economic </w:t>
      </w:r>
      <w:proofErr w:type="spellStart"/>
      <w:r w:rsidRPr="003E6A80">
        <w:rPr>
          <w:rFonts w:ascii="Times New Roman" w:eastAsia="Calibri" w:hAnsi="Times New Roman" w:cs="Times New Roman"/>
          <w:i/>
          <w:iCs/>
          <w:sz w:val="24"/>
          <w:szCs w:val="24"/>
          <w:shd w:val="clear" w:color="auto" w:fill="FFFFFF"/>
        </w:rPr>
        <w:t>Behavior</w:t>
      </w:r>
      <w:proofErr w:type="spellEnd"/>
      <w:r w:rsidRPr="003E6A80">
        <w:rPr>
          <w:rFonts w:ascii="Times New Roman" w:eastAsia="Calibri" w:hAnsi="Times New Roman" w:cs="Times New Roman"/>
          <w:i/>
          <w:iCs/>
          <w:sz w:val="24"/>
          <w:szCs w:val="24"/>
          <w:shd w:val="clear" w:color="auto" w:fill="FFFFFF"/>
        </w:rPr>
        <w:t xml:space="preserve"> &amp; Organization </w:t>
      </w:r>
      <w:r w:rsidRPr="00F0647B">
        <w:rPr>
          <w:rFonts w:ascii="Times New Roman" w:eastAsia="Calibri" w:hAnsi="Times New Roman" w:cs="Times New Roman"/>
          <w:sz w:val="24"/>
          <w:szCs w:val="24"/>
          <w:shd w:val="clear" w:color="auto" w:fill="FFFFFF"/>
        </w:rPr>
        <w:t>76</w:t>
      </w:r>
      <w:r w:rsidRPr="003E6A80">
        <w:rPr>
          <w:rFonts w:ascii="Times New Roman" w:eastAsia="Calibri" w:hAnsi="Times New Roman" w:cs="Times New Roman"/>
          <w:sz w:val="24"/>
          <w:szCs w:val="24"/>
          <w:shd w:val="clear" w:color="auto" w:fill="FFFFFF"/>
        </w:rPr>
        <w:t>(2)</w:t>
      </w:r>
      <w:r w:rsidR="00AD7B5F">
        <w:rPr>
          <w:rFonts w:ascii="Times New Roman" w:eastAsia="Calibri" w:hAnsi="Times New Roman" w:cs="Times New Roman"/>
          <w:sz w:val="24"/>
          <w:szCs w:val="24"/>
          <w:shd w:val="clear" w:color="auto" w:fill="FFFFFF"/>
        </w:rPr>
        <w:t xml:space="preserve">: </w:t>
      </w:r>
      <w:r w:rsidRPr="003E6A80">
        <w:rPr>
          <w:rFonts w:ascii="Times New Roman" w:eastAsia="Calibri" w:hAnsi="Times New Roman" w:cs="Times New Roman"/>
          <w:sz w:val="24"/>
          <w:szCs w:val="24"/>
          <w:shd w:val="clear" w:color="auto" w:fill="FFFFFF"/>
        </w:rPr>
        <w:t>196-208.</w:t>
      </w:r>
    </w:p>
    <w:p w14:paraId="3989382B" w14:textId="1D8B2024" w:rsidR="00F0647B" w:rsidRDefault="00F0647B" w:rsidP="00F0647B">
      <w:pPr>
        <w:spacing w:after="0" w:line="240" w:lineRule="auto"/>
        <w:ind w:left="170" w:hanging="170"/>
        <w:jc w:val="both"/>
        <w:rPr>
          <w:rFonts w:ascii="Times New Roman" w:eastAsia="Calibri" w:hAnsi="Times New Roman" w:cs="Times New Roman"/>
          <w:sz w:val="24"/>
          <w:szCs w:val="24"/>
          <w:shd w:val="clear" w:color="auto" w:fill="FFFFFF"/>
        </w:rPr>
      </w:pPr>
      <w:proofErr w:type="spellStart"/>
      <w:r w:rsidRPr="00F0647B">
        <w:rPr>
          <w:rFonts w:ascii="Times New Roman" w:eastAsia="Calibri" w:hAnsi="Times New Roman" w:cs="Times New Roman"/>
          <w:sz w:val="24"/>
          <w:szCs w:val="24"/>
          <w:shd w:val="clear" w:color="auto" w:fill="FFFFFF"/>
        </w:rPr>
        <w:t>Conyon</w:t>
      </w:r>
      <w:proofErr w:type="spellEnd"/>
      <w:r w:rsidRPr="00F0647B">
        <w:rPr>
          <w:rFonts w:ascii="Times New Roman" w:eastAsia="Calibri" w:hAnsi="Times New Roman" w:cs="Times New Roman"/>
          <w:sz w:val="24"/>
          <w:szCs w:val="24"/>
          <w:shd w:val="clear" w:color="auto" w:fill="FFFFFF"/>
        </w:rPr>
        <w:t xml:space="preserve"> MJ</w:t>
      </w:r>
      <w:r>
        <w:rPr>
          <w:rFonts w:ascii="Times New Roman" w:eastAsia="Calibri" w:hAnsi="Times New Roman" w:cs="Times New Roman"/>
          <w:sz w:val="24"/>
          <w:szCs w:val="24"/>
          <w:shd w:val="clear" w:color="auto" w:fill="FFFFFF"/>
        </w:rPr>
        <w:t xml:space="preserve"> and</w:t>
      </w:r>
      <w:r w:rsidRPr="00F0647B">
        <w:rPr>
          <w:rFonts w:ascii="Times New Roman" w:eastAsia="Calibri" w:hAnsi="Times New Roman" w:cs="Times New Roman"/>
          <w:sz w:val="24"/>
          <w:szCs w:val="24"/>
          <w:shd w:val="clear" w:color="auto" w:fill="FFFFFF"/>
        </w:rPr>
        <w:t xml:space="preserve"> He L (2011) Executive compensation and corporate governance in China. </w:t>
      </w:r>
      <w:r w:rsidRPr="00F0647B">
        <w:rPr>
          <w:rFonts w:ascii="Times New Roman" w:eastAsia="Calibri" w:hAnsi="Times New Roman" w:cs="Times New Roman"/>
          <w:i/>
          <w:iCs/>
          <w:sz w:val="24"/>
          <w:szCs w:val="24"/>
          <w:shd w:val="clear" w:color="auto" w:fill="FFFFFF"/>
        </w:rPr>
        <w:t>Journal of Corporate Finance </w:t>
      </w:r>
      <w:r w:rsidRPr="00F0647B">
        <w:rPr>
          <w:rFonts w:ascii="Times New Roman" w:eastAsia="Calibri" w:hAnsi="Times New Roman" w:cs="Times New Roman"/>
          <w:sz w:val="24"/>
          <w:szCs w:val="24"/>
          <w:shd w:val="clear" w:color="auto" w:fill="FFFFFF"/>
        </w:rPr>
        <w:t>17(4)</w:t>
      </w:r>
      <w:r>
        <w:rPr>
          <w:rFonts w:ascii="Times New Roman" w:eastAsia="Calibri" w:hAnsi="Times New Roman" w:cs="Times New Roman"/>
          <w:sz w:val="24"/>
          <w:szCs w:val="24"/>
          <w:shd w:val="clear" w:color="auto" w:fill="FFFFFF"/>
        </w:rPr>
        <w:t>:</w:t>
      </w:r>
      <w:r w:rsidRPr="00F0647B">
        <w:rPr>
          <w:rFonts w:ascii="Times New Roman" w:eastAsia="Calibri" w:hAnsi="Times New Roman" w:cs="Times New Roman"/>
          <w:sz w:val="24"/>
          <w:szCs w:val="24"/>
          <w:shd w:val="clear" w:color="auto" w:fill="FFFFFF"/>
        </w:rPr>
        <w:t xml:space="preserve"> 1158-1175.</w:t>
      </w:r>
    </w:p>
    <w:p w14:paraId="6C1283BD" w14:textId="3BAAE118" w:rsidR="002212B9" w:rsidRDefault="002212B9" w:rsidP="002212B9">
      <w:pPr>
        <w:spacing w:after="0" w:line="240" w:lineRule="auto"/>
        <w:ind w:left="170" w:hanging="170"/>
        <w:jc w:val="both"/>
        <w:rPr>
          <w:rFonts w:asciiTheme="majorBidi" w:hAnsiTheme="majorBidi" w:cstheme="majorBidi"/>
          <w:sz w:val="24"/>
          <w:szCs w:val="24"/>
        </w:rPr>
      </w:pPr>
      <w:r>
        <w:rPr>
          <w:rFonts w:asciiTheme="majorBidi" w:hAnsiTheme="majorBidi" w:cstheme="majorBidi"/>
          <w:sz w:val="24"/>
          <w:szCs w:val="24"/>
        </w:rPr>
        <w:t xml:space="preserve">Office for Students (2021) Student protection plans. Available at: </w:t>
      </w:r>
      <w:hyperlink r:id="rId16" w:history="1">
        <w:r w:rsidRPr="0096256E">
          <w:rPr>
            <w:rStyle w:val="Hyperlink"/>
            <w:rFonts w:asciiTheme="majorBidi" w:hAnsiTheme="majorBidi" w:cstheme="majorBidi"/>
            <w:sz w:val="24"/>
            <w:szCs w:val="24"/>
          </w:rPr>
          <w:t>https://www.officeforstudents.org.uk/advice-and-guidance/student-wellbeing-and-protection/student-protection/student-protection-plans/</w:t>
        </w:r>
      </w:hyperlink>
      <w:r>
        <w:rPr>
          <w:rFonts w:asciiTheme="majorBidi" w:hAnsiTheme="majorBidi" w:cstheme="majorBidi"/>
          <w:sz w:val="24"/>
          <w:szCs w:val="24"/>
        </w:rPr>
        <w:t>. Accessed on 18 February 2021.</w:t>
      </w:r>
    </w:p>
    <w:p w14:paraId="258A2C30" w14:textId="77777777" w:rsidR="003E6A80" w:rsidRPr="00BC33BA" w:rsidRDefault="003E6A80" w:rsidP="002212B9">
      <w:pPr>
        <w:spacing w:after="0" w:line="240" w:lineRule="auto"/>
        <w:ind w:left="170" w:hanging="170"/>
        <w:jc w:val="both"/>
        <w:rPr>
          <w:rFonts w:asciiTheme="majorBidi" w:hAnsiTheme="majorBidi" w:cstheme="majorBidi"/>
          <w:sz w:val="24"/>
          <w:szCs w:val="24"/>
          <w:shd w:val="clear" w:color="auto" w:fill="FFFFFF"/>
        </w:rPr>
      </w:pPr>
    </w:p>
    <w:sectPr w:rsidR="003E6A80" w:rsidRPr="00BC33BA" w:rsidSect="004D65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91AE" w14:textId="77777777" w:rsidR="00F47D59" w:rsidRDefault="00F47D59" w:rsidP="00681999">
      <w:pPr>
        <w:spacing w:after="0" w:line="240" w:lineRule="auto"/>
      </w:pPr>
      <w:r>
        <w:separator/>
      </w:r>
    </w:p>
  </w:endnote>
  <w:endnote w:type="continuationSeparator" w:id="0">
    <w:p w14:paraId="408B005E" w14:textId="77777777" w:rsidR="00F47D59" w:rsidRDefault="00F47D59" w:rsidP="0068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982396"/>
      <w:docPartObj>
        <w:docPartGallery w:val="Page Numbers (Bottom of Page)"/>
        <w:docPartUnique/>
      </w:docPartObj>
    </w:sdtPr>
    <w:sdtEndPr>
      <w:rPr>
        <w:noProof/>
      </w:rPr>
    </w:sdtEndPr>
    <w:sdtContent>
      <w:p w14:paraId="1395F829" w14:textId="5CB04BA2" w:rsidR="00F47D59" w:rsidRDefault="00F47D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FAF217" w14:textId="77777777" w:rsidR="00F47D59" w:rsidRDefault="00F4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FD8F" w14:textId="77777777" w:rsidR="00F47D59" w:rsidRDefault="00F47D59" w:rsidP="00681999">
      <w:pPr>
        <w:spacing w:after="0" w:line="240" w:lineRule="auto"/>
      </w:pPr>
      <w:r>
        <w:separator/>
      </w:r>
    </w:p>
  </w:footnote>
  <w:footnote w:type="continuationSeparator" w:id="0">
    <w:p w14:paraId="5B9F3417" w14:textId="77777777" w:rsidR="00F47D59" w:rsidRDefault="00F47D59" w:rsidP="00681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C632C"/>
    <w:multiLevelType w:val="hybridMultilevel"/>
    <w:tmpl w:val="9A9A9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81E57A5"/>
    <w:multiLevelType w:val="hybridMultilevel"/>
    <w:tmpl w:val="1CF092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624A73"/>
    <w:rsid w:val="00002FB3"/>
    <w:rsid w:val="000C7590"/>
    <w:rsid w:val="000C7BE6"/>
    <w:rsid w:val="000D7863"/>
    <w:rsid w:val="000F6200"/>
    <w:rsid w:val="00110270"/>
    <w:rsid w:val="001376C0"/>
    <w:rsid w:val="00165EB6"/>
    <w:rsid w:val="00191782"/>
    <w:rsid w:val="001A7FF5"/>
    <w:rsid w:val="001B27AC"/>
    <w:rsid w:val="001B30EB"/>
    <w:rsid w:val="001B78C4"/>
    <w:rsid w:val="001C2F79"/>
    <w:rsid w:val="001C721D"/>
    <w:rsid w:val="001F52C4"/>
    <w:rsid w:val="002212B9"/>
    <w:rsid w:val="00242F45"/>
    <w:rsid w:val="0026388B"/>
    <w:rsid w:val="002A0AB8"/>
    <w:rsid w:val="002F50D4"/>
    <w:rsid w:val="003134B1"/>
    <w:rsid w:val="00371106"/>
    <w:rsid w:val="0039569F"/>
    <w:rsid w:val="003A0EC9"/>
    <w:rsid w:val="003B3263"/>
    <w:rsid w:val="003E6A80"/>
    <w:rsid w:val="003F3240"/>
    <w:rsid w:val="00432957"/>
    <w:rsid w:val="00434FD9"/>
    <w:rsid w:val="00452D55"/>
    <w:rsid w:val="00453C56"/>
    <w:rsid w:val="004A6BDA"/>
    <w:rsid w:val="004B5093"/>
    <w:rsid w:val="004B69DA"/>
    <w:rsid w:val="004D402C"/>
    <w:rsid w:val="004D65E3"/>
    <w:rsid w:val="004F0666"/>
    <w:rsid w:val="00507E52"/>
    <w:rsid w:val="0051717F"/>
    <w:rsid w:val="0055772C"/>
    <w:rsid w:val="005760DC"/>
    <w:rsid w:val="005800D4"/>
    <w:rsid w:val="005B1305"/>
    <w:rsid w:val="005B27E8"/>
    <w:rsid w:val="005D246A"/>
    <w:rsid w:val="005D6151"/>
    <w:rsid w:val="005E1CFA"/>
    <w:rsid w:val="005F6F18"/>
    <w:rsid w:val="00624A73"/>
    <w:rsid w:val="00634147"/>
    <w:rsid w:val="00676D19"/>
    <w:rsid w:val="00681999"/>
    <w:rsid w:val="00682687"/>
    <w:rsid w:val="00691E6B"/>
    <w:rsid w:val="00694F4C"/>
    <w:rsid w:val="006A6D36"/>
    <w:rsid w:val="006B4EB5"/>
    <w:rsid w:val="006C07C5"/>
    <w:rsid w:val="00726230"/>
    <w:rsid w:val="00727023"/>
    <w:rsid w:val="0074067F"/>
    <w:rsid w:val="00741579"/>
    <w:rsid w:val="007A5C09"/>
    <w:rsid w:val="007B16DF"/>
    <w:rsid w:val="007B525A"/>
    <w:rsid w:val="007D3C7E"/>
    <w:rsid w:val="0081703C"/>
    <w:rsid w:val="00821B33"/>
    <w:rsid w:val="0082288E"/>
    <w:rsid w:val="008426C4"/>
    <w:rsid w:val="0085058A"/>
    <w:rsid w:val="00882768"/>
    <w:rsid w:val="008B0ADD"/>
    <w:rsid w:val="008B188F"/>
    <w:rsid w:val="008D54B4"/>
    <w:rsid w:val="008F23C4"/>
    <w:rsid w:val="008F5521"/>
    <w:rsid w:val="009078C1"/>
    <w:rsid w:val="00913019"/>
    <w:rsid w:val="009227C6"/>
    <w:rsid w:val="00923ECF"/>
    <w:rsid w:val="00952EE5"/>
    <w:rsid w:val="00953DDD"/>
    <w:rsid w:val="00974DC3"/>
    <w:rsid w:val="0099729D"/>
    <w:rsid w:val="009B51F9"/>
    <w:rsid w:val="009C039C"/>
    <w:rsid w:val="009D268A"/>
    <w:rsid w:val="009D57DB"/>
    <w:rsid w:val="009E5769"/>
    <w:rsid w:val="009F4BC5"/>
    <w:rsid w:val="00A06288"/>
    <w:rsid w:val="00A075F8"/>
    <w:rsid w:val="00A56DE0"/>
    <w:rsid w:val="00A7151B"/>
    <w:rsid w:val="00A84A7D"/>
    <w:rsid w:val="00A87B56"/>
    <w:rsid w:val="00AC7759"/>
    <w:rsid w:val="00AD368C"/>
    <w:rsid w:val="00AD468A"/>
    <w:rsid w:val="00AD7B5F"/>
    <w:rsid w:val="00AF68BA"/>
    <w:rsid w:val="00B0249B"/>
    <w:rsid w:val="00B33F19"/>
    <w:rsid w:val="00B37D22"/>
    <w:rsid w:val="00BA2064"/>
    <w:rsid w:val="00BD1930"/>
    <w:rsid w:val="00BF4643"/>
    <w:rsid w:val="00BF567E"/>
    <w:rsid w:val="00C07BDA"/>
    <w:rsid w:val="00C42930"/>
    <w:rsid w:val="00C44B91"/>
    <w:rsid w:val="00C52E42"/>
    <w:rsid w:val="00C66CA4"/>
    <w:rsid w:val="00C73C7B"/>
    <w:rsid w:val="00C83ACC"/>
    <w:rsid w:val="00C85F9E"/>
    <w:rsid w:val="00CC220C"/>
    <w:rsid w:val="00D245F6"/>
    <w:rsid w:val="00D35F91"/>
    <w:rsid w:val="00D42096"/>
    <w:rsid w:val="00D43947"/>
    <w:rsid w:val="00D43CA1"/>
    <w:rsid w:val="00D52B98"/>
    <w:rsid w:val="00D60520"/>
    <w:rsid w:val="00D630DD"/>
    <w:rsid w:val="00D845BA"/>
    <w:rsid w:val="00DD72FB"/>
    <w:rsid w:val="00DE566C"/>
    <w:rsid w:val="00DF19CD"/>
    <w:rsid w:val="00E02DFB"/>
    <w:rsid w:val="00E222F6"/>
    <w:rsid w:val="00E863A4"/>
    <w:rsid w:val="00E867C5"/>
    <w:rsid w:val="00E92030"/>
    <w:rsid w:val="00EB7A65"/>
    <w:rsid w:val="00EE1FE1"/>
    <w:rsid w:val="00EE59B0"/>
    <w:rsid w:val="00EF5CFC"/>
    <w:rsid w:val="00F0647B"/>
    <w:rsid w:val="00F16923"/>
    <w:rsid w:val="00F47D59"/>
    <w:rsid w:val="00F5002C"/>
    <w:rsid w:val="00F672C7"/>
    <w:rsid w:val="00F739BC"/>
    <w:rsid w:val="00FA3A51"/>
    <w:rsid w:val="00FB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3D56"/>
  <w15:chartTrackingRefBased/>
  <w15:docId w15:val="{06B469D7-FCB0-49E0-B0C9-2813AA2A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1">
    <w:name w:val="Table Grid21"/>
    <w:basedOn w:val="TableNormal"/>
    <w:next w:val="TableGrid"/>
    <w:uiPriority w:val="59"/>
    <w:rsid w:val="0097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D65E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0DC"/>
    <w:rPr>
      <w:color w:val="0563C1" w:themeColor="hyperlink"/>
      <w:u w:val="single"/>
    </w:rPr>
  </w:style>
  <w:style w:type="table" w:customStyle="1" w:styleId="TableGrid211">
    <w:name w:val="Table Grid211"/>
    <w:basedOn w:val="TableNormal"/>
    <w:next w:val="TableGrid"/>
    <w:uiPriority w:val="59"/>
    <w:rsid w:val="00741579"/>
    <w:pPr>
      <w:spacing w:after="0" w:line="240" w:lineRule="auto"/>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999"/>
  </w:style>
  <w:style w:type="paragraph" w:styleId="Footer">
    <w:name w:val="footer"/>
    <w:basedOn w:val="Normal"/>
    <w:link w:val="FooterChar"/>
    <w:uiPriority w:val="99"/>
    <w:unhideWhenUsed/>
    <w:rsid w:val="00681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999"/>
  </w:style>
  <w:style w:type="paragraph" w:styleId="BalloonText">
    <w:name w:val="Balloon Text"/>
    <w:basedOn w:val="Normal"/>
    <w:link w:val="BalloonTextChar"/>
    <w:uiPriority w:val="99"/>
    <w:semiHidden/>
    <w:unhideWhenUsed/>
    <w:rsid w:val="0016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B6"/>
    <w:rPr>
      <w:rFonts w:ascii="Segoe UI" w:hAnsi="Segoe UI" w:cs="Segoe UI"/>
      <w:sz w:val="18"/>
      <w:szCs w:val="18"/>
    </w:rPr>
  </w:style>
  <w:style w:type="character" w:styleId="UnresolvedMention">
    <w:name w:val="Unresolved Mention"/>
    <w:basedOn w:val="DefaultParagraphFont"/>
    <w:uiPriority w:val="99"/>
    <w:semiHidden/>
    <w:unhideWhenUsed/>
    <w:rsid w:val="002212B9"/>
    <w:rPr>
      <w:color w:val="605E5C"/>
      <w:shd w:val="clear" w:color="auto" w:fill="E1DFDD"/>
    </w:rPr>
  </w:style>
  <w:style w:type="paragraph" w:styleId="Revision">
    <w:name w:val="Revision"/>
    <w:hidden/>
    <w:uiPriority w:val="99"/>
    <w:semiHidden/>
    <w:rsid w:val="003E6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sa.ac.uk/data-and-analysis/publications" TargetMode="External"/><Relationship Id="rId13" Type="http://schemas.openxmlformats.org/officeDocument/2006/relationships/hyperlink" Target="https://www.theguardian.com/education/table/2009/may/12/university-league-tab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completeuniversityguide.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fficeforstudents.org.uk/advice-and-guidance/student-wellbeing-and-protection/student-protection/student-protection-pl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meshighereducation.com/world-university-ranking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opuniversities.com/qs-world-university-rankings" TargetMode="External"/><Relationship Id="rId4" Type="http://schemas.openxmlformats.org/officeDocument/2006/relationships/settings" Target="settings.xml"/><Relationship Id="rId9" Type="http://schemas.openxmlformats.org/officeDocument/2006/relationships/hyperlink" Target="https://www.hesa.ac.uk/data-and-analysis/publications" TargetMode="External"/><Relationship Id="rId14" Type="http://schemas.openxmlformats.org/officeDocument/2006/relationships/hyperlink" Target="https://www.theguardian.com/education/table/2013/jun/03/university-league-table-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4EFA-5B3A-45D6-9507-3150C057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Elmagrhi</dc:creator>
  <cp:keywords/>
  <dc:description/>
  <cp:lastModifiedBy>Collins Ntim</cp:lastModifiedBy>
  <cp:revision>2</cp:revision>
  <cp:lastPrinted>2022-03-29T11:23:00Z</cp:lastPrinted>
  <dcterms:created xsi:type="dcterms:W3CDTF">2022-06-09T17:00:00Z</dcterms:created>
  <dcterms:modified xsi:type="dcterms:W3CDTF">2022-06-09T17:00:00Z</dcterms:modified>
</cp:coreProperties>
</file>