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2F37D" w14:textId="77777777" w:rsidR="00324BA5" w:rsidRPr="006B7125" w:rsidRDefault="00324BA5" w:rsidP="00324BA5">
      <w:pPr>
        <w:spacing w:line="480" w:lineRule="auto"/>
        <w:jc w:val="both"/>
        <w:rPr>
          <w:b/>
        </w:rPr>
      </w:pPr>
      <w:r w:rsidRPr="006B7125">
        <w:rPr>
          <w:b/>
        </w:rPr>
        <w:t>Variation in Practice for Out of Hospital Cardiac Arrest Treated with Percutaneous Coronary Intervention in England and Wales</w:t>
      </w:r>
    </w:p>
    <w:p w14:paraId="4FA3E577" w14:textId="77777777" w:rsidR="00324BA5" w:rsidRPr="006B7125" w:rsidRDefault="00324BA5" w:rsidP="00324BA5">
      <w:pPr>
        <w:spacing w:line="480" w:lineRule="auto"/>
        <w:jc w:val="both"/>
      </w:pPr>
      <w:r w:rsidRPr="006B7125">
        <w:rPr>
          <w:b/>
        </w:rPr>
        <w:t>Short running title</w:t>
      </w:r>
      <w:r w:rsidRPr="006B7125">
        <w:t xml:space="preserve">: Invasive management of Out of Hospital Cardiac Arrest </w:t>
      </w:r>
    </w:p>
    <w:p w14:paraId="5DA6E503" w14:textId="1836DCA5" w:rsidR="00324BA5" w:rsidRPr="006B7125" w:rsidRDefault="00324BA5" w:rsidP="00324BA5">
      <w:pPr>
        <w:spacing w:line="480" w:lineRule="auto"/>
        <w:jc w:val="both"/>
        <w:rPr>
          <w:vertAlign w:val="superscript"/>
        </w:rPr>
      </w:pPr>
      <w:r w:rsidRPr="006B7125">
        <w:t xml:space="preserve">Muhammad </w:t>
      </w:r>
      <w:proofErr w:type="spellStart"/>
      <w:proofErr w:type="gramStart"/>
      <w:r w:rsidRPr="006B7125">
        <w:t>Rashid</w:t>
      </w:r>
      <w:r w:rsidRPr="006B7125">
        <w:rPr>
          <w:vertAlign w:val="superscript"/>
        </w:rPr>
        <w:t>a,b</w:t>
      </w:r>
      <w:proofErr w:type="spellEnd"/>
      <w:proofErr w:type="gramEnd"/>
      <w:r w:rsidRPr="006B7125">
        <w:t xml:space="preserve">, Tim </w:t>
      </w:r>
      <w:proofErr w:type="spellStart"/>
      <w:r w:rsidRPr="006B7125">
        <w:t>Kinnaird</w:t>
      </w:r>
      <w:r w:rsidRPr="006B7125">
        <w:rPr>
          <w:vertAlign w:val="superscript"/>
        </w:rPr>
        <w:t>c</w:t>
      </w:r>
      <w:proofErr w:type="spellEnd"/>
      <w:r w:rsidRPr="006B7125">
        <w:t xml:space="preserve">, Peter </w:t>
      </w:r>
      <w:proofErr w:type="spellStart"/>
      <w:r w:rsidRPr="006B7125">
        <w:t>Ludman</w:t>
      </w:r>
      <w:r w:rsidRPr="006B7125">
        <w:rPr>
          <w:vertAlign w:val="superscript"/>
        </w:rPr>
        <w:t>d</w:t>
      </w:r>
      <w:proofErr w:type="spellEnd"/>
      <w:r w:rsidRPr="006B7125">
        <w:t xml:space="preserve">, Thomas R </w:t>
      </w:r>
      <w:proofErr w:type="spellStart"/>
      <w:r w:rsidRPr="006B7125">
        <w:t>Keeble</w:t>
      </w:r>
      <w:r w:rsidRPr="006B7125">
        <w:rPr>
          <w:vertAlign w:val="superscript"/>
        </w:rPr>
        <w:t>e,f</w:t>
      </w:r>
      <w:proofErr w:type="spellEnd"/>
      <w:r w:rsidRPr="006B7125">
        <w:t xml:space="preserve">, Mamas </w:t>
      </w:r>
      <w:proofErr w:type="spellStart"/>
      <w:r w:rsidRPr="006B7125">
        <w:t>Mamas</w:t>
      </w:r>
      <w:r w:rsidRPr="006B7125">
        <w:rPr>
          <w:vertAlign w:val="superscript"/>
        </w:rPr>
        <w:t>a,b</w:t>
      </w:r>
      <w:proofErr w:type="spellEnd"/>
      <w:r w:rsidRPr="006B7125">
        <w:t xml:space="preserve">, Nick </w:t>
      </w:r>
      <w:proofErr w:type="spellStart"/>
      <w:r w:rsidRPr="006B7125">
        <w:t>Curzen</w:t>
      </w:r>
      <w:r w:rsidRPr="006B7125">
        <w:rPr>
          <w:vertAlign w:val="superscript"/>
        </w:rPr>
        <w:t>g,h</w:t>
      </w:r>
      <w:proofErr w:type="spellEnd"/>
    </w:p>
    <w:p w14:paraId="66AC9BAC" w14:textId="77777777" w:rsidR="00324BA5" w:rsidRPr="006B7125" w:rsidRDefault="00324BA5" w:rsidP="00324BA5">
      <w:pPr>
        <w:pStyle w:val="ListParagraph"/>
        <w:numPr>
          <w:ilvl w:val="0"/>
          <w:numId w:val="8"/>
        </w:numPr>
        <w:spacing w:line="480" w:lineRule="auto"/>
        <w:ind w:hanging="360"/>
        <w:jc w:val="both"/>
      </w:pPr>
      <w:r w:rsidRPr="006B7125">
        <w:t>Department of Cardiology, Royal Stoke University Hospital, Stoke-on-Trent, UK</w:t>
      </w:r>
    </w:p>
    <w:p w14:paraId="06DD11CB" w14:textId="77777777" w:rsidR="00324BA5" w:rsidRPr="006B7125" w:rsidRDefault="00324BA5" w:rsidP="00324BA5">
      <w:pPr>
        <w:pStyle w:val="ListParagraph"/>
        <w:numPr>
          <w:ilvl w:val="0"/>
          <w:numId w:val="8"/>
        </w:numPr>
        <w:spacing w:line="480" w:lineRule="auto"/>
        <w:ind w:hanging="360"/>
        <w:jc w:val="both"/>
      </w:pPr>
      <w:proofErr w:type="spellStart"/>
      <w:r w:rsidRPr="006B7125">
        <w:t>Keele</w:t>
      </w:r>
      <w:proofErr w:type="spellEnd"/>
      <w:r w:rsidRPr="006B7125">
        <w:t xml:space="preserve"> Cardiovascular Research Group, School of Medicine, </w:t>
      </w:r>
      <w:proofErr w:type="spellStart"/>
      <w:r w:rsidRPr="006B7125">
        <w:t>Keele</w:t>
      </w:r>
      <w:proofErr w:type="spellEnd"/>
      <w:r w:rsidRPr="006B7125">
        <w:t xml:space="preserve"> University, Stoke on Trent, UK</w:t>
      </w:r>
    </w:p>
    <w:p w14:paraId="6A005955" w14:textId="77777777" w:rsidR="00324BA5" w:rsidRPr="006B7125" w:rsidRDefault="00324BA5" w:rsidP="00324BA5">
      <w:pPr>
        <w:pStyle w:val="ListParagraph"/>
        <w:numPr>
          <w:ilvl w:val="0"/>
          <w:numId w:val="8"/>
        </w:numPr>
        <w:spacing w:line="480" w:lineRule="auto"/>
        <w:ind w:hanging="360"/>
        <w:jc w:val="both"/>
      </w:pPr>
      <w:r w:rsidRPr="006B7125">
        <w:t>Department of Cardiology, University Hospital of Wales, Cardiff, UK</w:t>
      </w:r>
    </w:p>
    <w:p w14:paraId="2A7001C0" w14:textId="77777777" w:rsidR="00324BA5" w:rsidRPr="006B7125" w:rsidRDefault="00324BA5" w:rsidP="00324BA5">
      <w:pPr>
        <w:pStyle w:val="ListParagraph"/>
        <w:numPr>
          <w:ilvl w:val="0"/>
          <w:numId w:val="8"/>
        </w:numPr>
        <w:spacing w:line="480" w:lineRule="auto"/>
        <w:ind w:hanging="360"/>
        <w:jc w:val="both"/>
      </w:pPr>
      <w:r w:rsidRPr="006B7125">
        <w:t>Institute of Cardiovascular Sciences, University of Birmingham, UK</w:t>
      </w:r>
    </w:p>
    <w:p w14:paraId="25FFDD7F" w14:textId="77777777" w:rsidR="00324BA5" w:rsidRPr="006B7125" w:rsidRDefault="00324BA5" w:rsidP="00324BA5">
      <w:pPr>
        <w:pStyle w:val="ListParagraph"/>
        <w:numPr>
          <w:ilvl w:val="0"/>
          <w:numId w:val="8"/>
        </w:numPr>
        <w:spacing w:line="480" w:lineRule="auto"/>
        <w:ind w:hanging="360"/>
        <w:jc w:val="both"/>
      </w:pPr>
      <w:r w:rsidRPr="006B7125">
        <w:t>Essex Cardiothoracic Centre, MSE, Basildon, Essex, UK</w:t>
      </w:r>
    </w:p>
    <w:p w14:paraId="63E11432" w14:textId="77777777" w:rsidR="00324BA5" w:rsidRPr="006B7125" w:rsidRDefault="00324BA5" w:rsidP="00324BA5">
      <w:pPr>
        <w:pStyle w:val="ListParagraph"/>
        <w:numPr>
          <w:ilvl w:val="0"/>
          <w:numId w:val="8"/>
        </w:numPr>
        <w:spacing w:line="480" w:lineRule="auto"/>
        <w:ind w:hanging="360"/>
        <w:jc w:val="both"/>
      </w:pPr>
      <w:r w:rsidRPr="006B7125">
        <w:t xml:space="preserve">MTRC, Anglia Ruskin School of Medicine, Chelmsford, Essex, UK </w:t>
      </w:r>
    </w:p>
    <w:p w14:paraId="4CD0B1CF" w14:textId="77777777" w:rsidR="00324BA5" w:rsidRPr="006B7125" w:rsidRDefault="00324BA5" w:rsidP="00324BA5">
      <w:pPr>
        <w:pStyle w:val="ListParagraph"/>
        <w:numPr>
          <w:ilvl w:val="0"/>
          <w:numId w:val="8"/>
        </w:numPr>
        <w:spacing w:line="480" w:lineRule="auto"/>
        <w:ind w:hanging="360"/>
        <w:jc w:val="both"/>
      </w:pPr>
      <w:r w:rsidRPr="006B7125">
        <w:t xml:space="preserve">Faculty of Medicine, University of Southampton </w:t>
      </w:r>
    </w:p>
    <w:p w14:paraId="7D421E66" w14:textId="77777777" w:rsidR="00324BA5" w:rsidRPr="006B7125" w:rsidRDefault="00324BA5" w:rsidP="00324BA5">
      <w:pPr>
        <w:pStyle w:val="ListParagraph"/>
        <w:numPr>
          <w:ilvl w:val="0"/>
          <w:numId w:val="8"/>
        </w:numPr>
        <w:spacing w:line="480" w:lineRule="auto"/>
        <w:ind w:hanging="360"/>
        <w:jc w:val="both"/>
      </w:pPr>
      <w:r w:rsidRPr="006B7125">
        <w:t>Department of Cardiology, University Hospital NHS Trust, Southampton, UK</w:t>
      </w:r>
    </w:p>
    <w:p w14:paraId="6C9524D7" w14:textId="77777777" w:rsidR="00324BA5" w:rsidRPr="006B7125" w:rsidRDefault="00324BA5" w:rsidP="00324BA5">
      <w:pPr>
        <w:spacing w:line="480" w:lineRule="auto"/>
        <w:jc w:val="both"/>
      </w:pPr>
      <w:r w:rsidRPr="006B7125">
        <w:t xml:space="preserve">Corresponding author </w:t>
      </w:r>
    </w:p>
    <w:p w14:paraId="30B33AA0" w14:textId="77777777" w:rsidR="00324BA5" w:rsidRPr="006B7125" w:rsidRDefault="00324BA5" w:rsidP="00324BA5">
      <w:pPr>
        <w:spacing w:line="480" w:lineRule="auto"/>
        <w:jc w:val="both"/>
      </w:pPr>
      <w:r w:rsidRPr="006B7125">
        <w:t xml:space="preserve">Dr Muhammad Rashid </w:t>
      </w:r>
    </w:p>
    <w:p w14:paraId="66DCE2F7" w14:textId="77777777" w:rsidR="00324BA5" w:rsidRPr="006B7125" w:rsidRDefault="00324BA5" w:rsidP="00324BA5">
      <w:pPr>
        <w:spacing w:line="240" w:lineRule="auto"/>
        <w:jc w:val="both"/>
      </w:pPr>
      <w:proofErr w:type="spellStart"/>
      <w:r w:rsidRPr="006B7125">
        <w:t>Keele</w:t>
      </w:r>
      <w:proofErr w:type="spellEnd"/>
      <w:r w:rsidRPr="006B7125">
        <w:t xml:space="preserve"> Cardiovascular Research Group, </w:t>
      </w:r>
    </w:p>
    <w:p w14:paraId="42FC0B93" w14:textId="77777777" w:rsidR="00324BA5" w:rsidRPr="006B7125" w:rsidRDefault="00324BA5" w:rsidP="00324BA5">
      <w:pPr>
        <w:spacing w:line="240" w:lineRule="auto"/>
        <w:jc w:val="both"/>
      </w:pPr>
      <w:r w:rsidRPr="006B7125">
        <w:t xml:space="preserve">School of Medicine, </w:t>
      </w:r>
      <w:proofErr w:type="spellStart"/>
      <w:r w:rsidRPr="006B7125">
        <w:t>Keele</w:t>
      </w:r>
      <w:proofErr w:type="spellEnd"/>
      <w:r w:rsidRPr="006B7125">
        <w:t xml:space="preserve"> University, UK </w:t>
      </w:r>
    </w:p>
    <w:p w14:paraId="5A54EB2E" w14:textId="77777777" w:rsidR="00324BA5" w:rsidRPr="006B7125" w:rsidRDefault="00324BA5" w:rsidP="00324BA5">
      <w:pPr>
        <w:spacing w:line="240" w:lineRule="auto"/>
        <w:jc w:val="both"/>
      </w:pPr>
      <w:r w:rsidRPr="006B7125">
        <w:t>m.rashid@keele.ac.uk</w:t>
      </w:r>
    </w:p>
    <w:p w14:paraId="06CF2951" w14:textId="77777777" w:rsidR="00324BA5" w:rsidRPr="006B7125" w:rsidRDefault="00324BA5" w:rsidP="00324BA5">
      <w:pPr>
        <w:spacing w:line="240" w:lineRule="auto"/>
        <w:jc w:val="both"/>
      </w:pPr>
    </w:p>
    <w:p w14:paraId="5E8F1B9C" w14:textId="77777777" w:rsidR="002F7E1A" w:rsidRPr="006B7125" w:rsidRDefault="002F7E1A" w:rsidP="00324BA5">
      <w:pPr>
        <w:rPr>
          <w:b/>
          <w:bCs/>
          <w:lang w:val="en-US"/>
        </w:rPr>
      </w:pPr>
    </w:p>
    <w:p w14:paraId="79651672" w14:textId="77777777" w:rsidR="002F7E1A" w:rsidRPr="006B7125" w:rsidRDefault="002F7E1A" w:rsidP="00324BA5">
      <w:pPr>
        <w:rPr>
          <w:b/>
          <w:bCs/>
          <w:lang w:val="en-US"/>
        </w:rPr>
      </w:pPr>
    </w:p>
    <w:p w14:paraId="7E9F0B10" w14:textId="77777777" w:rsidR="002F7E1A" w:rsidRPr="006B7125" w:rsidRDefault="002F7E1A" w:rsidP="00324BA5">
      <w:pPr>
        <w:rPr>
          <w:b/>
          <w:bCs/>
          <w:lang w:val="en-US"/>
        </w:rPr>
      </w:pPr>
    </w:p>
    <w:p w14:paraId="067AA5AC" w14:textId="77777777" w:rsidR="002F7E1A" w:rsidRPr="006B7125" w:rsidRDefault="002F7E1A" w:rsidP="00324BA5">
      <w:pPr>
        <w:rPr>
          <w:b/>
          <w:bCs/>
          <w:lang w:val="en-US"/>
        </w:rPr>
      </w:pPr>
    </w:p>
    <w:p w14:paraId="4516D4E7" w14:textId="77777777" w:rsidR="002F7E1A" w:rsidRPr="006B7125" w:rsidRDefault="002F7E1A" w:rsidP="00324BA5">
      <w:pPr>
        <w:rPr>
          <w:b/>
          <w:bCs/>
          <w:lang w:val="en-US"/>
        </w:rPr>
      </w:pPr>
    </w:p>
    <w:p w14:paraId="0E5AE4DB" w14:textId="5F2FBA9C" w:rsidR="00324BA5" w:rsidRPr="006B7125" w:rsidRDefault="00324BA5" w:rsidP="00324BA5">
      <w:pPr>
        <w:rPr>
          <w:b/>
          <w:bCs/>
          <w:lang w:val="en-US"/>
        </w:rPr>
      </w:pPr>
      <w:r w:rsidRPr="006B7125">
        <w:rPr>
          <w:b/>
          <w:bCs/>
          <w:lang w:val="en-US"/>
        </w:rPr>
        <w:lastRenderedPageBreak/>
        <w:t xml:space="preserve">Abstract </w:t>
      </w:r>
    </w:p>
    <w:p w14:paraId="790BCE7C" w14:textId="27014900" w:rsidR="002F7E1A" w:rsidRPr="006B7125" w:rsidRDefault="00C12CDB" w:rsidP="00324BA5">
      <w:pPr>
        <w:spacing w:line="360" w:lineRule="auto"/>
        <w:jc w:val="both"/>
        <w:rPr>
          <w:lang w:val="en-US"/>
        </w:rPr>
      </w:pPr>
      <w:r w:rsidRPr="006B7125">
        <w:rPr>
          <w:b/>
          <w:bCs/>
        </w:rPr>
        <w:t xml:space="preserve">Objectives: </w:t>
      </w:r>
      <w:r w:rsidR="00324BA5" w:rsidRPr="006B7125">
        <w:t>We assessed the association between total centre volume, operator volume and Out of Hospital Cardiac Arrest (OHCA) percutaneous coronary intervention (PCI) volume.</w:t>
      </w:r>
      <w:r w:rsidR="002F7E1A" w:rsidRPr="006B7125">
        <w:rPr>
          <w:lang w:val="en-US"/>
        </w:rPr>
        <w:t xml:space="preserve"> </w:t>
      </w:r>
    </w:p>
    <w:p w14:paraId="01A11CFB" w14:textId="332AEE5F" w:rsidR="00C12CDB" w:rsidRPr="006B7125" w:rsidRDefault="00C12CDB" w:rsidP="00324BA5">
      <w:pPr>
        <w:spacing w:line="360" w:lineRule="auto"/>
        <w:jc w:val="both"/>
        <w:rPr>
          <w:lang w:val="en-US"/>
        </w:rPr>
      </w:pPr>
      <w:r w:rsidRPr="006B7125">
        <w:rPr>
          <w:b/>
          <w:bCs/>
          <w:lang w:val="en-US"/>
        </w:rPr>
        <w:t xml:space="preserve">Background: </w:t>
      </w:r>
      <w:r w:rsidRPr="006B7125">
        <w:rPr>
          <w:lang w:val="en-US"/>
        </w:rPr>
        <w:t>Variations between OHCA PCI volume, hospital total PCI, and primary PCI volume are not well studied and are unlikely to be clinically justifiable.</w:t>
      </w:r>
    </w:p>
    <w:p w14:paraId="11078DB4" w14:textId="564A59AF" w:rsidR="00C12CDB" w:rsidRPr="006B7125" w:rsidRDefault="00C12CDB" w:rsidP="00324BA5">
      <w:pPr>
        <w:spacing w:line="360" w:lineRule="auto"/>
        <w:jc w:val="both"/>
        <w:rPr>
          <w:b/>
          <w:bCs/>
          <w:lang w:val="en-US"/>
        </w:rPr>
      </w:pPr>
      <w:r w:rsidRPr="006B7125">
        <w:rPr>
          <w:b/>
          <w:bCs/>
          <w:lang w:val="en-US"/>
        </w:rPr>
        <w:t xml:space="preserve">Methods: </w:t>
      </w:r>
      <w:r w:rsidRPr="006B7125">
        <w:rPr>
          <w:lang w:val="en-US"/>
        </w:rPr>
        <w:t>Patients undergoing PCI for acute coronary syndrome (ACS) between 1</w:t>
      </w:r>
      <w:r w:rsidRPr="006B7125">
        <w:rPr>
          <w:vertAlign w:val="superscript"/>
          <w:lang w:val="en-US"/>
        </w:rPr>
        <w:t>st</w:t>
      </w:r>
      <w:r w:rsidRPr="006B7125">
        <w:rPr>
          <w:lang w:val="en-US"/>
        </w:rPr>
        <w:t xml:space="preserve"> January 2014 and 31st March 2019 in England and Wales were grouped as OHCA PCI and non-OHCA PCI. </w:t>
      </w:r>
      <w:r w:rsidRPr="006B7125">
        <w:t>Spearman's correlation was used to determine the degree of correlation between each hospital PCI volume and OHCA PCI volume</w:t>
      </w:r>
      <w:r w:rsidRPr="006B7125">
        <w:rPr>
          <w:lang w:val="en-US"/>
        </w:rPr>
        <w:t>.</w:t>
      </w:r>
    </w:p>
    <w:p w14:paraId="1FD47341" w14:textId="208A00A1" w:rsidR="002F7E1A" w:rsidRPr="006B7125" w:rsidRDefault="00C12CDB" w:rsidP="00324BA5">
      <w:pPr>
        <w:spacing w:line="360" w:lineRule="auto"/>
        <w:jc w:val="both"/>
        <w:rPr>
          <w:lang w:val="en-US"/>
        </w:rPr>
      </w:pPr>
      <w:r w:rsidRPr="006B7125">
        <w:rPr>
          <w:b/>
          <w:bCs/>
          <w:lang w:val="en-US"/>
        </w:rPr>
        <w:t xml:space="preserve">Results: </w:t>
      </w:r>
      <w:r w:rsidR="00324BA5" w:rsidRPr="006B7125">
        <w:rPr>
          <w:lang w:val="en-US"/>
        </w:rPr>
        <w:t xml:space="preserve">Out of </w:t>
      </w:r>
      <w:r w:rsidR="00324BA5" w:rsidRPr="006B7125">
        <w:t xml:space="preserve">250,088 PCI procedures undertaken for ACS, 12,016 (4.8%) were performed for OHCA, and 238,072 (95.2%) were non-OHCA PCI procedures. The OHCA PCI group were younger (mean age (SD) 63.2 (12.3) and 65.6 (12.5, p&lt;0.001), less likely to be female (20.2% vs 26.9%, p&lt;0.001) or </w:t>
      </w:r>
      <w:r w:rsidR="00FC6703" w:rsidRPr="006B7125">
        <w:t>Black, Asian and Minority Ethnic</w:t>
      </w:r>
      <w:r w:rsidR="0016347A" w:rsidRPr="006B7125">
        <w:t xml:space="preserve">ity </w:t>
      </w:r>
      <w:r w:rsidR="00FC6703" w:rsidRPr="006B7125">
        <w:t>(</w:t>
      </w:r>
      <w:r w:rsidR="00324BA5" w:rsidRPr="006B7125">
        <w:t>BAME</w:t>
      </w:r>
      <w:r w:rsidR="00FC6703" w:rsidRPr="006B7125">
        <w:t>)</w:t>
      </w:r>
      <w:r w:rsidR="00324BA5" w:rsidRPr="006B7125">
        <w:t xml:space="preserve"> (11.5% vs 14.8%, p&lt;0.001) compared to the non-OHCA PCI group. Although there was a degree of correlation between total PCI and OHCA PCI, there was wide variation for both ACS cohort (Spearman correlation R2=0.50) and total PCI volume (Spearman correlation R2=0.60). Furthermore, the correlation between primary PCI volume and OHCA PCI within centres was weak (R2=0.10). Similarly, wide variations between operator PCI volume and OHCA PCI volume were observed.</w:t>
      </w:r>
    </w:p>
    <w:p w14:paraId="4C66E12A" w14:textId="7106E4A4" w:rsidR="00324BA5" w:rsidRPr="006B7125" w:rsidRDefault="00324BA5" w:rsidP="00324BA5">
      <w:pPr>
        <w:spacing w:line="360" w:lineRule="auto"/>
        <w:jc w:val="both"/>
        <w:rPr>
          <w:color w:val="0E101A"/>
        </w:rPr>
      </w:pPr>
      <w:r w:rsidRPr="006B7125">
        <w:rPr>
          <w:bCs/>
          <w:color w:val="0E101A"/>
        </w:rPr>
        <w:t xml:space="preserve"> </w:t>
      </w:r>
      <w:r w:rsidR="00C12CDB" w:rsidRPr="006B7125">
        <w:rPr>
          <w:b/>
          <w:color w:val="0E101A"/>
        </w:rPr>
        <w:t xml:space="preserve">Conclusion: </w:t>
      </w:r>
      <w:r w:rsidRPr="006B7125">
        <w:t>These national data demonstrate wide variation in the practice of OHCA PCI both between centres and individuals. These variations are not expected according to clinical factors and require further investigation.</w:t>
      </w:r>
      <w:r w:rsidRPr="006B7125">
        <w:rPr>
          <w:color w:val="0E101A"/>
        </w:rPr>
        <w:t xml:space="preserve"> </w:t>
      </w:r>
    </w:p>
    <w:p w14:paraId="1346B3BE" w14:textId="77777777" w:rsidR="002F7E1A" w:rsidRPr="006B7125" w:rsidRDefault="002F7E1A" w:rsidP="002F7E1A">
      <w:pPr>
        <w:spacing w:line="240" w:lineRule="auto"/>
        <w:jc w:val="both"/>
      </w:pPr>
      <w:r w:rsidRPr="006B7125">
        <w:rPr>
          <w:b/>
        </w:rPr>
        <w:t>Keywords</w:t>
      </w:r>
      <w:r w:rsidRPr="006B7125">
        <w:t xml:space="preserve">: Out of Hospital Cardiac Arrest, Percutaneous Coronary Intervention, Mortality, Outcomes, Predictors </w:t>
      </w:r>
    </w:p>
    <w:p w14:paraId="1A6A44AA" w14:textId="77777777" w:rsidR="002F7E1A" w:rsidRPr="006B7125" w:rsidRDefault="002F7E1A" w:rsidP="002F7E1A">
      <w:pPr>
        <w:spacing w:line="240" w:lineRule="auto"/>
        <w:jc w:val="both"/>
        <w:rPr>
          <w:b/>
        </w:rPr>
      </w:pPr>
      <w:r w:rsidRPr="006B7125">
        <w:rPr>
          <w:b/>
        </w:rPr>
        <w:t xml:space="preserve">Conflict of interest </w:t>
      </w:r>
    </w:p>
    <w:p w14:paraId="79D8E08E" w14:textId="77777777" w:rsidR="002F7E1A" w:rsidRPr="006B7125" w:rsidRDefault="002F7E1A" w:rsidP="002F7E1A">
      <w:pPr>
        <w:spacing w:line="360" w:lineRule="auto"/>
        <w:jc w:val="both"/>
        <w:rPr>
          <w:rFonts w:cs="Times New Roman"/>
        </w:rPr>
      </w:pPr>
      <w:r w:rsidRPr="006B7125">
        <w:rPr>
          <w:rFonts w:cs="Times New Roman"/>
        </w:rPr>
        <w:t xml:space="preserve">All authors confirm no potential conflict relevant to this manuscript. </w:t>
      </w:r>
    </w:p>
    <w:p w14:paraId="102BADA3" w14:textId="77777777" w:rsidR="002F7E1A" w:rsidRPr="006B7125" w:rsidRDefault="002F7E1A" w:rsidP="002F7E1A">
      <w:pPr>
        <w:spacing w:line="360" w:lineRule="auto"/>
        <w:jc w:val="both"/>
        <w:rPr>
          <w:rFonts w:cs="Times New Roman"/>
          <w:szCs w:val="24"/>
        </w:rPr>
      </w:pPr>
      <w:r w:rsidRPr="006B7125">
        <w:rPr>
          <w:rFonts w:cs="Times New Roman"/>
          <w:b/>
          <w:szCs w:val="24"/>
        </w:rPr>
        <w:t>Word count:</w:t>
      </w:r>
      <w:r w:rsidRPr="006B7125">
        <w:rPr>
          <w:rFonts w:cs="Times New Roman"/>
          <w:szCs w:val="24"/>
        </w:rPr>
        <w:t xml:space="preserve"> 2565 (excluding references, </w:t>
      </w:r>
      <w:proofErr w:type="gramStart"/>
      <w:r w:rsidRPr="006B7125">
        <w:rPr>
          <w:rFonts w:cs="Times New Roman"/>
          <w:szCs w:val="24"/>
        </w:rPr>
        <w:t>figures</w:t>
      </w:r>
      <w:proofErr w:type="gramEnd"/>
      <w:r w:rsidRPr="006B7125">
        <w:rPr>
          <w:rFonts w:cs="Times New Roman"/>
          <w:szCs w:val="24"/>
        </w:rPr>
        <w:t xml:space="preserve"> and tables)</w:t>
      </w:r>
    </w:p>
    <w:p w14:paraId="57735592" w14:textId="091A8A4D" w:rsidR="002F7E1A" w:rsidRPr="006B7125" w:rsidRDefault="002F7E1A" w:rsidP="00324BA5">
      <w:pPr>
        <w:spacing w:line="360" w:lineRule="auto"/>
        <w:jc w:val="both"/>
        <w:rPr>
          <w:lang w:val="en-US"/>
        </w:rPr>
      </w:pPr>
    </w:p>
    <w:p w14:paraId="5A3865BE" w14:textId="43A14FD6" w:rsidR="002F7E1A" w:rsidRPr="006B7125" w:rsidRDefault="002F7E1A" w:rsidP="00324BA5">
      <w:pPr>
        <w:spacing w:line="360" w:lineRule="auto"/>
        <w:jc w:val="both"/>
        <w:rPr>
          <w:lang w:val="en-US"/>
        </w:rPr>
      </w:pPr>
    </w:p>
    <w:p w14:paraId="1E80AE65" w14:textId="10D8B168" w:rsidR="002F7E1A" w:rsidRPr="006B7125" w:rsidRDefault="002F7E1A" w:rsidP="00324BA5">
      <w:pPr>
        <w:spacing w:line="360" w:lineRule="auto"/>
        <w:jc w:val="both"/>
        <w:rPr>
          <w:lang w:val="en-US"/>
        </w:rPr>
      </w:pPr>
    </w:p>
    <w:p w14:paraId="641A9F79" w14:textId="77777777" w:rsidR="002F7E1A" w:rsidRPr="006B7125" w:rsidRDefault="002F7E1A" w:rsidP="00324BA5">
      <w:pPr>
        <w:spacing w:line="360" w:lineRule="auto"/>
        <w:jc w:val="both"/>
        <w:rPr>
          <w:lang w:val="en-US"/>
        </w:rPr>
      </w:pPr>
    </w:p>
    <w:p w14:paraId="0EBD9E76" w14:textId="77777777" w:rsidR="00324BA5" w:rsidRPr="006B7125" w:rsidRDefault="00324BA5" w:rsidP="00650C7F">
      <w:pPr>
        <w:rPr>
          <w:b/>
        </w:rPr>
      </w:pPr>
    </w:p>
    <w:p w14:paraId="1B1B1F36" w14:textId="725DACDD" w:rsidR="00561083" w:rsidRPr="006B7125" w:rsidRDefault="00561083" w:rsidP="00650C7F">
      <w:pPr>
        <w:rPr>
          <w:b/>
        </w:rPr>
      </w:pPr>
      <w:r w:rsidRPr="006B7125">
        <w:rPr>
          <w:b/>
        </w:rPr>
        <w:t>Introduction</w:t>
      </w:r>
    </w:p>
    <w:p w14:paraId="24917666" w14:textId="429C477F" w:rsidR="00DA7A83" w:rsidRPr="006B7125" w:rsidRDefault="00561083" w:rsidP="00DA7A83">
      <w:pPr>
        <w:spacing w:line="480" w:lineRule="auto"/>
        <w:ind w:firstLine="720"/>
        <w:jc w:val="both"/>
      </w:pPr>
      <w:r w:rsidRPr="006B7125">
        <w:t>Out of</w:t>
      </w:r>
      <w:r w:rsidR="00E11A86" w:rsidRPr="006B7125">
        <w:t xml:space="preserve"> Hospital Cardiac Arrest (OHCA)</w:t>
      </w:r>
      <w:r w:rsidR="003F6B5B" w:rsidRPr="006B7125">
        <w:t xml:space="preserve"> </w:t>
      </w:r>
      <w:r w:rsidRPr="006B7125">
        <w:t xml:space="preserve">remains a leading cause of morbidity and </w:t>
      </w:r>
      <w:r w:rsidR="003F6B5B" w:rsidRPr="006B7125">
        <w:t>mortality</w:t>
      </w:r>
      <w:r w:rsidR="005A1F0C" w:rsidRPr="006B7125">
        <w:t>,</w:t>
      </w:r>
      <w:r w:rsidR="00E11A86" w:rsidRPr="006B7125">
        <w:t xml:space="preserve"> with a global incidence of 55 events per 100,000 inhabitants</w:t>
      </w:r>
      <w:r w:rsidR="003F6B5B" w:rsidRPr="006B7125">
        <w:t xml:space="preserve"> </w:t>
      </w:r>
      <w:r w:rsidR="00744A25" w:rsidRPr="006B7125">
        <w:fldChar w:fldCharType="begin"/>
      </w:r>
      <w:r w:rsidR="00924DC1" w:rsidRPr="006B7125">
        <w:instrText>ADDIN RW.CITE{{doc:6093c31d8f088dd831ed66fc Berdowski,Jocelyn 2010}}</w:instrText>
      </w:r>
      <w:r w:rsidR="00744A25" w:rsidRPr="006B7125">
        <w:fldChar w:fldCharType="separate"/>
      </w:r>
      <w:r w:rsidR="00924DC1" w:rsidRPr="006B7125">
        <w:rPr>
          <w:rFonts w:cs="Times New Roman"/>
          <w:bCs/>
          <w:vertAlign w:val="superscript"/>
          <w:lang w:val="en-US"/>
        </w:rPr>
        <w:t>1</w:t>
      </w:r>
      <w:r w:rsidR="00744A25" w:rsidRPr="006B7125">
        <w:fldChar w:fldCharType="end"/>
      </w:r>
      <w:r w:rsidR="00744A25" w:rsidRPr="006B7125">
        <w:t>.</w:t>
      </w:r>
      <w:r w:rsidR="003F6B5B" w:rsidRPr="006B7125">
        <w:t xml:space="preserve"> </w:t>
      </w:r>
      <w:r w:rsidR="006F3C06" w:rsidRPr="006B7125">
        <w:t>P</w:t>
      </w:r>
      <w:r w:rsidR="003F6B5B" w:rsidRPr="006B7125">
        <w:t>ost mortem studies have revealed that almost two</w:t>
      </w:r>
      <w:r w:rsidR="005A1F0C" w:rsidRPr="006B7125">
        <w:t>-</w:t>
      </w:r>
      <w:r w:rsidR="003F6B5B" w:rsidRPr="006B7125">
        <w:t>third</w:t>
      </w:r>
      <w:r w:rsidR="009F18FB" w:rsidRPr="006B7125">
        <w:t>s</w:t>
      </w:r>
      <w:r w:rsidR="003F6B5B" w:rsidRPr="006B7125">
        <w:t xml:space="preserve"> of OHCA survivors have </w:t>
      </w:r>
      <w:r w:rsidR="006F3C06" w:rsidRPr="006B7125">
        <w:t xml:space="preserve">a </w:t>
      </w:r>
      <w:r w:rsidR="003F6B5B" w:rsidRPr="006B7125">
        <w:t>primary cardiac aetiology</w:t>
      </w:r>
      <w:r w:rsidR="006F3C06" w:rsidRPr="006B7125">
        <w:t>,</w:t>
      </w:r>
      <w:r w:rsidR="003A1B63" w:rsidRPr="006B7125">
        <w:t xml:space="preserve"> </w:t>
      </w:r>
      <w:r w:rsidR="006F3C06" w:rsidRPr="006B7125">
        <w:t>particularly</w:t>
      </w:r>
      <w:r w:rsidR="003F6B5B" w:rsidRPr="006B7125">
        <w:t xml:space="preserve"> </w:t>
      </w:r>
      <w:r w:rsidR="004D6C8E" w:rsidRPr="006B7125">
        <w:t xml:space="preserve">the </w:t>
      </w:r>
      <w:r w:rsidR="003F6B5B" w:rsidRPr="006B7125">
        <w:t>presence of significant coronary disease</w:t>
      </w:r>
      <w:r w:rsidR="006F3C06" w:rsidRPr="006B7125">
        <w:t xml:space="preserve"> </w:t>
      </w:r>
      <w:r w:rsidR="00577851" w:rsidRPr="006B7125">
        <w:fldChar w:fldCharType="begin"/>
      </w:r>
      <w:r w:rsidR="00924DC1" w:rsidRPr="006B7125">
        <w:instrText>ADDIN RW.CITE{{doc:6093ff148f08978e24767e50 Nadar,SK 2018; doc:6093ff148f08978e24767e4f Matsumura,K 2019; doc:6093fe978f081888003e0b43 Radsel,Peter 2011; doc:610c5c248f082f0df56cbbd7 Moriwaki,Yoshihiro 2013; doc:610d0b658f082f0df56cfc21 Davies,MichaelJohn 1984}}</w:instrText>
      </w:r>
      <w:r w:rsidR="00577851" w:rsidRPr="006B7125">
        <w:fldChar w:fldCharType="separate"/>
      </w:r>
      <w:r w:rsidR="00924DC1" w:rsidRPr="006B7125">
        <w:rPr>
          <w:rFonts w:cs="Times New Roman"/>
          <w:bCs/>
          <w:vertAlign w:val="superscript"/>
          <w:lang w:val="en-US"/>
        </w:rPr>
        <w:t>2-6</w:t>
      </w:r>
      <w:r w:rsidR="00577851" w:rsidRPr="006B7125">
        <w:fldChar w:fldCharType="end"/>
      </w:r>
      <w:r w:rsidR="003F6B5B" w:rsidRPr="006B7125">
        <w:t>.</w:t>
      </w:r>
      <w:r w:rsidR="001C437A" w:rsidRPr="006B7125">
        <w:t xml:space="preserve"> Angiographic </w:t>
      </w:r>
      <w:r w:rsidR="00B0345E" w:rsidRPr="006B7125">
        <w:t>data of patients</w:t>
      </w:r>
      <w:r w:rsidR="00242F6E" w:rsidRPr="006B7125">
        <w:t xml:space="preserve"> presenting with OHCA shows</w:t>
      </w:r>
      <w:r w:rsidR="00B0345E" w:rsidRPr="006B7125">
        <w:t xml:space="preserve"> that almost 50% of patients have a complete coronary artery occlusion and </w:t>
      </w:r>
      <w:r w:rsidR="00342FB7" w:rsidRPr="006B7125">
        <w:t>up to</w:t>
      </w:r>
      <w:r w:rsidR="00B0345E" w:rsidRPr="006B7125">
        <w:t xml:space="preserve"> two</w:t>
      </w:r>
      <w:r w:rsidR="005A1F0C" w:rsidRPr="006B7125">
        <w:t>-</w:t>
      </w:r>
      <w:r w:rsidR="00B0345E" w:rsidRPr="006B7125">
        <w:t xml:space="preserve">thirds have </w:t>
      </w:r>
      <w:r w:rsidR="00342FB7" w:rsidRPr="006B7125">
        <w:t>at least</w:t>
      </w:r>
      <w:r w:rsidR="00B0345E" w:rsidRPr="006B7125">
        <w:t xml:space="preserve"> one significant coronary lesion</w:t>
      </w:r>
      <w:r w:rsidR="00F33268" w:rsidRPr="006B7125">
        <w:fldChar w:fldCharType="begin"/>
      </w:r>
      <w:r w:rsidR="00924DC1" w:rsidRPr="006B7125">
        <w:instrText>ADDIN RW.CITE{{doc:60aacddb8f0834232d6e8bf3 Grasner,JT 2021; doc:60aad4d98f082eafa2a01c87 Spoormans,EM 2020}}</w:instrText>
      </w:r>
      <w:r w:rsidR="00F33268" w:rsidRPr="006B7125">
        <w:fldChar w:fldCharType="separate"/>
      </w:r>
      <w:r w:rsidR="00924DC1" w:rsidRPr="006B7125">
        <w:rPr>
          <w:rFonts w:cs="Times New Roman"/>
          <w:bCs/>
          <w:vertAlign w:val="superscript"/>
          <w:lang w:val="en-US"/>
        </w:rPr>
        <w:t>7 8</w:t>
      </w:r>
      <w:r w:rsidR="00F33268" w:rsidRPr="006B7125">
        <w:fldChar w:fldCharType="end"/>
      </w:r>
      <w:r w:rsidR="00B0345E" w:rsidRPr="006B7125">
        <w:t>. T</w:t>
      </w:r>
      <w:r w:rsidR="00880A67" w:rsidRPr="006B7125">
        <w:t>he management of OHCA patients who are thought to have a cardiac aetiology is contentious</w:t>
      </w:r>
      <w:r w:rsidR="00F33268" w:rsidRPr="006B7125">
        <w:fldChar w:fldCharType="begin"/>
      </w:r>
      <w:r w:rsidR="00924DC1" w:rsidRPr="006B7125">
        <w:instrText>ADDIN RW.CITE{{doc:60aad4d98f082eafa2a01c86 Yang,MC 2020}}</w:instrText>
      </w:r>
      <w:r w:rsidR="00F33268" w:rsidRPr="006B7125">
        <w:fldChar w:fldCharType="separate"/>
      </w:r>
      <w:r w:rsidR="00924DC1" w:rsidRPr="006B7125">
        <w:rPr>
          <w:rFonts w:cs="Times New Roman"/>
          <w:bCs/>
          <w:vertAlign w:val="superscript"/>
          <w:lang w:val="en-US"/>
        </w:rPr>
        <w:t>9</w:t>
      </w:r>
      <w:r w:rsidR="00F33268" w:rsidRPr="006B7125">
        <w:fldChar w:fldCharType="end"/>
      </w:r>
      <w:r w:rsidR="00880A67" w:rsidRPr="006B7125">
        <w:t>. Specifically, c</w:t>
      </w:r>
      <w:r w:rsidR="00E11A86" w:rsidRPr="006B7125">
        <w:t xml:space="preserve">urrent guidelines and expert opinion </w:t>
      </w:r>
      <w:r w:rsidR="008C1A32" w:rsidRPr="006B7125">
        <w:t xml:space="preserve">universally </w:t>
      </w:r>
      <w:r w:rsidR="00E11A86" w:rsidRPr="006B7125">
        <w:t xml:space="preserve">advocate immediate coronary angiography with a view to percutaneous coronary intervention (PCI) in resuscitated OHCA patients with </w:t>
      </w:r>
      <w:r w:rsidR="008C1A32" w:rsidRPr="006B7125">
        <w:t xml:space="preserve">ECG </w:t>
      </w:r>
      <w:r w:rsidR="00E11A86" w:rsidRPr="006B7125">
        <w:t>evidence of ST</w:t>
      </w:r>
      <w:r w:rsidR="005A1F0C" w:rsidRPr="006B7125">
        <w:t>-</w:t>
      </w:r>
      <w:r w:rsidR="00E11A86" w:rsidRPr="006B7125">
        <w:t>elevation myocardial infarction (STEMI)</w:t>
      </w:r>
      <w:r w:rsidR="008C1A32" w:rsidRPr="006B7125">
        <w:t>. However, such</w:t>
      </w:r>
      <w:r w:rsidR="00265D69" w:rsidRPr="006B7125">
        <w:t xml:space="preserve"> guidelines are less </w:t>
      </w:r>
      <w:r w:rsidR="008C1A32" w:rsidRPr="006B7125">
        <w:t>uniform</w:t>
      </w:r>
      <w:r w:rsidR="00265D69" w:rsidRPr="006B7125">
        <w:t xml:space="preserve"> </w:t>
      </w:r>
      <w:r w:rsidR="005A1F0C" w:rsidRPr="006B7125">
        <w:t>regarding</w:t>
      </w:r>
      <w:r w:rsidR="008C1A32" w:rsidRPr="006B7125">
        <w:t xml:space="preserve"> OHCA </w:t>
      </w:r>
      <w:r w:rsidR="00265D69" w:rsidRPr="006B7125">
        <w:t>patients with</w:t>
      </w:r>
      <w:r w:rsidR="008C1A32" w:rsidRPr="006B7125">
        <w:t xml:space="preserve">out ST elevation </w:t>
      </w:r>
      <w:r w:rsidR="00D936E8" w:rsidRPr="006B7125">
        <w:fldChar w:fldCharType="begin"/>
      </w:r>
      <w:r w:rsidR="00924DC1" w:rsidRPr="006B7125">
        <w:instrText>ADDIN RW.CITE{{doc:60aad2b98f081c1737af3708 Noc,M 2014; doc:60aad2288f0803968f667033 Lotfi,A 2020}}</w:instrText>
      </w:r>
      <w:r w:rsidR="00D936E8" w:rsidRPr="006B7125">
        <w:fldChar w:fldCharType="separate"/>
      </w:r>
      <w:r w:rsidR="00924DC1" w:rsidRPr="006B7125">
        <w:rPr>
          <w:rFonts w:cs="Times New Roman"/>
          <w:bCs/>
          <w:vertAlign w:val="superscript"/>
          <w:lang w:val="en-US"/>
        </w:rPr>
        <w:t>10 11</w:t>
      </w:r>
      <w:r w:rsidR="00D936E8" w:rsidRPr="006B7125">
        <w:fldChar w:fldCharType="end"/>
      </w:r>
      <w:r w:rsidR="008C1A32" w:rsidRPr="006B7125">
        <w:t>, with considerable variability in practice around the UK</w:t>
      </w:r>
      <w:r w:rsidR="00342FB7" w:rsidRPr="006B7125">
        <w:fldChar w:fldCharType="begin"/>
      </w:r>
      <w:r w:rsidR="00924DC1" w:rsidRPr="006B7125">
        <w:instrText>ADDIN RW.CITE{{doc:610d12258f08b0be6c20caa8 Rawlins,John 2017}}</w:instrText>
      </w:r>
      <w:r w:rsidR="00342FB7" w:rsidRPr="006B7125">
        <w:fldChar w:fldCharType="separate"/>
      </w:r>
      <w:r w:rsidR="00924DC1" w:rsidRPr="006B7125">
        <w:rPr>
          <w:rFonts w:cs="Times New Roman"/>
          <w:bCs/>
          <w:vertAlign w:val="superscript"/>
          <w:lang w:val="en-US"/>
        </w:rPr>
        <w:t>12</w:t>
      </w:r>
      <w:r w:rsidR="00342FB7" w:rsidRPr="006B7125">
        <w:fldChar w:fldCharType="end"/>
      </w:r>
      <w:r w:rsidR="00242F6E" w:rsidRPr="006B7125">
        <w:t>,</w:t>
      </w:r>
      <w:r w:rsidR="009F18FB" w:rsidRPr="006B7125">
        <w:t xml:space="preserve"> particularly </w:t>
      </w:r>
      <w:r w:rsidR="00335EF8" w:rsidRPr="006B7125">
        <w:t>regarding the use of invasive coronary angiography and subsequent</w:t>
      </w:r>
      <w:r w:rsidR="00863C8E" w:rsidRPr="006B7125">
        <w:t xml:space="preserve"> revasculari</w:t>
      </w:r>
      <w:r w:rsidR="00242F6E" w:rsidRPr="006B7125">
        <w:t>z</w:t>
      </w:r>
      <w:r w:rsidR="00863C8E" w:rsidRPr="006B7125">
        <w:t>ation</w:t>
      </w:r>
      <w:r w:rsidR="00335EF8" w:rsidRPr="006B7125">
        <w:t xml:space="preserve"> </w:t>
      </w:r>
      <w:r w:rsidR="00335EF8" w:rsidRPr="006B7125">
        <w:fldChar w:fldCharType="begin"/>
      </w:r>
      <w:r w:rsidR="00924DC1" w:rsidRPr="006B7125">
        <w:instrText>ADDIN RW.CITE{{doc:60aad4d98f082eafa2a01c87 Spoormans,EM 2020; doc:60aad4d98f082eafa2a01c86 Yang,MC 2020; doc:60aad4d98f082eafa2a01c85 Verma,BR 2020}}</w:instrText>
      </w:r>
      <w:r w:rsidR="00335EF8" w:rsidRPr="006B7125">
        <w:fldChar w:fldCharType="separate"/>
      </w:r>
      <w:r w:rsidR="00924DC1" w:rsidRPr="006B7125">
        <w:rPr>
          <w:rFonts w:cs="Times New Roman"/>
          <w:bCs/>
          <w:vertAlign w:val="superscript"/>
          <w:lang w:val="en-US"/>
        </w:rPr>
        <w:t>8 9 13</w:t>
      </w:r>
      <w:r w:rsidR="00335EF8" w:rsidRPr="006B7125">
        <w:fldChar w:fldCharType="end"/>
      </w:r>
      <w:r w:rsidR="00E11A86" w:rsidRPr="006B7125">
        <w:t>.</w:t>
      </w:r>
      <w:r w:rsidR="00413540" w:rsidRPr="006B7125">
        <w:t xml:space="preserve"> </w:t>
      </w:r>
      <w:r w:rsidR="00863C8E" w:rsidRPr="006B7125">
        <w:t>The clinical practice and decision making around invasive management of OHCA</w:t>
      </w:r>
      <w:r w:rsidR="003A56D0" w:rsidRPr="006B7125">
        <w:t xml:space="preserve"> </w:t>
      </w:r>
      <w:r w:rsidR="00242F6E" w:rsidRPr="006B7125">
        <w:t>are</w:t>
      </w:r>
      <w:r w:rsidR="003A56D0" w:rsidRPr="006B7125">
        <w:t xml:space="preserve"> </w:t>
      </w:r>
      <w:r w:rsidR="00863C8E" w:rsidRPr="006B7125">
        <w:t xml:space="preserve">further </w:t>
      </w:r>
      <w:r w:rsidR="003A56D0" w:rsidRPr="006B7125">
        <w:t>compounded by randomi</w:t>
      </w:r>
      <w:r w:rsidR="005A1F0C" w:rsidRPr="006B7125">
        <w:t>z</w:t>
      </w:r>
      <w:r w:rsidR="003A56D0" w:rsidRPr="006B7125">
        <w:t xml:space="preserve">ed </w:t>
      </w:r>
      <w:r w:rsidR="00814E97" w:rsidRPr="006B7125">
        <w:t>trials</w:t>
      </w:r>
      <w:r w:rsidR="003A56D0" w:rsidRPr="006B7125">
        <w:t xml:space="preserve"> comparing early versus late angiography and revascularisation rather than angiography versus no angiography</w:t>
      </w:r>
      <w:r w:rsidR="00823078" w:rsidRPr="006B7125">
        <w:fldChar w:fldCharType="begin"/>
      </w:r>
      <w:r w:rsidR="00924DC1" w:rsidRPr="006B7125">
        <w:instrText>ADDIN RW.CITE{{doc:5ed041d0e4b0fcf625aa262b Lemkes,JS 2019; doc:614076a38f08a2fcf8090f5a Desch,Steffen 2021}}</w:instrText>
      </w:r>
      <w:r w:rsidR="00823078" w:rsidRPr="006B7125">
        <w:fldChar w:fldCharType="separate"/>
      </w:r>
      <w:r w:rsidR="00924DC1" w:rsidRPr="006B7125">
        <w:rPr>
          <w:rFonts w:cs="Times New Roman"/>
          <w:bCs/>
          <w:vertAlign w:val="superscript"/>
          <w:lang w:val="en-US"/>
        </w:rPr>
        <w:t>14 15</w:t>
      </w:r>
      <w:r w:rsidR="00823078" w:rsidRPr="006B7125">
        <w:fldChar w:fldCharType="end"/>
      </w:r>
      <w:r w:rsidR="003A56D0" w:rsidRPr="006B7125">
        <w:t>.</w:t>
      </w:r>
      <w:r w:rsidR="00DA7A83" w:rsidRPr="006B7125">
        <w:t xml:space="preserve"> </w:t>
      </w:r>
    </w:p>
    <w:p w14:paraId="0A448E51" w14:textId="1EF87F3D" w:rsidR="00413540" w:rsidRPr="006B7125" w:rsidRDefault="00335EF8" w:rsidP="003102F9">
      <w:pPr>
        <w:spacing w:line="480" w:lineRule="auto"/>
        <w:ind w:firstLine="720"/>
        <w:jc w:val="both"/>
      </w:pPr>
      <w:r w:rsidRPr="006B7125">
        <w:t>The threshold for coronary angiography and PCI r</w:t>
      </w:r>
      <w:r w:rsidR="00342FB7" w:rsidRPr="006B7125">
        <w:t>emains highly variable within UK</w:t>
      </w:r>
      <w:r w:rsidRPr="006B7125">
        <w:t xml:space="preserve"> practice, and this variability is unsatisfactory in terms of equity of access to optimal therapy. Historically, </w:t>
      </w:r>
      <w:r w:rsidR="005A1F0C" w:rsidRPr="006B7125">
        <w:t>limited data have been</w:t>
      </w:r>
      <w:r w:rsidR="00276E9E" w:rsidRPr="006B7125">
        <w:t xml:space="preserve"> </w:t>
      </w:r>
      <w:r w:rsidRPr="006B7125">
        <w:t xml:space="preserve">available </w:t>
      </w:r>
      <w:r w:rsidR="00276E9E" w:rsidRPr="006B7125">
        <w:t>around the clinical</w:t>
      </w:r>
      <w:r w:rsidRPr="006B7125">
        <w:t xml:space="preserve"> and angiographic</w:t>
      </w:r>
      <w:r w:rsidR="00276E9E" w:rsidRPr="006B7125">
        <w:t xml:space="preserve"> profile of OHCA patients undergoing PCI</w:t>
      </w:r>
      <w:r w:rsidR="00342FB7" w:rsidRPr="006B7125">
        <w:t xml:space="preserve"> in the UK</w:t>
      </w:r>
      <w:r w:rsidR="005A1F0C" w:rsidRPr="006B7125">
        <w:t>.</w:t>
      </w:r>
      <w:r w:rsidR="003102F9" w:rsidRPr="006B7125">
        <w:t xml:space="preserve"> In 2014, the British Cardiovascular Interve</w:t>
      </w:r>
      <w:r w:rsidR="00863C8E" w:rsidRPr="006B7125">
        <w:t xml:space="preserve">ntion Society (BCIS) introduced </w:t>
      </w:r>
      <w:r w:rsidR="003102F9" w:rsidRPr="006B7125">
        <w:t xml:space="preserve">data fields </w:t>
      </w:r>
      <w:r w:rsidR="00242412" w:rsidRPr="006B7125">
        <w:t xml:space="preserve">to the national registry </w:t>
      </w:r>
      <w:r w:rsidR="003102F9" w:rsidRPr="006B7125">
        <w:t>regarding the clinical characteristics and management of all patients</w:t>
      </w:r>
      <w:r w:rsidR="009F18FB" w:rsidRPr="006B7125">
        <w:t xml:space="preserve"> who sustained an OHCA prior to PCI</w:t>
      </w:r>
      <w:r w:rsidR="00863C8E" w:rsidRPr="006B7125">
        <w:t>.</w:t>
      </w:r>
    </w:p>
    <w:p w14:paraId="2CA24FF1" w14:textId="2BEAC71D" w:rsidR="00126334" w:rsidRPr="006B7125" w:rsidRDefault="005A1F0C" w:rsidP="00DF4B4A">
      <w:pPr>
        <w:spacing w:line="480" w:lineRule="auto"/>
        <w:jc w:val="both"/>
      </w:pPr>
      <w:r w:rsidRPr="006B7125">
        <w:lastRenderedPageBreak/>
        <w:t>The present analysis describes</w:t>
      </w:r>
      <w:r w:rsidR="003C3037" w:rsidRPr="006B7125">
        <w:t xml:space="preserve"> the clinical and angiographic profile of</w:t>
      </w:r>
      <w:r w:rsidR="00C505E1" w:rsidRPr="006B7125">
        <w:t xml:space="preserve"> a national cohort of patients undergoing PCI for OHCA in England and Wales.</w:t>
      </w:r>
      <w:r w:rsidR="003A1B63" w:rsidRPr="006B7125">
        <w:t xml:space="preserve"> </w:t>
      </w:r>
      <w:r w:rsidR="00242412" w:rsidRPr="006B7125">
        <w:t>We</w:t>
      </w:r>
      <w:r w:rsidR="00B73E5D" w:rsidRPr="006B7125">
        <w:t xml:space="preserve"> assessed variation in practice </w:t>
      </w:r>
      <w:r w:rsidRPr="006B7125">
        <w:t>across centres and</w:t>
      </w:r>
      <w:r w:rsidR="001F4C03" w:rsidRPr="006B7125">
        <w:t xml:space="preserve"> individual operators</w:t>
      </w:r>
      <w:r w:rsidR="00B73E5D" w:rsidRPr="006B7125">
        <w:t xml:space="preserve"> by looking at t</w:t>
      </w:r>
      <w:r w:rsidR="001F4C03" w:rsidRPr="006B7125">
        <w:t xml:space="preserve">he proportion of </w:t>
      </w:r>
      <w:r w:rsidR="00242412" w:rsidRPr="006B7125">
        <w:t xml:space="preserve">all </w:t>
      </w:r>
      <w:r w:rsidR="001F4C03" w:rsidRPr="006B7125">
        <w:t>PCI</w:t>
      </w:r>
      <w:r w:rsidR="00242412" w:rsidRPr="006B7125">
        <w:t xml:space="preserve"> procedures</w:t>
      </w:r>
      <w:r w:rsidR="001F4C03" w:rsidRPr="006B7125">
        <w:t xml:space="preserve">, </w:t>
      </w:r>
      <w:r w:rsidR="00242412" w:rsidRPr="006B7125">
        <w:t xml:space="preserve">number of </w:t>
      </w:r>
      <w:r w:rsidR="001F4C03" w:rsidRPr="006B7125">
        <w:t>primary PCI</w:t>
      </w:r>
      <w:r w:rsidR="00242412" w:rsidRPr="006B7125">
        <w:t xml:space="preserve"> procedures and those performed on patients who had presented with OHCA.</w:t>
      </w:r>
      <w:r w:rsidR="00B73E5D" w:rsidRPr="006B7125">
        <w:t xml:space="preserve"> </w:t>
      </w:r>
      <w:r w:rsidR="002C2BCE" w:rsidRPr="006B7125">
        <w:t>Finally</w:t>
      </w:r>
      <w:r w:rsidR="00B73E5D" w:rsidRPr="006B7125">
        <w:t>,</w:t>
      </w:r>
      <w:r w:rsidR="002C2BCE" w:rsidRPr="006B7125">
        <w:t xml:space="preserve"> we report</w:t>
      </w:r>
      <w:r w:rsidR="003C3037" w:rsidRPr="006B7125">
        <w:t xml:space="preserve"> clinical outcomes</w:t>
      </w:r>
      <w:r w:rsidR="00C505E1" w:rsidRPr="006B7125">
        <w:t xml:space="preserve"> and independent predictors of mortality in patients undergoing PCI</w:t>
      </w:r>
      <w:r w:rsidR="00242412" w:rsidRPr="006B7125">
        <w:t xml:space="preserve"> following OHCA</w:t>
      </w:r>
      <w:r w:rsidR="003C3037" w:rsidRPr="006B7125">
        <w:t>.</w:t>
      </w:r>
      <w:r w:rsidR="003A1B63" w:rsidRPr="006B7125">
        <w:t xml:space="preserve"> </w:t>
      </w:r>
      <w:r w:rsidR="00E11A86" w:rsidRPr="006B7125">
        <w:t xml:space="preserve"> </w:t>
      </w:r>
    </w:p>
    <w:p w14:paraId="69E18F6A" w14:textId="73196C06" w:rsidR="00561083" w:rsidRPr="006B7125" w:rsidRDefault="00126334" w:rsidP="00DF4B4A">
      <w:pPr>
        <w:spacing w:line="480" w:lineRule="auto"/>
        <w:jc w:val="both"/>
        <w:rPr>
          <w:b/>
        </w:rPr>
      </w:pPr>
      <w:r w:rsidRPr="006B7125">
        <w:rPr>
          <w:b/>
        </w:rPr>
        <w:t>Methods</w:t>
      </w:r>
      <w:r w:rsidR="003A1B63" w:rsidRPr="006B7125">
        <w:rPr>
          <w:b/>
        </w:rPr>
        <w:t xml:space="preserve"> </w:t>
      </w:r>
      <w:r w:rsidR="00744A25" w:rsidRPr="006B7125">
        <w:rPr>
          <w:b/>
        </w:rPr>
        <w:t xml:space="preserve"> </w:t>
      </w:r>
    </w:p>
    <w:p w14:paraId="0D47BE90" w14:textId="77777777" w:rsidR="00161947" w:rsidRPr="006B7125" w:rsidRDefault="00161947" w:rsidP="00DF4B4A">
      <w:pPr>
        <w:spacing w:line="480" w:lineRule="auto"/>
        <w:jc w:val="both"/>
        <w:rPr>
          <w:i/>
        </w:rPr>
      </w:pPr>
      <w:r w:rsidRPr="006B7125">
        <w:rPr>
          <w:i/>
        </w:rPr>
        <w:t>Study Cohort</w:t>
      </w:r>
    </w:p>
    <w:p w14:paraId="146640C1" w14:textId="274AC7AB" w:rsidR="00161947" w:rsidRPr="006B7125" w:rsidRDefault="002C2BCE" w:rsidP="00DF4B4A">
      <w:pPr>
        <w:spacing w:line="480" w:lineRule="auto"/>
        <w:jc w:val="both"/>
      </w:pPr>
      <w:r w:rsidRPr="006B7125">
        <w:t xml:space="preserve">The </w:t>
      </w:r>
      <w:r w:rsidR="00161947" w:rsidRPr="006B7125">
        <w:t xml:space="preserve">BCIS database is </w:t>
      </w:r>
      <w:r w:rsidRPr="006B7125">
        <w:t xml:space="preserve">a </w:t>
      </w:r>
      <w:r w:rsidR="00161947" w:rsidRPr="006B7125">
        <w:t xml:space="preserve">national PCI registry </w:t>
      </w:r>
      <w:r w:rsidR="005A1F0C" w:rsidRPr="006B7125">
        <w:t>that</w:t>
      </w:r>
      <w:r w:rsidR="00161947" w:rsidRPr="006B7125">
        <w:t xml:space="preserve"> captures</w:t>
      </w:r>
      <w:r w:rsidR="005A1F0C" w:rsidRPr="006B7125">
        <w:t xml:space="preserve"> almost</w:t>
      </w:r>
      <w:r w:rsidR="00161947" w:rsidRPr="006B7125">
        <w:t xml:space="preserve"> all PCI activity undertaken in the National Health Service in England and Wales</w:t>
      </w:r>
      <w:r w:rsidR="00276E9E" w:rsidRPr="006B7125">
        <w:fldChar w:fldCharType="begin"/>
      </w:r>
      <w:r w:rsidR="00924DC1" w:rsidRPr="006B7125">
        <w:instrText>ADDIN RW.CITE{{doc:602d9a708f085533dc67923d Rashid,M 2019}}</w:instrText>
      </w:r>
      <w:r w:rsidR="00276E9E" w:rsidRPr="006B7125">
        <w:fldChar w:fldCharType="separate"/>
      </w:r>
      <w:r w:rsidR="00924DC1" w:rsidRPr="006B7125">
        <w:rPr>
          <w:rFonts w:cs="Times New Roman"/>
          <w:bCs/>
          <w:vertAlign w:val="superscript"/>
          <w:lang w:val="en-US"/>
        </w:rPr>
        <w:t>16</w:t>
      </w:r>
      <w:r w:rsidR="00276E9E" w:rsidRPr="006B7125">
        <w:fldChar w:fldCharType="end"/>
      </w:r>
      <w:r w:rsidR="00161947" w:rsidRPr="006B7125">
        <w:t>.</w:t>
      </w:r>
      <w:r w:rsidR="00803C09" w:rsidRPr="006B7125">
        <w:t xml:space="preserve"> Approximately </w:t>
      </w:r>
      <w:r w:rsidR="00BC3635" w:rsidRPr="006B7125">
        <w:t>113 PCI centres and over 700 PCI operators contribute to the registry.</w:t>
      </w:r>
      <w:r w:rsidR="00161947" w:rsidRPr="006B7125">
        <w:t xml:space="preserve"> The database collects information about </w:t>
      </w:r>
      <w:r w:rsidR="0084300F" w:rsidRPr="006B7125">
        <w:t xml:space="preserve">the indication </w:t>
      </w:r>
      <w:r w:rsidR="006654BD" w:rsidRPr="006B7125">
        <w:t>for</w:t>
      </w:r>
      <w:r w:rsidR="0084300F" w:rsidRPr="006B7125">
        <w:t xml:space="preserve"> </w:t>
      </w:r>
      <w:r w:rsidRPr="006B7125">
        <w:t xml:space="preserve">the </w:t>
      </w:r>
      <w:r w:rsidR="0084300F" w:rsidRPr="006B7125">
        <w:t xml:space="preserve">procedure, </w:t>
      </w:r>
      <w:r w:rsidR="00161947" w:rsidRPr="006B7125">
        <w:t>clinical characteristics</w:t>
      </w:r>
      <w:r w:rsidR="005A1F0C" w:rsidRPr="006B7125">
        <w:t>,</w:t>
      </w:r>
      <w:r w:rsidR="00161947" w:rsidRPr="006B7125">
        <w:t xml:space="preserve"> including important cardiovascular comorbidities, anatomical and procedural </w:t>
      </w:r>
      <w:proofErr w:type="gramStart"/>
      <w:r w:rsidR="00161947" w:rsidRPr="006B7125">
        <w:t>characteristics</w:t>
      </w:r>
      <w:proofErr w:type="gramEnd"/>
      <w:r w:rsidR="00161947" w:rsidRPr="006B7125">
        <w:t xml:space="preserve"> and in-hospital procedural</w:t>
      </w:r>
      <w:r w:rsidR="00B018AF" w:rsidRPr="006B7125">
        <w:t>-</w:t>
      </w:r>
      <w:r w:rsidR="00161947" w:rsidRPr="006B7125">
        <w:t>related complicat</w:t>
      </w:r>
      <w:r w:rsidR="0084300F" w:rsidRPr="006B7125">
        <w:t xml:space="preserve">ions. </w:t>
      </w:r>
      <w:r w:rsidR="00B018AF" w:rsidRPr="006B7125">
        <w:t xml:space="preserve">Entry of all cases into this database is a mandatory professional responsibility for UK operators. </w:t>
      </w:r>
      <w:r w:rsidR="0084300F" w:rsidRPr="006B7125">
        <w:t xml:space="preserve">The database is used for auditing and public reporting purposes </w:t>
      </w:r>
      <w:proofErr w:type="gramStart"/>
      <w:r w:rsidR="0084300F" w:rsidRPr="006B7125">
        <w:t>and also</w:t>
      </w:r>
      <w:proofErr w:type="gramEnd"/>
      <w:r w:rsidR="0084300F" w:rsidRPr="006B7125">
        <w:t xml:space="preserve"> for academic research. Formal ethical approval was not required for this study under current arrangements by the National Health Service (NHS) research governance which allows the </w:t>
      </w:r>
      <w:r w:rsidR="005527B5" w:rsidRPr="006B7125">
        <w:t>anonymi</w:t>
      </w:r>
      <w:r w:rsidR="00242F6E" w:rsidRPr="006B7125">
        <w:t>z</w:t>
      </w:r>
      <w:r w:rsidR="005527B5" w:rsidRPr="006B7125">
        <w:t xml:space="preserve">ed </w:t>
      </w:r>
      <w:r w:rsidR="0084300F" w:rsidRPr="006B7125">
        <w:t>data to be used for research purposes without informed patient consent under section 251 of the National Health Service Act 2006</w:t>
      </w:r>
      <w:r w:rsidR="00276E9E" w:rsidRPr="006B7125">
        <w:fldChar w:fldCharType="begin"/>
      </w:r>
      <w:r w:rsidR="00924DC1" w:rsidRPr="006B7125">
        <w:instrText>ADDIN RW.CITE{{doc:602d9a4f8f085e432d857f7d Rashid,M 2021; doc:602d9a4e8f085e432d857f7a Rashid,M 2021; doc:602d9a508f085e432d857f86 Shoaib,A 2020}}</w:instrText>
      </w:r>
      <w:r w:rsidR="00276E9E" w:rsidRPr="006B7125">
        <w:fldChar w:fldCharType="separate"/>
      </w:r>
      <w:r w:rsidR="00924DC1" w:rsidRPr="006B7125">
        <w:rPr>
          <w:rFonts w:cs="Times New Roman"/>
          <w:bCs/>
          <w:vertAlign w:val="superscript"/>
          <w:lang w:val="en-US"/>
        </w:rPr>
        <w:t>17-19</w:t>
      </w:r>
      <w:r w:rsidR="00276E9E" w:rsidRPr="006B7125">
        <w:fldChar w:fldCharType="end"/>
      </w:r>
      <w:r w:rsidR="0084300F" w:rsidRPr="006B7125">
        <w:t>.</w:t>
      </w:r>
      <w:r w:rsidR="00304220" w:rsidRPr="00304220">
        <w:t xml:space="preserve"> The data that support findings of this study are available from N</w:t>
      </w:r>
      <w:r w:rsidR="00304220">
        <w:t>ational Institute of Cardiovascular Outcomes Research (NICOR)</w:t>
      </w:r>
      <w:r w:rsidR="00304220" w:rsidRPr="00304220">
        <w:t>. Restrictions apply to the availability of these data, which were used under license for this study. Data are available from the authors with the permission of NICOR.</w:t>
      </w:r>
    </w:p>
    <w:p w14:paraId="31CEE68F" w14:textId="77777777" w:rsidR="00AA12B4" w:rsidRPr="006B7125" w:rsidRDefault="00AA12B4" w:rsidP="00DF4B4A">
      <w:pPr>
        <w:spacing w:line="480" w:lineRule="auto"/>
        <w:jc w:val="both"/>
        <w:rPr>
          <w:i/>
        </w:rPr>
      </w:pPr>
      <w:r w:rsidRPr="006B7125">
        <w:rPr>
          <w:i/>
        </w:rPr>
        <w:t>Study population</w:t>
      </w:r>
    </w:p>
    <w:p w14:paraId="696FC97F" w14:textId="60E94299" w:rsidR="00AA12B4" w:rsidRPr="006B7125" w:rsidRDefault="00A006A5" w:rsidP="00CC5F89">
      <w:pPr>
        <w:spacing w:line="480" w:lineRule="auto"/>
        <w:jc w:val="both"/>
      </w:pPr>
      <w:r w:rsidRPr="006B7125">
        <w:lastRenderedPageBreak/>
        <w:t>All patients aged&gt;18 years undergoing PCI procedures between 1st January 2014 to 31st March 2019 in England and Wales were included in the analysis. As by definition</w:t>
      </w:r>
      <w:r w:rsidR="003D209E" w:rsidRPr="006B7125">
        <w:t>,</w:t>
      </w:r>
      <w:r w:rsidRPr="006B7125">
        <w:t xml:space="preserve"> elective procedures with a stable angina indication would not have been patients with OHCA, all procedures with elective or stable angina indications were excluded. Further exclusions were made based on the missing information about age, sex and OHCA status. The final cohort was divided into an OHCA PCI group and the non-OHCA PCI group</w:t>
      </w:r>
      <w:r w:rsidR="0056176D" w:rsidRPr="006B7125">
        <w:t>.</w:t>
      </w:r>
      <w:r w:rsidR="00863C8E" w:rsidRPr="006B7125">
        <w:t xml:space="preserve"> </w:t>
      </w:r>
      <w:r w:rsidR="00D373E8" w:rsidRPr="006B7125">
        <w:t xml:space="preserve">The outcomes of interest were </w:t>
      </w:r>
      <w:r w:rsidR="00A742C8" w:rsidRPr="006B7125">
        <w:t xml:space="preserve">(a) </w:t>
      </w:r>
      <w:r w:rsidR="00D373E8" w:rsidRPr="006B7125">
        <w:t>in-hospital mortality</w:t>
      </w:r>
      <w:r w:rsidR="00A742C8" w:rsidRPr="006B7125">
        <w:t>; (b)</w:t>
      </w:r>
      <w:r w:rsidR="00D373E8" w:rsidRPr="006B7125">
        <w:t xml:space="preserve"> major bleeding defined as </w:t>
      </w:r>
      <w:r w:rsidR="005A1F0C" w:rsidRPr="006B7125">
        <w:t xml:space="preserve">a </w:t>
      </w:r>
      <w:r w:rsidR="00D373E8" w:rsidRPr="006B7125">
        <w:t>composite of retroperitoneal bleeding, gastrointestinal bleeding, cerebral haemorrhage, platelet or blood transfusion and any access site complication requiring surgery</w:t>
      </w:r>
      <w:r w:rsidR="00A742C8" w:rsidRPr="006B7125">
        <w:t>; (c)</w:t>
      </w:r>
      <w:r w:rsidR="00D373E8" w:rsidRPr="006B7125">
        <w:t xml:space="preserve"> Major Adverse Cerebrovascular Events (MACCE), </w:t>
      </w:r>
      <w:r w:rsidR="006654BD" w:rsidRPr="006B7125">
        <w:t>a</w:t>
      </w:r>
      <w:r w:rsidR="00D373E8" w:rsidRPr="006B7125">
        <w:t xml:space="preserve"> composite of in-hospital mortality, reinfarc</w:t>
      </w:r>
      <w:r w:rsidR="00276E9E" w:rsidRPr="006B7125">
        <w:t>tion and cerebrovascular event</w:t>
      </w:r>
      <w:r w:rsidR="006654BD" w:rsidRPr="006B7125">
        <w:t>s</w:t>
      </w:r>
      <w:r w:rsidR="00863C8E" w:rsidRPr="006B7125">
        <w:t>.</w:t>
      </w:r>
      <w:r w:rsidR="00CC5F89" w:rsidRPr="006B7125">
        <w:t xml:space="preserve"> To further elaborate the impact of </w:t>
      </w:r>
      <w:r w:rsidR="00D65066" w:rsidRPr="006B7125">
        <w:t xml:space="preserve">type of </w:t>
      </w:r>
      <w:r w:rsidR="00CC5AEF" w:rsidRPr="006B7125">
        <w:t xml:space="preserve">ACS, </w:t>
      </w:r>
      <w:r w:rsidR="00CC5F89" w:rsidRPr="006B7125">
        <w:t xml:space="preserve">we performed a sensitivity analysis by stratifying </w:t>
      </w:r>
      <w:r w:rsidR="003D209E" w:rsidRPr="006B7125">
        <w:t xml:space="preserve">the </w:t>
      </w:r>
      <w:r w:rsidR="00CC5F89" w:rsidRPr="006B7125">
        <w:t xml:space="preserve">OHCA PCI group into </w:t>
      </w:r>
      <w:r w:rsidR="00CC5AEF" w:rsidRPr="006B7125">
        <w:t>STEMI</w:t>
      </w:r>
      <w:r w:rsidR="00CC5F89" w:rsidRPr="006B7125">
        <w:t xml:space="preserve"> and </w:t>
      </w:r>
      <w:r w:rsidR="00CC5AEF" w:rsidRPr="006B7125">
        <w:t>NSTEMI PCI</w:t>
      </w:r>
      <w:r w:rsidR="00CC5F89" w:rsidRPr="006B7125">
        <w:t xml:space="preserve"> groups.</w:t>
      </w:r>
    </w:p>
    <w:p w14:paraId="00920D45" w14:textId="77777777" w:rsidR="00C91CD9" w:rsidRPr="006B7125" w:rsidRDefault="00C91CD9" w:rsidP="00DF4B4A">
      <w:pPr>
        <w:spacing w:line="480" w:lineRule="auto"/>
        <w:jc w:val="both"/>
        <w:rPr>
          <w:i/>
        </w:rPr>
      </w:pPr>
      <w:r w:rsidRPr="006B7125">
        <w:rPr>
          <w:i/>
        </w:rPr>
        <w:t>Statistical analysis</w:t>
      </w:r>
    </w:p>
    <w:p w14:paraId="7E13B467" w14:textId="0AAC2E14" w:rsidR="00C91CD9" w:rsidRPr="006B7125" w:rsidRDefault="008E4BAB" w:rsidP="00DF4B4A">
      <w:pPr>
        <w:spacing w:line="480" w:lineRule="auto"/>
        <w:jc w:val="both"/>
      </w:pPr>
      <w:r w:rsidRPr="006B7125">
        <w:t>Baseline characteristics of the two groups were reported in numbers and percentages</w:t>
      </w:r>
      <w:r w:rsidR="00BC6AA6" w:rsidRPr="006B7125">
        <w:t>,</w:t>
      </w:r>
      <w:r w:rsidRPr="006B7125">
        <w:t xml:space="preserve"> or median and interquartile range</w:t>
      </w:r>
      <w:r w:rsidR="00BC6AA6" w:rsidRPr="006B7125">
        <w:t>,</w:t>
      </w:r>
      <w:r w:rsidRPr="006B7125">
        <w:t xml:space="preserve"> for categorical and continuous variables</w:t>
      </w:r>
      <w:r w:rsidR="00BC6AA6" w:rsidRPr="006B7125">
        <w:t>,</w:t>
      </w:r>
      <w:r w:rsidRPr="006B7125">
        <w:t xml:space="preserve"> respectively. Chi</w:t>
      </w:r>
      <w:r w:rsidR="005A1F0C" w:rsidRPr="006B7125">
        <w:t>-</w:t>
      </w:r>
      <w:r w:rsidRPr="006B7125">
        <w:t>square test for categorical data and Kruskal Wallis test for continuous data were utili</w:t>
      </w:r>
      <w:r w:rsidR="005A1F0C" w:rsidRPr="006B7125">
        <w:t>z</w:t>
      </w:r>
      <w:r w:rsidRPr="006B7125">
        <w:t>ed to compare the characteristics between OHCA and non-OHCA PCI groups. Spearmen</w:t>
      </w:r>
      <w:r w:rsidR="005A1F0C" w:rsidRPr="006B7125">
        <w:t>'</w:t>
      </w:r>
      <w:r w:rsidRPr="006B7125">
        <w:t xml:space="preserve">s correlation was used to determine </w:t>
      </w:r>
      <w:r w:rsidR="00BC6AA6" w:rsidRPr="006B7125">
        <w:t>the degree of</w:t>
      </w:r>
      <w:r w:rsidRPr="006B7125">
        <w:t xml:space="preserve"> correlation between each hospital</w:t>
      </w:r>
      <w:r w:rsidR="00A006A5" w:rsidRPr="006B7125">
        <w:t>'s total PCI volume, primary PCI volume, individual operator total PCI volume, primary PCI volume,</w:t>
      </w:r>
      <w:r w:rsidR="00D02B36" w:rsidRPr="006B7125">
        <w:t xml:space="preserve"> </w:t>
      </w:r>
      <w:r w:rsidRPr="006B7125">
        <w:t>and OHCA PCI volum</w:t>
      </w:r>
      <w:r w:rsidR="00BB14FC" w:rsidRPr="006B7125">
        <w:t>e. Multiple imputation</w:t>
      </w:r>
      <w:r w:rsidR="005A1F0C" w:rsidRPr="006B7125">
        <w:t>s</w:t>
      </w:r>
      <w:r w:rsidR="00BB14FC" w:rsidRPr="006B7125">
        <w:t xml:space="preserve"> with chained equation</w:t>
      </w:r>
      <w:r w:rsidR="00A006A5" w:rsidRPr="006B7125">
        <w:t>s were</w:t>
      </w:r>
      <w:r w:rsidRPr="006B7125">
        <w:t xml:space="preserve"> used to account for any missing </w:t>
      </w:r>
      <w:r w:rsidR="00BB14FC" w:rsidRPr="006B7125">
        <w:t xml:space="preserve">assuming that data </w:t>
      </w:r>
      <w:r w:rsidR="005A1F0C" w:rsidRPr="006B7125">
        <w:t>are</w:t>
      </w:r>
      <w:r w:rsidR="00BB14FC" w:rsidRPr="006B7125">
        <w:t xml:space="preserve"> missing at random</w:t>
      </w:r>
      <w:r w:rsidR="00276E9E" w:rsidRPr="006B7125">
        <w:fldChar w:fldCharType="begin"/>
      </w:r>
      <w:r w:rsidR="00924DC1" w:rsidRPr="006B7125">
        <w:instrText>ADDIN RW.CITE{{doc:5eb19a46e4b0af1dbaa6a785 Rubin,DonaldB 1996; doc:5eb19a3fe4b0af1dbaa6a657 Kontopantelis,E. 2017; doc:5eb19a46e4b0af1dbaa6a77e Rubin,DB 1987}}</w:instrText>
      </w:r>
      <w:r w:rsidR="00276E9E" w:rsidRPr="006B7125">
        <w:fldChar w:fldCharType="separate"/>
      </w:r>
      <w:r w:rsidR="00924DC1" w:rsidRPr="006B7125">
        <w:rPr>
          <w:rFonts w:cs="Times New Roman"/>
          <w:bCs/>
          <w:vertAlign w:val="superscript"/>
          <w:lang w:val="en-US"/>
        </w:rPr>
        <w:t>20-22</w:t>
      </w:r>
      <w:r w:rsidR="00276E9E" w:rsidRPr="006B7125">
        <w:fldChar w:fldCharType="end"/>
      </w:r>
      <w:r w:rsidR="00BB14FC" w:rsidRPr="006B7125">
        <w:t>. Age, sex, hospital PCI volume, clinical diagnosis, and in-hospital mortality were registered as regular variables in the imputations model, while all other v</w:t>
      </w:r>
      <w:r w:rsidR="00CC5F89" w:rsidRPr="006B7125">
        <w:t>ariables listed in T</w:t>
      </w:r>
      <w:r w:rsidR="00BB14FC" w:rsidRPr="006B7125">
        <w:t>able 1 were imputed. The variable selection in the model was based on previous studies using the BCIS registry and prior clinical knowl</w:t>
      </w:r>
      <w:r w:rsidR="00CC5F89" w:rsidRPr="006B7125">
        <w:t>edge</w:t>
      </w:r>
      <w:r w:rsidR="00CC5F89" w:rsidRPr="006B7125">
        <w:fldChar w:fldCharType="begin"/>
      </w:r>
      <w:r w:rsidR="00924DC1" w:rsidRPr="006B7125">
        <w:instrText>ADDIN RW.CITE{{doc:602d9a4e8f085e432d857f7a Rashid,M 2021; doc:6126aba08f08413e947afbad Shoaib,A 2021; doc:602d9a4f8f085e432d857f83 Shoaib,A 2020}}</w:instrText>
      </w:r>
      <w:r w:rsidR="00CC5F89" w:rsidRPr="006B7125">
        <w:fldChar w:fldCharType="separate"/>
      </w:r>
      <w:r w:rsidR="00924DC1" w:rsidRPr="006B7125">
        <w:rPr>
          <w:rFonts w:cs="Times New Roman"/>
          <w:bCs/>
          <w:vertAlign w:val="superscript"/>
          <w:lang w:val="en-US"/>
        </w:rPr>
        <w:t>18 23 24</w:t>
      </w:r>
      <w:r w:rsidR="00CC5F89" w:rsidRPr="006B7125">
        <w:fldChar w:fldCharType="end"/>
      </w:r>
      <w:r w:rsidR="00A006A5" w:rsidRPr="006B7125">
        <w:t>. 10</w:t>
      </w:r>
      <w:r w:rsidR="00BB14FC" w:rsidRPr="006B7125">
        <w:t xml:space="preserve"> imputed datasets were generated</w:t>
      </w:r>
      <w:r w:rsidR="005A1F0C" w:rsidRPr="006B7125">
        <w:t>,</w:t>
      </w:r>
      <w:r w:rsidR="00BB14FC" w:rsidRPr="006B7125">
        <w:t xml:space="preserve"> which were used to perform all the analyses. Multivariable logistic </w:t>
      </w:r>
      <w:r w:rsidR="00BB14FC" w:rsidRPr="006B7125">
        <w:lastRenderedPageBreak/>
        <w:t xml:space="preserve">regression models were used to study the association between OHCA PCI and clinical outcomes. </w:t>
      </w:r>
      <w:r w:rsidR="00BB14FC" w:rsidRPr="006B7125">
        <w:rPr>
          <w:rFonts w:cs="Times New Roman"/>
          <w:szCs w:val="24"/>
        </w:rPr>
        <w:t>All models included the same variables used in the multiple imputation models a</w:t>
      </w:r>
      <w:r w:rsidR="005A1F0C" w:rsidRPr="006B7125">
        <w:rPr>
          <w:rFonts w:cs="Times New Roman"/>
          <w:szCs w:val="24"/>
        </w:rPr>
        <w:t>nd</w:t>
      </w:r>
      <w:r w:rsidR="00BB14FC" w:rsidRPr="006B7125">
        <w:rPr>
          <w:rFonts w:cs="Times New Roman"/>
          <w:szCs w:val="24"/>
        </w:rPr>
        <w:t xml:space="preserve"> the year of admission. Estimates of odds ratios (ORs) and 95% confidence intervals (95% CIs) were reported. Statistical significance was considered with an alpha of 0.05 in all the 2-sided tests used. Stata version 16.0 was used to perform all the analyses</w:t>
      </w:r>
    </w:p>
    <w:p w14:paraId="54FCD74B" w14:textId="77777777" w:rsidR="00D052BB" w:rsidRPr="006B7125" w:rsidRDefault="00D052BB" w:rsidP="00DF4B4A">
      <w:pPr>
        <w:spacing w:line="480" w:lineRule="auto"/>
        <w:jc w:val="both"/>
        <w:rPr>
          <w:b/>
        </w:rPr>
      </w:pPr>
      <w:r w:rsidRPr="006B7125">
        <w:rPr>
          <w:b/>
        </w:rPr>
        <w:t>Results</w:t>
      </w:r>
    </w:p>
    <w:p w14:paraId="5876C0C6" w14:textId="46F598BC" w:rsidR="00803FF7" w:rsidRPr="006B7125" w:rsidRDefault="00803FF7" w:rsidP="005E20A3">
      <w:pPr>
        <w:pStyle w:val="ListParagraph"/>
        <w:numPr>
          <w:ilvl w:val="0"/>
          <w:numId w:val="9"/>
        </w:numPr>
        <w:spacing w:line="480" w:lineRule="auto"/>
        <w:jc w:val="both"/>
        <w:rPr>
          <w:i/>
        </w:rPr>
      </w:pPr>
      <w:r w:rsidRPr="006B7125">
        <w:rPr>
          <w:i/>
        </w:rPr>
        <w:t>Numbers of procedures</w:t>
      </w:r>
    </w:p>
    <w:p w14:paraId="364DD071" w14:textId="7EBD540A" w:rsidR="007C4A7D" w:rsidRPr="006B7125" w:rsidRDefault="009C51E4" w:rsidP="00DF4B4A">
      <w:pPr>
        <w:spacing w:line="480" w:lineRule="auto"/>
        <w:jc w:val="both"/>
      </w:pPr>
      <w:r w:rsidRPr="006B7125">
        <w:t>Between 1</w:t>
      </w:r>
      <w:r w:rsidRPr="006B7125">
        <w:rPr>
          <w:vertAlign w:val="superscript"/>
        </w:rPr>
        <w:t>st</w:t>
      </w:r>
      <w:r w:rsidRPr="006B7125">
        <w:t xml:space="preserve"> January 2014 to 31</w:t>
      </w:r>
      <w:r w:rsidRPr="006B7125">
        <w:rPr>
          <w:vertAlign w:val="superscript"/>
        </w:rPr>
        <w:t>st</w:t>
      </w:r>
      <w:r w:rsidRPr="006B7125">
        <w:t xml:space="preserve"> March 2019,</w:t>
      </w:r>
      <w:r w:rsidR="007E3C09" w:rsidRPr="006B7125">
        <w:t xml:space="preserve"> </w:t>
      </w:r>
      <w:r w:rsidR="00894A1B" w:rsidRPr="006B7125">
        <w:t>544,431 PCI procedures</w:t>
      </w:r>
      <w:r w:rsidR="00E23CAE" w:rsidRPr="006B7125">
        <w:t xml:space="preserve"> were undertaken </w:t>
      </w:r>
      <w:r w:rsidR="009A3F1F" w:rsidRPr="006B7125">
        <w:t>in the UK.</w:t>
      </w:r>
      <w:r w:rsidR="003A1B63" w:rsidRPr="006B7125">
        <w:t xml:space="preserve"> </w:t>
      </w:r>
      <w:r w:rsidRPr="006B7125">
        <w:t xml:space="preserve">250,088 PCI procedures were </w:t>
      </w:r>
      <w:r w:rsidR="00894A1B" w:rsidRPr="006B7125">
        <w:t>included in the final analysis after excluding patients for stable angina and</w:t>
      </w:r>
      <w:r w:rsidR="007B0903" w:rsidRPr="006B7125">
        <w:t xml:space="preserve"> procedures where data were missing for</w:t>
      </w:r>
      <w:r w:rsidR="003A1B63" w:rsidRPr="006B7125">
        <w:t xml:space="preserve"> </w:t>
      </w:r>
      <w:r w:rsidR="007E3C09" w:rsidRPr="006B7125">
        <w:t xml:space="preserve">age, sex and OHCA </w:t>
      </w:r>
      <w:r w:rsidR="007B0903" w:rsidRPr="006B7125">
        <w:t>status</w:t>
      </w:r>
      <w:r w:rsidR="007E3C09" w:rsidRPr="006B7125">
        <w:t xml:space="preserve">. </w:t>
      </w:r>
      <w:r w:rsidR="009A3F1F" w:rsidRPr="006B7125">
        <w:t xml:space="preserve">Of </w:t>
      </w:r>
      <w:r w:rsidR="00770E82" w:rsidRPr="006B7125">
        <w:t>these, 12,016</w:t>
      </w:r>
      <w:r w:rsidRPr="006B7125">
        <w:t xml:space="preserve"> (4.8%) were performed for OHCA</w:t>
      </w:r>
      <w:r w:rsidR="005A1F0C" w:rsidRPr="006B7125">
        <w:t>,</w:t>
      </w:r>
      <w:r w:rsidRPr="006B7125">
        <w:t xml:space="preserve"> and 238,072 (95.2%) were non</w:t>
      </w:r>
      <w:r w:rsidR="00342FB7" w:rsidRPr="006B7125">
        <w:t>-</w:t>
      </w:r>
      <w:r w:rsidRPr="006B7125">
        <w:t xml:space="preserve">OHCA PCI procedures (Supplementary figure 1). </w:t>
      </w:r>
    </w:p>
    <w:p w14:paraId="56F130F3" w14:textId="6ED26098" w:rsidR="00803FF7" w:rsidRPr="006B7125" w:rsidRDefault="00803FF7" w:rsidP="005E20A3">
      <w:pPr>
        <w:pStyle w:val="ListParagraph"/>
        <w:numPr>
          <w:ilvl w:val="0"/>
          <w:numId w:val="9"/>
        </w:numPr>
        <w:spacing w:line="480" w:lineRule="auto"/>
        <w:jc w:val="both"/>
        <w:rPr>
          <w:i/>
        </w:rPr>
      </w:pPr>
      <w:r w:rsidRPr="006B7125">
        <w:rPr>
          <w:i/>
        </w:rPr>
        <w:t>Baseline clinical characteristics</w:t>
      </w:r>
    </w:p>
    <w:p w14:paraId="17D0A6AD" w14:textId="5E416634" w:rsidR="00803FF7" w:rsidRPr="006B7125" w:rsidRDefault="009C51E4" w:rsidP="00054914">
      <w:pPr>
        <w:spacing w:line="480" w:lineRule="auto"/>
        <w:ind w:firstLine="720"/>
        <w:jc w:val="both"/>
      </w:pPr>
      <w:r w:rsidRPr="006B7125">
        <w:t>T</w:t>
      </w:r>
      <w:r w:rsidR="007C4A7D" w:rsidRPr="006B7125">
        <w:t xml:space="preserve">he </w:t>
      </w:r>
      <w:r w:rsidRPr="006B7125">
        <w:t>OHCA PCI group were young</w:t>
      </w:r>
      <w:r w:rsidR="00E23CAE" w:rsidRPr="006B7125">
        <w:t>er</w:t>
      </w:r>
      <w:r w:rsidRPr="006B7125">
        <w:t xml:space="preserve"> </w:t>
      </w:r>
      <w:r w:rsidR="00E23CAE" w:rsidRPr="006B7125">
        <w:t>(</w:t>
      </w:r>
      <w:r w:rsidRPr="006B7125">
        <w:t>(</w:t>
      </w:r>
      <w:r w:rsidR="00E23CAE" w:rsidRPr="006B7125">
        <w:t xml:space="preserve">mean age (SD) 63.2 (12.3) and </w:t>
      </w:r>
      <w:r w:rsidR="00C14586" w:rsidRPr="006B7125">
        <w:t>65.6 (12.5, p&lt;0.001</w:t>
      </w:r>
      <w:r w:rsidR="00E23CAE" w:rsidRPr="006B7125">
        <w:t>)</w:t>
      </w:r>
      <w:r w:rsidR="00782153" w:rsidRPr="006B7125">
        <w:t>,</w:t>
      </w:r>
      <w:r w:rsidR="00770E82" w:rsidRPr="006B7125">
        <w:t xml:space="preserve"> </w:t>
      </w:r>
      <w:r w:rsidRPr="006B7125">
        <w:t>less likely to be female (20.2% vs 26.9%</w:t>
      </w:r>
      <w:r w:rsidR="00C14586" w:rsidRPr="006B7125">
        <w:t>, p&lt;0.001</w:t>
      </w:r>
      <w:r w:rsidRPr="006B7125">
        <w:t>)</w:t>
      </w:r>
      <w:r w:rsidR="00782153" w:rsidRPr="006B7125">
        <w:t xml:space="preserve"> or</w:t>
      </w:r>
      <w:r w:rsidR="00925912" w:rsidRPr="006B7125">
        <w:t xml:space="preserve"> BAME ethnicity (11.5% vs 14.8%</w:t>
      </w:r>
      <w:r w:rsidR="00C14586" w:rsidRPr="006B7125">
        <w:t>, p&lt;0.001</w:t>
      </w:r>
      <w:r w:rsidR="00925912" w:rsidRPr="006B7125">
        <w:t>) and more likely to be active smoker</w:t>
      </w:r>
      <w:r w:rsidR="007C4A7D" w:rsidRPr="006B7125">
        <w:t>s</w:t>
      </w:r>
      <w:r w:rsidR="00925912" w:rsidRPr="006B7125">
        <w:t xml:space="preserve"> (36.7% vs 28.9%</w:t>
      </w:r>
      <w:r w:rsidR="00C14586" w:rsidRPr="006B7125">
        <w:t>, p&lt;0.001</w:t>
      </w:r>
      <w:r w:rsidR="00925912" w:rsidRPr="006B7125">
        <w:t xml:space="preserve">) compared to </w:t>
      </w:r>
      <w:r w:rsidR="007C4A7D" w:rsidRPr="006B7125">
        <w:t xml:space="preserve">the </w:t>
      </w:r>
      <w:r w:rsidR="00342FB7" w:rsidRPr="006B7125">
        <w:t>non-</w:t>
      </w:r>
      <w:r w:rsidR="00925912" w:rsidRPr="006B7125">
        <w:t xml:space="preserve">OHCA PCI group. </w:t>
      </w:r>
      <w:r w:rsidR="00342FB7" w:rsidRPr="006B7125">
        <w:t>The non-</w:t>
      </w:r>
      <w:r w:rsidR="00925912" w:rsidRPr="006B7125">
        <w:t>OHCA PCI group had higher prevalence of cardiovascular risk factors such as diabetes (22.6% vs 14.9%</w:t>
      </w:r>
      <w:r w:rsidR="00C14586" w:rsidRPr="006B7125">
        <w:t>, p&lt;0.001</w:t>
      </w:r>
      <w:r w:rsidR="00925912" w:rsidRPr="006B7125">
        <w:t>), hypertension (53.8% vs 39.7%</w:t>
      </w:r>
      <w:r w:rsidR="00C14586" w:rsidRPr="006B7125">
        <w:t>, p&lt;0.001</w:t>
      </w:r>
      <w:r w:rsidR="00925912" w:rsidRPr="006B7125">
        <w:t>), hypercholesterolemia (52.3% vs 37.6%</w:t>
      </w:r>
      <w:r w:rsidR="00C14586" w:rsidRPr="006B7125">
        <w:t>, p&lt;0.001</w:t>
      </w:r>
      <w:r w:rsidR="00925912" w:rsidRPr="006B7125">
        <w:t>) and previous AMI (5.1% vs 4.5%) or CABG (6.7% vs 4.5%</w:t>
      </w:r>
      <w:r w:rsidR="00C14586" w:rsidRPr="006B7125">
        <w:t>, p&lt;0.001</w:t>
      </w:r>
      <w:r w:rsidR="00925912" w:rsidRPr="006B7125">
        <w:t xml:space="preserve">) (Table 1). </w:t>
      </w:r>
      <w:r w:rsidR="00BE1FC9" w:rsidRPr="006B7125">
        <w:t>Over two-thirds of patients in the OHCA PCI group presented with STEMI (82.1% vs 40.4%</w:t>
      </w:r>
      <w:r w:rsidR="00C14586" w:rsidRPr="006B7125">
        <w:t>, p&lt;0.001</w:t>
      </w:r>
      <w:r w:rsidR="00BE1FC9" w:rsidRPr="006B7125">
        <w:t>)</w:t>
      </w:r>
      <w:r w:rsidR="005A1F0C" w:rsidRPr="006B7125">
        <w:t>,</w:t>
      </w:r>
      <w:r w:rsidR="00BE1FC9" w:rsidRPr="006B7125">
        <w:t xml:space="preserve"> whereas NSTEMI (59.6% vs 17.9%</w:t>
      </w:r>
      <w:r w:rsidR="00C14586" w:rsidRPr="006B7125">
        <w:t>, p&lt;0.001</w:t>
      </w:r>
      <w:r w:rsidR="00BE1FC9" w:rsidRPr="006B7125">
        <w:t>) was a pr</w:t>
      </w:r>
      <w:r w:rsidR="005A1F0C" w:rsidRPr="006B7125">
        <w:t>incipal</w:t>
      </w:r>
      <w:r w:rsidR="00BE1FC9" w:rsidRPr="006B7125">
        <w:t xml:space="preserve"> diagnosis in the non-OHCA PCI group. Patient</w:t>
      </w:r>
      <w:r w:rsidR="00323BAC" w:rsidRPr="006B7125">
        <w:t xml:space="preserve">s in the OHCA PCI group had </w:t>
      </w:r>
      <w:r w:rsidR="00BE1FC9" w:rsidRPr="006B7125">
        <w:t xml:space="preserve">GCS </w:t>
      </w:r>
      <w:r w:rsidR="00323BAC" w:rsidRPr="006B7125">
        <w:t xml:space="preserve">lower than 9 </w:t>
      </w:r>
      <w:r w:rsidR="00BE1FC9" w:rsidRPr="006B7125">
        <w:t>(56.5% vs 3.6%</w:t>
      </w:r>
      <w:r w:rsidR="00C14586" w:rsidRPr="006B7125">
        <w:t>, p&lt;0.001</w:t>
      </w:r>
      <w:r w:rsidR="00BE1FC9" w:rsidRPr="006B7125">
        <w:t xml:space="preserve">) and </w:t>
      </w:r>
      <w:r w:rsidR="005A1F0C" w:rsidRPr="006B7125">
        <w:t>were more likely to be ventilated (68.9% vs 1.1%</w:t>
      </w:r>
      <w:r w:rsidR="00C14586" w:rsidRPr="006B7125">
        <w:t>, p&lt;0.001</w:t>
      </w:r>
      <w:r w:rsidR="005A1F0C" w:rsidRPr="006B7125">
        <w:t>) than the</w:t>
      </w:r>
      <w:r w:rsidR="00BE1FC9" w:rsidRPr="006B7125">
        <w:t xml:space="preserve"> non-OHCA PCI group. A higher prevalence </w:t>
      </w:r>
      <w:r w:rsidR="00BE1FC9" w:rsidRPr="006B7125">
        <w:lastRenderedPageBreak/>
        <w:t>of cardiogenic shock (33.8%</w:t>
      </w:r>
      <w:r w:rsidR="00C14586" w:rsidRPr="006B7125">
        <w:t xml:space="preserve"> vs 3.2%, p&lt;0.001</w:t>
      </w:r>
      <w:r w:rsidR="00BE1FC9" w:rsidRPr="006B7125">
        <w:t>), use of inotropes (14.1%</w:t>
      </w:r>
      <w:r w:rsidR="00C14586" w:rsidRPr="006B7125">
        <w:t xml:space="preserve"> vs 1.5%, p&lt;0.001</w:t>
      </w:r>
      <w:r w:rsidR="00BE1FC9" w:rsidRPr="006B7125">
        <w:t>) and intra-aortic balloon pump (8.8%</w:t>
      </w:r>
      <w:r w:rsidR="00C14586" w:rsidRPr="006B7125">
        <w:t xml:space="preserve"> vs 1.3%, p&lt;0.001</w:t>
      </w:r>
      <w:r w:rsidR="00BE1FC9" w:rsidRPr="006B7125">
        <w:t>) was observed in the OHCA PC</w:t>
      </w:r>
      <w:r w:rsidR="00323BAC" w:rsidRPr="006B7125">
        <w:t xml:space="preserve">I group. OHCA PCI group had a mean arterial </w:t>
      </w:r>
      <w:r w:rsidR="00577BAA" w:rsidRPr="006B7125">
        <w:t xml:space="preserve">blood gas PH </w:t>
      </w:r>
      <w:r w:rsidR="00323BAC" w:rsidRPr="006B7125">
        <w:t xml:space="preserve">of </w:t>
      </w:r>
      <w:r w:rsidR="00577BAA" w:rsidRPr="006B7125">
        <w:t>7.2</w:t>
      </w:r>
      <w:r w:rsidR="00323BAC" w:rsidRPr="006B7125">
        <w:t xml:space="preserve"> and </w:t>
      </w:r>
      <w:r w:rsidR="00054914" w:rsidRPr="006B7125">
        <w:t>sign</w:t>
      </w:r>
      <w:r w:rsidR="00A006A5" w:rsidRPr="006B7125">
        <w:t>if</w:t>
      </w:r>
      <w:r w:rsidR="00054914" w:rsidRPr="006B7125">
        <w:t xml:space="preserve">icantly elevated lactate of </w:t>
      </w:r>
      <w:r w:rsidR="00323BAC" w:rsidRPr="006B7125">
        <w:t>5.2.</w:t>
      </w:r>
    </w:p>
    <w:p w14:paraId="54690870" w14:textId="197CFAD6" w:rsidR="007607D4" w:rsidRPr="006B7125" w:rsidRDefault="00925912" w:rsidP="00866E4D">
      <w:pPr>
        <w:spacing w:line="480" w:lineRule="auto"/>
        <w:jc w:val="both"/>
      </w:pPr>
      <w:r w:rsidRPr="006B7125">
        <w:t xml:space="preserve">The angiographic and anatomical </w:t>
      </w:r>
      <w:r w:rsidR="007C4A7D" w:rsidRPr="006B7125">
        <w:t xml:space="preserve">characteristics </w:t>
      </w:r>
      <w:r w:rsidR="00342FB7" w:rsidRPr="006B7125">
        <w:t>of OHCA and non-</w:t>
      </w:r>
      <w:r w:rsidRPr="006B7125">
        <w:t>OHCA group</w:t>
      </w:r>
      <w:r w:rsidR="00782153" w:rsidRPr="006B7125">
        <w:t>s</w:t>
      </w:r>
      <w:r w:rsidRPr="006B7125">
        <w:t xml:space="preserve"> </w:t>
      </w:r>
      <w:r w:rsidR="00915714" w:rsidRPr="006B7125">
        <w:t xml:space="preserve">are </w:t>
      </w:r>
      <w:r w:rsidR="00CC5F89" w:rsidRPr="006B7125">
        <w:t>reported in T</w:t>
      </w:r>
      <w:r w:rsidR="00323BAC" w:rsidRPr="006B7125">
        <w:t>able 1</w:t>
      </w:r>
      <w:r w:rsidR="00CC5F89" w:rsidRPr="006B7125">
        <w:t xml:space="preserve">. The </w:t>
      </w:r>
      <w:r w:rsidRPr="006B7125">
        <w:t xml:space="preserve">OHCA PCI group had lower </w:t>
      </w:r>
      <w:r w:rsidR="00AF7483" w:rsidRPr="006B7125">
        <w:t xml:space="preserve">use of </w:t>
      </w:r>
      <w:r w:rsidRPr="006B7125">
        <w:t xml:space="preserve">intracoronary imaging </w:t>
      </w:r>
      <w:r w:rsidR="00782153" w:rsidRPr="006B7125">
        <w:t>(</w:t>
      </w:r>
      <w:r w:rsidRPr="006B7125">
        <w:t>OCT or IVUS</w:t>
      </w:r>
      <w:r w:rsidR="00782153" w:rsidRPr="006B7125">
        <w:t>)</w:t>
      </w:r>
      <w:r w:rsidRPr="006B7125">
        <w:t xml:space="preserve"> </w:t>
      </w:r>
      <w:r w:rsidR="00782153" w:rsidRPr="006B7125">
        <w:t>and</w:t>
      </w:r>
      <w:r w:rsidR="00915714" w:rsidRPr="006B7125">
        <w:t xml:space="preserve"> </w:t>
      </w:r>
      <w:r w:rsidRPr="006B7125">
        <w:t xml:space="preserve">invasive physiological assessment </w:t>
      </w:r>
      <w:r w:rsidR="00782153" w:rsidRPr="006B7125">
        <w:t xml:space="preserve">using a </w:t>
      </w:r>
      <w:r w:rsidR="00276E9E" w:rsidRPr="006B7125">
        <w:t>pressure wire.</w:t>
      </w:r>
      <w:r w:rsidR="003A1B63" w:rsidRPr="006B7125">
        <w:t xml:space="preserve"> </w:t>
      </w:r>
      <w:r w:rsidR="00DE1559" w:rsidRPr="006B7125">
        <w:t>OHCA PCI group were</w:t>
      </w:r>
      <w:r w:rsidR="003619B7" w:rsidRPr="006B7125">
        <w:t xml:space="preserve"> also</w:t>
      </w:r>
      <w:r w:rsidR="00DE1559" w:rsidRPr="006B7125">
        <w:t xml:space="preserve"> more likely to undergo PCI to </w:t>
      </w:r>
      <w:r w:rsidR="003C1A07" w:rsidRPr="006B7125">
        <w:t xml:space="preserve">the </w:t>
      </w:r>
      <w:r w:rsidR="00DE1559" w:rsidRPr="006B7125">
        <w:t xml:space="preserve">left main stem </w:t>
      </w:r>
      <w:r w:rsidR="003C1A07" w:rsidRPr="006B7125">
        <w:t xml:space="preserve">coronary artery </w:t>
      </w:r>
      <w:r w:rsidR="00C14586" w:rsidRPr="006B7125">
        <w:t>(7.1% vs 5.0%, p&lt;0.001),</w:t>
      </w:r>
      <w:r w:rsidR="00F918E4" w:rsidRPr="006B7125">
        <w:t xml:space="preserve"> and</w:t>
      </w:r>
      <w:r w:rsidR="00C14586" w:rsidRPr="006B7125">
        <w:t xml:space="preserve"> multi</w:t>
      </w:r>
      <w:r w:rsidR="00770E82" w:rsidRPr="006B7125">
        <w:t>vessel</w:t>
      </w:r>
      <w:r w:rsidR="00C14586" w:rsidRPr="006B7125">
        <w:t xml:space="preserve"> PCI</w:t>
      </w:r>
      <w:r w:rsidR="00770E82" w:rsidRPr="006B7125">
        <w:t xml:space="preserve"> </w:t>
      </w:r>
      <w:r w:rsidR="00F918E4" w:rsidRPr="006B7125">
        <w:t>(</w:t>
      </w:r>
      <w:r w:rsidR="00C14586" w:rsidRPr="006B7125">
        <w:t>4</w:t>
      </w:r>
      <w:r w:rsidR="00DE1559" w:rsidRPr="006B7125">
        <w:t>.9% vs 3.3%</w:t>
      </w:r>
      <w:r w:rsidR="00C14586" w:rsidRPr="006B7125">
        <w:t>, p&lt;0.001</w:t>
      </w:r>
      <w:r w:rsidR="00DE1559" w:rsidRPr="006B7125">
        <w:t>)</w:t>
      </w:r>
      <w:r w:rsidR="00F918E4" w:rsidRPr="006B7125">
        <w:t xml:space="preserve"> compared to </w:t>
      </w:r>
      <w:r w:rsidR="00915714" w:rsidRPr="006B7125">
        <w:t xml:space="preserve">the </w:t>
      </w:r>
      <w:r w:rsidR="00342FB7" w:rsidRPr="006B7125">
        <w:t>non-</w:t>
      </w:r>
      <w:r w:rsidR="00F918E4" w:rsidRPr="006B7125">
        <w:t>OHCA PCI group</w:t>
      </w:r>
      <w:r w:rsidR="003C1A07" w:rsidRPr="006B7125">
        <w:t>.</w:t>
      </w:r>
      <w:r w:rsidR="003A1B63" w:rsidRPr="006B7125">
        <w:t xml:space="preserve"> </w:t>
      </w:r>
      <w:r w:rsidR="003C1A07" w:rsidRPr="006B7125">
        <w:t>H</w:t>
      </w:r>
      <w:r w:rsidR="00DE1559" w:rsidRPr="006B7125">
        <w:t>owever</w:t>
      </w:r>
      <w:r w:rsidR="003C1A07" w:rsidRPr="006B7125">
        <w:t>,</w:t>
      </w:r>
      <w:r w:rsidR="00DE1559" w:rsidRPr="006B7125">
        <w:t xml:space="preserve"> the </w:t>
      </w:r>
      <w:r w:rsidR="00F918E4" w:rsidRPr="006B7125">
        <w:t>number of lesion</w:t>
      </w:r>
      <w:r w:rsidR="007C4A7D" w:rsidRPr="006B7125">
        <w:t>s</w:t>
      </w:r>
      <w:r w:rsidR="00F918E4" w:rsidRPr="006B7125">
        <w:t xml:space="preserve"> treated, stent used, stent length and diameter were similar in both groups. </w:t>
      </w:r>
      <w:r w:rsidR="005A1F0C" w:rsidRPr="006B7125">
        <w:t xml:space="preserve">As determined by TIMI-3 flow at the end of </w:t>
      </w:r>
      <w:r w:rsidR="0014424F" w:rsidRPr="006B7125">
        <w:t xml:space="preserve">the </w:t>
      </w:r>
      <w:r w:rsidR="005A1F0C" w:rsidRPr="006B7125">
        <w:t>procedure, the procedural success rate was much lower in the OHCA PCI group (88.2% vs 92.8%</w:t>
      </w:r>
      <w:r w:rsidR="00EC4DB9" w:rsidRPr="006B7125">
        <w:t>, p&lt;0.001</w:t>
      </w:r>
      <w:r w:rsidR="005A1F0C" w:rsidRPr="006B7125">
        <w:t>)</w:t>
      </w:r>
      <w:r w:rsidR="00F918E4" w:rsidRPr="006B7125">
        <w:t xml:space="preserve"> </w:t>
      </w:r>
    </w:p>
    <w:p w14:paraId="511EF131" w14:textId="0683CE00" w:rsidR="00054914" w:rsidRPr="006B7125" w:rsidRDefault="00054914" w:rsidP="005E20A3">
      <w:pPr>
        <w:pStyle w:val="ListParagraph"/>
        <w:numPr>
          <w:ilvl w:val="0"/>
          <w:numId w:val="9"/>
        </w:numPr>
        <w:spacing w:line="480" w:lineRule="auto"/>
        <w:jc w:val="both"/>
        <w:rPr>
          <w:i/>
        </w:rPr>
      </w:pPr>
      <w:r w:rsidRPr="006B7125">
        <w:rPr>
          <w:i/>
        </w:rPr>
        <w:t xml:space="preserve">Variation in characteristics of </w:t>
      </w:r>
      <w:r w:rsidR="000C4D9B" w:rsidRPr="006B7125">
        <w:rPr>
          <w:i/>
        </w:rPr>
        <w:t>STEMI</w:t>
      </w:r>
      <w:r w:rsidRPr="006B7125">
        <w:rPr>
          <w:i/>
        </w:rPr>
        <w:t xml:space="preserve"> </w:t>
      </w:r>
      <w:r w:rsidR="00AD358E" w:rsidRPr="006B7125">
        <w:rPr>
          <w:i/>
        </w:rPr>
        <w:t xml:space="preserve">and </w:t>
      </w:r>
      <w:r w:rsidR="000C4D9B" w:rsidRPr="006B7125">
        <w:rPr>
          <w:i/>
        </w:rPr>
        <w:t>NSTEMI</w:t>
      </w:r>
      <w:r w:rsidR="00AD358E" w:rsidRPr="006B7125">
        <w:rPr>
          <w:i/>
        </w:rPr>
        <w:t xml:space="preserve"> OHCA PCI </w:t>
      </w:r>
    </w:p>
    <w:p w14:paraId="19655FF5" w14:textId="615F2CC3" w:rsidR="00AD358E" w:rsidRPr="006B7125" w:rsidRDefault="00AD358E" w:rsidP="00866E4D">
      <w:pPr>
        <w:spacing w:line="480" w:lineRule="auto"/>
        <w:jc w:val="both"/>
      </w:pPr>
      <w:r w:rsidRPr="006B7125">
        <w:t xml:space="preserve">The differences in baseline characteristics, </w:t>
      </w:r>
      <w:proofErr w:type="gramStart"/>
      <w:r w:rsidRPr="006B7125">
        <w:t>comorbidities</w:t>
      </w:r>
      <w:proofErr w:type="gramEnd"/>
      <w:r w:rsidRPr="006B7125">
        <w:t xml:space="preserve"> and procedural profile of OHCA patients </w:t>
      </w:r>
      <w:r w:rsidR="000C4D9B" w:rsidRPr="006B7125">
        <w:t>stratified according to the STEMI and NSTEMI</w:t>
      </w:r>
      <w:r w:rsidR="00CC5F89" w:rsidRPr="006B7125">
        <w:t xml:space="preserve"> OHCA </w:t>
      </w:r>
      <w:r w:rsidR="000C4D9B" w:rsidRPr="006B7125">
        <w:t xml:space="preserve">PCI </w:t>
      </w:r>
      <w:r w:rsidR="00CC5F89" w:rsidRPr="006B7125">
        <w:t>are reported in T</w:t>
      </w:r>
      <w:r w:rsidRPr="006B7125">
        <w:t xml:space="preserve">able 2. </w:t>
      </w:r>
      <w:r w:rsidR="009F6550" w:rsidRPr="006B7125">
        <w:t>STEMI</w:t>
      </w:r>
      <w:r w:rsidRPr="006B7125">
        <w:t xml:space="preserve"> OHCA PCI group were younger, </w:t>
      </w:r>
      <w:r w:rsidR="00CC5AEF" w:rsidRPr="006B7125">
        <w:t>more</w:t>
      </w:r>
      <w:r w:rsidRPr="006B7125">
        <w:t xml:space="preserve"> lik</w:t>
      </w:r>
      <w:r w:rsidR="0014424F" w:rsidRPr="006B7125">
        <w:t>el</w:t>
      </w:r>
      <w:r w:rsidRPr="006B7125">
        <w:t xml:space="preserve">y to be female and of BAME ethnicity. </w:t>
      </w:r>
      <w:r w:rsidR="00E9319B" w:rsidRPr="006B7125">
        <w:t>STEMI</w:t>
      </w:r>
      <w:r w:rsidR="0014424F" w:rsidRPr="006B7125">
        <w:t xml:space="preserve"> OHCA PCI group were </w:t>
      </w:r>
      <w:r w:rsidR="003842A8" w:rsidRPr="006B7125">
        <w:t xml:space="preserve">also </w:t>
      </w:r>
      <w:r w:rsidR="0014424F" w:rsidRPr="006B7125">
        <w:t>more lik</w:t>
      </w:r>
      <w:r w:rsidR="00966620" w:rsidRPr="006B7125">
        <w:t>e</w:t>
      </w:r>
      <w:r w:rsidR="0014424F" w:rsidRPr="006B7125">
        <w:t>l</w:t>
      </w:r>
      <w:r w:rsidR="00966620" w:rsidRPr="006B7125">
        <w:t xml:space="preserve">y to be acidotic (PH 7.2 vs 7.3), had higher concentrations of blood lactate (6.1 vs </w:t>
      </w:r>
      <w:r w:rsidR="00746B2A" w:rsidRPr="006B7125">
        <w:t>4</w:t>
      </w:r>
      <w:r w:rsidR="00966620" w:rsidRPr="006B7125">
        <w:t>.6) and presented with cardiogenic shock (</w:t>
      </w:r>
      <w:r w:rsidR="00AC4960" w:rsidRPr="006B7125">
        <w:t>36</w:t>
      </w:r>
      <w:r w:rsidR="00966620" w:rsidRPr="006B7125">
        <w:t>.</w:t>
      </w:r>
      <w:r w:rsidR="00AC4960" w:rsidRPr="006B7125">
        <w:t>2</w:t>
      </w:r>
      <w:r w:rsidR="00966620" w:rsidRPr="006B7125">
        <w:t xml:space="preserve">% vs </w:t>
      </w:r>
      <w:r w:rsidR="00AC4960" w:rsidRPr="006B7125">
        <w:t>22</w:t>
      </w:r>
      <w:r w:rsidR="00966620" w:rsidRPr="006B7125">
        <w:t xml:space="preserve">.8%) compared to OHCA </w:t>
      </w:r>
      <w:proofErr w:type="gramStart"/>
      <w:r w:rsidR="00642398" w:rsidRPr="006B7125">
        <w:t xml:space="preserve">non </w:t>
      </w:r>
      <w:r w:rsidR="00E34AB0" w:rsidRPr="006B7125">
        <w:t xml:space="preserve">STEMI </w:t>
      </w:r>
      <w:r w:rsidR="00966620" w:rsidRPr="006B7125">
        <w:t>PCI</w:t>
      </w:r>
      <w:proofErr w:type="gramEnd"/>
      <w:r w:rsidR="00966620" w:rsidRPr="006B7125">
        <w:t xml:space="preserve"> group. </w:t>
      </w:r>
    </w:p>
    <w:p w14:paraId="2B5C2893" w14:textId="6526546E" w:rsidR="00803FF7" w:rsidRPr="006B7125" w:rsidRDefault="00803FF7" w:rsidP="005E20A3">
      <w:pPr>
        <w:pStyle w:val="ListParagraph"/>
        <w:numPr>
          <w:ilvl w:val="0"/>
          <w:numId w:val="9"/>
        </w:numPr>
        <w:spacing w:line="480" w:lineRule="auto"/>
        <w:jc w:val="both"/>
        <w:rPr>
          <w:i/>
        </w:rPr>
      </w:pPr>
      <w:r w:rsidRPr="006B7125">
        <w:rPr>
          <w:i/>
        </w:rPr>
        <w:t>Relationship between OHCA cases as proportion of overall centre PCI volume and Primary PCI volume</w:t>
      </w:r>
    </w:p>
    <w:p w14:paraId="4D3F8001" w14:textId="5ADAA830" w:rsidR="00427700" w:rsidRPr="006B7125" w:rsidRDefault="007607D4" w:rsidP="00DF4B4A">
      <w:pPr>
        <w:spacing w:line="480" w:lineRule="auto"/>
        <w:jc w:val="both"/>
      </w:pPr>
      <w:r w:rsidRPr="006B7125">
        <w:t xml:space="preserve">The proportion of OHCA PCI </w:t>
      </w:r>
      <w:r w:rsidR="00AF7483" w:rsidRPr="006B7125">
        <w:t xml:space="preserve">ranged </w:t>
      </w:r>
      <w:r w:rsidRPr="006B7125">
        <w:t xml:space="preserve">from 4.7% to 5.3% and from 1.5% to 2.5% in the ACS </w:t>
      </w:r>
      <w:r w:rsidR="005A1F0C" w:rsidRPr="006B7125">
        <w:t>and overall cohorts,</w:t>
      </w:r>
      <w:r w:rsidRPr="006B7125">
        <w:t xml:space="preserve"> respectively (</w:t>
      </w:r>
      <w:r w:rsidR="00173575" w:rsidRPr="006B7125">
        <w:t>figure</w:t>
      </w:r>
      <w:r w:rsidRPr="006B7125">
        <w:t xml:space="preserve"> 1). There was significant variation b</w:t>
      </w:r>
      <w:r w:rsidR="00FF5784" w:rsidRPr="006B7125">
        <w:t xml:space="preserve">etween </w:t>
      </w:r>
      <w:r w:rsidRPr="006B7125">
        <w:t>proportion of OHCA PCI</w:t>
      </w:r>
      <w:r w:rsidR="00FF5784" w:rsidRPr="006B7125">
        <w:t xml:space="preserve"> compared to total ACS PCI volume and total PCI volume respectively,</w:t>
      </w:r>
      <w:r w:rsidRPr="006B7125">
        <w:t xml:space="preserve"> across </w:t>
      </w:r>
      <w:r w:rsidRPr="006B7125">
        <w:lastRenderedPageBreak/>
        <w:t>the centres in England and Wales (</w:t>
      </w:r>
      <w:r w:rsidR="00173575" w:rsidRPr="006B7125">
        <w:t>figure</w:t>
      </w:r>
      <w:r w:rsidRPr="006B7125">
        <w:t xml:space="preserve"> 2, Supplementary </w:t>
      </w:r>
      <w:r w:rsidR="00173575" w:rsidRPr="006B7125">
        <w:t>figure</w:t>
      </w:r>
      <w:r w:rsidRPr="006B7125">
        <w:t xml:space="preserve"> 2). Higher PCI volume was associated with increased OHCA PCI activity across centres for both ACS cohort</w:t>
      </w:r>
      <w:r w:rsidR="000649BE" w:rsidRPr="006B7125">
        <w:t xml:space="preserve"> (Spearman correlation R</w:t>
      </w:r>
      <w:r w:rsidR="000649BE" w:rsidRPr="006B7125">
        <w:rPr>
          <w:vertAlign w:val="superscript"/>
        </w:rPr>
        <w:t>2</w:t>
      </w:r>
      <w:r w:rsidR="000649BE" w:rsidRPr="006B7125">
        <w:t>=0.50, p&lt;0.001)</w:t>
      </w:r>
      <w:r w:rsidR="003A1B63" w:rsidRPr="006B7125">
        <w:t xml:space="preserve"> </w:t>
      </w:r>
      <w:r w:rsidRPr="006B7125">
        <w:t xml:space="preserve">and total PCI </w:t>
      </w:r>
      <w:r w:rsidR="00DD104D" w:rsidRPr="006B7125">
        <w:t>volume (</w:t>
      </w:r>
      <w:r w:rsidR="005A1F0C" w:rsidRPr="006B7125">
        <w:t>S</w:t>
      </w:r>
      <w:r w:rsidR="00DD104D" w:rsidRPr="006B7125">
        <w:t>pearman correlation R</w:t>
      </w:r>
      <w:r w:rsidR="00DD104D" w:rsidRPr="006B7125">
        <w:rPr>
          <w:vertAlign w:val="superscript"/>
        </w:rPr>
        <w:t>2</w:t>
      </w:r>
      <w:r w:rsidR="00DD104D" w:rsidRPr="006B7125">
        <w:t>=0.60, p&lt;0.001) (</w:t>
      </w:r>
      <w:r w:rsidR="00173575" w:rsidRPr="006B7125">
        <w:t>figure</w:t>
      </w:r>
      <w:r w:rsidR="00DD104D" w:rsidRPr="006B7125">
        <w:t xml:space="preserve"> 3, supplementary figure 3). Similar heterogeneity in OHCA PCI volume and total primary PCI volume was noted across all centres with</w:t>
      </w:r>
      <w:r w:rsidR="00952C92" w:rsidRPr="006B7125">
        <w:t xml:space="preserve"> only</w:t>
      </w:r>
      <w:r w:rsidR="00DD104D" w:rsidRPr="006B7125">
        <w:t xml:space="preserve"> a weak correlation (R</w:t>
      </w:r>
      <w:r w:rsidR="00DD104D" w:rsidRPr="006B7125">
        <w:rPr>
          <w:vertAlign w:val="superscript"/>
        </w:rPr>
        <w:t>2</w:t>
      </w:r>
      <w:r w:rsidR="00DD104D" w:rsidRPr="006B7125">
        <w:t>=0.10, p=0.33) between hospital PPC</w:t>
      </w:r>
      <w:r w:rsidR="00A1527D" w:rsidRPr="006B7125">
        <w:t>I</w:t>
      </w:r>
      <w:r w:rsidR="00DD104D" w:rsidRPr="006B7125">
        <w:t xml:space="preserve"> volume and OHCA PCI volume (</w:t>
      </w:r>
      <w:r w:rsidR="00173575" w:rsidRPr="006B7125">
        <w:t>supplementary f</w:t>
      </w:r>
      <w:r w:rsidR="00DD104D" w:rsidRPr="006B7125">
        <w:t xml:space="preserve">igure </w:t>
      </w:r>
      <w:r w:rsidR="00173575" w:rsidRPr="006B7125">
        <w:t>4</w:t>
      </w:r>
      <w:r w:rsidR="00DD104D" w:rsidRPr="006B7125">
        <w:t>).</w:t>
      </w:r>
    </w:p>
    <w:p w14:paraId="5B3BFA8F" w14:textId="4040F552" w:rsidR="00543115" w:rsidRPr="006B7125" w:rsidRDefault="00966620" w:rsidP="00DF4B4A">
      <w:pPr>
        <w:spacing w:line="480" w:lineRule="auto"/>
        <w:jc w:val="both"/>
      </w:pPr>
      <w:r w:rsidRPr="006B7125">
        <w:t xml:space="preserve">Supplementary </w:t>
      </w:r>
      <w:r w:rsidR="00A42069" w:rsidRPr="006B7125">
        <w:t>T</w:t>
      </w:r>
      <w:r w:rsidR="009F3BEA" w:rsidRPr="006B7125">
        <w:t>able 1</w:t>
      </w:r>
      <w:r w:rsidR="00543115" w:rsidRPr="006B7125">
        <w:t xml:space="preserve"> shows the differences in characteristics of </w:t>
      </w:r>
      <w:r w:rsidR="005A1F0C" w:rsidRPr="006B7125">
        <w:t xml:space="preserve">the </w:t>
      </w:r>
      <w:r w:rsidR="00543115" w:rsidRPr="006B7125">
        <w:t>OHCA PCI group stratified according to hospital OHCA PCI volume quartiles. Patients undergoing PCI for OHCA in the lowest quartile were older, more likely to be female, BAME ethnicity and presented with NSTEMI or unstable angina</w:t>
      </w:r>
      <w:r w:rsidR="00A42069" w:rsidRPr="006B7125">
        <w:t>. In contrast,</w:t>
      </w:r>
      <w:r w:rsidR="00543115" w:rsidRPr="006B7125">
        <w:t xml:space="preserve"> the higher quartile hospitals had </w:t>
      </w:r>
      <w:r w:rsidR="00A42069" w:rsidRPr="006B7125">
        <w:t xml:space="preserve">a </w:t>
      </w:r>
      <w:r w:rsidR="00543115" w:rsidRPr="006B7125">
        <w:t xml:space="preserve">higher prevalence of left ventricular systolic dysfunction (LVSD), cardiogenic shock and LMS and CTO PCI. </w:t>
      </w:r>
    </w:p>
    <w:p w14:paraId="691F6E7E" w14:textId="258F05E8" w:rsidR="00427700" w:rsidRPr="006B7125" w:rsidRDefault="00FF5784" w:rsidP="005E20A3">
      <w:pPr>
        <w:pStyle w:val="ListParagraph"/>
        <w:numPr>
          <w:ilvl w:val="0"/>
          <w:numId w:val="9"/>
        </w:numPr>
        <w:spacing w:line="480" w:lineRule="auto"/>
        <w:jc w:val="both"/>
        <w:rPr>
          <w:i/>
        </w:rPr>
      </w:pPr>
      <w:r w:rsidRPr="006B7125">
        <w:rPr>
          <w:i/>
        </w:rPr>
        <w:t>Relationship between OHCA PCI</w:t>
      </w:r>
      <w:r w:rsidR="00427700" w:rsidRPr="006B7125">
        <w:rPr>
          <w:i/>
        </w:rPr>
        <w:t xml:space="preserve"> as proportion of overall PCI volume and Primary PCI volume for individual operators</w:t>
      </w:r>
    </w:p>
    <w:p w14:paraId="27F39BD1" w14:textId="1FB47031" w:rsidR="006135AA" w:rsidRPr="006B7125" w:rsidRDefault="001E4D6A" w:rsidP="00DF4B4A">
      <w:pPr>
        <w:spacing w:line="480" w:lineRule="auto"/>
        <w:jc w:val="both"/>
      </w:pPr>
      <w:r w:rsidRPr="006B7125">
        <w:t>There was significant heterogeneity between individual</w:t>
      </w:r>
      <w:r w:rsidR="00FF5784" w:rsidRPr="006B7125">
        <w:t xml:space="preserve"> operator</w:t>
      </w:r>
      <w:r w:rsidRPr="006B7125">
        <w:t xml:space="preserve"> total PCI volume and OHCA PCI (spearman</w:t>
      </w:r>
      <w:r w:rsidR="005A1F0C" w:rsidRPr="006B7125">
        <w:t>'</w:t>
      </w:r>
      <w:r w:rsidRPr="006B7125">
        <w:t>s correlation 0.10, p&lt;0.001)</w:t>
      </w:r>
      <w:r w:rsidR="00A42069" w:rsidRPr="006B7125">
        <w:t>,</w:t>
      </w:r>
      <w:r w:rsidRPr="006B7125">
        <w:t xml:space="preserve"> as illustrated in supplementary figure </w:t>
      </w:r>
      <w:r w:rsidR="00202C99" w:rsidRPr="006B7125">
        <w:t>5</w:t>
      </w:r>
      <w:r w:rsidRPr="006B7125">
        <w:t>. Similarly, individual operator primary PCI volume and OHCA PCI were independent with significant variation across the operator volume (spearman</w:t>
      </w:r>
      <w:r w:rsidR="005A1F0C" w:rsidRPr="006B7125">
        <w:t>'</w:t>
      </w:r>
      <w:r w:rsidRPr="006B7125">
        <w:t xml:space="preserve">s correlation 0.21, p&lt;0.001) (supplementary figure </w:t>
      </w:r>
      <w:r w:rsidR="00202C99" w:rsidRPr="006B7125">
        <w:t>6</w:t>
      </w:r>
      <w:r w:rsidRPr="006B7125">
        <w:t>).</w:t>
      </w:r>
      <w:r w:rsidR="003A1B63" w:rsidRPr="006B7125">
        <w:t xml:space="preserve"> </w:t>
      </w:r>
    </w:p>
    <w:p w14:paraId="0A81EF3C" w14:textId="6C19E308" w:rsidR="00803FF7" w:rsidRPr="006B7125" w:rsidRDefault="00803FF7" w:rsidP="005E20A3">
      <w:pPr>
        <w:pStyle w:val="ListParagraph"/>
        <w:numPr>
          <w:ilvl w:val="0"/>
          <w:numId w:val="9"/>
        </w:numPr>
        <w:spacing w:line="480" w:lineRule="auto"/>
        <w:jc w:val="both"/>
        <w:rPr>
          <w:i/>
        </w:rPr>
      </w:pPr>
      <w:r w:rsidRPr="006B7125">
        <w:rPr>
          <w:i/>
        </w:rPr>
        <w:t>Factors associated with mortality &amp; other clinical outcomes</w:t>
      </w:r>
    </w:p>
    <w:p w14:paraId="47AD78BE" w14:textId="675CFDD0" w:rsidR="00DD104D" w:rsidRPr="006B7125" w:rsidRDefault="00DD104D" w:rsidP="00DF4B4A">
      <w:pPr>
        <w:spacing w:line="480" w:lineRule="auto"/>
        <w:jc w:val="both"/>
      </w:pPr>
      <w:r w:rsidRPr="006B7125">
        <w:t>Overall crude mortality (24.7% vs 2.2%</w:t>
      </w:r>
      <w:r w:rsidR="00EC4DB9" w:rsidRPr="006B7125">
        <w:t>, p&lt;0.001</w:t>
      </w:r>
      <w:r w:rsidRPr="006B7125">
        <w:t>), in-hospital MACCE (27.4% vs 3.7%</w:t>
      </w:r>
      <w:r w:rsidR="00EC4DB9" w:rsidRPr="006B7125">
        <w:t>, p&lt;0.001</w:t>
      </w:r>
      <w:r w:rsidRPr="006B7125">
        <w:t>) and bleeding complications (8.1% vs 4</w:t>
      </w:r>
      <w:r w:rsidR="00996BAD" w:rsidRPr="006B7125">
        <w:t>.</w:t>
      </w:r>
      <w:r w:rsidRPr="006B7125">
        <w:t>8%</w:t>
      </w:r>
      <w:r w:rsidR="00EC4DB9" w:rsidRPr="006B7125">
        <w:t>, p&lt;0.001</w:t>
      </w:r>
      <w:r w:rsidRPr="006B7125">
        <w:t>) w</w:t>
      </w:r>
      <w:r w:rsidR="005A1F0C" w:rsidRPr="006B7125">
        <w:t>ere</w:t>
      </w:r>
      <w:r w:rsidRPr="006B7125">
        <w:t xml:space="preserve"> significant</w:t>
      </w:r>
      <w:r w:rsidR="005A1F0C" w:rsidRPr="006B7125">
        <w:t>ly</w:t>
      </w:r>
      <w:r w:rsidRPr="006B7125">
        <w:t xml:space="preserve"> higher in the OHCA PCI group co</w:t>
      </w:r>
      <w:r w:rsidR="00342FB7" w:rsidRPr="006B7125">
        <w:t xml:space="preserve">mpared to </w:t>
      </w:r>
      <w:r w:rsidR="005A1F0C" w:rsidRPr="006B7125">
        <w:t xml:space="preserve">the </w:t>
      </w:r>
      <w:r w:rsidR="00342FB7" w:rsidRPr="006B7125">
        <w:t>non-</w:t>
      </w:r>
      <w:r w:rsidRPr="006B7125">
        <w:t>OHCA PCI group. After adjusting for all the baseline differences in clinical and angiographic characteristics, OHCA PC</w:t>
      </w:r>
      <w:r w:rsidR="004E06F4" w:rsidRPr="006B7125">
        <w:t>I was associated with over</w:t>
      </w:r>
      <w:r w:rsidRPr="006B7125">
        <w:t xml:space="preserve"> </w:t>
      </w:r>
      <w:r w:rsidRPr="006B7125">
        <w:lastRenderedPageBreak/>
        <w:t>30% increase in mortality (OR 1.32 95%CI 1.18-1.47), MACCE (OR 1.21 95%CI 1.09-1.35) but no difference</w:t>
      </w:r>
      <w:r w:rsidR="008F7B26" w:rsidRPr="006B7125">
        <w:t>s</w:t>
      </w:r>
      <w:r w:rsidRPr="006B7125">
        <w:t xml:space="preserve"> in bleeding complic</w:t>
      </w:r>
      <w:r w:rsidR="00AD1DF3" w:rsidRPr="006B7125">
        <w:t>ation</w:t>
      </w:r>
      <w:r w:rsidR="008F7B26" w:rsidRPr="006B7125">
        <w:t>s</w:t>
      </w:r>
      <w:r w:rsidR="00AD1DF3" w:rsidRPr="006B7125">
        <w:t xml:space="preserve"> (OR 0.98 95%CI 0.74-1.29) (Tab</w:t>
      </w:r>
      <w:r w:rsidR="004E06F4" w:rsidRPr="006B7125">
        <w:t>le 3</w:t>
      </w:r>
      <w:proofErr w:type="gramStart"/>
      <w:r w:rsidR="004E06F4" w:rsidRPr="006B7125">
        <w:t>).</w:t>
      </w:r>
      <w:r w:rsidR="00FC2CD4" w:rsidRPr="006B7125">
        <w:t>.</w:t>
      </w:r>
      <w:proofErr w:type="gramEnd"/>
      <w:r w:rsidR="00FC2CD4" w:rsidRPr="006B7125">
        <w:t xml:space="preserve"> </w:t>
      </w:r>
    </w:p>
    <w:p w14:paraId="64FDE65D" w14:textId="77777777" w:rsidR="00AD2504" w:rsidRPr="006B7125" w:rsidRDefault="00AD2504" w:rsidP="00DF4B4A">
      <w:pPr>
        <w:spacing w:line="480" w:lineRule="auto"/>
        <w:jc w:val="both"/>
        <w:rPr>
          <w:b/>
        </w:rPr>
      </w:pPr>
      <w:r w:rsidRPr="006B7125">
        <w:rPr>
          <w:b/>
        </w:rPr>
        <w:t>Discussion</w:t>
      </w:r>
    </w:p>
    <w:p w14:paraId="7B7B79B7" w14:textId="392DBE8B" w:rsidR="003326C7" w:rsidRPr="006B7125" w:rsidRDefault="00F11465" w:rsidP="00DF4B4A">
      <w:pPr>
        <w:spacing w:line="480" w:lineRule="auto"/>
        <w:jc w:val="both"/>
      </w:pPr>
      <w:r w:rsidRPr="006B7125">
        <w:t>This analysis of national PCI activity for OHCA patients demonstrat</w:t>
      </w:r>
      <w:r w:rsidR="00FC2CD4" w:rsidRPr="006B7125">
        <w:t xml:space="preserve">es substantial variation in </w:t>
      </w:r>
      <w:r w:rsidR="00741B28" w:rsidRPr="006B7125">
        <w:t xml:space="preserve">PCI </w:t>
      </w:r>
      <w:r w:rsidRPr="006B7125">
        <w:t>practice</w:t>
      </w:r>
      <w:r w:rsidR="00741B28" w:rsidRPr="006B7125">
        <w:t>s</w:t>
      </w:r>
      <w:r w:rsidRPr="006B7125">
        <w:t xml:space="preserve"> both between centres and between i</w:t>
      </w:r>
      <w:r w:rsidR="00741B28" w:rsidRPr="006B7125">
        <w:t>ndividual operators</w:t>
      </w:r>
      <w:r w:rsidRPr="006B7125">
        <w:t>. Specifically, there is only a modest correlation between total or primary PCI volume and OHCA</w:t>
      </w:r>
      <w:r w:rsidR="00250EC3" w:rsidRPr="006B7125">
        <w:t xml:space="preserve"> PCI</w:t>
      </w:r>
      <w:r w:rsidRPr="006B7125">
        <w:t xml:space="preserve"> volume</w:t>
      </w:r>
      <w:r w:rsidR="00250EC3" w:rsidRPr="006B7125">
        <w:t xml:space="preserve"> amongst the centres. T</w:t>
      </w:r>
      <w:r w:rsidRPr="006B7125">
        <w:t>he characteristics of OHCA patients undergoing PCI differs according to whether centres are higher volume or lower volume OHCA PCI centres. These findings indicate unexplained heterogeneity in the standard of clinical c</w:t>
      </w:r>
      <w:r w:rsidR="00250EC3" w:rsidRPr="006B7125">
        <w:t>are and invasive management across PCI centres and operators.</w:t>
      </w:r>
      <w:r w:rsidRPr="006B7125">
        <w:t xml:space="preserve"> </w:t>
      </w:r>
    </w:p>
    <w:p w14:paraId="1179AF12" w14:textId="67B4C801" w:rsidR="00E82B39" w:rsidRPr="006B7125" w:rsidRDefault="005B4394" w:rsidP="00DF4B4A">
      <w:pPr>
        <w:spacing w:line="480" w:lineRule="auto"/>
        <w:jc w:val="both"/>
      </w:pPr>
      <w:r w:rsidRPr="006B7125">
        <w:t xml:space="preserve">OHCA patients admitted to hospitals with PCI facilities </w:t>
      </w:r>
      <w:r w:rsidR="005A1F0C" w:rsidRPr="006B7125">
        <w:t>have</w:t>
      </w:r>
      <w:r w:rsidRPr="006B7125">
        <w:t xml:space="preserve"> increased access to early coronary angiography, specialist input and better out</w:t>
      </w:r>
      <w:r w:rsidR="005A742B" w:rsidRPr="006B7125">
        <w:t>comes</w:t>
      </w:r>
      <w:r w:rsidR="0087357D" w:rsidRPr="006B7125">
        <w:fldChar w:fldCharType="begin"/>
      </w:r>
      <w:r w:rsidR="00924DC1" w:rsidRPr="006B7125">
        <w:instrText>ADDIN RW.CITE{{doc:6093fe7b8f081888003e0b3e Dumas,Florence 2010; doc:60aacddb8f0834232d6e8bf3 Grasner,JT 2021; doc:60aacddb8f0834232d6e8bf5 Karasek,J 2021}}</w:instrText>
      </w:r>
      <w:r w:rsidR="0087357D" w:rsidRPr="006B7125">
        <w:fldChar w:fldCharType="separate"/>
      </w:r>
      <w:r w:rsidR="00924DC1" w:rsidRPr="006B7125">
        <w:rPr>
          <w:rFonts w:cs="Times New Roman"/>
          <w:bCs/>
          <w:vertAlign w:val="superscript"/>
          <w:lang w:val="en-US"/>
        </w:rPr>
        <w:t>7 25 26</w:t>
      </w:r>
      <w:r w:rsidR="0087357D" w:rsidRPr="006B7125">
        <w:fldChar w:fldCharType="end"/>
      </w:r>
      <w:r w:rsidR="005A742B" w:rsidRPr="006B7125">
        <w:t>. However, there are limited data around the</w:t>
      </w:r>
      <w:r w:rsidRPr="006B7125">
        <w:t xml:space="preserve"> association between hospital overall PCI volume and OHCA PCI volume in contemporary practice. </w:t>
      </w:r>
      <w:r w:rsidR="0055575F" w:rsidRPr="006B7125">
        <w:t>In the</w:t>
      </w:r>
      <w:r w:rsidR="0087357D" w:rsidRPr="006B7125">
        <w:t xml:space="preserve"> present study</w:t>
      </w:r>
      <w:r w:rsidR="005A742B" w:rsidRPr="006B7125">
        <w:t xml:space="preserve">, we found </w:t>
      </w:r>
      <w:r w:rsidR="00BD382E" w:rsidRPr="006B7125">
        <w:t xml:space="preserve">that the </w:t>
      </w:r>
      <w:r w:rsidR="00051BBB" w:rsidRPr="006B7125">
        <w:t>correlation between</w:t>
      </w:r>
      <w:r w:rsidR="005A742B" w:rsidRPr="006B7125">
        <w:t xml:space="preserve"> hospital overall PCI volume and OHCA PCI volume </w:t>
      </w:r>
      <w:r w:rsidR="00BD382E" w:rsidRPr="006B7125">
        <w:t>was modest, highlighting the</w:t>
      </w:r>
      <w:r w:rsidR="005A742B" w:rsidRPr="006B7125">
        <w:t xml:space="preserve"> significant heterogeneity in clinical practice across the centres in England and Wales</w:t>
      </w:r>
      <w:r w:rsidR="002F4529" w:rsidRPr="006B7125">
        <w:t>.</w:t>
      </w:r>
      <w:r w:rsidR="003A4F07" w:rsidRPr="006B7125">
        <w:t xml:space="preserve"> </w:t>
      </w:r>
      <w:r w:rsidR="001926EA" w:rsidRPr="006B7125">
        <w:t xml:space="preserve">For instance, some low volume PCI centres </w:t>
      </w:r>
      <w:r w:rsidR="00351923" w:rsidRPr="006B7125">
        <w:t xml:space="preserve">had very high OHCA PCI rates </w:t>
      </w:r>
      <w:r w:rsidR="0020036C" w:rsidRPr="006B7125">
        <w:t xml:space="preserve">and similarly few </w:t>
      </w:r>
      <w:proofErr w:type="gramStart"/>
      <w:r w:rsidR="0020036C" w:rsidRPr="006B7125">
        <w:t>high volume</w:t>
      </w:r>
      <w:proofErr w:type="gramEnd"/>
      <w:r w:rsidR="0020036C" w:rsidRPr="006B7125">
        <w:t xml:space="preserve"> PCI centres were noted to have </w:t>
      </w:r>
      <w:r w:rsidR="00025D2A" w:rsidRPr="006B7125">
        <w:t xml:space="preserve">modest OHCA PCI rates. </w:t>
      </w:r>
    </w:p>
    <w:p w14:paraId="03719A70" w14:textId="2F2B4CD9" w:rsidR="00BD382E" w:rsidRPr="006B7125" w:rsidRDefault="00BD382E" w:rsidP="00DD0A1A">
      <w:pPr>
        <w:spacing w:line="480" w:lineRule="auto"/>
        <w:ind w:firstLine="720"/>
        <w:jc w:val="both"/>
      </w:pPr>
      <w:r w:rsidRPr="006B7125">
        <w:t>The</w:t>
      </w:r>
      <w:r w:rsidR="005A1F0C" w:rsidRPr="006B7125">
        <w:t xml:space="preserve">se data cannot </w:t>
      </w:r>
      <w:r w:rsidR="00AF7483" w:rsidRPr="006B7125">
        <w:t>be used to explain</w:t>
      </w:r>
      <w:r w:rsidR="005A1F0C" w:rsidRPr="006B7125">
        <w:t xml:space="preserve"> the underlying reasons for this wide variation in practice. </w:t>
      </w:r>
      <w:r w:rsidR="00AF7483" w:rsidRPr="006B7125">
        <w:t>It may be that the reasons are</w:t>
      </w:r>
      <w:r w:rsidR="003A1B63" w:rsidRPr="006B7125">
        <w:t xml:space="preserve"> </w:t>
      </w:r>
      <w:r w:rsidRPr="006B7125">
        <w:t>different when considering those with non-ST elevation events compared to those with ST</w:t>
      </w:r>
      <w:r w:rsidR="00A42069" w:rsidRPr="006B7125">
        <w:t>-</w:t>
      </w:r>
      <w:r w:rsidRPr="006B7125">
        <w:t>elevation</w:t>
      </w:r>
      <w:r w:rsidR="00A42069" w:rsidRPr="006B7125">
        <w:t xml:space="preserve"> acute myocardial infarction</w:t>
      </w:r>
      <w:r w:rsidRPr="006B7125">
        <w:t xml:space="preserve">. Specifically, </w:t>
      </w:r>
      <w:r w:rsidR="00AF7483" w:rsidRPr="006B7125">
        <w:t xml:space="preserve">the literature provides less </w:t>
      </w:r>
      <w:proofErr w:type="gramStart"/>
      <w:r w:rsidR="00AF7483" w:rsidRPr="006B7125">
        <w:t>clear cut</w:t>
      </w:r>
      <w:proofErr w:type="gramEnd"/>
      <w:r w:rsidR="00AF7483" w:rsidRPr="006B7125">
        <w:t xml:space="preserve"> evidence of the</w:t>
      </w:r>
      <w:r w:rsidR="003A1B63" w:rsidRPr="006B7125">
        <w:t xml:space="preserve"> </w:t>
      </w:r>
      <w:r w:rsidRPr="006B7125">
        <w:t>optimal ma</w:t>
      </w:r>
      <w:r w:rsidR="00250EC3" w:rsidRPr="006B7125">
        <w:t>nagement of patients without ST-</w:t>
      </w:r>
      <w:r w:rsidRPr="006B7125">
        <w:t>elevation</w:t>
      </w:r>
      <w:r w:rsidR="00A42069" w:rsidRPr="006B7125">
        <w:t>. B</w:t>
      </w:r>
      <w:r w:rsidRPr="006B7125">
        <w:t xml:space="preserve">y contrast, </w:t>
      </w:r>
      <w:r w:rsidR="00A42069" w:rsidRPr="006B7125">
        <w:t>a much more substantial body of evidence</w:t>
      </w:r>
      <w:r w:rsidR="00C26703" w:rsidRPr="006B7125">
        <w:t xml:space="preserve"> describes the </w:t>
      </w:r>
      <w:r w:rsidRPr="006B7125">
        <w:t>optimal care pathway</w:t>
      </w:r>
      <w:r w:rsidR="003A1B63" w:rsidRPr="006B7125">
        <w:t xml:space="preserve"> </w:t>
      </w:r>
      <w:r w:rsidR="00C26703" w:rsidRPr="006B7125">
        <w:t>for</w:t>
      </w:r>
      <w:r w:rsidRPr="006B7125">
        <w:t xml:space="preserve"> those with ST</w:t>
      </w:r>
      <w:r w:rsidR="005A1F0C" w:rsidRPr="006B7125">
        <w:t>-</w:t>
      </w:r>
      <w:r w:rsidRPr="006B7125">
        <w:t>elevation</w:t>
      </w:r>
      <w:r w:rsidR="00C26703" w:rsidRPr="006B7125">
        <w:t xml:space="preserve"> </w:t>
      </w:r>
      <w:r w:rsidR="00250EC3" w:rsidRPr="006B7125">
        <w:t>on the initial ECG</w:t>
      </w:r>
      <w:r w:rsidRPr="006B7125">
        <w:t xml:space="preserve">. Current guidelines recommend </w:t>
      </w:r>
      <w:r w:rsidRPr="006B7125">
        <w:lastRenderedPageBreak/>
        <w:t>immediate coronary angiography</w:t>
      </w:r>
      <w:r w:rsidR="00250EC3" w:rsidRPr="006B7125">
        <w:t xml:space="preserve"> followed by revasculariz</w:t>
      </w:r>
      <w:r w:rsidRPr="006B7125">
        <w:t xml:space="preserve">ation in </w:t>
      </w:r>
      <w:r w:rsidR="005A1F0C" w:rsidRPr="006B7125">
        <w:t xml:space="preserve">the </w:t>
      </w:r>
      <w:r w:rsidRPr="006B7125">
        <w:t>survivor of OHCA</w:t>
      </w:r>
      <w:r w:rsidR="005A1F0C" w:rsidRPr="006B7125">
        <w:t>,</w:t>
      </w:r>
      <w:r w:rsidRPr="006B7125">
        <w:t xml:space="preserve"> particularly those with ST</w:t>
      </w:r>
      <w:r w:rsidR="005A1F0C" w:rsidRPr="006B7125">
        <w:t>-</w:t>
      </w:r>
      <w:r w:rsidRPr="006B7125">
        <w:t>elevation on the ECG or high suspicion of myocardial ischemia</w:t>
      </w:r>
      <w:r w:rsidRPr="006B7125">
        <w:fldChar w:fldCharType="begin"/>
      </w:r>
      <w:r w:rsidR="00924DC1" w:rsidRPr="006B7125">
        <w:instrText>ADDIN RW.CITE{{doc:60aad2288f0803968f667033 Lotfi,A 2020; doc:60aacddb8f0834232d6e8bf3 Grasner,JT 2021}}</w:instrText>
      </w:r>
      <w:r w:rsidRPr="006B7125">
        <w:fldChar w:fldCharType="separate"/>
      </w:r>
      <w:r w:rsidR="00924DC1" w:rsidRPr="006B7125">
        <w:rPr>
          <w:rFonts w:cs="Times New Roman"/>
          <w:bCs/>
          <w:vertAlign w:val="superscript"/>
          <w:lang w:val="en-US"/>
        </w:rPr>
        <w:t>7 11</w:t>
      </w:r>
      <w:r w:rsidRPr="006B7125">
        <w:fldChar w:fldCharType="end"/>
      </w:r>
      <w:r w:rsidRPr="006B7125">
        <w:t xml:space="preserve">. </w:t>
      </w:r>
      <w:r w:rsidR="005A1F0C" w:rsidRPr="006B7125">
        <w:t>Therefore, one would expect a much closer association between the number of OHCA PCI cases as a proportion of total PPCI cases undertaken, both by centre and</w:t>
      </w:r>
      <w:r w:rsidRPr="006B7125">
        <w:t xml:space="preserve"> individual.</w:t>
      </w:r>
      <w:r w:rsidR="003A1B63" w:rsidRPr="006B7125">
        <w:t xml:space="preserve"> </w:t>
      </w:r>
      <w:r w:rsidR="00A42069" w:rsidRPr="006B7125">
        <w:t>T</w:t>
      </w:r>
      <w:r w:rsidR="005A1F0C" w:rsidRPr="006B7125">
        <w:t>here was no correlation between hospital PPCI volume and OHCA PCI volume in the current study</w:t>
      </w:r>
      <w:r w:rsidR="001D063E" w:rsidRPr="006B7125">
        <w:t>.</w:t>
      </w:r>
      <w:r w:rsidR="005A742B" w:rsidRPr="006B7125">
        <w:t xml:space="preserve"> </w:t>
      </w:r>
    </w:p>
    <w:p w14:paraId="67E9D2BA" w14:textId="53B30484" w:rsidR="005A1F0C" w:rsidRPr="006B7125" w:rsidRDefault="0021041C" w:rsidP="00DF4B4A">
      <w:pPr>
        <w:spacing w:line="480" w:lineRule="auto"/>
        <w:jc w:val="both"/>
      </w:pPr>
      <w:r w:rsidRPr="006B7125">
        <w:t>In OHCA patients without ST</w:t>
      </w:r>
      <w:r w:rsidR="00250EC3" w:rsidRPr="006B7125">
        <w:t>-</w:t>
      </w:r>
      <w:r w:rsidRPr="006B7125">
        <w:t>elevation, the data regarding the clinical benefit of angiography and PCI are discrepant. Two high</w:t>
      </w:r>
      <w:r w:rsidR="005A1F0C" w:rsidRPr="006B7125">
        <w:t>-</w:t>
      </w:r>
      <w:r w:rsidRPr="006B7125">
        <w:t>quality randomi</w:t>
      </w:r>
      <w:r w:rsidR="005A1F0C" w:rsidRPr="006B7125">
        <w:t>z</w:t>
      </w:r>
      <w:r w:rsidRPr="006B7125">
        <w:t xml:space="preserve">ed trials (COACT, TOMAHAWK) have recently demonstrated </w:t>
      </w:r>
      <w:r w:rsidR="005A1F0C" w:rsidRPr="006B7125">
        <w:t>no overall benefit from undertaking angiography and revascularisation, where appropriate, immediately/very early after admissio</w:t>
      </w:r>
      <w:r w:rsidRPr="006B7125">
        <w:t>n compared to delaying the angiogram until after a period of stabili</w:t>
      </w:r>
      <w:r w:rsidR="005A1F0C" w:rsidRPr="006B7125">
        <w:t>z</w:t>
      </w:r>
      <w:r w:rsidRPr="006B7125">
        <w:t>ation and assessment on intensive care</w:t>
      </w:r>
      <w:r w:rsidR="00250EC3" w:rsidRPr="006B7125">
        <w:fldChar w:fldCharType="begin"/>
      </w:r>
      <w:r w:rsidR="00924DC1" w:rsidRPr="006B7125">
        <w:instrText>ADDIN RW.CITE{{doc:5ed041d0e4b0fcf625aa262b Lemkes,JS 2019; doc:614076a38f08a2fcf8090f5a Desch,Steffen 2021}}</w:instrText>
      </w:r>
      <w:r w:rsidR="00250EC3" w:rsidRPr="006B7125">
        <w:fldChar w:fldCharType="separate"/>
      </w:r>
      <w:r w:rsidR="00924DC1" w:rsidRPr="006B7125">
        <w:rPr>
          <w:rFonts w:cs="Times New Roman"/>
          <w:bCs/>
          <w:vertAlign w:val="superscript"/>
          <w:lang w:val="en-US"/>
        </w:rPr>
        <w:t>14 15</w:t>
      </w:r>
      <w:r w:rsidR="00250EC3" w:rsidRPr="006B7125">
        <w:fldChar w:fldCharType="end"/>
      </w:r>
      <w:r w:rsidRPr="006B7125">
        <w:t>.</w:t>
      </w:r>
      <w:r w:rsidR="003A1B63" w:rsidRPr="006B7125">
        <w:t xml:space="preserve"> </w:t>
      </w:r>
      <w:r w:rsidRPr="006B7125">
        <w:t>However, these trial</w:t>
      </w:r>
      <w:r w:rsidR="00250EC3" w:rsidRPr="006B7125">
        <w:t>s</w:t>
      </w:r>
      <w:r w:rsidRPr="006B7125">
        <w:t xml:space="preserve"> do not inform us as to which of the non-ST elevation patients should be</w:t>
      </w:r>
      <w:r w:rsidR="00250EC3" w:rsidRPr="006B7125">
        <w:t xml:space="preserve"> considered for PCI.</w:t>
      </w:r>
      <w:r w:rsidRPr="006B7125">
        <w:t xml:space="preserve"> For example, previous studies have consistently indicated that a significant proportion of patients witho</w:t>
      </w:r>
      <w:r w:rsidR="00250EC3" w:rsidRPr="006B7125">
        <w:t>ut ST-</w:t>
      </w:r>
      <w:r w:rsidRPr="006B7125">
        <w:t>elevation have an acutely occluded epicardial vessel</w:t>
      </w:r>
      <w:r w:rsidR="00646182" w:rsidRPr="006B7125">
        <w:fldChar w:fldCharType="begin"/>
      </w:r>
      <w:r w:rsidR="00924DC1" w:rsidRPr="006B7125">
        <w:instrText>ADDIN RW.CITE{{doc:610d0b658f082f0df56cfc21 Davies,MichaelJohn 1984; doc:614076a38f08a2fcf8090f5a Desch,Steffen 2021}}</w:instrText>
      </w:r>
      <w:r w:rsidR="00646182" w:rsidRPr="006B7125">
        <w:fldChar w:fldCharType="separate"/>
      </w:r>
      <w:r w:rsidR="00924DC1" w:rsidRPr="006B7125">
        <w:rPr>
          <w:rFonts w:cs="Times New Roman"/>
          <w:bCs/>
          <w:vertAlign w:val="superscript"/>
          <w:lang w:val="en-US"/>
        </w:rPr>
        <w:t>6 15</w:t>
      </w:r>
      <w:r w:rsidR="00646182" w:rsidRPr="006B7125">
        <w:fldChar w:fldCharType="end"/>
      </w:r>
      <w:r w:rsidRPr="006B7125">
        <w:t xml:space="preserve">. </w:t>
      </w:r>
      <w:r w:rsidR="003C52B2" w:rsidRPr="006B7125">
        <w:t>In one single centre series, 21% of the patients with an acutely occluded vessel after OHCA did not have ST elevation</w:t>
      </w:r>
      <w:r w:rsidR="00D861FE" w:rsidRPr="006B7125">
        <w:fldChar w:fldCharType="begin"/>
      </w:r>
      <w:r w:rsidR="00924DC1" w:rsidRPr="006B7125">
        <w:instrText>ADDIN RW.CITE{{doc:614112678f08676dbc5098f5 Whittaker,Andrew 2016}}</w:instrText>
      </w:r>
      <w:r w:rsidR="00D861FE" w:rsidRPr="006B7125">
        <w:fldChar w:fldCharType="separate"/>
      </w:r>
      <w:r w:rsidR="00924DC1" w:rsidRPr="006B7125">
        <w:rPr>
          <w:rFonts w:cs="Times New Roman"/>
          <w:bCs/>
          <w:vertAlign w:val="superscript"/>
          <w:lang w:val="en-US"/>
        </w:rPr>
        <w:t>27</w:t>
      </w:r>
      <w:r w:rsidR="00D861FE" w:rsidRPr="006B7125">
        <w:fldChar w:fldCharType="end"/>
      </w:r>
      <w:r w:rsidR="003C52B2" w:rsidRPr="006B7125">
        <w:t xml:space="preserve">. The lack of definitive data </w:t>
      </w:r>
      <w:r w:rsidR="005A1F0C" w:rsidRPr="006B7125">
        <w:t>about</w:t>
      </w:r>
      <w:r w:rsidR="003C52B2" w:rsidRPr="006B7125">
        <w:t xml:space="preserve"> the value of PCI in non-ST elevation OHCA patients is reflected in the international guidelines, which are less pr</w:t>
      </w:r>
      <w:r w:rsidR="005A1F0C" w:rsidRPr="006B7125">
        <w:t>e</w:t>
      </w:r>
      <w:r w:rsidR="003C52B2" w:rsidRPr="006B7125">
        <w:t>s</w:t>
      </w:r>
      <w:r w:rsidR="00250EC3" w:rsidRPr="006B7125">
        <w:t>criptive about the role of PCI as reflected by our results</w:t>
      </w:r>
      <w:r w:rsidR="005A1F0C" w:rsidRPr="006B7125">
        <w:rPr>
          <w:rStyle w:val="CommentReference"/>
          <w:rFonts w:asciiTheme="minorHAnsi" w:hAnsiTheme="minorHAnsi"/>
        </w:rPr>
        <w:t>.</w:t>
      </w:r>
    </w:p>
    <w:p w14:paraId="58E3ADD3" w14:textId="1F522872" w:rsidR="00A96316" w:rsidRPr="006B7125" w:rsidRDefault="003C52B2" w:rsidP="00DF4B4A">
      <w:pPr>
        <w:spacing w:line="480" w:lineRule="auto"/>
        <w:jc w:val="both"/>
      </w:pPr>
      <w:r w:rsidRPr="006B7125">
        <w:t xml:space="preserve">Nevertheless, we might expect that the amount of OHCA PCI by both centres and individuals would correlate strongly with overall PCI and PPCI numbers. This study confirms that this is not the case and </w:t>
      </w:r>
      <w:r w:rsidR="00A42069" w:rsidRPr="006B7125">
        <w:t>demands further scrutiny since the extremes at either end of the spectrum cannot</w:t>
      </w:r>
      <w:r w:rsidRPr="006B7125">
        <w:t xml:space="preserve"> be consis</w:t>
      </w:r>
      <w:r w:rsidR="00A42069" w:rsidRPr="006B7125">
        <w:t xml:space="preserve">tent with optimal patient care. </w:t>
      </w:r>
      <w:r w:rsidR="00581BF6" w:rsidRPr="006B7125">
        <w:t xml:space="preserve">It is possible that some interventionalists or centres are performing such PCI in patients that have little to benefit from such invasive treatment, whilst other interventionalists or centres are denying such patients a potentially beneficial therapy. This discrepant practice demands further attention, as currently survivors of OHCA are often taken to nearest hospital which may not necessarily be PCI centre. </w:t>
      </w:r>
      <w:r w:rsidR="00581BF6" w:rsidRPr="006B7125">
        <w:lastRenderedPageBreak/>
        <w:t xml:space="preserve">Development of a centralized approach in the form of regional cardiac arrest centres, incorporation of appropriate risk stratification and deployment of a full range of support treatment options such as targeted temperature management (TTM), mechanical circulatory support, delivered by a specialist multidisciplinary team may facilitate improved </w:t>
      </w:r>
      <w:r w:rsidR="009E6160" w:rsidRPr="006B7125">
        <w:t>outcomes</w:t>
      </w:r>
      <w:r w:rsidR="0040392D" w:rsidRPr="006B7125">
        <w:fldChar w:fldCharType="begin"/>
      </w:r>
      <w:r w:rsidR="00924DC1" w:rsidRPr="006B7125">
        <w:instrText>ADDIN RW.CITE{{doc:60aada808f08194df86c837e Nishikimi,M 2021; doc:60aada808f08194df86c837d Song,HG 2021; doc:60aada808f08194df86c837c Chang,HC 2021; doc:60aada1e8f081c1737af3ad7 Pareek,N 2020}}</w:instrText>
      </w:r>
      <w:r w:rsidR="0040392D" w:rsidRPr="006B7125">
        <w:fldChar w:fldCharType="separate"/>
      </w:r>
      <w:r w:rsidR="00924DC1" w:rsidRPr="006B7125">
        <w:rPr>
          <w:rFonts w:cs="Times New Roman"/>
          <w:bCs/>
          <w:vertAlign w:val="superscript"/>
          <w:lang w:val="en-US"/>
        </w:rPr>
        <w:t>28-31</w:t>
      </w:r>
      <w:r w:rsidR="0040392D" w:rsidRPr="006B7125">
        <w:fldChar w:fldCharType="end"/>
      </w:r>
      <w:r w:rsidR="009E6160" w:rsidRPr="006B7125">
        <w:t xml:space="preserve">. </w:t>
      </w:r>
    </w:p>
    <w:p w14:paraId="31905DDB" w14:textId="7157C200" w:rsidR="009E6160" w:rsidRPr="006B7125" w:rsidRDefault="00D17743" w:rsidP="00DF4B4A">
      <w:pPr>
        <w:spacing w:line="480" w:lineRule="auto"/>
        <w:jc w:val="both"/>
      </w:pPr>
      <w:r w:rsidRPr="006B7125">
        <w:t>To the best of our knowledge, this is the first national multicentre cohort study of OHCA patients treated with PCI, characteri</w:t>
      </w:r>
      <w:r w:rsidR="005A1F0C" w:rsidRPr="006B7125">
        <w:t>z</w:t>
      </w:r>
      <w:r w:rsidRPr="006B7125">
        <w:t>ing the</w:t>
      </w:r>
      <w:r w:rsidR="005A1F0C" w:rsidRPr="006B7125">
        <w:t>se patients' clinical and angiographic profile</w:t>
      </w:r>
      <w:r w:rsidRPr="006B7125">
        <w:t xml:space="preserve">. We </w:t>
      </w:r>
      <w:r w:rsidR="005A1F0C" w:rsidRPr="006B7125">
        <w:t>demonstrated</w:t>
      </w:r>
      <w:r w:rsidRPr="006B7125">
        <w:t xml:space="preserve"> the variation in clinical practice across PCI centres based on the hospital overall and PPCI volume and its correlation with OHCA PCI. However, it is important </w:t>
      </w:r>
      <w:r w:rsidR="005A1F0C" w:rsidRPr="006B7125">
        <w:t xml:space="preserve">to acknowledge that we </w:t>
      </w:r>
      <w:r w:rsidR="00A42069" w:rsidRPr="006B7125">
        <w:t>could only</w:t>
      </w:r>
      <w:r w:rsidR="00C26703" w:rsidRPr="006B7125">
        <w:t xml:space="preserve"> </w:t>
      </w:r>
      <w:r w:rsidR="005A1F0C" w:rsidRPr="006B7125">
        <w:t>include</w:t>
      </w:r>
      <w:r w:rsidR="006D3DE6" w:rsidRPr="006B7125">
        <w:t xml:space="preserve"> </w:t>
      </w:r>
      <w:r w:rsidR="00C26703" w:rsidRPr="006B7125">
        <w:t xml:space="preserve">patients who had been </w:t>
      </w:r>
      <w:r w:rsidR="006D3DE6" w:rsidRPr="006B7125">
        <w:t>successfully resuscitated and transferred to PCI centre</w:t>
      </w:r>
      <w:r w:rsidR="00DE4263" w:rsidRPr="006B7125">
        <w:t xml:space="preserve">s. We also </w:t>
      </w:r>
      <w:r w:rsidR="00C26703" w:rsidRPr="006B7125">
        <w:t>lack</w:t>
      </w:r>
      <w:r w:rsidR="00996BAD" w:rsidRPr="006B7125">
        <w:t>ed</w:t>
      </w:r>
      <w:r w:rsidR="00C26703" w:rsidRPr="006B7125">
        <w:t xml:space="preserve"> </w:t>
      </w:r>
      <w:r w:rsidR="00DE4263" w:rsidRPr="006B7125">
        <w:t xml:space="preserve">information </w:t>
      </w:r>
      <w:r w:rsidR="00C26703" w:rsidRPr="006B7125">
        <w:t xml:space="preserve">about </w:t>
      </w:r>
      <w:r w:rsidR="00DE4263" w:rsidRPr="006B7125">
        <w:t>the downtime, hypoxia</w:t>
      </w:r>
      <w:r w:rsidR="005A1F0C" w:rsidRPr="006B7125">
        <w:t>-</w:t>
      </w:r>
      <w:r w:rsidR="00DE4263" w:rsidRPr="006B7125">
        <w:t>induced neurological injury</w:t>
      </w:r>
      <w:r w:rsidR="00A42069" w:rsidRPr="006B7125">
        <w:t>, and recovery extent</w:t>
      </w:r>
      <w:r w:rsidR="00DE4263" w:rsidRPr="006B7125">
        <w:t xml:space="preserve"> associated with overall mortality and morbidity. Finally, outcomes of interest were limited to in-hospital outcomes only. </w:t>
      </w:r>
    </w:p>
    <w:p w14:paraId="0A6D6B1C" w14:textId="77777777" w:rsidR="00DE4263" w:rsidRPr="006B7125" w:rsidRDefault="00DE4263" w:rsidP="00DF4B4A">
      <w:pPr>
        <w:spacing w:line="480" w:lineRule="auto"/>
        <w:jc w:val="both"/>
        <w:rPr>
          <w:b/>
        </w:rPr>
      </w:pPr>
      <w:r w:rsidRPr="006B7125">
        <w:rPr>
          <w:b/>
        </w:rPr>
        <w:t>Conclusion</w:t>
      </w:r>
    </w:p>
    <w:p w14:paraId="22B2CEC4" w14:textId="4EBA710F" w:rsidR="00DE4263" w:rsidRPr="006B7125" w:rsidRDefault="00DE4263" w:rsidP="00DF4B4A">
      <w:pPr>
        <w:spacing w:line="480" w:lineRule="auto"/>
        <w:jc w:val="both"/>
      </w:pPr>
      <w:r w:rsidRPr="006B7125">
        <w:t xml:space="preserve">This study </w:t>
      </w:r>
      <w:r w:rsidR="003C52B2" w:rsidRPr="006B7125">
        <w:t xml:space="preserve">demonstrates a wide degree of variation between </w:t>
      </w:r>
      <w:r w:rsidR="005A1F0C" w:rsidRPr="006B7125">
        <w:t xml:space="preserve">the </w:t>
      </w:r>
      <w:r w:rsidR="003C52B2" w:rsidRPr="006B7125">
        <w:t xml:space="preserve">volume of OHCA PCI in relation to total and PPCI denominator numbers between individual </w:t>
      </w:r>
      <w:r w:rsidR="00051BBB" w:rsidRPr="006B7125">
        <w:t>interventionists</w:t>
      </w:r>
      <w:r w:rsidR="003C52B2" w:rsidRPr="006B7125">
        <w:t xml:space="preserve"> and centres. This variation is inconsistent with optimal pa</w:t>
      </w:r>
      <w:r w:rsidR="00B933A9" w:rsidRPr="006B7125">
        <w:t xml:space="preserve">tient care and demands further attention. </w:t>
      </w:r>
      <w:r w:rsidR="00681891" w:rsidRPr="006B7125">
        <w:t>Development of a national OHCA pathway, risk stratification and centrali</w:t>
      </w:r>
      <w:r w:rsidR="005A1F0C" w:rsidRPr="006B7125">
        <w:t>z</w:t>
      </w:r>
      <w:r w:rsidR="00681891" w:rsidRPr="006B7125">
        <w:t xml:space="preserve">ed cardiac arrest centre approach may help refine the treatment and outcomes of these patients. </w:t>
      </w:r>
    </w:p>
    <w:p w14:paraId="6358AC54" w14:textId="77777777" w:rsidR="00047658" w:rsidRPr="006B7125" w:rsidRDefault="00047658" w:rsidP="00047658">
      <w:pPr>
        <w:spacing w:line="360" w:lineRule="auto"/>
        <w:rPr>
          <w:b/>
          <w:bCs/>
          <w:lang w:val="en-US"/>
        </w:rPr>
      </w:pPr>
      <w:r w:rsidRPr="006B7125">
        <w:rPr>
          <w:b/>
          <w:bCs/>
          <w:lang w:val="en-US"/>
        </w:rPr>
        <w:t>Funding</w:t>
      </w:r>
    </w:p>
    <w:p w14:paraId="5BD80E39" w14:textId="29808BD8" w:rsidR="00047658" w:rsidRPr="006B7125" w:rsidRDefault="00047658" w:rsidP="00047658">
      <w:pPr>
        <w:spacing w:line="360" w:lineRule="auto"/>
        <w:jc w:val="both"/>
        <w:rPr>
          <w:lang w:val="en-US"/>
        </w:rPr>
      </w:pPr>
      <w:r w:rsidRPr="006B7125">
        <w:rPr>
          <w:lang w:val="en-US"/>
        </w:rPr>
        <w:t>The authors are solely responsible for this study design and conduct and all analysis, drafting, and editing of the manuscript and its final content.</w:t>
      </w:r>
    </w:p>
    <w:p w14:paraId="29ED551C" w14:textId="77777777" w:rsidR="00DE23E9" w:rsidRPr="006B7125" w:rsidRDefault="00DE23E9" w:rsidP="00DE23E9">
      <w:pPr>
        <w:spacing w:line="360" w:lineRule="auto"/>
        <w:jc w:val="both"/>
        <w:rPr>
          <w:rFonts w:cs="Times New Roman"/>
        </w:rPr>
      </w:pPr>
      <w:r w:rsidRPr="006B7125">
        <w:rPr>
          <w:rFonts w:cs="Times New Roman"/>
          <w:b/>
        </w:rPr>
        <w:t xml:space="preserve">Patient and Public involvement: </w:t>
      </w:r>
      <w:r w:rsidRPr="006B7125">
        <w:rPr>
          <w:rFonts w:cs="Times New Roman"/>
        </w:rPr>
        <w:t>Patients and/or the public were not involved in the design, or conduct, or reporting, or dissemination plans of this research</w:t>
      </w:r>
    </w:p>
    <w:p w14:paraId="3A192EE8" w14:textId="640573A0" w:rsidR="00924DC1" w:rsidRPr="006B7125" w:rsidRDefault="00924DC1" w:rsidP="00924DC1">
      <w:pPr>
        <w:pStyle w:val="NormalWeb"/>
        <w:jc w:val="center"/>
      </w:pPr>
      <w:r w:rsidRPr="006B7125">
        <w:lastRenderedPageBreak/>
        <w:fldChar w:fldCharType="begin"/>
      </w:r>
      <w:r w:rsidRPr="006B7125">
        <w:instrText>ADDIN RW.BIB</w:instrText>
      </w:r>
      <w:r w:rsidRPr="006B7125">
        <w:fldChar w:fldCharType="separate"/>
      </w:r>
      <w:r w:rsidRPr="006B7125">
        <w:t>REFERENCES</w:t>
      </w:r>
    </w:p>
    <w:p w14:paraId="73295757" w14:textId="77777777" w:rsidR="00924DC1" w:rsidRPr="006B7125" w:rsidRDefault="00924DC1" w:rsidP="00924DC1">
      <w:pPr>
        <w:pStyle w:val="NormalWeb"/>
      </w:pPr>
      <w:r w:rsidRPr="006B7125">
        <w:t>1 Berdowski J, Berg RA, Tijssen JG</w:t>
      </w:r>
      <w:r w:rsidRPr="006B7125">
        <w:rPr>
          <w:i/>
          <w:iCs/>
        </w:rPr>
        <w:t>, et al</w:t>
      </w:r>
      <w:r w:rsidRPr="006B7125">
        <w:t>. Global incidences of out-of-hospital cardiac arrest and survival rates: Systematic review of 67 prospective studies. 2010;</w:t>
      </w:r>
      <w:r w:rsidRPr="006B7125">
        <w:rPr>
          <w:b/>
          <w:bCs/>
        </w:rPr>
        <w:t>81</w:t>
      </w:r>
      <w:r w:rsidRPr="006B7125">
        <w:t>: 1479-87.</w:t>
      </w:r>
    </w:p>
    <w:p w14:paraId="14089560" w14:textId="77777777" w:rsidR="00924DC1" w:rsidRPr="006B7125" w:rsidRDefault="00924DC1" w:rsidP="00924DC1">
      <w:pPr>
        <w:pStyle w:val="NormalWeb"/>
      </w:pPr>
      <w:r w:rsidRPr="006B7125">
        <w:t>2 Nadar SK, Mujtaba M, Al-Hadi H</w:t>
      </w:r>
      <w:r w:rsidRPr="006B7125">
        <w:rPr>
          <w:i/>
          <w:iCs/>
        </w:rPr>
        <w:t>, et al</w:t>
      </w:r>
      <w:r w:rsidRPr="006B7125">
        <w:t xml:space="preserve">. Epidemiology, outcomes and coronary angiography findings of patients following out-of-hospital cardiac arrest: A single-centre experience from oman. </w:t>
      </w:r>
      <w:r w:rsidRPr="006B7125">
        <w:rPr>
          <w:i/>
          <w:iCs/>
        </w:rPr>
        <w:t>Sultan Qaboos Univ Med J</w:t>
      </w:r>
      <w:r w:rsidRPr="006B7125">
        <w:t xml:space="preserve"> 2018;</w:t>
      </w:r>
      <w:r w:rsidRPr="006B7125">
        <w:rPr>
          <w:b/>
          <w:bCs/>
        </w:rPr>
        <w:t>18</w:t>
      </w:r>
      <w:r w:rsidRPr="006B7125">
        <w:t>: e155-60.</w:t>
      </w:r>
    </w:p>
    <w:p w14:paraId="28574597" w14:textId="77777777" w:rsidR="00924DC1" w:rsidRPr="006B7125" w:rsidRDefault="00924DC1" w:rsidP="00924DC1">
      <w:pPr>
        <w:pStyle w:val="NormalWeb"/>
      </w:pPr>
      <w:r w:rsidRPr="006B7125">
        <w:t>3 Matsumura K, Kin H, Fujii K</w:t>
      </w:r>
      <w:r w:rsidRPr="006B7125">
        <w:rPr>
          <w:i/>
          <w:iCs/>
        </w:rPr>
        <w:t>, et al</w:t>
      </w:r>
      <w:r w:rsidRPr="006B7125">
        <w:t xml:space="preserve">. Clinical implication of coronary artery calcium score in survivors of out-of-hospital cardiac arrest. </w:t>
      </w:r>
      <w:r w:rsidRPr="006B7125">
        <w:rPr>
          <w:i/>
          <w:iCs/>
        </w:rPr>
        <w:t>Circ Rep</w:t>
      </w:r>
      <w:r w:rsidRPr="006B7125">
        <w:t xml:space="preserve"> 2019;</w:t>
      </w:r>
      <w:r w:rsidRPr="006B7125">
        <w:rPr>
          <w:b/>
          <w:bCs/>
        </w:rPr>
        <w:t>1</w:t>
      </w:r>
      <w:r w:rsidRPr="006B7125">
        <w:t>: 320-5.</w:t>
      </w:r>
    </w:p>
    <w:p w14:paraId="371570CC" w14:textId="77777777" w:rsidR="00924DC1" w:rsidRPr="006B7125" w:rsidRDefault="00924DC1" w:rsidP="00924DC1">
      <w:pPr>
        <w:pStyle w:val="NormalWeb"/>
      </w:pPr>
      <w:r w:rsidRPr="006B7125">
        <w:t>4 Radsel P, Knafelj R, Kocjancic S</w:t>
      </w:r>
      <w:r w:rsidRPr="006B7125">
        <w:rPr>
          <w:i/>
          <w:iCs/>
        </w:rPr>
        <w:t>, et al</w:t>
      </w:r>
      <w:r w:rsidRPr="006B7125">
        <w:t xml:space="preserve">. Angiographic characteristics of coronary disease and postresuscitation electrocardiograms in patients with aborted cardiac arrest outside a hospital. </w:t>
      </w:r>
      <w:r w:rsidRPr="006B7125">
        <w:rPr>
          <w:i/>
          <w:iCs/>
        </w:rPr>
        <w:t>Am J Cardiol</w:t>
      </w:r>
      <w:r w:rsidRPr="006B7125">
        <w:t xml:space="preserve"> 2011;</w:t>
      </w:r>
      <w:r w:rsidRPr="006B7125">
        <w:rPr>
          <w:b/>
          <w:bCs/>
        </w:rPr>
        <w:t>108</w:t>
      </w:r>
      <w:r w:rsidRPr="006B7125">
        <w:t>: 634-8.</w:t>
      </w:r>
    </w:p>
    <w:p w14:paraId="4C950BC3" w14:textId="77777777" w:rsidR="00924DC1" w:rsidRPr="006B7125" w:rsidRDefault="00924DC1" w:rsidP="00924DC1">
      <w:pPr>
        <w:pStyle w:val="NormalWeb"/>
      </w:pPr>
      <w:r w:rsidRPr="006B7125">
        <w:t>5 Moriwaki Y, Tahara Y, Kosuge T</w:t>
      </w:r>
      <w:r w:rsidRPr="006B7125">
        <w:rPr>
          <w:i/>
          <w:iCs/>
        </w:rPr>
        <w:t>, et al</w:t>
      </w:r>
      <w:r w:rsidRPr="006B7125">
        <w:t>. Etiology of out-of-hospital cardiac arrest diagnosed via detailed examinations including perimortem computed tomography. 2013;</w:t>
      </w:r>
      <w:r w:rsidRPr="006B7125">
        <w:rPr>
          <w:b/>
          <w:bCs/>
        </w:rPr>
        <w:t>6</w:t>
      </w:r>
      <w:r w:rsidRPr="006B7125">
        <w:t>: 87.</w:t>
      </w:r>
    </w:p>
    <w:p w14:paraId="0CF126E3" w14:textId="77777777" w:rsidR="00924DC1" w:rsidRPr="006B7125" w:rsidRDefault="00924DC1" w:rsidP="00924DC1">
      <w:pPr>
        <w:pStyle w:val="NormalWeb"/>
      </w:pPr>
      <w:r w:rsidRPr="006B7125">
        <w:t xml:space="preserve">6 Davies MJ, Thomas A. Thrombosis and acute coronary-artery lesions in sudden cardiac ischemic death. </w:t>
      </w:r>
      <w:r w:rsidRPr="006B7125">
        <w:rPr>
          <w:i/>
          <w:iCs/>
        </w:rPr>
        <w:t>N Engl J Med</w:t>
      </w:r>
      <w:r w:rsidRPr="006B7125">
        <w:t xml:space="preserve"> 1984;</w:t>
      </w:r>
      <w:r w:rsidRPr="006B7125">
        <w:rPr>
          <w:b/>
          <w:bCs/>
        </w:rPr>
        <w:t>310</w:t>
      </w:r>
      <w:r w:rsidRPr="006B7125">
        <w:t>: 1137-40.</w:t>
      </w:r>
    </w:p>
    <w:p w14:paraId="1A6D8D49" w14:textId="77777777" w:rsidR="00924DC1" w:rsidRPr="006B7125" w:rsidRDefault="00924DC1" w:rsidP="00924DC1">
      <w:pPr>
        <w:pStyle w:val="NormalWeb"/>
      </w:pPr>
      <w:r w:rsidRPr="006B7125">
        <w:t>7 Grasner JT, Herlitz J, Tjelmeland IBM</w:t>
      </w:r>
      <w:r w:rsidRPr="006B7125">
        <w:rPr>
          <w:i/>
          <w:iCs/>
        </w:rPr>
        <w:t>, et al</w:t>
      </w:r>
      <w:r w:rsidRPr="006B7125">
        <w:t xml:space="preserve">. European resuscitation council guidelines 2021: Epidemiology of cardiac arrest in europe. </w:t>
      </w:r>
      <w:r w:rsidRPr="006B7125">
        <w:rPr>
          <w:i/>
          <w:iCs/>
        </w:rPr>
        <w:t>Resuscitation</w:t>
      </w:r>
      <w:r w:rsidRPr="006B7125">
        <w:t xml:space="preserve"> 2021;</w:t>
      </w:r>
      <w:r w:rsidRPr="006B7125">
        <w:rPr>
          <w:b/>
          <w:bCs/>
        </w:rPr>
        <w:t>161</w:t>
      </w:r>
      <w:r w:rsidRPr="006B7125">
        <w:t>: 61-79.</w:t>
      </w:r>
    </w:p>
    <w:p w14:paraId="77D1F38C" w14:textId="77777777" w:rsidR="00924DC1" w:rsidRPr="006B7125" w:rsidRDefault="00924DC1" w:rsidP="00924DC1">
      <w:pPr>
        <w:pStyle w:val="NormalWeb"/>
      </w:pPr>
      <w:r w:rsidRPr="006B7125">
        <w:t>8 Spoormans EM, Lemkes JS, Janssens GN</w:t>
      </w:r>
      <w:r w:rsidRPr="006B7125">
        <w:rPr>
          <w:i/>
          <w:iCs/>
        </w:rPr>
        <w:t>, et al</w:t>
      </w:r>
      <w:r w:rsidRPr="006B7125">
        <w:t xml:space="preserve">. The role of coronary angiography in out-of-hospital cardiac arrest patients in the absence of ST-segment elevation: A literature review. </w:t>
      </w:r>
      <w:r w:rsidRPr="006B7125">
        <w:rPr>
          <w:i/>
          <w:iCs/>
        </w:rPr>
        <w:t>Neth Heart J</w:t>
      </w:r>
      <w:r w:rsidRPr="006B7125">
        <w:t xml:space="preserve"> 2020;</w:t>
      </w:r>
      <w:r w:rsidRPr="006B7125">
        <w:rPr>
          <w:b/>
          <w:bCs/>
        </w:rPr>
        <w:t>28</w:t>
      </w:r>
      <w:r w:rsidRPr="006B7125">
        <w:t>: 108-14.</w:t>
      </w:r>
    </w:p>
    <w:p w14:paraId="4C792D62" w14:textId="77777777" w:rsidR="00924DC1" w:rsidRPr="006B7125" w:rsidRDefault="00924DC1" w:rsidP="00924DC1">
      <w:pPr>
        <w:pStyle w:val="NormalWeb"/>
      </w:pPr>
      <w:r w:rsidRPr="006B7125">
        <w:t>9 Yang MC, Meng-Jun W, Xiao-Yan X</w:t>
      </w:r>
      <w:r w:rsidRPr="006B7125">
        <w:rPr>
          <w:i/>
          <w:iCs/>
        </w:rPr>
        <w:t>, et al</w:t>
      </w:r>
      <w:r w:rsidRPr="006B7125">
        <w:t xml:space="preserve">. Coronary angiography or not after cardiac arrest without ST segment elevation: A systematic review and meta-analysis. </w:t>
      </w:r>
      <w:r w:rsidRPr="006B7125">
        <w:rPr>
          <w:i/>
          <w:iCs/>
        </w:rPr>
        <w:t>Medicine (Baltimore)</w:t>
      </w:r>
      <w:r w:rsidRPr="006B7125">
        <w:t xml:space="preserve"> 2020;</w:t>
      </w:r>
      <w:r w:rsidRPr="006B7125">
        <w:rPr>
          <w:b/>
          <w:bCs/>
        </w:rPr>
        <w:t>99</w:t>
      </w:r>
      <w:r w:rsidRPr="006B7125">
        <w:t>: e22197.</w:t>
      </w:r>
    </w:p>
    <w:p w14:paraId="5FCED540" w14:textId="77777777" w:rsidR="00924DC1" w:rsidRPr="006B7125" w:rsidRDefault="00924DC1" w:rsidP="00924DC1">
      <w:pPr>
        <w:pStyle w:val="NormalWeb"/>
      </w:pPr>
      <w:r w:rsidRPr="006B7125">
        <w:t>10 Noc M, Fajadet J, Lassen JF</w:t>
      </w:r>
      <w:r w:rsidRPr="006B7125">
        <w:rPr>
          <w:i/>
          <w:iCs/>
        </w:rPr>
        <w:t>, et al</w:t>
      </w:r>
      <w:r w:rsidRPr="006B7125">
        <w:t xml:space="preserve">. Invasive coronary treatment strategies for out-of-hospital cardiac arrest: A consensus statement from the european association for percutaneous cardiovascular interventions (EAPCI)/stent for life (SFL) groups. </w:t>
      </w:r>
      <w:r w:rsidRPr="006B7125">
        <w:rPr>
          <w:i/>
          <w:iCs/>
        </w:rPr>
        <w:t>EuroIntervention</w:t>
      </w:r>
      <w:r w:rsidRPr="006B7125">
        <w:t xml:space="preserve"> 2014;</w:t>
      </w:r>
      <w:r w:rsidRPr="006B7125">
        <w:rPr>
          <w:b/>
          <w:bCs/>
        </w:rPr>
        <w:t>10</w:t>
      </w:r>
      <w:r w:rsidRPr="006B7125">
        <w:t>: 31-7.</w:t>
      </w:r>
    </w:p>
    <w:p w14:paraId="1CD7F17D" w14:textId="77777777" w:rsidR="00924DC1" w:rsidRPr="006B7125" w:rsidRDefault="00924DC1" w:rsidP="00924DC1">
      <w:pPr>
        <w:pStyle w:val="NormalWeb"/>
      </w:pPr>
      <w:r w:rsidRPr="006B7125">
        <w:t>11 Lotfi A, Klein LW, Hira RS</w:t>
      </w:r>
      <w:r w:rsidRPr="006B7125">
        <w:rPr>
          <w:i/>
          <w:iCs/>
        </w:rPr>
        <w:t>, et al</w:t>
      </w:r>
      <w:r w:rsidRPr="006B7125">
        <w:t xml:space="preserve">. SCAI expert consensus statement on out of hospital cardiac arrest. </w:t>
      </w:r>
      <w:r w:rsidRPr="006B7125">
        <w:rPr>
          <w:i/>
          <w:iCs/>
        </w:rPr>
        <w:t>Catheter Cardiovasc Interv</w:t>
      </w:r>
      <w:r w:rsidRPr="006B7125">
        <w:t xml:space="preserve"> 2020;</w:t>
      </w:r>
      <w:r w:rsidRPr="006B7125">
        <w:rPr>
          <w:b/>
          <w:bCs/>
        </w:rPr>
        <w:t>96</w:t>
      </w:r>
      <w:r w:rsidRPr="006B7125">
        <w:t>: 844-61.</w:t>
      </w:r>
    </w:p>
    <w:p w14:paraId="2357F7D8" w14:textId="77777777" w:rsidR="00924DC1" w:rsidRPr="006B7125" w:rsidRDefault="00924DC1" w:rsidP="00924DC1">
      <w:pPr>
        <w:pStyle w:val="NormalWeb"/>
      </w:pPr>
      <w:r w:rsidRPr="006B7125">
        <w:t>12 Rawlins J, Ludman PF, O'Neil D</w:t>
      </w:r>
      <w:r w:rsidRPr="006B7125">
        <w:rPr>
          <w:i/>
          <w:iCs/>
        </w:rPr>
        <w:t>, et al</w:t>
      </w:r>
      <w:r w:rsidRPr="006B7125">
        <w:t>. Variation in emergency percutaneous coronary intervention in ventilated patients in the UK: Insights from a national database. 2017;</w:t>
      </w:r>
      <w:r w:rsidRPr="006B7125">
        <w:rPr>
          <w:b/>
          <w:bCs/>
        </w:rPr>
        <w:t>18</w:t>
      </w:r>
      <w:r w:rsidRPr="006B7125">
        <w:t>: 250-4.</w:t>
      </w:r>
    </w:p>
    <w:p w14:paraId="00CBCC20" w14:textId="77777777" w:rsidR="00924DC1" w:rsidRPr="006B7125" w:rsidRDefault="00924DC1" w:rsidP="00924DC1">
      <w:pPr>
        <w:pStyle w:val="NormalWeb"/>
      </w:pPr>
      <w:r w:rsidRPr="006B7125">
        <w:t>13 Verma BR, Sharma V, Shekhar S</w:t>
      </w:r>
      <w:r w:rsidRPr="006B7125">
        <w:rPr>
          <w:i/>
          <w:iCs/>
        </w:rPr>
        <w:t>, et al</w:t>
      </w:r>
      <w:r w:rsidRPr="006B7125">
        <w:t xml:space="preserve">. Coronary angiography in patients with out-of-hospital cardiac arrest without ST-segment elevation: A systematic review and meta-analysis. </w:t>
      </w:r>
      <w:r w:rsidRPr="006B7125">
        <w:rPr>
          <w:i/>
          <w:iCs/>
        </w:rPr>
        <w:t>JACC Cardiovasc Interv</w:t>
      </w:r>
      <w:r w:rsidRPr="006B7125">
        <w:t xml:space="preserve"> 2020;</w:t>
      </w:r>
      <w:r w:rsidRPr="006B7125">
        <w:rPr>
          <w:b/>
          <w:bCs/>
        </w:rPr>
        <w:t>13</w:t>
      </w:r>
      <w:r w:rsidRPr="006B7125">
        <w:t>: 2193-205.</w:t>
      </w:r>
    </w:p>
    <w:p w14:paraId="25629303" w14:textId="77777777" w:rsidR="00924DC1" w:rsidRPr="006B7125" w:rsidRDefault="00924DC1" w:rsidP="00924DC1">
      <w:pPr>
        <w:pStyle w:val="NormalWeb"/>
      </w:pPr>
      <w:r w:rsidRPr="006B7125">
        <w:lastRenderedPageBreak/>
        <w:t>14 Lemkes JS, Janssens GN, van der Hoeven, N W</w:t>
      </w:r>
      <w:r w:rsidRPr="006B7125">
        <w:rPr>
          <w:i/>
          <w:iCs/>
        </w:rPr>
        <w:t>, et al</w:t>
      </w:r>
      <w:r w:rsidRPr="006B7125">
        <w:t xml:space="preserve">. Coronary angiography after cardiac arrest without ST-segment elevation. </w:t>
      </w:r>
      <w:r w:rsidRPr="006B7125">
        <w:rPr>
          <w:i/>
          <w:iCs/>
        </w:rPr>
        <w:t>N Engl J Med</w:t>
      </w:r>
      <w:r w:rsidRPr="006B7125">
        <w:t xml:space="preserve"> 2019;</w:t>
      </w:r>
      <w:r w:rsidRPr="006B7125">
        <w:rPr>
          <w:b/>
          <w:bCs/>
        </w:rPr>
        <w:t>380</w:t>
      </w:r>
      <w:r w:rsidRPr="006B7125">
        <w:t>: 1397-407.</w:t>
      </w:r>
    </w:p>
    <w:p w14:paraId="51AE9416" w14:textId="77777777" w:rsidR="00924DC1" w:rsidRPr="006B7125" w:rsidRDefault="00924DC1" w:rsidP="00924DC1">
      <w:pPr>
        <w:pStyle w:val="NormalWeb"/>
      </w:pPr>
      <w:r w:rsidRPr="006B7125">
        <w:t>15 Desch S, Freund A, Akin I</w:t>
      </w:r>
      <w:r w:rsidRPr="006B7125">
        <w:rPr>
          <w:i/>
          <w:iCs/>
        </w:rPr>
        <w:t>, et al</w:t>
      </w:r>
      <w:r w:rsidRPr="006B7125">
        <w:t xml:space="preserve">. Angiography after out-of-hospital cardiac arrest without ST-segment elevation. </w:t>
      </w:r>
      <w:r w:rsidRPr="006B7125">
        <w:rPr>
          <w:i/>
          <w:iCs/>
        </w:rPr>
        <w:t>N Engl J Med</w:t>
      </w:r>
      <w:r w:rsidRPr="006B7125">
        <w:t xml:space="preserve"> 2021;.</w:t>
      </w:r>
    </w:p>
    <w:p w14:paraId="3173E599" w14:textId="77777777" w:rsidR="00924DC1" w:rsidRPr="006B7125" w:rsidRDefault="00924DC1" w:rsidP="00924DC1">
      <w:pPr>
        <w:pStyle w:val="NormalWeb"/>
      </w:pPr>
      <w:r w:rsidRPr="006B7125">
        <w:t xml:space="preserve">16 Rashid M, Ludman PF, Mamas MA. British cardiovascular intervention society registry framework: A quality improvement initiative on behalf of the national institute of cardiovascular outcomes research (NICOR). </w:t>
      </w:r>
      <w:r w:rsidRPr="006B7125">
        <w:rPr>
          <w:i/>
          <w:iCs/>
        </w:rPr>
        <w:t>Eur Heart J Qual Care Clin Outcomes</w:t>
      </w:r>
      <w:r w:rsidRPr="006B7125">
        <w:t xml:space="preserve"> 2019;</w:t>
      </w:r>
      <w:r w:rsidRPr="006B7125">
        <w:rPr>
          <w:b/>
          <w:bCs/>
        </w:rPr>
        <w:t>5</w:t>
      </w:r>
      <w:r w:rsidRPr="006B7125">
        <w:t>: 292-7.</w:t>
      </w:r>
    </w:p>
    <w:p w14:paraId="463BF965" w14:textId="77777777" w:rsidR="00924DC1" w:rsidRPr="006B7125" w:rsidRDefault="00924DC1" w:rsidP="00924DC1">
      <w:pPr>
        <w:pStyle w:val="NormalWeb"/>
      </w:pPr>
      <w:r w:rsidRPr="006B7125">
        <w:t>17 Rashid M, Nagaraja V, Shoaib A</w:t>
      </w:r>
      <w:r w:rsidRPr="006B7125">
        <w:rPr>
          <w:i/>
          <w:iCs/>
        </w:rPr>
        <w:t>, et al</w:t>
      </w:r>
      <w:r w:rsidRPr="006B7125">
        <w:t xml:space="preserve">. Outcomes following percutaneous coronary intervention in renal transplant recipients: A binational collaborative analysis. </w:t>
      </w:r>
      <w:r w:rsidRPr="006B7125">
        <w:rPr>
          <w:i/>
          <w:iCs/>
        </w:rPr>
        <w:t>Mayo Clin Proc</w:t>
      </w:r>
      <w:r w:rsidRPr="006B7125">
        <w:t xml:space="preserve"> 2021;</w:t>
      </w:r>
      <w:r w:rsidRPr="006B7125">
        <w:rPr>
          <w:b/>
          <w:bCs/>
        </w:rPr>
        <w:t>96</w:t>
      </w:r>
      <w:r w:rsidRPr="006B7125">
        <w:t>: 363-76.</w:t>
      </w:r>
    </w:p>
    <w:p w14:paraId="05DB773B" w14:textId="77777777" w:rsidR="00924DC1" w:rsidRPr="006B7125" w:rsidRDefault="00924DC1" w:rsidP="00924DC1">
      <w:pPr>
        <w:pStyle w:val="NormalWeb"/>
      </w:pPr>
      <w:r w:rsidRPr="006B7125">
        <w:t>18 Rashid M, Wu J, Timmis A</w:t>
      </w:r>
      <w:r w:rsidRPr="006B7125">
        <w:rPr>
          <w:i/>
          <w:iCs/>
        </w:rPr>
        <w:t>, et al</w:t>
      </w:r>
      <w:r w:rsidRPr="006B7125">
        <w:t xml:space="preserve">. Outcomes of COVID-19 positive acute coronary syndrome patients; a multisource electronic healthcare records study from england. </w:t>
      </w:r>
      <w:r w:rsidRPr="006B7125">
        <w:rPr>
          <w:i/>
          <w:iCs/>
        </w:rPr>
        <w:t>J Intern Med</w:t>
      </w:r>
      <w:r w:rsidRPr="006B7125">
        <w:t xml:space="preserve"> 2021;.</w:t>
      </w:r>
    </w:p>
    <w:p w14:paraId="4F79B640" w14:textId="77777777" w:rsidR="00924DC1" w:rsidRPr="006B7125" w:rsidRDefault="00924DC1" w:rsidP="00924DC1">
      <w:pPr>
        <w:pStyle w:val="NormalWeb"/>
      </w:pPr>
      <w:r w:rsidRPr="006B7125">
        <w:t>19 Shoaib A, Johnson TW, Banning A</w:t>
      </w:r>
      <w:r w:rsidRPr="006B7125">
        <w:rPr>
          <w:i/>
          <w:iCs/>
        </w:rPr>
        <w:t>, et al</w:t>
      </w:r>
      <w:r w:rsidRPr="006B7125">
        <w:t xml:space="preserve">. Clinical outcomes of percutaneous coronary intervention for chronic total occlusion in native coronary arteries vs saphenous vein grafts. </w:t>
      </w:r>
      <w:r w:rsidRPr="006B7125">
        <w:rPr>
          <w:i/>
          <w:iCs/>
        </w:rPr>
        <w:t>J Invasive Cardiol</w:t>
      </w:r>
      <w:r w:rsidRPr="006B7125">
        <w:t xml:space="preserve"> 2020;</w:t>
      </w:r>
      <w:r w:rsidRPr="006B7125">
        <w:rPr>
          <w:b/>
          <w:bCs/>
        </w:rPr>
        <w:t>32</w:t>
      </w:r>
      <w:r w:rsidRPr="006B7125">
        <w:t>: 350-7.</w:t>
      </w:r>
    </w:p>
    <w:p w14:paraId="0B518859" w14:textId="77777777" w:rsidR="00924DC1" w:rsidRPr="006B7125" w:rsidRDefault="00924DC1" w:rsidP="00924DC1">
      <w:pPr>
        <w:pStyle w:val="NormalWeb"/>
      </w:pPr>
      <w:r w:rsidRPr="006B7125">
        <w:t>20 Rubin DB. Multiple imputation after 18 years. 1996;</w:t>
      </w:r>
      <w:r w:rsidRPr="006B7125">
        <w:rPr>
          <w:b/>
          <w:bCs/>
        </w:rPr>
        <w:t>91</w:t>
      </w:r>
      <w:r w:rsidRPr="006B7125">
        <w:t>: 473-89.</w:t>
      </w:r>
    </w:p>
    <w:p w14:paraId="51E882AA" w14:textId="77777777" w:rsidR="00924DC1" w:rsidRPr="006B7125" w:rsidRDefault="00924DC1" w:rsidP="00924DC1">
      <w:pPr>
        <w:pStyle w:val="NormalWeb"/>
      </w:pPr>
      <w:r w:rsidRPr="006B7125">
        <w:t>21 Kontopantelis E, White IR, Sperrin M</w:t>
      </w:r>
      <w:r w:rsidRPr="006B7125">
        <w:rPr>
          <w:i/>
          <w:iCs/>
        </w:rPr>
        <w:t>, et al</w:t>
      </w:r>
      <w:r w:rsidRPr="006B7125">
        <w:t xml:space="preserve">. Outcome-sensitive multiple imputation: A simulation study. </w:t>
      </w:r>
      <w:r w:rsidRPr="006B7125">
        <w:rPr>
          <w:i/>
          <w:iCs/>
        </w:rPr>
        <w:t>BMC Med Res Methodol</w:t>
      </w:r>
      <w:r w:rsidRPr="006B7125">
        <w:t xml:space="preserve"> 2017;</w:t>
      </w:r>
      <w:r w:rsidRPr="006B7125">
        <w:rPr>
          <w:b/>
          <w:bCs/>
        </w:rPr>
        <w:t>17</w:t>
      </w:r>
      <w:r w:rsidRPr="006B7125">
        <w:t>: 2-5.</w:t>
      </w:r>
    </w:p>
    <w:p w14:paraId="5FE9A6C5" w14:textId="77777777" w:rsidR="00924DC1" w:rsidRPr="006B7125" w:rsidRDefault="00924DC1" w:rsidP="00924DC1">
      <w:pPr>
        <w:pStyle w:val="NormalWeb"/>
      </w:pPr>
      <w:r w:rsidRPr="006B7125">
        <w:t>22 Rubin DB. Multiple imputation for nonresponse in surveys 1987 wiley new york. 1987;.</w:t>
      </w:r>
    </w:p>
    <w:p w14:paraId="21AFCCCD" w14:textId="77777777" w:rsidR="00924DC1" w:rsidRPr="006B7125" w:rsidRDefault="00924DC1" w:rsidP="00924DC1">
      <w:pPr>
        <w:pStyle w:val="NormalWeb"/>
      </w:pPr>
      <w:r w:rsidRPr="006B7125">
        <w:t>23 Shoaib A, Mohamed M, Curzen N</w:t>
      </w:r>
      <w:r w:rsidRPr="006B7125">
        <w:rPr>
          <w:i/>
          <w:iCs/>
        </w:rPr>
        <w:t>, et al</w:t>
      </w:r>
      <w:r w:rsidRPr="006B7125">
        <w:t xml:space="preserve">. Clinical outcomes of percutaneous coronary intervention for chronic total occlusion in prior coronary artery bypass grafting patients. </w:t>
      </w:r>
      <w:r w:rsidRPr="006B7125">
        <w:rPr>
          <w:i/>
          <w:iCs/>
        </w:rPr>
        <w:t>Catheter Cardiovasc Interv</w:t>
      </w:r>
      <w:r w:rsidRPr="006B7125">
        <w:t xml:space="preserve"> 2021;.</w:t>
      </w:r>
    </w:p>
    <w:p w14:paraId="7050AA43" w14:textId="77777777" w:rsidR="00924DC1" w:rsidRPr="006B7125" w:rsidRDefault="00924DC1" w:rsidP="00924DC1">
      <w:pPr>
        <w:pStyle w:val="NormalWeb"/>
      </w:pPr>
      <w:r w:rsidRPr="006B7125">
        <w:t>24 Shoaib A, Rashid M, Kontopantelis E</w:t>
      </w:r>
      <w:r w:rsidRPr="006B7125">
        <w:rPr>
          <w:i/>
          <w:iCs/>
        </w:rPr>
        <w:t>, et al</w:t>
      </w:r>
      <w:r w:rsidRPr="006B7125">
        <w:t xml:space="preserve">. Clinical characteristics and outcomes from percutaneous coronary intervention of last remaining coronary artery: An analysis from the british cardiovascular intervention society database. </w:t>
      </w:r>
      <w:r w:rsidRPr="006B7125">
        <w:rPr>
          <w:i/>
          <w:iCs/>
        </w:rPr>
        <w:t>Circ Cardiovasc Interv</w:t>
      </w:r>
      <w:r w:rsidRPr="006B7125">
        <w:t xml:space="preserve"> 2020;</w:t>
      </w:r>
      <w:r w:rsidRPr="006B7125">
        <w:rPr>
          <w:b/>
          <w:bCs/>
        </w:rPr>
        <w:t>13</w:t>
      </w:r>
      <w:r w:rsidRPr="006B7125">
        <w:t>: e009049.</w:t>
      </w:r>
    </w:p>
    <w:p w14:paraId="61A0CBB7" w14:textId="77777777" w:rsidR="00924DC1" w:rsidRPr="006B7125" w:rsidRDefault="00924DC1" w:rsidP="00924DC1">
      <w:pPr>
        <w:pStyle w:val="NormalWeb"/>
      </w:pPr>
      <w:r w:rsidRPr="006B7125">
        <w:t>25 Dumas F, Cariou A, Manzo-Silberman S</w:t>
      </w:r>
      <w:r w:rsidRPr="006B7125">
        <w:rPr>
          <w:i/>
          <w:iCs/>
        </w:rPr>
        <w:t>, et al</w:t>
      </w:r>
      <w:r w:rsidRPr="006B7125">
        <w:t>. Immediate percutaneous coronary intervention is associated with better survival after out-of-hospital cardiac arrest: Insights from the PROCAT (parisian region out of hospital cardiac ArresT) registry. 2010;</w:t>
      </w:r>
      <w:r w:rsidRPr="006B7125">
        <w:rPr>
          <w:b/>
          <w:bCs/>
        </w:rPr>
        <w:t>3</w:t>
      </w:r>
      <w:r w:rsidRPr="006B7125">
        <w:t>: 200-7.</w:t>
      </w:r>
    </w:p>
    <w:p w14:paraId="70B42396" w14:textId="77777777" w:rsidR="00924DC1" w:rsidRPr="006B7125" w:rsidRDefault="00924DC1" w:rsidP="00924DC1">
      <w:pPr>
        <w:pStyle w:val="NormalWeb"/>
      </w:pPr>
      <w:r w:rsidRPr="006B7125">
        <w:t>26 Karasek J, Seiner J, Renza M</w:t>
      </w:r>
      <w:r w:rsidRPr="006B7125">
        <w:rPr>
          <w:i/>
          <w:iCs/>
        </w:rPr>
        <w:t>, et al</w:t>
      </w:r>
      <w:r w:rsidRPr="006B7125">
        <w:t xml:space="preserve">. Bypassing out-of-hospital cardiac arrest patients to a regional cardiac center: Impact on hemodynamic parameters and outcomes. </w:t>
      </w:r>
      <w:r w:rsidRPr="006B7125">
        <w:rPr>
          <w:i/>
          <w:iCs/>
        </w:rPr>
        <w:t>Am J Emerg Med</w:t>
      </w:r>
      <w:r w:rsidRPr="006B7125">
        <w:t xml:space="preserve"> 2021;</w:t>
      </w:r>
      <w:r w:rsidRPr="006B7125">
        <w:rPr>
          <w:b/>
          <w:bCs/>
        </w:rPr>
        <w:t>44</w:t>
      </w:r>
      <w:r w:rsidRPr="006B7125">
        <w:t>: 95-9.</w:t>
      </w:r>
    </w:p>
    <w:p w14:paraId="49C63837" w14:textId="77777777" w:rsidR="00924DC1" w:rsidRPr="006B7125" w:rsidRDefault="00924DC1" w:rsidP="00924DC1">
      <w:pPr>
        <w:pStyle w:val="NormalWeb"/>
      </w:pPr>
      <w:r w:rsidRPr="006B7125">
        <w:t>27 Whittaker A, Lehal M, Calver AL</w:t>
      </w:r>
      <w:r w:rsidRPr="006B7125">
        <w:rPr>
          <w:i/>
          <w:iCs/>
        </w:rPr>
        <w:t>, et al</w:t>
      </w:r>
      <w:r w:rsidRPr="006B7125">
        <w:t xml:space="preserve">. Predictors of inhospital mortality following out-of-hospital cardiac arrest: Insights from a single-centre consecutive case series. </w:t>
      </w:r>
      <w:r w:rsidRPr="006B7125">
        <w:rPr>
          <w:i/>
          <w:iCs/>
        </w:rPr>
        <w:t>Postgrad Med J</w:t>
      </w:r>
      <w:r w:rsidRPr="006B7125">
        <w:t xml:space="preserve"> 2016;</w:t>
      </w:r>
      <w:r w:rsidRPr="006B7125">
        <w:rPr>
          <w:b/>
          <w:bCs/>
        </w:rPr>
        <w:t>92</w:t>
      </w:r>
      <w:r w:rsidRPr="006B7125">
        <w:t>: 250-4.</w:t>
      </w:r>
    </w:p>
    <w:p w14:paraId="5467603C" w14:textId="77777777" w:rsidR="00924DC1" w:rsidRPr="006B7125" w:rsidRDefault="00924DC1" w:rsidP="00924DC1">
      <w:pPr>
        <w:pStyle w:val="NormalWeb"/>
      </w:pPr>
      <w:r w:rsidRPr="006B7125">
        <w:lastRenderedPageBreak/>
        <w:t>28 Nishikimi M, Ogura T, Nishida K</w:t>
      </w:r>
      <w:r w:rsidRPr="006B7125">
        <w:rPr>
          <w:i/>
          <w:iCs/>
        </w:rPr>
        <w:t>, et al</w:t>
      </w:r>
      <w:r w:rsidRPr="006B7125">
        <w:t xml:space="preserve">. Outcome related to level of targeted temperature management in postcardiac arrest syndrome of low, moderate, and high severities: A nationwide multicenter prospective registry. </w:t>
      </w:r>
      <w:r w:rsidRPr="006B7125">
        <w:rPr>
          <w:i/>
          <w:iCs/>
        </w:rPr>
        <w:t>Crit Care Med</w:t>
      </w:r>
      <w:r w:rsidRPr="006B7125">
        <w:t xml:space="preserve"> 2021;.</w:t>
      </w:r>
    </w:p>
    <w:p w14:paraId="1CE3B7DD" w14:textId="77777777" w:rsidR="00924DC1" w:rsidRPr="006B7125" w:rsidRDefault="00924DC1" w:rsidP="00924DC1">
      <w:pPr>
        <w:pStyle w:val="NormalWeb"/>
      </w:pPr>
      <w:r w:rsidRPr="006B7125">
        <w:t>29 Song HG, Park JS, You Y</w:t>
      </w:r>
      <w:r w:rsidRPr="006B7125">
        <w:rPr>
          <w:i/>
          <w:iCs/>
        </w:rPr>
        <w:t>, et al</w:t>
      </w:r>
      <w:r w:rsidRPr="006B7125">
        <w:t xml:space="preserve">. Using out-of-hospital cardiac arrest (OHCA) and cardiac arrest hospital prognosis (CAHP) scores with modified objective data to improve neurological prognostic performance for out-of-hospital cardiac arrest survivors. </w:t>
      </w:r>
      <w:r w:rsidRPr="006B7125">
        <w:rPr>
          <w:i/>
          <w:iCs/>
        </w:rPr>
        <w:t>J Clin Med</w:t>
      </w:r>
      <w:r w:rsidRPr="006B7125">
        <w:t xml:space="preserve"> 2021;</w:t>
      </w:r>
      <w:r w:rsidRPr="006B7125">
        <w:rPr>
          <w:b/>
          <w:bCs/>
        </w:rPr>
        <w:t>10</w:t>
      </w:r>
      <w:r w:rsidRPr="006B7125">
        <w:t>: 10.3390/jcm10091825.</w:t>
      </w:r>
    </w:p>
    <w:p w14:paraId="6711597F" w14:textId="77777777" w:rsidR="00924DC1" w:rsidRPr="006B7125" w:rsidRDefault="00924DC1" w:rsidP="00924DC1">
      <w:pPr>
        <w:pStyle w:val="NormalWeb"/>
      </w:pPr>
      <w:r w:rsidRPr="006B7125">
        <w:t>30 Chang HC, Tsai MS, Kuo LK</w:t>
      </w:r>
      <w:r w:rsidRPr="006B7125">
        <w:rPr>
          <w:i/>
          <w:iCs/>
        </w:rPr>
        <w:t>, et al</w:t>
      </w:r>
      <w:r w:rsidRPr="006B7125">
        <w:t xml:space="preserve">. Factors affecting outcomes in patients with cardiac arrest who receive target temperature management: The multi-center TIMECARD registry. </w:t>
      </w:r>
      <w:r w:rsidRPr="006B7125">
        <w:rPr>
          <w:i/>
          <w:iCs/>
        </w:rPr>
        <w:t>J Formos Med Assoc</w:t>
      </w:r>
      <w:r w:rsidRPr="006B7125">
        <w:t xml:space="preserve"> 2021;.</w:t>
      </w:r>
    </w:p>
    <w:p w14:paraId="6DCB861A" w14:textId="013F145A" w:rsidR="008210D1" w:rsidRPr="006B7125" w:rsidRDefault="00924DC1" w:rsidP="00924DC1">
      <w:pPr>
        <w:pStyle w:val="NormalWeb"/>
      </w:pPr>
      <w:r w:rsidRPr="006B7125">
        <w:t>31 Pareek N, Kordis P, Beckley-Hoelscher N</w:t>
      </w:r>
      <w:r w:rsidRPr="006B7125">
        <w:rPr>
          <w:i/>
          <w:iCs/>
        </w:rPr>
        <w:t>, et al</w:t>
      </w:r>
      <w:r w:rsidRPr="006B7125">
        <w:t xml:space="preserve">. A practical risk score for early prediction of neurological outcome after out-of-hospital cardiac arrest: MIRACLE2. </w:t>
      </w:r>
      <w:r w:rsidRPr="006B7125">
        <w:rPr>
          <w:i/>
          <w:iCs/>
        </w:rPr>
        <w:t>Eur Heart J</w:t>
      </w:r>
      <w:r w:rsidRPr="006B7125">
        <w:t xml:space="preserve"> 2020;</w:t>
      </w:r>
      <w:r w:rsidRPr="006B7125">
        <w:rPr>
          <w:b/>
          <w:bCs/>
        </w:rPr>
        <w:t>41</w:t>
      </w:r>
      <w:r w:rsidRPr="006B7125">
        <w:t>: 4508-17.</w:t>
      </w:r>
    </w:p>
    <w:p w14:paraId="67C1307B" w14:textId="517AD02F" w:rsidR="008210D1" w:rsidRPr="006B7125" w:rsidRDefault="008210D1" w:rsidP="00924DC1">
      <w:pPr>
        <w:pStyle w:val="NormalWeb"/>
        <w:rPr>
          <w:b/>
        </w:rPr>
      </w:pPr>
      <w:r w:rsidRPr="006B7125">
        <w:rPr>
          <w:b/>
        </w:rPr>
        <w:t xml:space="preserve">Figure legends </w:t>
      </w:r>
    </w:p>
    <w:p w14:paraId="13617566" w14:textId="5BAC711A" w:rsidR="008210D1" w:rsidRPr="006B7125" w:rsidRDefault="008210D1" w:rsidP="008210D1">
      <w:pPr>
        <w:rPr>
          <w:rFonts w:cs="Times New Roman"/>
          <w:szCs w:val="24"/>
        </w:rPr>
      </w:pPr>
      <w:r w:rsidRPr="006B7125">
        <w:rPr>
          <w:rFonts w:cs="Times New Roman"/>
          <w:b/>
        </w:rPr>
        <w:t xml:space="preserve">Figure 1A: </w:t>
      </w:r>
      <w:r w:rsidR="00AE61E1" w:rsidRPr="00AE61E1">
        <w:rPr>
          <w:rFonts w:cs="Times New Roman"/>
          <w:szCs w:val="24"/>
        </w:rPr>
        <w:t>Percentage of OHCA PCI over time in acute coronary syndrome cohort performed in UK between 1st January 2014 to 31st March 2019</w:t>
      </w:r>
      <w:r w:rsidRPr="006B7125">
        <w:rPr>
          <w:rFonts w:cs="Times New Roman"/>
          <w:szCs w:val="24"/>
        </w:rPr>
        <w:t>.</w:t>
      </w:r>
    </w:p>
    <w:p w14:paraId="15960E2C" w14:textId="59F67B3E" w:rsidR="008210D1" w:rsidRPr="006B7125" w:rsidRDefault="008210D1" w:rsidP="008210D1">
      <w:pPr>
        <w:rPr>
          <w:rFonts w:cs="Times New Roman"/>
          <w:sz w:val="18"/>
          <w:szCs w:val="18"/>
        </w:rPr>
      </w:pPr>
      <w:r w:rsidRPr="006B7125">
        <w:rPr>
          <w:rFonts w:cs="Times New Roman"/>
          <w:sz w:val="18"/>
          <w:szCs w:val="18"/>
        </w:rPr>
        <w:t>OHCA= Out of hospital cardiac arrest, ACS= acute coronary syndrome, PCI= percutaneous coronary intervention</w:t>
      </w:r>
    </w:p>
    <w:p w14:paraId="64EFD5FA" w14:textId="30E4E62B" w:rsidR="00793835" w:rsidRPr="006B7125" w:rsidRDefault="00793835" w:rsidP="00793835">
      <w:pPr>
        <w:rPr>
          <w:rFonts w:cs="Times New Roman"/>
          <w:szCs w:val="24"/>
        </w:rPr>
      </w:pPr>
      <w:r w:rsidRPr="006B7125">
        <w:rPr>
          <w:rFonts w:cs="Times New Roman"/>
          <w:b/>
          <w:szCs w:val="24"/>
        </w:rPr>
        <w:t>Figure 2:</w:t>
      </w:r>
      <w:r w:rsidRPr="006B7125">
        <w:rPr>
          <w:rFonts w:cs="Times New Roman"/>
          <w:szCs w:val="24"/>
        </w:rPr>
        <w:t xml:space="preserve"> Overall proportions of OHCA PCI stratified according to hospital total ACS PCI volume</w:t>
      </w:r>
    </w:p>
    <w:p w14:paraId="4A648E8E" w14:textId="204695DB" w:rsidR="00793835" w:rsidRPr="006B7125" w:rsidRDefault="00793835" w:rsidP="00793835">
      <w:pPr>
        <w:rPr>
          <w:rFonts w:cs="Times New Roman"/>
          <w:szCs w:val="24"/>
        </w:rPr>
      </w:pPr>
      <w:r w:rsidRPr="006B7125">
        <w:rPr>
          <w:rFonts w:cs="Times New Roman"/>
          <w:b/>
          <w:szCs w:val="24"/>
        </w:rPr>
        <w:t>Figure 3</w:t>
      </w:r>
      <w:r w:rsidRPr="006B7125">
        <w:rPr>
          <w:rFonts w:cs="Times New Roman"/>
          <w:szCs w:val="24"/>
        </w:rPr>
        <w:t>: Graphical presentation of overall OHCA PCI versus overall ACS PCI volume for each centre between 2014 to 2019</w:t>
      </w:r>
    </w:p>
    <w:p w14:paraId="65C5419F" w14:textId="77777777" w:rsidR="00ED79DD" w:rsidRPr="006B7125" w:rsidRDefault="00ED79DD">
      <w:pPr>
        <w:rPr>
          <w:rFonts w:eastAsiaTheme="minorEastAsia" w:cs="Times New Roman"/>
          <w:szCs w:val="24"/>
          <w:lang w:eastAsia="en-GB"/>
        </w:rPr>
      </w:pPr>
      <w:r w:rsidRPr="006B7125">
        <w:br w:type="page"/>
      </w:r>
    </w:p>
    <w:p w14:paraId="1A9B07D5" w14:textId="2569D715" w:rsidR="0040392D" w:rsidRDefault="00924DC1" w:rsidP="00924DC1">
      <w:r w:rsidRPr="006B7125">
        <w:lastRenderedPageBreak/>
        <w:fldChar w:fldCharType="end"/>
      </w:r>
    </w:p>
    <w:sectPr w:rsidR="0040392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B35B9" w14:textId="77777777" w:rsidR="000125B8" w:rsidRDefault="000125B8" w:rsidP="00D4542B">
      <w:pPr>
        <w:spacing w:after="0" w:line="240" w:lineRule="auto"/>
      </w:pPr>
      <w:r>
        <w:separator/>
      </w:r>
    </w:p>
  </w:endnote>
  <w:endnote w:type="continuationSeparator" w:id="0">
    <w:p w14:paraId="4640228C" w14:textId="77777777" w:rsidR="000125B8" w:rsidRDefault="000125B8" w:rsidP="00D4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5A34" w14:textId="77777777" w:rsidR="00D4542B" w:rsidRDefault="00D45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926567"/>
      <w:docPartObj>
        <w:docPartGallery w:val="Page Numbers (Bottom of Page)"/>
        <w:docPartUnique/>
      </w:docPartObj>
    </w:sdtPr>
    <w:sdtEndPr>
      <w:rPr>
        <w:noProof/>
      </w:rPr>
    </w:sdtEndPr>
    <w:sdtContent>
      <w:p w14:paraId="1E256C42" w14:textId="2EAF65BC" w:rsidR="00D4542B" w:rsidRDefault="00D454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467E54" w14:textId="77777777" w:rsidR="00D4542B" w:rsidRDefault="00D45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9F5D" w14:textId="77777777" w:rsidR="00D4542B" w:rsidRDefault="00D45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8CA5A" w14:textId="77777777" w:rsidR="000125B8" w:rsidRDefault="000125B8" w:rsidP="00D4542B">
      <w:pPr>
        <w:spacing w:after="0" w:line="240" w:lineRule="auto"/>
      </w:pPr>
      <w:r>
        <w:separator/>
      </w:r>
    </w:p>
  </w:footnote>
  <w:footnote w:type="continuationSeparator" w:id="0">
    <w:p w14:paraId="51004B4E" w14:textId="77777777" w:rsidR="000125B8" w:rsidRDefault="000125B8" w:rsidP="00D45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DEC1" w14:textId="77777777" w:rsidR="00D4542B" w:rsidRDefault="00D45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7F82" w14:textId="77777777" w:rsidR="00D4542B" w:rsidRDefault="00D454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69BF" w14:textId="77777777" w:rsidR="00D4542B" w:rsidRDefault="00D45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D5F"/>
    <w:multiLevelType w:val="hybridMultilevel"/>
    <w:tmpl w:val="131A5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5A371A"/>
    <w:multiLevelType w:val="hybridMultilevel"/>
    <w:tmpl w:val="0F5EF3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E77AF"/>
    <w:multiLevelType w:val="hybridMultilevel"/>
    <w:tmpl w:val="3656E6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71ADF"/>
    <w:multiLevelType w:val="hybridMultilevel"/>
    <w:tmpl w:val="3CC23C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A87325"/>
    <w:multiLevelType w:val="hybridMultilevel"/>
    <w:tmpl w:val="51EC1D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C63C16"/>
    <w:multiLevelType w:val="hybridMultilevel"/>
    <w:tmpl w:val="E0D4B5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1F7342"/>
    <w:multiLevelType w:val="hybridMultilevel"/>
    <w:tmpl w:val="5546F5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E215E8"/>
    <w:multiLevelType w:val="hybridMultilevel"/>
    <w:tmpl w:val="5F049F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331A80"/>
    <w:multiLevelType w:val="hybridMultilevel"/>
    <w:tmpl w:val="87B219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84266C"/>
    <w:multiLevelType w:val="hybridMultilevel"/>
    <w:tmpl w:val="B1629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6D065D"/>
    <w:multiLevelType w:val="hybridMultilevel"/>
    <w:tmpl w:val="B022A3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B27F25"/>
    <w:multiLevelType w:val="hybridMultilevel"/>
    <w:tmpl w:val="F578B6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E5593E"/>
    <w:multiLevelType w:val="hybridMultilevel"/>
    <w:tmpl w:val="FC28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9F5472"/>
    <w:multiLevelType w:val="hybridMultilevel"/>
    <w:tmpl w:val="BF50087A"/>
    <w:lvl w:ilvl="0" w:tplc="08090019">
      <w:start w:val="1"/>
      <w:numFmt w:val="lowerLetter"/>
      <w:lvlText w:val="%1."/>
      <w:lvlJc w:val="left"/>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7ACD64C8"/>
    <w:multiLevelType w:val="singleLevel"/>
    <w:tmpl w:val="25F47D76"/>
    <w:lvl w:ilvl="0">
      <w:start w:val="1"/>
      <w:numFmt w:val="decimal"/>
      <w:lvlText w:val="%1."/>
      <w:legacy w:legacy="1" w:legacySpace="0" w:legacyIndent="283"/>
      <w:lvlJc w:val="left"/>
      <w:pPr>
        <w:ind w:left="283" w:hanging="283"/>
      </w:pPr>
      <w:rPr>
        <w:rFonts w:ascii="Calibri" w:hAnsi="Calibri" w:hint="default"/>
        <w:i w:val="0"/>
        <w:sz w:val="20"/>
        <w:szCs w:val="20"/>
      </w:rPr>
    </w:lvl>
  </w:abstractNum>
  <w:num w:numId="1" w16cid:durableId="713508673">
    <w:abstractNumId w:val="0"/>
  </w:num>
  <w:num w:numId="2" w16cid:durableId="933786073">
    <w:abstractNumId w:val="9"/>
  </w:num>
  <w:num w:numId="3" w16cid:durableId="1832139742">
    <w:abstractNumId w:val="1"/>
  </w:num>
  <w:num w:numId="4" w16cid:durableId="1535465806">
    <w:abstractNumId w:val="6"/>
  </w:num>
  <w:num w:numId="5" w16cid:durableId="837840500">
    <w:abstractNumId w:val="5"/>
  </w:num>
  <w:num w:numId="6" w16cid:durableId="1173104210">
    <w:abstractNumId w:val="2"/>
  </w:num>
  <w:num w:numId="7" w16cid:durableId="464005077">
    <w:abstractNumId w:val="14"/>
  </w:num>
  <w:num w:numId="8" w16cid:durableId="360907102">
    <w:abstractNumId w:val="13"/>
  </w:num>
  <w:num w:numId="9" w16cid:durableId="502399614">
    <w:abstractNumId w:val="7"/>
  </w:num>
  <w:num w:numId="10" w16cid:durableId="1952083211">
    <w:abstractNumId w:val="4"/>
  </w:num>
  <w:num w:numId="11" w16cid:durableId="807282385">
    <w:abstractNumId w:val="10"/>
  </w:num>
  <w:num w:numId="12" w16cid:durableId="1106731880">
    <w:abstractNumId w:val="8"/>
  </w:num>
  <w:num w:numId="13" w16cid:durableId="423579212">
    <w:abstractNumId w:val="3"/>
  </w:num>
  <w:num w:numId="14" w16cid:durableId="223420707">
    <w:abstractNumId w:val="11"/>
  </w:num>
  <w:num w:numId="15" w16cid:durableId="1271401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wNLA0NrMwtjQzNDdQ0lEKTi0uzszPAykwNKoFACxsWoktAAAA"/>
  </w:docVars>
  <w:rsids>
    <w:rsidRoot w:val="00756035"/>
    <w:rsid w:val="000001A7"/>
    <w:rsid w:val="0001080D"/>
    <w:rsid w:val="00011B4E"/>
    <w:rsid w:val="000125B8"/>
    <w:rsid w:val="000127ED"/>
    <w:rsid w:val="0001485D"/>
    <w:rsid w:val="00016AAF"/>
    <w:rsid w:val="00025D2A"/>
    <w:rsid w:val="00031091"/>
    <w:rsid w:val="00035DDD"/>
    <w:rsid w:val="000365D3"/>
    <w:rsid w:val="00040FCF"/>
    <w:rsid w:val="00044526"/>
    <w:rsid w:val="00047658"/>
    <w:rsid w:val="00050F7B"/>
    <w:rsid w:val="00051BBB"/>
    <w:rsid w:val="0005320B"/>
    <w:rsid w:val="00054914"/>
    <w:rsid w:val="00060712"/>
    <w:rsid w:val="00060C84"/>
    <w:rsid w:val="000616F7"/>
    <w:rsid w:val="000649BE"/>
    <w:rsid w:val="00065663"/>
    <w:rsid w:val="00065FE5"/>
    <w:rsid w:val="000662A9"/>
    <w:rsid w:val="00074C0B"/>
    <w:rsid w:val="00074CE4"/>
    <w:rsid w:val="00075FD1"/>
    <w:rsid w:val="000800EC"/>
    <w:rsid w:val="00083C77"/>
    <w:rsid w:val="00084B8A"/>
    <w:rsid w:val="00087C29"/>
    <w:rsid w:val="00091072"/>
    <w:rsid w:val="0009269C"/>
    <w:rsid w:val="000926D6"/>
    <w:rsid w:val="000A170C"/>
    <w:rsid w:val="000A171B"/>
    <w:rsid w:val="000A2700"/>
    <w:rsid w:val="000B237F"/>
    <w:rsid w:val="000C23D3"/>
    <w:rsid w:val="000C4D9B"/>
    <w:rsid w:val="000D2CCD"/>
    <w:rsid w:val="000D46F7"/>
    <w:rsid w:val="000D5204"/>
    <w:rsid w:val="000D5623"/>
    <w:rsid w:val="000E010B"/>
    <w:rsid w:val="000E208F"/>
    <w:rsid w:val="000E312A"/>
    <w:rsid w:val="000F2D6A"/>
    <w:rsid w:val="000F5E47"/>
    <w:rsid w:val="00100FE7"/>
    <w:rsid w:val="001047C4"/>
    <w:rsid w:val="00104C82"/>
    <w:rsid w:val="001059C2"/>
    <w:rsid w:val="00106A60"/>
    <w:rsid w:val="00110B1E"/>
    <w:rsid w:val="00111AD1"/>
    <w:rsid w:val="0011328B"/>
    <w:rsid w:val="00113E3F"/>
    <w:rsid w:val="00115323"/>
    <w:rsid w:val="00117E42"/>
    <w:rsid w:val="00126334"/>
    <w:rsid w:val="00135654"/>
    <w:rsid w:val="00136E4C"/>
    <w:rsid w:val="00140A6F"/>
    <w:rsid w:val="00141BF3"/>
    <w:rsid w:val="001441F4"/>
    <w:rsid w:val="0014424A"/>
    <w:rsid w:val="0014424F"/>
    <w:rsid w:val="00145197"/>
    <w:rsid w:val="001453CB"/>
    <w:rsid w:val="001551EE"/>
    <w:rsid w:val="00155981"/>
    <w:rsid w:val="0016064E"/>
    <w:rsid w:val="0016154A"/>
    <w:rsid w:val="00161947"/>
    <w:rsid w:val="00162741"/>
    <w:rsid w:val="0016347A"/>
    <w:rsid w:val="00163BE5"/>
    <w:rsid w:val="00164477"/>
    <w:rsid w:val="00166367"/>
    <w:rsid w:val="001663FA"/>
    <w:rsid w:val="00173173"/>
    <w:rsid w:val="00173575"/>
    <w:rsid w:val="001746EF"/>
    <w:rsid w:val="00177882"/>
    <w:rsid w:val="00177CBC"/>
    <w:rsid w:val="00180128"/>
    <w:rsid w:val="00186CF2"/>
    <w:rsid w:val="001900E2"/>
    <w:rsid w:val="001926EA"/>
    <w:rsid w:val="001A2254"/>
    <w:rsid w:val="001A48AC"/>
    <w:rsid w:val="001A66B7"/>
    <w:rsid w:val="001B3C3A"/>
    <w:rsid w:val="001B7627"/>
    <w:rsid w:val="001C1CB5"/>
    <w:rsid w:val="001C437A"/>
    <w:rsid w:val="001C58F1"/>
    <w:rsid w:val="001C6268"/>
    <w:rsid w:val="001D063E"/>
    <w:rsid w:val="001D0AFC"/>
    <w:rsid w:val="001D27BD"/>
    <w:rsid w:val="001D2FE2"/>
    <w:rsid w:val="001D7133"/>
    <w:rsid w:val="001E4D6A"/>
    <w:rsid w:val="001E5818"/>
    <w:rsid w:val="001E6EF1"/>
    <w:rsid w:val="001F1645"/>
    <w:rsid w:val="001F4C03"/>
    <w:rsid w:val="001F4F8F"/>
    <w:rsid w:val="001F7F48"/>
    <w:rsid w:val="0020036C"/>
    <w:rsid w:val="002014EB"/>
    <w:rsid w:val="00201ECB"/>
    <w:rsid w:val="00202C99"/>
    <w:rsid w:val="00204B86"/>
    <w:rsid w:val="00206D2F"/>
    <w:rsid w:val="00207E73"/>
    <w:rsid w:val="0021041C"/>
    <w:rsid w:val="002144E0"/>
    <w:rsid w:val="00216198"/>
    <w:rsid w:val="00217E73"/>
    <w:rsid w:val="0022195F"/>
    <w:rsid w:val="0022695E"/>
    <w:rsid w:val="0022708A"/>
    <w:rsid w:val="00227692"/>
    <w:rsid w:val="00237BAD"/>
    <w:rsid w:val="00242412"/>
    <w:rsid w:val="00242F6E"/>
    <w:rsid w:val="00250EC3"/>
    <w:rsid w:val="00252381"/>
    <w:rsid w:val="00253914"/>
    <w:rsid w:val="00254BAE"/>
    <w:rsid w:val="00265D69"/>
    <w:rsid w:val="002678B6"/>
    <w:rsid w:val="00270C68"/>
    <w:rsid w:val="002716B5"/>
    <w:rsid w:val="00275FCF"/>
    <w:rsid w:val="00276E9E"/>
    <w:rsid w:val="002779AC"/>
    <w:rsid w:val="00281CED"/>
    <w:rsid w:val="0028235B"/>
    <w:rsid w:val="00290817"/>
    <w:rsid w:val="00290909"/>
    <w:rsid w:val="002926AB"/>
    <w:rsid w:val="00293248"/>
    <w:rsid w:val="0029547A"/>
    <w:rsid w:val="00295D27"/>
    <w:rsid w:val="002A200C"/>
    <w:rsid w:val="002A4967"/>
    <w:rsid w:val="002A5864"/>
    <w:rsid w:val="002B2196"/>
    <w:rsid w:val="002B29E6"/>
    <w:rsid w:val="002B2E31"/>
    <w:rsid w:val="002B7BC2"/>
    <w:rsid w:val="002C1CCE"/>
    <w:rsid w:val="002C232F"/>
    <w:rsid w:val="002C2BCE"/>
    <w:rsid w:val="002D339B"/>
    <w:rsid w:val="002D5060"/>
    <w:rsid w:val="002D5460"/>
    <w:rsid w:val="002D5B59"/>
    <w:rsid w:val="002E49CA"/>
    <w:rsid w:val="002E4CA5"/>
    <w:rsid w:val="002E7A13"/>
    <w:rsid w:val="002F0932"/>
    <w:rsid w:val="002F145F"/>
    <w:rsid w:val="002F3D02"/>
    <w:rsid w:val="002F4529"/>
    <w:rsid w:val="002F7748"/>
    <w:rsid w:val="002F7B9E"/>
    <w:rsid w:val="002F7E1A"/>
    <w:rsid w:val="00300FCA"/>
    <w:rsid w:val="003037B6"/>
    <w:rsid w:val="00304220"/>
    <w:rsid w:val="00304FF5"/>
    <w:rsid w:val="003057E0"/>
    <w:rsid w:val="00306E38"/>
    <w:rsid w:val="0030705C"/>
    <w:rsid w:val="003101D7"/>
    <w:rsid w:val="003102F9"/>
    <w:rsid w:val="00317038"/>
    <w:rsid w:val="00320219"/>
    <w:rsid w:val="0032096E"/>
    <w:rsid w:val="00323BAC"/>
    <w:rsid w:val="00324161"/>
    <w:rsid w:val="00324BA5"/>
    <w:rsid w:val="003326C7"/>
    <w:rsid w:val="00334370"/>
    <w:rsid w:val="00335EF8"/>
    <w:rsid w:val="00341EBD"/>
    <w:rsid w:val="00342FB7"/>
    <w:rsid w:val="00347D44"/>
    <w:rsid w:val="00351923"/>
    <w:rsid w:val="00351C63"/>
    <w:rsid w:val="0035379A"/>
    <w:rsid w:val="00354A55"/>
    <w:rsid w:val="00360214"/>
    <w:rsid w:val="003619B7"/>
    <w:rsid w:val="00363749"/>
    <w:rsid w:val="003652A9"/>
    <w:rsid w:val="00372656"/>
    <w:rsid w:val="0037486B"/>
    <w:rsid w:val="003800F6"/>
    <w:rsid w:val="003842A8"/>
    <w:rsid w:val="00386974"/>
    <w:rsid w:val="003953C8"/>
    <w:rsid w:val="003A1B63"/>
    <w:rsid w:val="003A2A49"/>
    <w:rsid w:val="003A4F07"/>
    <w:rsid w:val="003A56D0"/>
    <w:rsid w:val="003B087F"/>
    <w:rsid w:val="003B1AAF"/>
    <w:rsid w:val="003B4B72"/>
    <w:rsid w:val="003B6267"/>
    <w:rsid w:val="003B7403"/>
    <w:rsid w:val="003B7F9D"/>
    <w:rsid w:val="003C1A07"/>
    <w:rsid w:val="003C1C24"/>
    <w:rsid w:val="003C3037"/>
    <w:rsid w:val="003C3B5B"/>
    <w:rsid w:val="003C52B2"/>
    <w:rsid w:val="003C52F2"/>
    <w:rsid w:val="003D0336"/>
    <w:rsid w:val="003D209E"/>
    <w:rsid w:val="003D4547"/>
    <w:rsid w:val="003D69A2"/>
    <w:rsid w:val="003D6E79"/>
    <w:rsid w:val="003E31BF"/>
    <w:rsid w:val="003E4527"/>
    <w:rsid w:val="003F0F14"/>
    <w:rsid w:val="003F4E9F"/>
    <w:rsid w:val="003F6B5B"/>
    <w:rsid w:val="003F7963"/>
    <w:rsid w:val="00400E7B"/>
    <w:rsid w:val="0040392D"/>
    <w:rsid w:val="00410B07"/>
    <w:rsid w:val="00413324"/>
    <w:rsid w:val="00413540"/>
    <w:rsid w:val="00420223"/>
    <w:rsid w:val="0042165E"/>
    <w:rsid w:val="004233EB"/>
    <w:rsid w:val="00427700"/>
    <w:rsid w:val="00430A28"/>
    <w:rsid w:val="0043116A"/>
    <w:rsid w:val="00431EE2"/>
    <w:rsid w:val="00434609"/>
    <w:rsid w:val="004401A3"/>
    <w:rsid w:val="00444121"/>
    <w:rsid w:val="00450CA8"/>
    <w:rsid w:val="004529D9"/>
    <w:rsid w:val="00454A4E"/>
    <w:rsid w:val="00457D0F"/>
    <w:rsid w:val="00462507"/>
    <w:rsid w:val="00463967"/>
    <w:rsid w:val="00464065"/>
    <w:rsid w:val="00464FE9"/>
    <w:rsid w:val="00486456"/>
    <w:rsid w:val="004864CF"/>
    <w:rsid w:val="0049222F"/>
    <w:rsid w:val="004946ED"/>
    <w:rsid w:val="00497F02"/>
    <w:rsid w:val="004A543F"/>
    <w:rsid w:val="004A6B37"/>
    <w:rsid w:val="004A71AB"/>
    <w:rsid w:val="004B341C"/>
    <w:rsid w:val="004B768F"/>
    <w:rsid w:val="004C361E"/>
    <w:rsid w:val="004C55BC"/>
    <w:rsid w:val="004C6A88"/>
    <w:rsid w:val="004D1DF4"/>
    <w:rsid w:val="004D2746"/>
    <w:rsid w:val="004D4328"/>
    <w:rsid w:val="004D64E1"/>
    <w:rsid w:val="004D6C8E"/>
    <w:rsid w:val="004E06F4"/>
    <w:rsid w:val="004E455C"/>
    <w:rsid w:val="00500F12"/>
    <w:rsid w:val="00501443"/>
    <w:rsid w:val="005024CD"/>
    <w:rsid w:val="0050252A"/>
    <w:rsid w:val="005032AB"/>
    <w:rsid w:val="00504B88"/>
    <w:rsid w:val="00505BEF"/>
    <w:rsid w:val="00507B1E"/>
    <w:rsid w:val="005108F4"/>
    <w:rsid w:val="005169A5"/>
    <w:rsid w:val="0051732E"/>
    <w:rsid w:val="00523C17"/>
    <w:rsid w:val="00524552"/>
    <w:rsid w:val="00525880"/>
    <w:rsid w:val="00527E9F"/>
    <w:rsid w:val="00534799"/>
    <w:rsid w:val="00534946"/>
    <w:rsid w:val="00534EE2"/>
    <w:rsid w:val="00537247"/>
    <w:rsid w:val="00543115"/>
    <w:rsid w:val="00543719"/>
    <w:rsid w:val="00544877"/>
    <w:rsid w:val="005527B5"/>
    <w:rsid w:val="00554494"/>
    <w:rsid w:val="005551D0"/>
    <w:rsid w:val="0055575F"/>
    <w:rsid w:val="00561083"/>
    <w:rsid w:val="0056176D"/>
    <w:rsid w:val="00564F21"/>
    <w:rsid w:val="005737BB"/>
    <w:rsid w:val="00577851"/>
    <w:rsid w:val="00577BAA"/>
    <w:rsid w:val="00577F40"/>
    <w:rsid w:val="00581BF6"/>
    <w:rsid w:val="00581D1C"/>
    <w:rsid w:val="00583D45"/>
    <w:rsid w:val="00584753"/>
    <w:rsid w:val="005865D3"/>
    <w:rsid w:val="0059385F"/>
    <w:rsid w:val="005A14A2"/>
    <w:rsid w:val="005A1F0C"/>
    <w:rsid w:val="005A2387"/>
    <w:rsid w:val="005A742B"/>
    <w:rsid w:val="005B4394"/>
    <w:rsid w:val="005B4BEF"/>
    <w:rsid w:val="005B6F96"/>
    <w:rsid w:val="005C0DB1"/>
    <w:rsid w:val="005C23A3"/>
    <w:rsid w:val="005C4A82"/>
    <w:rsid w:val="005C6283"/>
    <w:rsid w:val="005D1DCD"/>
    <w:rsid w:val="005D644D"/>
    <w:rsid w:val="005D7C46"/>
    <w:rsid w:val="005E20A3"/>
    <w:rsid w:val="005F23FB"/>
    <w:rsid w:val="005F402C"/>
    <w:rsid w:val="005F77B9"/>
    <w:rsid w:val="00602AA0"/>
    <w:rsid w:val="00603F58"/>
    <w:rsid w:val="0060713A"/>
    <w:rsid w:val="00607F81"/>
    <w:rsid w:val="006115F2"/>
    <w:rsid w:val="006135AA"/>
    <w:rsid w:val="0061602D"/>
    <w:rsid w:val="00616206"/>
    <w:rsid w:val="00621024"/>
    <w:rsid w:val="00621D6C"/>
    <w:rsid w:val="00622536"/>
    <w:rsid w:val="0062397E"/>
    <w:rsid w:val="00626AB6"/>
    <w:rsid w:val="00632A8A"/>
    <w:rsid w:val="00634801"/>
    <w:rsid w:val="00637B56"/>
    <w:rsid w:val="006405E9"/>
    <w:rsid w:val="00642398"/>
    <w:rsid w:val="00646182"/>
    <w:rsid w:val="00647895"/>
    <w:rsid w:val="00647F5E"/>
    <w:rsid w:val="00650C7F"/>
    <w:rsid w:val="00651E33"/>
    <w:rsid w:val="006654BD"/>
    <w:rsid w:val="006662E5"/>
    <w:rsid w:val="006701AC"/>
    <w:rsid w:val="00671D26"/>
    <w:rsid w:val="006773BC"/>
    <w:rsid w:val="00681891"/>
    <w:rsid w:val="006822C7"/>
    <w:rsid w:val="00682D7A"/>
    <w:rsid w:val="00684A39"/>
    <w:rsid w:val="00685F04"/>
    <w:rsid w:val="006860C1"/>
    <w:rsid w:val="0068618E"/>
    <w:rsid w:val="006960D4"/>
    <w:rsid w:val="006A2FFB"/>
    <w:rsid w:val="006A6453"/>
    <w:rsid w:val="006B6AF7"/>
    <w:rsid w:val="006B7125"/>
    <w:rsid w:val="006C1C03"/>
    <w:rsid w:val="006C2322"/>
    <w:rsid w:val="006C3A4C"/>
    <w:rsid w:val="006C449C"/>
    <w:rsid w:val="006C475A"/>
    <w:rsid w:val="006C7681"/>
    <w:rsid w:val="006D1E5F"/>
    <w:rsid w:val="006D1F5C"/>
    <w:rsid w:val="006D3DE6"/>
    <w:rsid w:val="006E1154"/>
    <w:rsid w:val="006E1696"/>
    <w:rsid w:val="006E2B91"/>
    <w:rsid w:val="006E79F9"/>
    <w:rsid w:val="006F06EE"/>
    <w:rsid w:val="006F3C06"/>
    <w:rsid w:val="006F5CB5"/>
    <w:rsid w:val="00700509"/>
    <w:rsid w:val="0070177A"/>
    <w:rsid w:val="00701BC2"/>
    <w:rsid w:val="00701DA9"/>
    <w:rsid w:val="00703C1B"/>
    <w:rsid w:val="00704264"/>
    <w:rsid w:val="0070499F"/>
    <w:rsid w:val="00704C0F"/>
    <w:rsid w:val="00707C33"/>
    <w:rsid w:val="00723719"/>
    <w:rsid w:val="00724754"/>
    <w:rsid w:val="0072743B"/>
    <w:rsid w:val="007309A7"/>
    <w:rsid w:val="00731297"/>
    <w:rsid w:val="00732074"/>
    <w:rsid w:val="00732196"/>
    <w:rsid w:val="00734211"/>
    <w:rsid w:val="007379C0"/>
    <w:rsid w:val="00741B28"/>
    <w:rsid w:val="00743519"/>
    <w:rsid w:val="00744A25"/>
    <w:rsid w:val="007457B7"/>
    <w:rsid w:val="00746B2A"/>
    <w:rsid w:val="007511FB"/>
    <w:rsid w:val="00751750"/>
    <w:rsid w:val="007531C3"/>
    <w:rsid w:val="007558D6"/>
    <w:rsid w:val="00755EBA"/>
    <w:rsid w:val="00756035"/>
    <w:rsid w:val="0075786A"/>
    <w:rsid w:val="007607D4"/>
    <w:rsid w:val="00762434"/>
    <w:rsid w:val="00765606"/>
    <w:rsid w:val="00767FCF"/>
    <w:rsid w:val="00770E82"/>
    <w:rsid w:val="00771730"/>
    <w:rsid w:val="0077377F"/>
    <w:rsid w:val="00775714"/>
    <w:rsid w:val="00775ECE"/>
    <w:rsid w:val="00782153"/>
    <w:rsid w:val="00786D52"/>
    <w:rsid w:val="00787105"/>
    <w:rsid w:val="007902C6"/>
    <w:rsid w:val="00793835"/>
    <w:rsid w:val="007938CC"/>
    <w:rsid w:val="0079426A"/>
    <w:rsid w:val="00795E57"/>
    <w:rsid w:val="00796899"/>
    <w:rsid w:val="007971B5"/>
    <w:rsid w:val="007973D2"/>
    <w:rsid w:val="007A2201"/>
    <w:rsid w:val="007A3162"/>
    <w:rsid w:val="007A3A2F"/>
    <w:rsid w:val="007A3EBF"/>
    <w:rsid w:val="007A4C15"/>
    <w:rsid w:val="007A4D54"/>
    <w:rsid w:val="007A60C0"/>
    <w:rsid w:val="007A7172"/>
    <w:rsid w:val="007B0903"/>
    <w:rsid w:val="007B39E2"/>
    <w:rsid w:val="007B42C7"/>
    <w:rsid w:val="007B6823"/>
    <w:rsid w:val="007B7328"/>
    <w:rsid w:val="007C33BD"/>
    <w:rsid w:val="007C4A7D"/>
    <w:rsid w:val="007C4F36"/>
    <w:rsid w:val="007C4FA8"/>
    <w:rsid w:val="007D01C0"/>
    <w:rsid w:val="007D212C"/>
    <w:rsid w:val="007D3DFA"/>
    <w:rsid w:val="007D48E4"/>
    <w:rsid w:val="007D7058"/>
    <w:rsid w:val="007E3C09"/>
    <w:rsid w:val="007E43FD"/>
    <w:rsid w:val="007E6D60"/>
    <w:rsid w:val="007F055B"/>
    <w:rsid w:val="007F0BDF"/>
    <w:rsid w:val="007F16EB"/>
    <w:rsid w:val="007F4208"/>
    <w:rsid w:val="00801BA3"/>
    <w:rsid w:val="00802F08"/>
    <w:rsid w:val="00803C09"/>
    <w:rsid w:val="00803FF7"/>
    <w:rsid w:val="0080518F"/>
    <w:rsid w:val="00806D67"/>
    <w:rsid w:val="00811302"/>
    <w:rsid w:val="00814E97"/>
    <w:rsid w:val="008210D1"/>
    <w:rsid w:val="00821DE7"/>
    <w:rsid w:val="00823078"/>
    <w:rsid w:val="008235ED"/>
    <w:rsid w:val="008313DC"/>
    <w:rsid w:val="008318A5"/>
    <w:rsid w:val="00832736"/>
    <w:rsid w:val="00836F72"/>
    <w:rsid w:val="008375D3"/>
    <w:rsid w:val="00840B5E"/>
    <w:rsid w:val="0084162E"/>
    <w:rsid w:val="0084300F"/>
    <w:rsid w:val="00843386"/>
    <w:rsid w:val="008449BE"/>
    <w:rsid w:val="00846F71"/>
    <w:rsid w:val="00846FA9"/>
    <w:rsid w:val="0085118C"/>
    <w:rsid w:val="00852010"/>
    <w:rsid w:val="0085248E"/>
    <w:rsid w:val="00853C8B"/>
    <w:rsid w:val="00855080"/>
    <w:rsid w:val="00857ADB"/>
    <w:rsid w:val="0086040D"/>
    <w:rsid w:val="00861B58"/>
    <w:rsid w:val="00863C8E"/>
    <w:rsid w:val="00866E4D"/>
    <w:rsid w:val="008730BF"/>
    <w:rsid w:val="0087357D"/>
    <w:rsid w:val="008743FA"/>
    <w:rsid w:val="0088010F"/>
    <w:rsid w:val="00880A67"/>
    <w:rsid w:val="00881674"/>
    <w:rsid w:val="00886372"/>
    <w:rsid w:val="00890CB8"/>
    <w:rsid w:val="0089107E"/>
    <w:rsid w:val="008911E5"/>
    <w:rsid w:val="00893E9C"/>
    <w:rsid w:val="00893F07"/>
    <w:rsid w:val="00894A1B"/>
    <w:rsid w:val="008A0FDC"/>
    <w:rsid w:val="008A18B8"/>
    <w:rsid w:val="008A2DD7"/>
    <w:rsid w:val="008A7BBE"/>
    <w:rsid w:val="008B2092"/>
    <w:rsid w:val="008B4583"/>
    <w:rsid w:val="008B4B2B"/>
    <w:rsid w:val="008B59A7"/>
    <w:rsid w:val="008C1A32"/>
    <w:rsid w:val="008C30F1"/>
    <w:rsid w:val="008C76D7"/>
    <w:rsid w:val="008C79BE"/>
    <w:rsid w:val="008D0948"/>
    <w:rsid w:val="008D1C83"/>
    <w:rsid w:val="008D6E02"/>
    <w:rsid w:val="008D72B6"/>
    <w:rsid w:val="008E07F5"/>
    <w:rsid w:val="008E1595"/>
    <w:rsid w:val="008E3ECC"/>
    <w:rsid w:val="008E4BAB"/>
    <w:rsid w:val="008F13C1"/>
    <w:rsid w:val="008F7B26"/>
    <w:rsid w:val="009000F8"/>
    <w:rsid w:val="0090217B"/>
    <w:rsid w:val="00905F4E"/>
    <w:rsid w:val="009107C8"/>
    <w:rsid w:val="00910817"/>
    <w:rsid w:val="00911BD9"/>
    <w:rsid w:val="00915714"/>
    <w:rsid w:val="0091633A"/>
    <w:rsid w:val="0091678E"/>
    <w:rsid w:val="009248C4"/>
    <w:rsid w:val="00924DC1"/>
    <w:rsid w:val="00925912"/>
    <w:rsid w:val="00932412"/>
    <w:rsid w:val="0093248F"/>
    <w:rsid w:val="00933AB2"/>
    <w:rsid w:val="00933BA3"/>
    <w:rsid w:val="00934321"/>
    <w:rsid w:val="00943E3F"/>
    <w:rsid w:val="00947507"/>
    <w:rsid w:val="00952C92"/>
    <w:rsid w:val="00956BCB"/>
    <w:rsid w:val="00964933"/>
    <w:rsid w:val="0096524E"/>
    <w:rsid w:val="00965716"/>
    <w:rsid w:val="00965E44"/>
    <w:rsid w:val="00966620"/>
    <w:rsid w:val="00967C96"/>
    <w:rsid w:val="00970B3B"/>
    <w:rsid w:val="0097557B"/>
    <w:rsid w:val="009762CC"/>
    <w:rsid w:val="00976F61"/>
    <w:rsid w:val="0097709D"/>
    <w:rsid w:val="0097735A"/>
    <w:rsid w:val="00981B2A"/>
    <w:rsid w:val="00991C56"/>
    <w:rsid w:val="00991D05"/>
    <w:rsid w:val="00994442"/>
    <w:rsid w:val="00994A85"/>
    <w:rsid w:val="00996BAD"/>
    <w:rsid w:val="009A0F0A"/>
    <w:rsid w:val="009A27A0"/>
    <w:rsid w:val="009A3F1F"/>
    <w:rsid w:val="009A5024"/>
    <w:rsid w:val="009C1EEB"/>
    <w:rsid w:val="009C245B"/>
    <w:rsid w:val="009C396D"/>
    <w:rsid w:val="009C44BD"/>
    <w:rsid w:val="009C51E4"/>
    <w:rsid w:val="009C5CE4"/>
    <w:rsid w:val="009C629C"/>
    <w:rsid w:val="009C6D6F"/>
    <w:rsid w:val="009D0F26"/>
    <w:rsid w:val="009D52C3"/>
    <w:rsid w:val="009D61CE"/>
    <w:rsid w:val="009D6683"/>
    <w:rsid w:val="009E507B"/>
    <w:rsid w:val="009E5133"/>
    <w:rsid w:val="009E6160"/>
    <w:rsid w:val="009E73C8"/>
    <w:rsid w:val="009F18FB"/>
    <w:rsid w:val="009F214E"/>
    <w:rsid w:val="009F3BEA"/>
    <w:rsid w:val="009F455B"/>
    <w:rsid w:val="009F610B"/>
    <w:rsid w:val="009F6550"/>
    <w:rsid w:val="00A006A5"/>
    <w:rsid w:val="00A01CAF"/>
    <w:rsid w:val="00A06CD1"/>
    <w:rsid w:val="00A11A23"/>
    <w:rsid w:val="00A1399B"/>
    <w:rsid w:val="00A139A7"/>
    <w:rsid w:val="00A1527D"/>
    <w:rsid w:val="00A223B0"/>
    <w:rsid w:val="00A224BD"/>
    <w:rsid w:val="00A2457F"/>
    <w:rsid w:val="00A246CD"/>
    <w:rsid w:val="00A266CA"/>
    <w:rsid w:val="00A31793"/>
    <w:rsid w:val="00A42069"/>
    <w:rsid w:val="00A53B1B"/>
    <w:rsid w:val="00A558C8"/>
    <w:rsid w:val="00A564DE"/>
    <w:rsid w:val="00A6127B"/>
    <w:rsid w:val="00A663AA"/>
    <w:rsid w:val="00A71E6D"/>
    <w:rsid w:val="00A72B6E"/>
    <w:rsid w:val="00A742C8"/>
    <w:rsid w:val="00A75386"/>
    <w:rsid w:val="00A75CC8"/>
    <w:rsid w:val="00A828A6"/>
    <w:rsid w:val="00A84DBA"/>
    <w:rsid w:val="00A84EE5"/>
    <w:rsid w:val="00A85844"/>
    <w:rsid w:val="00A85F4C"/>
    <w:rsid w:val="00A86D6D"/>
    <w:rsid w:val="00A923BF"/>
    <w:rsid w:val="00A93FD0"/>
    <w:rsid w:val="00A95613"/>
    <w:rsid w:val="00A96316"/>
    <w:rsid w:val="00A9667B"/>
    <w:rsid w:val="00AA12B4"/>
    <w:rsid w:val="00AA236B"/>
    <w:rsid w:val="00AB3001"/>
    <w:rsid w:val="00AC019B"/>
    <w:rsid w:val="00AC4960"/>
    <w:rsid w:val="00AC6CFC"/>
    <w:rsid w:val="00AD0D22"/>
    <w:rsid w:val="00AD1DF3"/>
    <w:rsid w:val="00AD1EFE"/>
    <w:rsid w:val="00AD2504"/>
    <w:rsid w:val="00AD358E"/>
    <w:rsid w:val="00AD5F77"/>
    <w:rsid w:val="00AD6F07"/>
    <w:rsid w:val="00AD71F0"/>
    <w:rsid w:val="00AE1195"/>
    <w:rsid w:val="00AE1765"/>
    <w:rsid w:val="00AE1FE7"/>
    <w:rsid w:val="00AE61E1"/>
    <w:rsid w:val="00AE6974"/>
    <w:rsid w:val="00AE6FF9"/>
    <w:rsid w:val="00AF009B"/>
    <w:rsid w:val="00AF6C0D"/>
    <w:rsid w:val="00AF7483"/>
    <w:rsid w:val="00AF7A58"/>
    <w:rsid w:val="00B018AF"/>
    <w:rsid w:val="00B027CA"/>
    <w:rsid w:val="00B0345E"/>
    <w:rsid w:val="00B06C00"/>
    <w:rsid w:val="00B06F44"/>
    <w:rsid w:val="00B11AB9"/>
    <w:rsid w:val="00B202A3"/>
    <w:rsid w:val="00B23468"/>
    <w:rsid w:val="00B236EE"/>
    <w:rsid w:val="00B24ED9"/>
    <w:rsid w:val="00B32BBE"/>
    <w:rsid w:val="00B33A35"/>
    <w:rsid w:val="00B347B9"/>
    <w:rsid w:val="00B40B56"/>
    <w:rsid w:val="00B4611F"/>
    <w:rsid w:val="00B465DE"/>
    <w:rsid w:val="00B52702"/>
    <w:rsid w:val="00B55012"/>
    <w:rsid w:val="00B57B7E"/>
    <w:rsid w:val="00B635B1"/>
    <w:rsid w:val="00B6778B"/>
    <w:rsid w:val="00B67CAF"/>
    <w:rsid w:val="00B716B6"/>
    <w:rsid w:val="00B73E5D"/>
    <w:rsid w:val="00B75F3F"/>
    <w:rsid w:val="00B777A6"/>
    <w:rsid w:val="00B803FD"/>
    <w:rsid w:val="00B931DD"/>
    <w:rsid w:val="00B933A9"/>
    <w:rsid w:val="00B96852"/>
    <w:rsid w:val="00B968DD"/>
    <w:rsid w:val="00B97E0C"/>
    <w:rsid w:val="00BA0F9F"/>
    <w:rsid w:val="00BA366B"/>
    <w:rsid w:val="00BA4291"/>
    <w:rsid w:val="00BB0518"/>
    <w:rsid w:val="00BB10A4"/>
    <w:rsid w:val="00BB14FC"/>
    <w:rsid w:val="00BB4EB6"/>
    <w:rsid w:val="00BB7C3F"/>
    <w:rsid w:val="00BC04A7"/>
    <w:rsid w:val="00BC2534"/>
    <w:rsid w:val="00BC3635"/>
    <w:rsid w:val="00BC6AA6"/>
    <w:rsid w:val="00BD0739"/>
    <w:rsid w:val="00BD1670"/>
    <w:rsid w:val="00BD382E"/>
    <w:rsid w:val="00BD5A51"/>
    <w:rsid w:val="00BD668E"/>
    <w:rsid w:val="00BD774F"/>
    <w:rsid w:val="00BD7BDD"/>
    <w:rsid w:val="00BD7DE3"/>
    <w:rsid w:val="00BE1429"/>
    <w:rsid w:val="00BE1F15"/>
    <w:rsid w:val="00BE1FC9"/>
    <w:rsid w:val="00BE4512"/>
    <w:rsid w:val="00BE581D"/>
    <w:rsid w:val="00BE62FA"/>
    <w:rsid w:val="00BF4E3D"/>
    <w:rsid w:val="00BF7FC7"/>
    <w:rsid w:val="00C00F72"/>
    <w:rsid w:val="00C01687"/>
    <w:rsid w:val="00C022AF"/>
    <w:rsid w:val="00C06AB3"/>
    <w:rsid w:val="00C12CDB"/>
    <w:rsid w:val="00C14586"/>
    <w:rsid w:val="00C15012"/>
    <w:rsid w:val="00C16AB7"/>
    <w:rsid w:val="00C206B1"/>
    <w:rsid w:val="00C2452A"/>
    <w:rsid w:val="00C26703"/>
    <w:rsid w:val="00C2736F"/>
    <w:rsid w:val="00C27A4E"/>
    <w:rsid w:val="00C31373"/>
    <w:rsid w:val="00C32215"/>
    <w:rsid w:val="00C3235A"/>
    <w:rsid w:val="00C33D1A"/>
    <w:rsid w:val="00C36446"/>
    <w:rsid w:val="00C40792"/>
    <w:rsid w:val="00C42F1E"/>
    <w:rsid w:val="00C43D62"/>
    <w:rsid w:val="00C505E1"/>
    <w:rsid w:val="00C64C2B"/>
    <w:rsid w:val="00C75445"/>
    <w:rsid w:val="00C7670D"/>
    <w:rsid w:val="00C8771A"/>
    <w:rsid w:val="00C91CD9"/>
    <w:rsid w:val="00C92481"/>
    <w:rsid w:val="00CA0E5E"/>
    <w:rsid w:val="00CA14E1"/>
    <w:rsid w:val="00CA18BE"/>
    <w:rsid w:val="00CA23EB"/>
    <w:rsid w:val="00CA3517"/>
    <w:rsid w:val="00CA3933"/>
    <w:rsid w:val="00CB0F69"/>
    <w:rsid w:val="00CB2C3E"/>
    <w:rsid w:val="00CB679A"/>
    <w:rsid w:val="00CB73BB"/>
    <w:rsid w:val="00CB78A8"/>
    <w:rsid w:val="00CC1DE0"/>
    <w:rsid w:val="00CC449B"/>
    <w:rsid w:val="00CC4657"/>
    <w:rsid w:val="00CC5AEF"/>
    <w:rsid w:val="00CC5F89"/>
    <w:rsid w:val="00CC75CE"/>
    <w:rsid w:val="00CD228B"/>
    <w:rsid w:val="00CD2F45"/>
    <w:rsid w:val="00CD4528"/>
    <w:rsid w:val="00CE2551"/>
    <w:rsid w:val="00CE479A"/>
    <w:rsid w:val="00CE7B22"/>
    <w:rsid w:val="00CF3D21"/>
    <w:rsid w:val="00CF560F"/>
    <w:rsid w:val="00D01D80"/>
    <w:rsid w:val="00D02B36"/>
    <w:rsid w:val="00D05131"/>
    <w:rsid w:val="00D052BB"/>
    <w:rsid w:val="00D05AD6"/>
    <w:rsid w:val="00D05CA9"/>
    <w:rsid w:val="00D17743"/>
    <w:rsid w:val="00D17D68"/>
    <w:rsid w:val="00D2631E"/>
    <w:rsid w:val="00D302A9"/>
    <w:rsid w:val="00D3046E"/>
    <w:rsid w:val="00D34274"/>
    <w:rsid w:val="00D373E8"/>
    <w:rsid w:val="00D4542B"/>
    <w:rsid w:val="00D516BE"/>
    <w:rsid w:val="00D523A5"/>
    <w:rsid w:val="00D529BE"/>
    <w:rsid w:val="00D5762D"/>
    <w:rsid w:val="00D65066"/>
    <w:rsid w:val="00D65663"/>
    <w:rsid w:val="00D66E1D"/>
    <w:rsid w:val="00D6710C"/>
    <w:rsid w:val="00D71F20"/>
    <w:rsid w:val="00D7335D"/>
    <w:rsid w:val="00D77513"/>
    <w:rsid w:val="00D77DFA"/>
    <w:rsid w:val="00D847B5"/>
    <w:rsid w:val="00D861FE"/>
    <w:rsid w:val="00D86A7C"/>
    <w:rsid w:val="00D936E8"/>
    <w:rsid w:val="00D9654D"/>
    <w:rsid w:val="00DA19A8"/>
    <w:rsid w:val="00DA45EE"/>
    <w:rsid w:val="00DA7A83"/>
    <w:rsid w:val="00DB0D0F"/>
    <w:rsid w:val="00DB15AC"/>
    <w:rsid w:val="00DB67FE"/>
    <w:rsid w:val="00DC092B"/>
    <w:rsid w:val="00DC219A"/>
    <w:rsid w:val="00DC7573"/>
    <w:rsid w:val="00DD0A1A"/>
    <w:rsid w:val="00DD104D"/>
    <w:rsid w:val="00DD5ACA"/>
    <w:rsid w:val="00DD6233"/>
    <w:rsid w:val="00DE1559"/>
    <w:rsid w:val="00DE23E9"/>
    <w:rsid w:val="00DE26E5"/>
    <w:rsid w:val="00DE4263"/>
    <w:rsid w:val="00DE5128"/>
    <w:rsid w:val="00DF2044"/>
    <w:rsid w:val="00DF3A01"/>
    <w:rsid w:val="00DF4B4A"/>
    <w:rsid w:val="00DF794B"/>
    <w:rsid w:val="00E04344"/>
    <w:rsid w:val="00E067B9"/>
    <w:rsid w:val="00E11A86"/>
    <w:rsid w:val="00E12258"/>
    <w:rsid w:val="00E14251"/>
    <w:rsid w:val="00E16DFE"/>
    <w:rsid w:val="00E23CAE"/>
    <w:rsid w:val="00E27723"/>
    <w:rsid w:val="00E338B2"/>
    <w:rsid w:val="00E34AB0"/>
    <w:rsid w:val="00E402B4"/>
    <w:rsid w:val="00E43757"/>
    <w:rsid w:val="00E469F9"/>
    <w:rsid w:val="00E54127"/>
    <w:rsid w:val="00E553C5"/>
    <w:rsid w:val="00E5716C"/>
    <w:rsid w:val="00E57F28"/>
    <w:rsid w:val="00E628DA"/>
    <w:rsid w:val="00E7050E"/>
    <w:rsid w:val="00E708C2"/>
    <w:rsid w:val="00E758FC"/>
    <w:rsid w:val="00E77E65"/>
    <w:rsid w:val="00E804F0"/>
    <w:rsid w:val="00E80C85"/>
    <w:rsid w:val="00E82B39"/>
    <w:rsid w:val="00E846F2"/>
    <w:rsid w:val="00E91636"/>
    <w:rsid w:val="00E91AE7"/>
    <w:rsid w:val="00E91F17"/>
    <w:rsid w:val="00E9319B"/>
    <w:rsid w:val="00E94E54"/>
    <w:rsid w:val="00E96592"/>
    <w:rsid w:val="00E96595"/>
    <w:rsid w:val="00EA4F38"/>
    <w:rsid w:val="00EA5BDD"/>
    <w:rsid w:val="00EB01DB"/>
    <w:rsid w:val="00EB1A35"/>
    <w:rsid w:val="00EB24D3"/>
    <w:rsid w:val="00EB42D4"/>
    <w:rsid w:val="00EB4BE7"/>
    <w:rsid w:val="00EB6442"/>
    <w:rsid w:val="00EB7630"/>
    <w:rsid w:val="00EC49E1"/>
    <w:rsid w:val="00EC4DB9"/>
    <w:rsid w:val="00EC51C0"/>
    <w:rsid w:val="00EC7BF3"/>
    <w:rsid w:val="00EC7F85"/>
    <w:rsid w:val="00ED2826"/>
    <w:rsid w:val="00ED79DD"/>
    <w:rsid w:val="00EE59A9"/>
    <w:rsid w:val="00EF0487"/>
    <w:rsid w:val="00EF5252"/>
    <w:rsid w:val="00F01E13"/>
    <w:rsid w:val="00F02FF2"/>
    <w:rsid w:val="00F062E5"/>
    <w:rsid w:val="00F06BF3"/>
    <w:rsid w:val="00F11465"/>
    <w:rsid w:val="00F12353"/>
    <w:rsid w:val="00F14F4C"/>
    <w:rsid w:val="00F155FD"/>
    <w:rsid w:val="00F169FA"/>
    <w:rsid w:val="00F23D6F"/>
    <w:rsid w:val="00F278F2"/>
    <w:rsid w:val="00F33268"/>
    <w:rsid w:val="00F37C66"/>
    <w:rsid w:val="00F45187"/>
    <w:rsid w:val="00F57EAC"/>
    <w:rsid w:val="00F60396"/>
    <w:rsid w:val="00F61636"/>
    <w:rsid w:val="00F641BC"/>
    <w:rsid w:val="00F71216"/>
    <w:rsid w:val="00F72E80"/>
    <w:rsid w:val="00F741D5"/>
    <w:rsid w:val="00F746D2"/>
    <w:rsid w:val="00F76544"/>
    <w:rsid w:val="00F81DC3"/>
    <w:rsid w:val="00F874F4"/>
    <w:rsid w:val="00F9017B"/>
    <w:rsid w:val="00F90FEE"/>
    <w:rsid w:val="00F918A0"/>
    <w:rsid w:val="00F918E4"/>
    <w:rsid w:val="00F931A6"/>
    <w:rsid w:val="00F976CF"/>
    <w:rsid w:val="00FB2567"/>
    <w:rsid w:val="00FB3CDD"/>
    <w:rsid w:val="00FC1A7A"/>
    <w:rsid w:val="00FC1B6F"/>
    <w:rsid w:val="00FC2CD4"/>
    <w:rsid w:val="00FC593C"/>
    <w:rsid w:val="00FC59AA"/>
    <w:rsid w:val="00FC6588"/>
    <w:rsid w:val="00FC6703"/>
    <w:rsid w:val="00FC6DE1"/>
    <w:rsid w:val="00FD032A"/>
    <w:rsid w:val="00FE6377"/>
    <w:rsid w:val="00FE7A55"/>
    <w:rsid w:val="00FF1675"/>
    <w:rsid w:val="00FF3AC1"/>
    <w:rsid w:val="00FF5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9595"/>
  <w15:docId w15:val="{70A580EE-5374-4F0D-B1BC-EF0E70FF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sis">
    <w:name w:val="thesis"/>
    <w:basedOn w:val="Normal"/>
    <w:qFormat/>
    <w:rsid w:val="003E31BF"/>
    <w:pPr>
      <w:spacing w:line="360" w:lineRule="auto"/>
      <w:jc w:val="both"/>
    </w:pPr>
  </w:style>
  <w:style w:type="paragraph" w:styleId="NormalWeb">
    <w:name w:val="Normal (Web)"/>
    <w:basedOn w:val="Normal"/>
    <w:uiPriority w:val="99"/>
    <w:semiHidden/>
    <w:unhideWhenUsed/>
    <w:rsid w:val="007E6D60"/>
    <w:pPr>
      <w:spacing w:before="100" w:beforeAutospacing="1" w:after="100" w:afterAutospacing="1" w:line="240" w:lineRule="auto"/>
    </w:pPr>
    <w:rPr>
      <w:rFonts w:eastAsiaTheme="minorEastAsia" w:cs="Times New Roman"/>
      <w:szCs w:val="24"/>
      <w:lang w:eastAsia="en-GB"/>
    </w:rPr>
  </w:style>
  <w:style w:type="paragraph" w:styleId="ListParagraph">
    <w:name w:val="List Paragraph"/>
    <w:basedOn w:val="Normal"/>
    <w:uiPriority w:val="34"/>
    <w:qFormat/>
    <w:rsid w:val="00731297"/>
    <w:pPr>
      <w:ind w:left="720"/>
      <w:contextualSpacing/>
    </w:pPr>
  </w:style>
  <w:style w:type="table" w:styleId="TableGrid">
    <w:name w:val="Table Grid"/>
    <w:basedOn w:val="TableNormal"/>
    <w:uiPriority w:val="39"/>
    <w:rsid w:val="0073129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1297"/>
    <w:rPr>
      <w:sz w:val="16"/>
      <w:szCs w:val="16"/>
    </w:rPr>
  </w:style>
  <w:style w:type="paragraph" w:styleId="CommentText">
    <w:name w:val="annotation text"/>
    <w:basedOn w:val="Normal"/>
    <w:link w:val="CommentTextChar"/>
    <w:uiPriority w:val="99"/>
    <w:semiHidden/>
    <w:unhideWhenUsed/>
    <w:rsid w:val="00731297"/>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731297"/>
    <w:rPr>
      <w:rFonts w:asciiTheme="minorHAnsi" w:hAnsiTheme="minorHAnsi"/>
      <w:sz w:val="20"/>
      <w:szCs w:val="20"/>
    </w:rPr>
  </w:style>
  <w:style w:type="paragraph" w:styleId="BalloonText">
    <w:name w:val="Balloon Text"/>
    <w:basedOn w:val="Normal"/>
    <w:link w:val="BalloonTextChar"/>
    <w:uiPriority w:val="99"/>
    <w:semiHidden/>
    <w:unhideWhenUsed/>
    <w:rsid w:val="007312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29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1297"/>
    <w:rPr>
      <w:rFonts w:ascii="Times New Roman" w:hAnsi="Times New Roman"/>
      <w:b/>
      <w:bCs/>
    </w:rPr>
  </w:style>
  <w:style w:type="character" w:customStyle="1" w:styleId="CommentSubjectChar">
    <w:name w:val="Comment Subject Char"/>
    <w:basedOn w:val="CommentTextChar"/>
    <w:link w:val="CommentSubject"/>
    <w:uiPriority w:val="99"/>
    <w:semiHidden/>
    <w:rsid w:val="00731297"/>
    <w:rPr>
      <w:rFonts w:asciiTheme="minorHAnsi" w:hAnsiTheme="minorHAnsi"/>
      <w:b/>
      <w:bCs/>
      <w:sz w:val="20"/>
      <w:szCs w:val="20"/>
    </w:rPr>
  </w:style>
  <w:style w:type="character" w:styleId="Hyperlink">
    <w:name w:val="Hyperlink"/>
    <w:basedOn w:val="DefaultParagraphFont"/>
    <w:rsid w:val="003C52B2"/>
    <w:rPr>
      <w:color w:val="0000FF"/>
      <w:u w:val="single"/>
    </w:rPr>
  </w:style>
  <w:style w:type="character" w:customStyle="1" w:styleId="jrnl">
    <w:name w:val="jrnl"/>
    <w:basedOn w:val="DefaultParagraphFont"/>
    <w:rsid w:val="003C52B2"/>
  </w:style>
  <w:style w:type="character" w:styleId="Strong">
    <w:name w:val="Strong"/>
    <w:basedOn w:val="DefaultParagraphFont"/>
    <w:uiPriority w:val="22"/>
    <w:qFormat/>
    <w:rsid w:val="001A2254"/>
    <w:rPr>
      <w:b/>
      <w:bCs/>
    </w:rPr>
  </w:style>
  <w:style w:type="paragraph" w:styleId="Revision">
    <w:name w:val="Revision"/>
    <w:hidden/>
    <w:uiPriority w:val="99"/>
    <w:semiHidden/>
    <w:rsid w:val="00177882"/>
    <w:pPr>
      <w:spacing w:after="0" w:line="240" w:lineRule="auto"/>
    </w:pPr>
  </w:style>
  <w:style w:type="character" w:styleId="LineNumber">
    <w:name w:val="line number"/>
    <w:basedOn w:val="DefaultParagraphFont"/>
    <w:uiPriority w:val="99"/>
    <w:semiHidden/>
    <w:unhideWhenUsed/>
    <w:rsid w:val="00016AAF"/>
  </w:style>
  <w:style w:type="paragraph" w:styleId="Header">
    <w:name w:val="header"/>
    <w:basedOn w:val="Normal"/>
    <w:link w:val="HeaderChar"/>
    <w:uiPriority w:val="99"/>
    <w:unhideWhenUsed/>
    <w:rsid w:val="00D45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42B"/>
  </w:style>
  <w:style w:type="paragraph" w:styleId="Footer">
    <w:name w:val="footer"/>
    <w:basedOn w:val="Normal"/>
    <w:link w:val="FooterChar"/>
    <w:uiPriority w:val="99"/>
    <w:unhideWhenUsed/>
    <w:rsid w:val="00D45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2307">
      <w:bodyDiv w:val="1"/>
      <w:marLeft w:val="0"/>
      <w:marRight w:val="0"/>
      <w:marTop w:val="0"/>
      <w:marBottom w:val="0"/>
      <w:divBdr>
        <w:top w:val="none" w:sz="0" w:space="0" w:color="auto"/>
        <w:left w:val="none" w:sz="0" w:space="0" w:color="auto"/>
        <w:bottom w:val="none" w:sz="0" w:space="0" w:color="auto"/>
        <w:right w:val="none" w:sz="0" w:space="0" w:color="auto"/>
      </w:divBdr>
    </w:div>
    <w:div w:id="43144029">
      <w:bodyDiv w:val="1"/>
      <w:marLeft w:val="0"/>
      <w:marRight w:val="0"/>
      <w:marTop w:val="0"/>
      <w:marBottom w:val="0"/>
      <w:divBdr>
        <w:top w:val="none" w:sz="0" w:space="0" w:color="auto"/>
        <w:left w:val="none" w:sz="0" w:space="0" w:color="auto"/>
        <w:bottom w:val="none" w:sz="0" w:space="0" w:color="auto"/>
        <w:right w:val="none" w:sz="0" w:space="0" w:color="auto"/>
      </w:divBdr>
    </w:div>
    <w:div w:id="72046723">
      <w:bodyDiv w:val="1"/>
      <w:marLeft w:val="0"/>
      <w:marRight w:val="0"/>
      <w:marTop w:val="0"/>
      <w:marBottom w:val="0"/>
      <w:divBdr>
        <w:top w:val="none" w:sz="0" w:space="0" w:color="auto"/>
        <w:left w:val="none" w:sz="0" w:space="0" w:color="auto"/>
        <w:bottom w:val="none" w:sz="0" w:space="0" w:color="auto"/>
        <w:right w:val="none" w:sz="0" w:space="0" w:color="auto"/>
      </w:divBdr>
    </w:div>
    <w:div w:id="196889915">
      <w:bodyDiv w:val="1"/>
      <w:marLeft w:val="0"/>
      <w:marRight w:val="0"/>
      <w:marTop w:val="0"/>
      <w:marBottom w:val="0"/>
      <w:divBdr>
        <w:top w:val="none" w:sz="0" w:space="0" w:color="auto"/>
        <w:left w:val="none" w:sz="0" w:space="0" w:color="auto"/>
        <w:bottom w:val="none" w:sz="0" w:space="0" w:color="auto"/>
        <w:right w:val="none" w:sz="0" w:space="0" w:color="auto"/>
      </w:divBdr>
    </w:div>
    <w:div w:id="339771294">
      <w:bodyDiv w:val="1"/>
      <w:marLeft w:val="0"/>
      <w:marRight w:val="0"/>
      <w:marTop w:val="0"/>
      <w:marBottom w:val="0"/>
      <w:divBdr>
        <w:top w:val="none" w:sz="0" w:space="0" w:color="auto"/>
        <w:left w:val="none" w:sz="0" w:space="0" w:color="auto"/>
        <w:bottom w:val="none" w:sz="0" w:space="0" w:color="auto"/>
        <w:right w:val="none" w:sz="0" w:space="0" w:color="auto"/>
      </w:divBdr>
    </w:div>
    <w:div w:id="408843723">
      <w:bodyDiv w:val="1"/>
      <w:marLeft w:val="0"/>
      <w:marRight w:val="0"/>
      <w:marTop w:val="0"/>
      <w:marBottom w:val="0"/>
      <w:divBdr>
        <w:top w:val="none" w:sz="0" w:space="0" w:color="auto"/>
        <w:left w:val="none" w:sz="0" w:space="0" w:color="auto"/>
        <w:bottom w:val="none" w:sz="0" w:space="0" w:color="auto"/>
        <w:right w:val="none" w:sz="0" w:space="0" w:color="auto"/>
      </w:divBdr>
    </w:div>
    <w:div w:id="424112234">
      <w:bodyDiv w:val="1"/>
      <w:marLeft w:val="0"/>
      <w:marRight w:val="0"/>
      <w:marTop w:val="0"/>
      <w:marBottom w:val="0"/>
      <w:divBdr>
        <w:top w:val="none" w:sz="0" w:space="0" w:color="auto"/>
        <w:left w:val="none" w:sz="0" w:space="0" w:color="auto"/>
        <w:bottom w:val="none" w:sz="0" w:space="0" w:color="auto"/>
        <w:right w:val="none" w:sz="0" w:space="0" w:color="auto"/>
      </w:divBdr>
    </w:div>
    <w:div w:id="558369087">
      <w:bodyDiv w:val="1"/>
      <w:marLeft w:val="0"/>
      <w:marRight w:val="0"/>
      <w:marTop w:val="0"/>
      <w:marBottom w:val="0"/>
      <w:divBdr>
        <w:top w:val="none" w:sz="0" w:space="0" w:color="auto"/>
        <w:left w:val="none" w:sz="0" w:space="0" w:color="auto"/>
        <w:bottom w:val="none" w:sz="0" w:space="0" w:color="auto"/>
        <w:right w:val="none" w:sz="0" w:space="0" w:color="auto"/>
      </w:divBdr>
    </w:div>
    <w:div w:id="749422936">
      <w:bodyDiv w:val="1"/>
      <w:marLeft w:val="0"/>
      <w:marRight w:val="0"/>
      <w:marTop w:val="0"/>
      <w:marBottom w:val="0"/>
      <w:divBdr>
        <w:top w:val="none" w:sz="0" w:space="0" w:color="auto"/>
        <w:left w:val="none" w:sz="0" w:space="0" w:color="auto"/>
        <w:bottom w:val="none" w:sz="0" w:space="0" w:color="auto"/>
        <w:right w:val="none" w:sz="0" w:space="0" w:color="auto"/>
      </w:divBdr>
      <w:divsChild>
        <w:div w:id="771362715">
          <w:marLeft w:val="0"/>
          <w:marRight w:val="0"/>
          <w:marTop w:val="0"/>
          <w:marBottom w:val="0"/>
          <w:divBdr>
            <w:top w:val="none" w:sz="0" w:space="0" w:color="auto"/>
            <w:left w:val="none" w:sz="0" w:space="0" w:color="auto"/>
            <w:bottom w:val="none" w:sz="0" w:space="0" w:color="auto"/>
            <w:right w:val="none" w:sz="0" w:space="0" w:color="auto"/>
          </w:divBdr>
        </w:div>
      </w:divsChild>
    </w:div>
    <w:div w:id="774180188">
      <w:bodyDiv w:val="1"/>
      <w:marLeft w:val="0"/>
      <w:marRight w:val="0"/>
      <w:marTop w:val="0"/>
      <w:marBottom w:val="0"/>
      <w:divBdr>
        <w:top w:val="none" w:sz="0" w:space="0" w:color="auto"/>
        <w:left w:val="none" w:sz="0" w:space="0" w:color="auto"/>
        <w:bottom w:val="none" w:sz="0" w:space="0" w:color="auto"/>
        <w:right w:val="none" w:sz="0" w:space="0" w:color="auto"/>
      </w:divBdr>
    </w:div>
    <w:div w:id="852305244">
      <w:bodyDiv w:val="1"/>
      <w:marLeft w:val="0"/>
      <w:marRight w:val="0"/>
      <w:marTop w:val="0"/>
      <w:marBottom w:val="0"/>
      <w:divBdr>
        <w:top w:val="none" w:sz="0" w:space="0" w:color="auto"/>
        <w:left w:val="none" w:sz="0" w:space="0" w:color="auto"/>
        <w:bottom w:val="none" w:sz="0" w:space="0" w:color="auto"/>
        <w:right w:val="none" w:sz="0" w:space="0" w:color="auto"/>
      </w:divBdr>
    </w:div>
    <w:div w:id="865993750">
      <w:bodyDiv w:val="1"/>
      <w:marLeft w:val="0"/>
      <w:marRight w:val="0"/>
      <w:marTop w:val="0"/>
      <w:marBottom w:val="0"/>
      <w:divBdr>
        <w:top w:val="none" w:sz="0" w:space="0" w:color="auto"/>
        <w:left w:val="none" w:sz="0" w:space="0" w:color="auto"/>
        <w:bottom w:val="none" w:sz="0" w:space="0" w:color="auto"/>
        <w:right w:val="none" w:sz="0" w:space="0" w:color="auto"/>
      </w:divBdr>
    </w:div>
    <w:div w:id="938563634">
      <w:bodyDiv w:val="1"/>
      <w:marLeft w:val="0"/>
      <w:marRight w:val="0"/>
      <w:marTop w:val="0"/>
      <w:marBottom w:val="0"/>
      <w:divBdr>
        <w:top w:val="none" w:sz="0" w:space="0" w:color="auto"/>
        <w:left w:val="none" w:sz="0" w:space="0" w:color="auto"/>
        <w:bottom w:val="none" w:sz="0" w:space="0" w:color="auto"/>
        <w:right w:val="none" w:sz="0" w:space="0" w:color="auto"/>
      </w:divBdr>
    </w:div>
    <w:div w:id="1077366956">
      <w:bodyDiv w:val="1"/>
      <w:marLeft w:val="0"/>
      <w:marRight w:val="0"/>
      <w:marTop w:val="0"/>
      <w:marBottom w:val="0"/>
      <w:divBdr>
        <w:top w:val="none" w:sz="0" w:space="0" w:color="auto"/>
        <w:left w:val="none" w:sz="0" w:space="0" w:color="auto"/>
        <w:bottom w:val="none" w:sz="0" w:space="0" w:color="auto"/>
        <w:right w:val="none" w:sz="0" w:space="0" w:color="auto"/>
      </w:divBdr>
    </w:div>
    <w:div w:id="1129862677">
      <w:bodyDiv w:val="1"/>
      <w:marLeft w:val="0"/>
      <w:marRight w:val="0"/>
      <w:marTop w:val="0"/>
      <w:marBottom w:val="0"/>
      <w:divBdr>
        <w:top w:val="none" w:sz="0" w:space="0" w:color="auto"/>
        <w:left w:val="none" w:sz="0" w:space="0" w:color="auto"/>
        <w:bottom w:val="none" w:sz="0" w:space="0" w:color="auto"/>
        <w:right w:val="none" w:sz="0" w:space="0" w:color="auto"/>
      </w:divBdr>
    </w:div>
    <w:div w:id="1406106206">
      <w:bodyDiv w:val="1"/>
      <w:marLeft w:val="0"/>
      <w:marRight w:val="0"/>
      <w:marTop w:val="0"/>
      <w:marBottom w:val="0"/>
      <w:divBdr>
        <w:top w:val="none" w:sz="0" w:space="0" w:color="auto"/>
        <w:left w:val="none" w:sz="0" w:space="0" w:color="auto"/>
        <w:bottom w:val="none" w:sz="0" w:space="0" w:color="auto"/>
        <w:right w:val="none" w:sz="0" w:space="0" w:color="auto"/>
      </w:divBdr>
    </w:div>
    <w:div w:id="1471247862">
      <w:bodyDiv w:val="1"/>
      <w:marLeft w:val="0"/>
      <w:marRight w:val="0"/>
      <w:marTop w:val="0"/>
      <w:marBottom w:val="0"/>
      <w:divBdr>
        <w:top w:val="none" w:sz="0" w:space="0" w:color="auto"/>
        <w:left w:val="none" w:sz="0" w:space="0" w:color="auto"/>
        <w:bottom w:val="none" w:sz="0" w:space="0" w:color="auto"/>
        <w:right w:val="none" w:sz="0" w:space="0" w:color="auto"/>
      </w:divBdr>
    </w:div>
    <w:div w:id="1713841594">
      <w:bodyDiv w:val="1"/>
      <w:marLeft w:val="0"/>
      <w:marRight w:val="0"/>
      <w:marTop w:val="0"/>
      <w:marBottom w:val="0"/>
      <w:divBdr>
        <w:top w:val="none" w:sz="0" w:space="0" w:color="auto"/>
        <w:left w:val="none" w:sz="0" w:space="0" w:color="auto"/>
        <w:bottom w:val="none" w:sz="0" w:space="0" w:color="auto"/>
        <w:right w:val="none" w:sz="0" w:space="0" w:color="auto"/>
      </w:divBdr>
    </w:div>
    <w:div w:id="1797795628">
      <w:bodyDiv w:val="1"/>
      <w:marLeft w:val="0"/>
      <w:marRight w:val="0"/>
      <w:marTop w:val="0"/>
      <w:marBottom w:val="0"/>
      <w:divBdr>
        <w:top w:val="none" w:sz="0" w:space="0" w:color="auto"/>
        <w:left w:val="none" w:sz="0" w:space="0" w:color="auto"/>
        <w:bottom w:val="none" w:sz="0" w:space="0" w:color="auto"/>
        <w:right w:val="none" w:sz="0" w:space="0" w:color="auto"/>
      </w:divBdr>
    </w:div>
    <w:div w:id="1844933084">
      <w:bodyDiv w:val="1"/>
      <w:marLeft w:val="0"/>
      <w:marRight w:val="0"/>
      <w:marTop w:val="0"/>
      <w:marBottom w:val="0"/>
      <w:divBdr>
        <w:top w:val="none" w:sz="0" w:space="0" w:color="auto"/>
        <w:left w:val="none" w:sz="0" w:space="0" w:color="auto"/>
        <w:bottom w:val="none" w:sz="0" w:space="0" w:color="auto"/>
        <w:right w:val="none" w:sz="0" w:space="0" w:color="auto"/>
      </w:divBdr>
    </w:div>
    <w:div w:id="1897624392">
      <w:bodyDiv w:val="1"/>
      <w:marLeft w:val="0"/>
      <w:marRight w:val="0"/>
      <w:marTop w:val="0"/>
      <w:marBottom w:val="0"/>
      <w:divBdr>
        <w:top w:val="none" w:sz="0" w:space="0" w:color="auto"/>
        <w:left w:val="none" w:sz="0" w:space="0" w:color="auto"/>
        <w:bottom w:val="none" w:sz="0" w:space="0" w:color="auto"/>
        <w:right w:val="none" w:sz="0" w:space="0" w:color="auto"/>
      </w:divBdr>
    </w:div>
    <w:div w:id="1966961735">
      <w:bodyDiv w:val="1"/>
      <w:marLeft w:val="0"/>
      <w:marRight w:val="0"/>
      <w:marTop w:val="0"/>
      <w:marBottom w:val="0"/>
      <w:divBdr>
        <w:top w:val="none" w:sz="0" w:space="0" w:color="auto"/>
        <w:left w:val="none" w:sz="0" w:space="0" w:color="auto"/>
        <w:bottom w:val="none" w:sz="0" w:space="0" w:color="auto"/>
        <w:right w:val="none" w:sz="0" w:space="0" w:color="auto"/>
      </w:divBdr>
    </w:div>
    <w:div w:id="212225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1ED8-E2AD-492E-AAA7-2C2372A43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4365</Words>
  <Characters>24887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29194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Rashid Ashraf</dc:creator>
  <cp:keywords/>
  <dc:description/>
  <cp:lastModifiedBy>Muhammad Rashid</cp:lastModifiedBy>
  <cp:revision>8</cp:revision>
  <dcterms:created xsi:type="dcterms:W3CDTF">2022-05-05T11:11:00Z</dcterms:created>
  <dcterms:modified xsi:type="dcterms:W3CDTF">2022-06-18T17:15:00Z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user:5eb199b4e4b0c36dc467c06b</vt:lpwstr>
  </property>
  <property fmtid="{D5CDD505-2E9C-101B-9397-08002B2CF9AE}" pid="3" name="WnCSubscriberId">
    <vt:lpwstr>0</vt:lpwstr>
  </property>
  <property fmtid="{D5CDD505-2E9C-101B-9397-08002B2CF9AE}" pid="4" name="WnCOutputStyleId">
    <vt:lpwstr>3274</vt:lpwstr>
  </property>
  <property fmtid="{D5CDD505-2E9C-101B-9397-08002B2CF9AE}" pid="5" name="RWProductId">
    <vt:lpwstr>Flow</vt:lpwstr>
  </property>
  <property fmtid="{D5CDD505-2E9C-101B-9397-08002B2CF9AE}" pid="6" name="RWProjectId">
    <vt:lpwstr>ap:5eb199b4e4b0c36dc467c06c</vt:lpwstr>
  </property>
  <property fmtid="{D5CDD505-2E9C-101B-9397-08002B2CF9AE}" pid="7" name="WnC4Folder">
    <vt:lpwstr>Documents///BCIS OHCA heart</vt:lpwstr>
  </property>
</Properties>
</file>