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B182BE" w14:textId="40F06608" w:rsidR="00311758" w:rsidRPr="008D337D" w:rsidRDefault="00D6398F" w:rsidP="008D337D">
      <w:pPr>
        <w:pStyle w:val="Heading1"/>
        <w:spacing w:line="480" w:lineRule="auto"/>
        <w:jc w:val="both"/>
        <w:rPr>
          <w:rFonts w:asciiTheme="minorHAnsi" w:hAnsiTheme="minorHAnsi" w:cstheme="minorHAnsi"/>
        </w:rPr>
      </w:pPr>
      <w:r w:rsidRPr="008D337D">
        <w:rPr>
          <w:rFonts w:asciiTheme="minorHAnsi" w:hAnsiTheme="minorHAnsi" w:cstheme="minorHAnsi"/>
          <w:b/>
          <w:bCs/>
          <w:color w:val="000000" w:themeColor="text1"/>
        </w:rPr>
        <w:t xml:space="preserve">Compassionate use of pulmonary vasodilators in acute </w:t>
      </w:r>
      <w:r w:rsidR="00311758" w:rsidRPr="008D337D">
        <w:rPr>
          <w:rFonts w:asciiTheme="minorHAnsi" w:hAnsiTheme="minorHAnsi" w:cstheme="minorHAnsi"/>
          <w:b/>
          <w:bCs/>
          <w:color w:val="000000" w:themeColor="text1"/>
        </w:rPr>
        <w:t xml:space="preserve">severe </w:t>
      </w:r>
      <w:r w:rsidRPr="008D337D">
        <w:rPr>
          <w:rFonts w:asciiTheme="minorHAnsi" w:hAnsiTheme="minorHAnsi" w:cstheme="minorHAnsi"/>
          <w:b/>
          <w:bCs/>
          <w:color w:val="000000" w:themeColor="text1"/>
        </w:rPr>
        <w:t>hypoxic respiratory failure due to C</w:t>
      </w:r>
      <w:r w:rsidR="00311758" w:rsidRPr="008D337D">
        <w:rPr>
          <w:rFonts w:asciiTheme="minorHAnsi" w:hAnsiTheme="minorHAnsi" w:cstheme="minorHAnsi"/>
          <w:b/>
          <w:bCs/>
          <w:color w:val="000000" w:themeColor="text1"/>
        </w:rPr>
        <w:t>OVID</w:t>
      </w:r>
      <w:r w:rsidRPr="008D337D">
        <w:rPr>
          <w:rFonts w:asciiTheme="minorHAnsi" w:hAnsiTheme="minorHAnsi" w:cstheme="minorHAnsi"/>
          <w:b/>
          <w:bCs/>
          <w:color w:val="000000" w:themeColor="text1"/>
        </w:rPr>
        <w:t>-19</w:t>
      </w:r>
    </w:p>
    <w:p w14:paraId="4AC924F2" w14:textId="57142541" w:rsidR="00311758" w:rsidRPr="008D337D" w:rsidRDefault="007629AE" w:rsidP="008D337D">
      <w:pPr>
        <w:spacing w:line="480" w:lineRule="auto"/>
        <w:jc w:val="both"/>
        <w:rPr>
          <w:rFonts w:cstheme="minorHAnsi"/>
          <w:sz w:val="24"/>
          <w:szCs w:val="24"/>
        </w:rPr>
      </w:pPr>
      <w:r>
        <w:rPr>
          <w:rFonts w:cstheme="minorHAnsi"/>
          <w:b/>
          <w:sz w:val="24"/>
          <w:szCs w:val="24"/>
        </w:rPr>
        <w:t>Lewis Matthews</w:t>
      </w:r>
      <w:r w:rsidR="00311758" w:rsidRPr="008D337D">
        <w:rPr>
          <w:rFonts w:cstheme="minorHAnsi"/>
          <w:sz w:val="24"/>
          <w:szCs w:val="24"/>
        </w:rPr>
        <w:t xml:space="preserve"> </w:t>
      </w:r>
      <w:r w:rsidR="007E48C9" w:rsidRPr="007E48C9">
        <w:rPr>
          <w:rFonts w:cstheme="minorHAnsi"/>
          <w:sz w:val="24"/>
          <w:szCs w:val="24"/>
        </w:rPr>
        <w:t>BM</w:t>
      </w:r>
      <w:r w:rsidR="00311758" w:rsidRPr="008D337D">
        <w:rPr>
          <w:rFonts w:cstheme="minorHAnsi"/>
          <w:sz w:val="24"/>
          <w:szCs w:val="24"/>
          <w:vertAlign w:val="superscript"/>
        </w:rPr>
        <w:t>1,2,3</w:t>
      </w:r>
      <w:r>
        <w:rPr>
          <w:rFonts w:cstheme="minorHAnsi"/>
          <w:sz w:val="24"/>
          <w:szCs w:val="24"/>
        </w:rPr>
        <w:t xml:space="preserve">, </w:t>
      </w:r>
      <w:r w:rsidRPr="007629AE">
        <w:rPr>
          <w:rFonts w:cstheme="minorHAnsi"/>
          <w:b/>
          <w:sz w:val="24"/>
          <w:szCs w:val="24"/>
        </w:rPr>
        <w:t>Laurence Baker</w:t>
      </w:r>
      <w:r w:rsidR="00441C94" w:rsidRPr="00441C94">
        <w:rPr>
          <w:rFonts w:cstheme="minorHAnsi"/>
          <w:sz w:val="24"/>
          <w:szCs w:val="24"/>
        </w:rPr>
        <w:t xml:space="preserve"> </w:t>
      </w:r>
      <w:r w:rsidR="00441C94">
        <w:rPr>
          <w:rFonts w:cstheme="minorHAnsi"/>
          <w:sz w:val="24"/>
          <w:szCs w:val="24"/>
        </w:rPr>
        <w:t>BMBS BMedSci</w:t>
      </w:r>
      <w:r w:rsidR="00311758" w:rsidRPr="008D337D">
        <w:rPr>
          <w:rFonts w:cstheme="minorHAnsi"/>
          <w:sz w:val="24"/>
          <w:szCs w:val="24"/>
          <w:vertAlign w:val="superscript"/>
        </w:rPr>
        <w:t>1</w:t>
      </w:r>
      <w:r>
        <w:rPr>
          <w:rFonts w:cstheme="minorHAnsi"/>
          <w:sz w:val="24"/>
          <w:szCs w:val="24"/>
        </w:rPr>
        <w:t xml:space="preserve">, </w:t>
      </w:r>
      <w:r w:rsidRPr="007629AE">
        <w:rPr>
          <w:rFonts w:cstheme="minorHAnsi"/>
          <w:b/>
          <w:sz w:val="24"/>
          <w:szCs w:val="24"/>
        </w:rPr>
        <w:t>Matteo Ferrari</w:t>
      </w:r>
      <w:r w:rsidR="00441C94">
        <w:rPr>
          <w:rFonts w:cstheme="minorHAnsi"/>
          <w:b/>
          <w:sz w:val="24"/>
          <w:szCs w:val="24"/>
        </w:rPr>
        <w:t xml:space="preserve"> </w:t>
      </w:r>
      <w:r w:rsidR="00441C94">
        <w:rPr>
          <w:rFonts w:cstheme="minorHAnsi"/>
          <w:sz w:val="24"/>
          <w:szCs w:val="24"/>
        </w:rPr>
        <w:t>MBBS</w:t>
      </w:r>
      <w:r w:rsidR="00311758" w:rsidRPr="008D337D">
        <w:rPr>
          <w:rFonts w:cstheme="minorHAnsi"/>
          <w:sz w:val="24"/>
          <w:szCs w:val="24"/>
          <w:vertAlign w:val="superscript"/>
        </w:rPr>
        <w:t>1</w:t>
      </w:r>
      <w:r>
        <w:rPr>
          <w:rFonts w:cstheme="minorHAnsi"/>
          <w:sz w:val="24"/>
          <w:szCs w:val="24"/>
        </w:rPr>
        <w:t xml:space="preserve">, </w:t>
      </w:r>
      <w:r w:rsidR="003F748F">
        <w:rPr>
          <w:rFonts w:cstheme="minorHAnsi"/>
          <w:b/>
          <w:sz w:val="24"/>
          <w:szCs w:val="24"/>
        </w:rPr>
        <w:t>W</w:t>
      </w:r>
      <w:r w:rsidRPr="007629AE">
        <w:rPr>
          <w:rFonts w:cstheme="minorHAnsi"/>
          <w:b/>
          <w:sz w:val="24"/>
          <w:szCs w:val="24"/>
        </w:rPr>
        <w:t>eronica Sanchez</w:t>
      </w:r>
      <w:r w:rsidR="00441C94">
        <w:rPr>
          <w:rFonts w:cstheme="minorHAnsi"/>
          <w:b/>
          <w:sz w:val="24"/>
          <w:szCs w:val="24"/>
        </w:rPr>
        <w:t xml:space="preserve"> </w:t>
      </w:r>
      <w:r w:rsidR="00441C94" w:rsidRPr="00441C94">
        <w:rPr>
          <w:rFonts w:cstheme="minorHAnsi"/>
          <w:sz w:val="24"/>
          <w:szCs w:val="24"/>
        </w:rPr>
        <w:t>BSc</w:t>
      </w:r>
      <w:r w:rsidR="00311758" w:rsidRPr="008D337D">
        <w:rPr>
          <w:rFonts w:cstheme="minorHAnsi"/>
          <w:sz w:val="24"/>
          <w:szCs w:val="24"/>
          <w:vertAlign w:val="superscript"/>
        </w:rPr>
        <w:t>1</w:t>
      </w:r>
      <w:r w:rsidR="00D6398F" w:rsidRPr="008D337D">
        <w:rPr>
          <w:rFonts w:cstheme="minorHAnsi"/>
          <w:sz w:val="24"/>
          <w:szCs w:val="24"/>
        </w:rPr>
        <w:t xml:space="preserve">, </w:t>
      </w:r>
      <w:r w:rsidRPr="007629AE">
        <w:rPr>
          <w:rFonts w:cstheme="minorHAnsi"/>
          <w:b/>
          <w:sz w:val="24"/>
          <w:szCs w:val="24"/>
        </w:rPr>
        <w:t xml:space="preserve">John </w:t>
      </w:r>
      <w:proofErr w:type="spellStart"/>
      <w:r w:rsidRPr="007629AE">
        <w:rPr>
          <w:rFonts w:cstheme="minorHAnsi"/>
          <w:b/>
          <w:sz w:val="24"/>
          <w:szCs w:val="24"/>
        </w:rPr>
        <w:t>Pappachan</w:t>
      </w:r>
      <w:proofErr w:type="spellEnd"/>
      <w:r w:rsidR="002D7776">
        <w:rPr>
          <w:rFonts w:cstheme="minorHAnsi"/>
          <w:sz w:val="24"/>
          <w:szCs w:val="24"/>
        </w:rPr>
        <w:t xml:space="preserve"> </w:t>
      </w:r>
      <w:r w:rsidR="002D7776" w:rsidRPr="002D7776">
        <w:rPr>
          <w:rFonts w:cstheme="minorHAnsi"/>
          <w:sz w:val="24"/>
          <w:szCs w:val="24"/>
        </w:rPr>
        <w:t>MA MB BChir</w:t>
      </w:r>
      <w:r w:rsidR="00311758" w:rsidRPr="008D337D">
        <w:rPr>
          <w:rFonts w:cstheme="minorHAnsi"/>
          <w:sz w:val="24"/>
          <w:szCs w:val="24"/>
          <w:vertAlign w:val="superscript"/>
        </w:rPr>
        <w:t>2,3,4</w:t>
      </w:r>
      <w:r w:rsidR="00311758" w:rsidRPr="008D337D">
        <w:rPr>
          <w:rFonts w:cstheme="minorHAnsi"/>
          <w:sz w:val="24"/>
          <w:szCs w:val="24"/>
        </w:rPr>
        <w:t xml:space="preserve">, </w:t>
      </w:r>
      <w:r w:rsidRPr="007629AE">
        <w:rPr>
          <w:rFonts w:cstheme="minorHAnsi"/>
          <w:b/>
          <w:sz w:val="24"/>
          <w:szCs w:val="24"/>
        </w:rPr>
        <w:t xml:space="preserve">Mike PW </w:t>
      </w:r>
      <w:proofErr w:type="spellStart"/>
      <w:r w:rsidRPr="007629AE">
        <w:rPr>
          <w:rFonts w:cstheme="minorHAnsi"/>
          <w:b/>
          <w:sz w:val="24"/>
          <w:szCs w:val="24"/>
        </w:rPr>
        <w:t>Grocott</w:t>
      </w:r>
      <w:proofErr w:type="spellEnd"/>
      <w:r w:rsidR="002D7776" w:rsidRPr="002D7776">
        <w:t xml:space="preserve"> </w:t>
      </w:r>
      <w:r w:rsidR="002D7776" w:rsidRPr="002D7776">
        <w:rPr>
          <w:rFonts w:cstheme="minorHAnsi"/>
          <w:sz w:val="24"/>
          <w:szCs w:val="24"/>
        </w:rPr>
        <w:t>BSc MBBS MD</w:t>
      </w:r>
      <w:r w:rsidR="00311758" w:rsidRPr="008D337D">
        <w:rPr>
          <w:rFonts w:cstheme="minorHAnsi"/>
          <w:sz w:val="24"/>
          <w:szCs w:val="24"/>
          <w:vertAlign w:val="superscript"/>
        </w:rPr>
        <w:t>1,2,3</w:t>
      </w:r>
      <w:r w:rsidR="00311758" w:rsidRPr="008D337D">
        <w:rPr>
          <w:rFonts w:cstheme="minorHAnsi"/>
          <w:sz w:val="24"/>
          <w:szCs w:val="24"/>
        </w:rPr>
        <w:t xml:space="preserve">, </w:t>
      </w:r>
      <w:proofErr w:type="spellStart"/>
      <w:r w:rsidRPr="007629AE">
        <w:rPr>
          <w:rFonts w:cstheme="minorHAnsi"/>
          <w:b/>
          <w:sz w:val="24"/>
          <w:szCs w:val="24"/>
        </w:rPr>
        <w:t>Ahilanandan</w:t>
      </w:r>
      <w:proofErr w:type="spellEnd"/>
      <w:r w:rsidRPr="007629AE">
        <w:rPr>
          <w:rFonts w:cstheme="minorHAnsi"/>
          <w:b/>
          <w:sz w:val="24"/>
          <w:szCs w:val="24"/>
        </w:rPr>
        <w:t xml:space="preserve"> </w:t>
      </w:r>
      <w:proofErr w:type="spellStart"/>
      <w:r w:rsidR="00D6398F" w:rsidRPr="007629AE">
        <w:rPr>
          <w:rFonts w:cstheme="minorHAnsi"/>
          <w:b/>
          <w:sz w:val="24"/>
          <w:szCs w:val="24"/>
        </w:rPr>
        <w:t>Dushianthan</w:t>
      </w:r>
      <w:proofErr w:type="spellEnd"/>
      <w:r>
        <w:rPr>
          <w:rFonts w:cstheme="minorHAnsi"/>
          <w:sz w:val="24"/>
          <w:szCs w:val="24"/>
        </w:rPr>
        <w:t xml:space="preserve"> MBBS PhD</w:t>
      </w:r>
      <w:r w:rsidR="00311758" w:rsidRPr="008D337D">
        <w:rPr>
          <w:rFonts w:cstheme="minorHAnsi"/>
          <w:sz w:val="24"/>
          <w:szCs w:val="24"/>
          <w:vertAlign w:val="superscript"/>
        </w:rPr>
        <w:t xml:space="preserve">1,2,3 </w:t>
      </w:r>
      <w:r w:rsidR="00311758" w:rsidRPr="008D337D">
        <w:rPr>
          <w:rFonts w:cstheme="minorHAnsi"/>
          <w:sz w:val="24"/>
          <w:szCs w:val="24"/>
        </w:rPr>
        <w:t xml:space="preserve">and </w:t>
      </w:r>
      <w:r w:rsidR="00311758" w:rsidRPr="00056147">
        <w:rPr>
          <w:rFonts w:cstheme="minorHAnsi"/>
          <w:b/>
          <w:sz w:val="24"/>
          <w:szCs w:val="24"/>
        </w:rPr>
        <w:t>The REACT COVID-19 investigators</w:t>
      </w:r>
    </w:p>
    <w:p w14:paraId="219B3820" w14:textId="77777777" w:rsidR="00311758" w:rsidRPr="008D337D" w:rsidRDefault="00311758" w:rsidP="008D337D">
      <w:pPr>
        <w:pStyle w:val="NoSpacing"/>
        <w:spacing w:line="480" w:lineRule="auto"/>
        <w:jc w:val="both"/>
        <w:rPr>
          <w:rFonts w:cstheme="minorHAnsi"/>
          <w:sz w:val="24"/>
          <w:szCs w:val="24"/>
        </w:rPr>
      </w:pPr>
      <w:r w:rsidRPr="008D337D">
        <w:rPr>
          <w:rFonts w:cstheme="minorHAnsi"/>
          <w:sz w:val="24"/>
          <w:szCs w:val="24"/>
          <w:vertAlign w:val="superscript"/>
        </w:rPr>
        <w:t>1</w:t>
      </w:r>
      <w:r w:rsidRPr="008D337D">
        <w:rPr>
          <w:rFonts w:cstheme="minorHAnsi"/>
          <w:sz w:val="24"/>
          <w:szCs w:val="24"/>
        </w:rPr>
        <w:t>General Intensive Care Unit</w:t>
      </w:r>
    </w:p>
    <w:p w14:paraId="5AC4DFCB" w14:textId="77777777" w:rsidR="00311758" w:rsidRPr="008D337D" w:rsidRDefault="00311758" w:rsidP="008D337D">
      <w:pPr>
        <w:pStyle w:val="NoSpacing"/>
        <w:spacing w:line="480" w:lineRule="auto"/>
        <w:jc w:val="both"/>
        <w:rPr>
          <w:rFonts w:cstheme="minorHAnsi"/>
          <w:sz w:val="24"/>
          <w:szCs w:val="24"/>
        </w:rPr>
      </w:pPr>
      <w:r w:rsidRPr="008D337D">
        <w:rPr>
          <w:rFonts w:cstheme="minorHAnsi"/>
          <w:sz w:val="24"/>
          <w:szCs w:val="24"/>
        </w:rPr>
        <w:t>University Hospital Southampton NHS Foundation Trust</w:t>
      </w:r>
    </w:p>
    <w:p w14:paraId="6EE2BF6B" w14:textId="17170331" w:rsidR="00E03A22" w:rsidRPr="008D337D" w:rsidRDefault="00311758" w:rsidP="008D337D">
      <w:pPr>
        <w:pStyle w:val="NoSpacing"/>
        <w:spacing w:line="480" w:lineRule="auto"/>
        <w:jc w:val="both"/>
        <w:rPr>
          <w:rFonts w:cstheme="minorHAnsi"/>
          <w:sz w:val="24"/>
          <w:szCs w:val="24"/>
        </w:rPr>
      </w:pPr>
      <w:r w:rsidRPr="008D337D">
        <w:rPr>
          <w:rFonts w:cstheme="minorHAnsi"/>
          <w:sz w:val="24"/>
          <w:szCs w:val="24"/>
        </w:rPr>
        <w:t>Tremona Road, Southampton, SO16 6YD</w:t>
      </w:r>
    </w:p>
    <w:p w14:paraId="637D9D9A" w14:textId="77777777" w:rsidR="00311758" w:rsidRPr="008D337D" w:rsidRDefault="00311758" w:rsidP="008D337D">
      <w:pPr>
        <w:pStyle w:val="NoSpacing"/>
        <w:spacing w:line="480" w:lineRule="auto"/>
        <w:jc w:val="both"/>
        <w:rPr>
          <w:rFonts w:cstheme="minorHAnsi"/>
          <w:sz w:val="24"/>
          <w:szCs w:val="24"/>
        </w:rPr>
      </w:pPr>
    </w:p>
    <w:p w14:paraId="651416A0" w14:textId="77777777" w:rsidR="00311758" w:rsidRPr="008D337D" w:rsidRDefault="00311758" w:rsidP="008D337D">
      <w:pPr>
        <w:pStyle w:val="NoSpacing"/>
        <w:spacing w:line="480" w:lineRule="auto"/>
        <w:jc w:val="both"/>
        <w:rPr>
          <w:rFonts w:cstheme="minorHAnsi"/>
          <w:sz w:val="24"/>
          <w:szCs w:val="24"/>
        </w:rPr>
      </w:pPr>
      <w:r w:rsidRPr="008D337D">
        <w:rPr>
          <w:rFonts w:cstheme="minorHAnsi"/>
          <w:sz w:val="24"/>
          <w:szCs w:val="24"/>
          <w:vertAlign w:val="superscript"/>
        </w:rPr>
        <w:t>2</w:t>
      </w:r>
      <w:r w:rsidRPr="008D337D">
        <w:rPr>
          <w:rFonts w:cstheme="minorHAnsi"/>
          <w:sz w:val="24"/>
          <w:szCs w:val="24"/>
        </w:rPr>
        <w:t>NIHR Southampton Clinical Research Facility and NIHR Southampton Biomedical Research Centre</w:t>
      </w:r>
    </w:p>
    <w:p w14:paraId="4EB4F7BA" w14:textId="77777777" w:rsidR="00311758" w:rsidRPr="008D337D" w:rsidRDefault="00311758" w:rsidP="008D337D">
      <w:pPr>
        <w:pStyle w:val="NoSpacing"/>
        <w:spacing w:line="480" w:lineRule="auto"/>
        <w:jc w:val="both"/>
        <w:rPr>
          <w:rFonts w:cstheme="minorHAnsi"/>
          <w:sz w:val="24"/>
          <w:szCs w:val="24"/>
        </w:rPr>
      </w:pPr>
      <w:r w:rsidRPr="008D337D">
        <w:rPr>
          <w:rFonts w:cstheme="minorHAnsi"/>
          <w:sz w:val="24"/>
          <w:szCs w:val="24"/>
        </w:rPr>
        <w:t>University Hospital Southampton / University of Southampton</w:t>
      </w:r>
    </w:p>
    <w:p w14:paraId="0F90813A" w14:textId="77777777" w:rsidR="00311758" w:rsidRPr="008D337D" w:rsidRDefault="00311758" w:rsidP="008D337D">
      <w:pPr>
        <w:pStyle w:val="NoSpacing"/>
        <w:spacing w:line="480" w:lineRule="auto"/>
        <w:jc w:val="both"/>
        <w:rPr>
          <w:rFonts w:cstheme="minorHAnsi"/>
          <w:sz w:val="24"/>
          <w:szCs w:val="24"/>
        </w:rPr>
      </w:pPr>
      <w:r w:rsidRPr="008D337D">
        <w:rPr>
          <w:rFonts w:cstheme="minorHAnsi"/>
          <w:sz w:val="24"/>
          <w:szCs w:val="24"/>
        </w:rPr>
        <w:t>Tremona Road, Southampton, SO16 6YD</w:t>
      </w:r>
    </w:p>
    <w:p w14:paraId="35BA3BB4" w14:textId="77777777" w:rsidR="00311758" w:rsidRPr="008D337D" w:rsidRDefault="00311758" w:rsidP="008D337D">
      <w:pPr>
        <w:pStyle w:val="NoSpacing"/>
        <w:spacing w:line="480" w:lineRule="auto"/>
        <w:jc w:val="both"/>
        <w:rPr>
          <w:rFonts w:cstheme="minorHAnsi"/>
          <w:sz w:val="24"/>
          <w:szCs w:val="24"/>
        </w:rPr>
      </w:pPr>
    </w:p>
    <w:p w14:paraId="4491339E" w14:textId="77777777" w:rsidR="00311758" w:rsidRPr="008D337D" w:rsidRDefault="00311758" w:rsidP="008D337D">
      <w:pPr>
        <w:pStyle w:val="NoSpacing"/>
        <w:spacing w:line="480" w:lineRule="auto"/>
        <w:jc w:val="both"/>
        <w:rPr>
          <w:rFonts w:cstheme="minorHAnsi"/>
          <w:sz w:val="24"/>
          <w:szCs w:val="24"/>
        </w:rPr>
      </w:pPr>
      <w:r w:rsidRPr="008D337D">
        <w:rPr>
          <w:rFonts w:cstheme="minorHAnsi"/>
          <w:sz w:val="24"/>
          <w:szCs w:val="24"/>
          <w:vertAlign w:val="superscript"/>
        </w:rPr>
        <w:t>3</w:t>
      </w:r>
      <w:r w:rsidRPr="008D337D">
        <w:rPr>
          <w:rFonts w:cstheme="minorHAnsi"/>
          <w:sz w:val="24"/>
          <w:szCs w:val="24"/>
        </w:rPr>
        <w:t>Faculty of Medicine</w:t>
      </w:r>
    </w:p>
    <w:p w14:paraId="7B297384" w14:textId="68E225F2" w:rsidR="00311758" w:rsidRPr="008D337D" w:rsidRDefault="00311758" w:rsidP="008D337D">
      <w:pPr>
        <w:pStyle w:val="NoSpacing"/>
        <w:spacing w:line="480" w:lineRule="auto"/>
        <w:jc w:val="both"/>
        <w:rPr>
          <w:rFonts w:cstheme="minorHAnsi"/>
          <w:sz w:val="24"/>
          <w:szCs w:val="24"/>
        </w:rPr>
      </w:pPr>
      <w:r w:rsidRPr="008D337D">
        <w:rPr>
          <w:rFonts w:cstheme="minorHAnsi"/>
          <w:sz w:val="24"/>
          <w:szCs w:val="24"/>
        </w:rPr>
        <w:t>University of Southampton</w:t>
      </w:r>
      <w:r w:rsidR="00E03A22" w:rsidRPr="008D337D">
        <w:rPr>
          <w:rFonts w:cstheme="minorHAnsi"/>
          <w:sz w:val="24"/>
          <w:szCs w:val="24"/>
        </w:rPr>
        <w:t xml:space="preserve">, </w:t>
      </w:r>
      <w:r w:rsidRPr="008D337D">
        <w:rPr>
          <w:rFonts w:cstheme="minorHAnsi"/>
          <w:sz w:val="24"/>
          <w:szCs w:val="24"/>
        </w:rPr>
        <w:t>University Hospital Southampton</w:t>
      </w:r>
    </w:p>
    <w:p w14:paraId="00418738" w14:textId="2363B751" w:rsidR="00311758" w:rsidRPr="008D337D" w:rsidRDefault="00311758" w:rsidP="008D337D">
      <w:pPr>
        <w:pStyle w:val="NoSpacing"/>
        <w:spacing w:line="480" w:lineRule="auto"/>
        <w:jc w:val="both"/>
        <w:rPr>
          <w:rFonts w:cstheme="minorHAnsi"/>
          <w:sz w:val="24"/>
          <w:szCs w:val="24"/>
        </w:rPr>
      </w:pPr>
      <w:r w:rsidRPr="008D337D">
        <w:rPr>
          <w:rFonts w:cstheme="minorHAnsi"/>
          <w:sz w:val="24"/>
          <w:szCs w:val="24"/>
        </w:rPr>
        <w:t>Tremona Road, Southampton, SO16 6YD</w:t>
      </w:r>
    </w:p>
    <w:p w14:paraId="437C5DBE" w14:textId="15250829" w:rsidR="00311758" w:rsidRPr="008D337D" w:rsidRDefault="00311758" w:rsidP="008D337D">
      <w:pPr>
        <w:pStyle w:val="NoSpacing"/>
        <w:spacing w:line="480" w:lineRule="auto"/>
        <w:jc w:val="both"/>
        <w:rPr>
          <w:rFonts w:cstheme="minorHAnsi"/>
          <w:sz w:val="24"/>
          <w:szCs w:val="24"/>
        </w:rPr>
      </w:pPr>
    </w:p>
    <w:p w14:paraId="48B6C0F8" w14:textId="5549257D" w:rsidR="00311758" w:rsidRPr="008D337D" w:rsidRDefault="00311758" w:rsidP="008D337D">
      <w:pPr>
        <w:pStyle w:val="NoSpacing"/>
        <w:spacing w:line="480" w:lineRule="auto"/>
        <w:jc w:val="both"/>
        <w:rPr>
          <w:rFonts w:cstheme="minorHAnsi"/>
          <w:sz w:val="24"/>
          <w:szCs w:val="24"/>
        </w:rPr>
      </w:pPr>
      <w:r w:rsidRPr="008D337D">
        <w:rPr>
          <w:rFonts w:cstheme="minorHAnsi"/>
          <w:sz w:val="24"/>
          <w:szCs w:val="24"/>
          <w:vertAlign w:val="superscript"/>
        </w:rPr>
        <w:t>4</w:t>
      </w:r>
      <w:r w:rsidRPr="008D337D">
        <w:rPr>
          <w:rFonts w:cstheme="minorHAnsi"/>
          <w:sz w:val="24"/>
          <w:szCs w:val="24"/>
        </w:rPr>
        <w:t>Paediatric Intensive Care Unit</w:t>
      </w:r>
    </w:p>
    <w:p w14:paraId="317413BF" w14:textId="77777777" w:rsidR="00311758" w:rsidRPr="008D337D" w:rsidRDefault="00311758" w:rsidP="008D337D">
      <w:pPr>
        <w:pStyle w:val="NoSpacing"/>
        <w:spacing w:line="480" w:lineRule="auto"/>
        <w:jc w:val="both"/>
        <w:rPr>
          <w:rFonts w:cstheme="minorHAnsi"/>
          <w:sz w:val="24"/>
          <w:szCs w:val="24"/>
        </w:rPr>
      </w:pPr>
      <w:r w:rsidRPr="008D337D">
        <w:rPr>
          <w:rFonts w:cstheme="minorHAnsi"/>
          <w:sz w:val="24"/>
          <w:szCs w:val="24"/>
        </w:rPr>
        <w:t>University Hospital Southampton NHS Foundation Trust</w:t>
      </w:r>
    </w:p>
    <w:p w14:paraId="4D2666F8" w14:textId="77777777" w:rsidR="00311758" w:rsidRPr="008D337D" w:rsidRDefault="00311758" w:rsidP="008D337D">
      <w:pPr>
        <w:pStyle w:val="NoSpacing"/>
        <w:spacing w:line="480" w:lineRule="auto"/>
        <w:jc w:val="both"/>
        <w:rPr>
          <w:rFonts w:cstheme="minorHAnsi"/>
          <w:sz w:val="24"/>
          <w:szCs w:val="24"/>
        </w:rPr>
      </w:pPr>
      <w:r w:rsidRPr="008D337D">
        <w:rPr>
          <w:rFonts w:cstheme="minorHAnsi"/>
          <w:sz w:val="24"/>
          <w:szCs w:val="24"/>
        </w:rPr>
        <w:t>Tremona Road, Southampton, SO16 6YD</w:t>
      </w:r>
    </w:p>
    <w:p w14:paraId="0049FCCE" w14:textId="77777777" w:rsidR="00311758" w:rsidRPr="008D337D" w:rsidRDefault="00311758" w:rsidP="008D337D">
      <w:pPr>
        <w:pStyle w:val="NoSpacing"/>
        <w:spacing w:line="480" w:lineRule="auto"/>
        <w:jc w:val="both"/>
        <w:rPr>
          <w:rFonts w:cstheme="minorHAnsi"/>
          <w:sz w:val="24"/>
          <w:szCs w:val="24"/>
        </w:rPr>
      </w:pPr>
    </w:p>
    <w:p w14:paraId="5E212906" w14:textId="34232643" w:rsidR="008B3677" w:rsidRPr="008D337D" w:rsidRDefault="00EF3910" w:rsidP="008D337D">
      <w:pPr>
        <w:pStyle w:val="Heading2"/>
        <w:spacing w:line="480" w:lineRule="auto"/>
        <w:jc w:val="both"/>
        <w:rPr>
          <w:rFonts w:asciiTheme="minorHAnsi" w:hAnsiTheme="minorHAnsi" w:cstheme="minorHAnsi"/>
          <w:sz w:val="24"/>
          <w:szCs w:val="24"/>
        </w:rPr>
      </w:pPr>
      <w:r w:rsidRPr="008D337D">
        <w:rPr>
          <w:rFonts w:asciiTheme="minorHAnsi" w:hAnsiTheme="minorHAnsi" w:cstheme="minorHAnsi"/>
          <w:b/>
          <w:bCs/>
          <w:color w:val="000000" w:themeColor="text1"/>
          <w:sz w:val="24"/>
          <w:szCs w:val="24"/>
        </w:rPr>
        <w:lastRenderedPageBreak/>
        <w:t>REACT COVID-19 Investigators</w:t>
      </w:r>
    </w:p>
    <w:p w14:paraId="54E70FB4" w14:textId="77777777" w:rsidR="00EF3910" w:rsidRPr="008D337D" w:rsidRDefault="00EF3910" w:rsidP="008D337D">
      <w:pPr>
        <w:spacing w:after="0" w:line="480" w:lineRule="auto"/>
        <w:jc w:val="both"/>
        <w:rPr>
          <w:rFonts w:cstheme="minorHAnsi"/>
          <w:sz w:val="24"/>
          <w:szCs w:val="24"/>
        </w:rPr>
      </w:pPr>
      <w:r w:rsidRPr="008D337D">
        <w:rPr>
          <w:rFonts w:cstheme="minorHAnsi"/>
          <w:sz w:val="24"/>
          <w:szCs w:val="24"/>
        </w:rPr>
        <w:t>Tom Wilkinson</w:t>
      </w:r>
    </w:p>
    <w:p w14:paraId="3F524CC0" w14:textId="77777777" w:rsidR="00EF3910" w:rsidRPr="008D337D" w:rsidRDefault="00EF3910" w:rsidP="008D337D">
      <w:pPr>
        <w:spacing w:after="0" w:line="480" w:lineRule="auto"/>
        <w:jc w:val="both"/>
        <w:rPr>
          <w:rFonts w:cstheme="minorHAnsi"/>
          <w:sz w:val="24"/>
          <w:szCs w:val="24"/>
        </w:rPr>
      </w:pPr>
      <w:r w:rsidRPr="008D337D">
        <w:rPr>
          <w:rFonts w:cstheme="minorHAnsi"/>
          <w:sz w:val="24"/>
          <w:szCs w:val="24"/>
        </w:rPr>
        <w:t>Anna Freeman</w:t>
      </w:r>
    </w:p>
    <w:p w14:paraId="53572BDA" w14:textId="77777777" w:rsidR="00EF3910" w:rsidRPr="008D337D" w:rsidRDefault="00EF3910" w:rsidP="008D337D">
      <w:pPr>
        <w:spacing w:after="0" w:line="480" w:lineRule="auto"/>
        <w:jc w:val="both"/>
        <w:rPr>
          <w:rFonts w:cstheme="minorHAnsi"/>
          <w:sz w:val="24"/>
          <w:szCs w:val="24"/>
        </w:rPr>
      </w:pPr>
      <w:r w:rsidRPr="008D337D">
        <w:rPr>
          <w:rFonts w:cstheme="minorHAnsi"/>
          <w:sz w:val="24"/>
          <w:szCs w:val="24"/>
        </w:rPr>
        <w:t>Hannah Burke</w:t>
      </w:r>
    </w:p>
    <w:p w14:paraId="523A3CAF" w14:textId="77777777" w:rsidR="00EF3910" w:rsidRPr="008D337D" w:rsidRDefault="00EF3910" w:rsidP="008D337D">
      <w:pPr>
        <w:spacing w:after="0" w:line="480" w:lineRule="auto"/>
        <w:jc w:val="both"/>
        <w:rPr>
          <w:rFonts w:cstheme="minorHAnsi"/>
          <w:sz w:val="24"/>
          <w:szCs w:val="24"/>
        </w:rPr>
      </w:pPr>
      <w:r w:rsidRPr="008D337D">
        <w:rPr>
          <w:rFonts w:cstheme="minorHAnsi"/>
          <w:sz w:val="24"/>
          <w:szCs w:val="24"/>
        </w:rPr>
        <w:t>Ahilanandan Dushianthan</w:t>
      </w:r>
    </w:p>
    <w:p w14:paraId="1F36F465" w14:textId="77777777" w:rsidR="00EF3910" w:rsidRPr="008D337D" w:rsidRDefault="00EF3910" w:rsidP="008D337D">
      <w:pPr>
        <w:spacing w:after="0" w:line="480" w:lineRule="auto"/>
        <w:jc w:val="both"/>
        <w:rPr>
          <w:rFonts w:cstheme="minorHAnsi"/>
          <w:sz w:val="24"/>
          <w:szCs w:val="24"/>
        </w:rPr>
      </w:pPr>
      <w:r w:rsidRPr="008D337D">
        <w:rPr>
          <w:rFonts w:cstheme="minorHAnsi"/>
          <w:sz w:val="24"/>
          <w:szCs w:val="24"/>
        </w:rPr>
        <w:t>Michael Celinski</w:t>
      </w:r>
    </w:p>
    <w:p w14:paraId="1A4A92F9" w14:textId="77777777" w:rsidR="00EF3910" w:rsidRPr="008D337D" w:rsidRDefault="00EF3910" w:rsidP="008D337D">
      <w:pPr>
        <w:spacing w:after="0" w:line="480" w:lineRule="auto"/>
        <w:jc w:val="both"/>
        <w:rPr>
          <w:rFonts w:cstheme="minorHAnsi"/>
          <w:sz w:val="24"/>
          <w:szCs w:val="24"/>
        </w:rPr>
      </w:pPr>
      <w:r w:rsidRPr="008D337D">
        <w:rPr>
          <w:rFonts w:cstheme="minorHAnsi"/>
          <w:sz w:val="24"/>
          <w:szCs w:val="24"/>
        </w:rPr>
        <w:t>Saul N Faust</w:t>
      </w:r>
    </w:p>
    <w:p w14:paraId="39F50A7D" w14:textId="77777777" w:rsidR="00EF3910" w:rsidRPr="008D337D" w:rsidRDefault="00EF3910" w:rsidP="008D337D">
      <w:pPr>
        <w:spacing w:after="0" w:line="480" w:lineRule="auto"/>
        <w:jc w:val="both"/>
        <w:rPr>
          <w:rFonts w:cstheme="minorHAnsi"/>
          <w:sz w:val="24"/>
          <w:szCs w:val="24"/>
        </w:rPr>
      </w:pPr>
      <w:r w:rsidRPr="008D337D">
        <w:rPr>
          <w:rFonts w:cstheme="minorHAnsi"/>
          <w:sz w:val="24"/>
          <w:szCs w:val="24"/>
        </w:rPr>
        <w:t>Gareth J Thomas</w:t>
      </w:r>
    </w:p>
    <w:p w14:paraId="44ED76DC" w14:textId="68F7DA17" w:rsidR="00AC2EDA" w:rsidRDefault="00EF3910" w:rsidP="009066B1">
      <w:pPr>
        <w:spacing w:after="0" w:line="480" w:lineRule="auto"/>
        <w:jc w:val="both"/>
        <w:rPr>
          <w:rFonts w:cstheme="minorHAnsi"/>
          <w:sz w:val="24"/>
          <w:szCs w:val="24"/>
        </w:rPr>
      </w:pPr>
      <w:r w:rsidRPr="008D337D">
        <w:rPr>
          <w:rFonts w:cstheme="minorHAnsi"/>
          <w:sz w:val="24"/>
          <w:szCs w:val="24"/>
        </w:rPr>
        <w:t xml:space="preserve">Christopher </w:t>
      </w:r>
      <w:proofErr w:type="spellStart"/>
      <w:r w:rsidRPr="008D337D">
        <w:rPr>
          <w:rFonts w:cstheme="minorHAnsi"/>
          <w:sz w:val="24"/>
          <w:szCs w:val="24"/>
        </w:rPr>
        <w:t>Kipps</w:t>
      </w:r>
      <w:proofErr w:type="spellEnd"/>
    </w:p>
    <w:p w14:paraId="385EB43A" w14:textId="77777777" w:rsidR="00F9426E" w:rsidRDefault="00F9426E" w:rsidP="00FB669F">
      <w:pPr>
        <w:pStyle w:val="Heading2"/>
        <w:spacing w:line="480" w:lineRule="auto"/>
        <w:jc w:val="both"/>
        <w:rPr>
          <w:rStyle w:val="normaltextrun"/>
          <w:rFonts w:asciiTheme="minorHAnsi" w:hAnsiTheme="minorHAnsi" w:cstheme="minorHAnsi"/>
          <w:b/>
          <w:color w:val="auto"/>
          <w:sz w:val="24"/>
          <w:szCs w:val="24"/>
        </w:rPr>
      </w:pPr>
    </w:p>
    <w:p w14:paraId="73F0E16C" w14:textId="5DA259DF" w:rsidR="00FB669F" w:rsidRPr="008D337D" w:rsidRDefault="00FB669F" w:rsidP="00FB669F">
      <w:pPr>
        <w:pStyle w:val="Heading2"/>
        <w:spacing w:line="480" w:lineRule="auto"/>
        <w:jc w:val="both"/>
        <w:rPr>
          <w:rFonts w:asciiTheme="minorHAnsi" w:eastAsiaTheme="minorHAnsi" w:hAnsiTheme="minorHAnsi" w:cstheme="minorHAnsi"/>
          <w:sz w:val="24"/>
          <w:szCs w:val="24"/>
        </w:rPr>
      </w:pPr>
      <w:r w:rsidRPr="008D337D">
        <w:rPr>
          <w:rStyle w:val="normaltextrun"/>
          <w:rFonts w:asciiTheme="minorHAnsi" w:hAnsiTheme="minorHAnsi" w:cstheme="minorHAnsi"/>
          <w:b/>
          <w:color w:val="auto"/>
          <w:sz w:val="24"/>
          <w:szCs w:val="24"/>
        </w:rPr>
        <w:t xml:space="preserve">Corresponding Author </w:t>
      </w:r>
    </w:p>
    <w:p w14:paraId="7B04DCEC" w14:textId="77777777" w:rsidR="00FB669F" w:rsidRPr="008D337D" w:rsidRDefault="00FB669F" w:rsidP="00FB669F">
      <w:pPr>
        <w:pStyle w:val="NoSpacing"/>
        <w:spacing w:line="480" w:lineRule="auto"/>
        <w:jc w:val="both"/>
        <w:rPr>
          <w:rFonts w:cstheme="minorHAnsi"/>
          <w:sz w:val="24"/>
          <w:szCs w:val="24"/>
        </w:rPr>
      </w:pPr>
      <w:r w:rsidRPr="008D337D">
        <w:rPr>
          <w:rFonts w:cstheme="minorHAnsi"/>
          <w:sz w:val="24"/>
          <w:szCs w:val="24"/>
        </w:rPr>
        <w:t xml:space="preserve">Dr Lewis Matthews </w:t>
      </w:r>
    </w:p>
    <w:p w14:paraId="049C5122" w14:textId="77777777" w:rsidR="00FB669F" w:rsidRPr="008D337D" w:rsidRDefault="00FB669F" w:rsidP="00FB669F">
      <w:pPr>
        <w:pStyle w:val="NoSpacing"/>
        <w:spacing w:line="480" w:lineRule="auto"/>
        <w:jc w:val="both"/>
        <w:rPr>
          <w:rFonts w:cstheme="minorHAnsi"/>
          <w:sz w:val="24"/>
          <w:szCs w:val="24"/>
        </w:rPr>
      </w:pPr>
      <w:r w:rsidRPr="008D337D">
        <w:rPr>
          <w:rFonts w:cstheme="minorHAnsi"/>
          <w:sz w:val="24"/>
          <w:szCs w:val="24"/>
        </w:rPr>
        <w:t>General Intensive Care Unit</w:t>
      </w:r>
    </w:p>
    <w:p w14:paraId="7BE14184" w14:textId="77777777" w:rsidR="00FB669F" w:rsidRPr="008D337D" w:rsidRDefault="00FB669F" w:rsidP="00FB669F">
      <w:pPr>
        <w:pStyle w:val="NoSpacing"/>
        <w:spacing w:line="480" w:lineRule="auto"/>
        <w:jc w:val="both"/>
        <w:rPr>
          <w:rFonts w:cstheme="minorHAnsi"/>
          <w:sz w:val="24"/>
          <w:szCs w:val="24"/>
        </w:rPr>
      </w:pPr>
      <w:r w:rsidRPr="008D337D">
        <w:rPr>
          <w:rFonts w:cstheme="minorHAnsi"/>
          <w:sz w:val="24"/>
          <w:szCs w:val="24"/>
        </w:rPr>
        <w:t>University Hospital Southampton NHS Foundation Trust</w:t>
      </w:r>
    </w:p>
    <w:p w14:paraId="0B9B5FB0" w14:textId="77777777" w:rsidR="00FB669F" w:rsidRPr="008D337D" w:rsidRDefault="00FB669F" w:rsidP="00FB669F">
      <w:pPr>
        <w:pStyle w:val="NoSpacing"/>
        <w:spacing w:line="480" w:lineRule="auto"/>
        <w:jc w:val="both"/>
        <w:rPr>
          <w:rFonts w:cstheme="minorHAnsi"/>
          <w:sz w:val="24"/>
          <w:szCs w:val="24"/>
        </w:rPr>
      </w:pPr>
      <w:proofErr w:type="spellStart"/>
      <w:r w:rsidRPr="008D337D">
        <w:rPr>
          <w:rFonts w:cstheme="minorHAnsi"/>
          <w:sz w:val="24"/>
          <w:szCs w:val="24"/>
        </w:rPr>
        <w:t>Tremona</w:t>
      </w:r>
      <w:proofErr w:type="spellEnd"/>
      <w:r w:rsidRPr="008D337D">
        <w:rPr>
          <w:rFonts w:cstheme="minorHAnsi"/>
          <w:sz w:val="24"/>
          <w:szCs w:val="24"/>
        </w:rPr>
        <w:t xml:space="preserve"> Road, Southampton, SO16 6YD</w:t>
      </w:r>
    </w:p>
    <w:p w14:paraId="62B2AACB" w14:textId="77777777" w:rsidR="00FB669F" w:rsidRPr="008D337D" w:rsidRDefault="00FB669F" w:rsidP="00FB669F">
      <w:pPr>
        <w:pStyle w:val="NoSpacing"/>
        <w:spacing w:line="480" w:lineRule="auto"/>
        <w:jc w:val="both"/>
        <w:rPr>
          <w:rFonts w:cstheme="minorHAnsi"/>
          <w:sz w:val="24"/>
          <w:szCs w:val="24"/>
        </w:rPr>
      </w:pPr>
      <w:r w:rsidRPr="008D337D">
        <w:rPr>
          <w:rFonts w:cstheme="minorHAnsi"/>
          <w:sz w:val="24"/>
          <w:szCs w:val="24"/>
        </w:rPr>
        <w:t>Phone:</w:t>
      </w:r>
      <w:r w:rsidRPr="003826F5">
        <w:rPr>
          <w:rFonts w:cstheme="minorHAnsi"/>
          <w:sz w:val="24"/>
          <w:szCs w:val="24"/>
        </w:rPr>
        <w:t xml:space="preserve"> 07739313038</w:t>
      </w:r>
    </w:p>
    <w:p w14:paraId="7B4F0F00" w14:textId="77777777" w:rsidR="00FB669F" w:rsidRPr="008D337D" w:rsidRDefault="00FB669F" w:rsidP="00FB669F">
      <w:pPr>
        <w:pStyle w:val="NoSpacing"/>
        <w:spacing w:line="480" w:lineRule="auto"/>
        <w:jc w:val="both"/>
        <w:rPr>
          <w:rFonts w:cstheme="minorHAnsi"/>
          <w:sz w:val="24"/>
          <w:szCs w:val="24"/>
        </w:rPr>
      </w:pPr>
      <w:r w:rsidRPr="008D337D">
        <w:rPr>
          <w:rFonts w:cstheme="minorHAnsi"/>
          <w:sz w:val="24"/>
          <w:szCs w:val="24"/>
        </w:rPr>
        <w:t>Email: L.Matthews@soton.ac.uk</w:t>
      </w:r>
    </w:p>
    <w:p w14:paraId="0776A3BD" w14:textId="77777777" w:rsidR="009066B1" w:rsidRPr="008D337D" w:rsidRDefault="009066B1" w:rsidP="009066B1">
      <w:pPr>
        <w:spacing w:after="0" w:line="480" w:lineRule="auto"/>
        <w:jc w:val="both"/>
        <w:rPr>
          <w:rFonts w:cstheme="minorHAnsi"/>
          <w:sz w:val="24"/>
          <w:szCs w:val="24"/>
        </w:rPr>
      </w:pPr>
    </w:p>
    <w:p w14:paraId="6EB0FA19" w14:textId="77777777" w:rsidR="00AC2EDA" w:rsidRPr="009066B1" w:rsidRDefault="00AC2EDA" w:rsidP="009066B1">
      <w:pPr>
        <w:pStyle w:val="Heading2"/>
        <w:spacing w:line="480" w:lineRule="auto"/>
        <w:rPr>
          <w:rFonts w:asciiTheme="minorHAnsi" w:hAnsiTheme="minorHAnsi" w:cstheme="minorHAnsi"/>
          <w:b/>
          <w:color w:val="auto"/>
          <w:sz w:val="24"/>
          <w:szCs w:val="24"/>
        </w:rPr>
      </w:pPr>
      <w:r w:rsidRPr="009066B1">
        <w:rPr>
          <w:rFonts w:asciiTheme="minorHAnsi" w:hAnsiTheme="minorHAnsi" w:cstheme="minorHAnsi"/>
          <w:b/>
          <w:color w:val="auto"/>
          <w:sz w:val="24"/>
          <w:szCs w:val="24"/>
        </w:rPr>
        <w:t xml:space="preserve">Acknowledgements </w:t>
      </w:r>
    </w:p>
    <w:p w14:paraId="228E1CB7" w14:textId="1EBACD55" w:rsidR="00E03A22" w:rsidRPr="009066B1" w:rsidRDefault="00AC2EDA" w:rsidP="009066B1">
      <w:pPr>
        <w:spacing w:line="480" w:lineRule="auto"/>
        <w:jc w:val="both"/>
        <w:rPr>
          <w:rFonts w:cstheme="minorHAnsi"/>
          <w:sz w:val="24"/>
          <w:szCs w:val="24"/>
        </w:rPr>
      </w:pPr>
      <w:r w:rsidRPr="008D337D">
        <w:rPr>
          <w:rFonts w:cstheme="minorHAnsi"/>
          <w:sz w:val="24"/>
          <w:szCs w:val="24"/>
        </w:rPr>
        <w:t xml:space="preserve">We thank the REACT </w:t>
      </w:r>
      <w:r w:rsidRPr="009066B1">
        <w:rPr>
          <w:rFonts w:cstheme="minorHAnsi"/>
          <w:sz w:val="24"/>
          <w:szCs w:val="24"/>
        </w:rPr>
        <w:t>COVID group, the GICU consultants, and all the nursing staff and allied healthcare professional</w:t>
      </w:r>
      <w:r w:rsidR="00ED6C25">
        <w:rPr>
          <w:rFonts w:cstheme="minorHAnsi"/>
          <w:sz w:val="24"/>
          <w:szCs w:val="24"/>
        </w:rPr>
        <w:t>s caring for patients with COVID</w:t>
      </w:r>
      <w:r w:rsidRPr="009066B1">
        <w:rPr>
          <w:rFonts w:cstheme="minorHAnsi"/>
          <w:sz w:val="24"/>
          <w:szCs w:val="24"/>
        </w:rPr>
        <w:t xml:space="preserve">-19 for their support. </w:t>
      </w:r>
    </w:p>
    <w:p w14:paraId="5DA3B850" w14:textId="77777777" w:rsidR="009066B1" w:rsidRPr="009066B1" w:rsidRDefault="009066B1" w:rsidP="009066B1">
      <w:pPr>
        <w:pStyle w:val="Heading2"/>
        <w:spacing w:line="480" w:lineRule="auto"/>
        <w:rPr>
          <w:rFonts w:asciiTheme="minorHAnsi" w:hAnsiTheme="minorHAnsi" w:cstheme="minorHAnsi"/>
          <w:b/>
          <w:color w:val="auto"/>
          <w:sz w:val="24"/>
          <w:szCs w:val="24"/>
          <w:lang w:val="en-US"/>
        </w:rPr>
      </w:pPr>
      <w:r w:rsidRPr="009066B1">
        <w:rPr>
          <w:rFonts w:asciiTheme="minorHAnsi" w:hAnsiTheme="minorHAnsi" w:cstheme="minorHAnsi"/>
          <w:b/>
          <w:color w:val="auto"/>
          <w:sz w:val="24"/>
          <w:szCs w:val="24"/>
          <w:lang w:val="en-US"/>
        </w:rPr>
        <w:lastRenderedPageBreak/>
        <w:t>Sources of Support/ Funding</w:t>
      </w:r>
    </w:p>
    <w:p w14:paraId="20969689" w14:textId="77777777" w:rsidR="00FB669F" w:rsidRDefault="009066B1" w:rsidP="00FB669F">
      <w:pPr>
        <w:spacing w:line="480" w:lineRule="auto"/>
        <w:rPr>
          <w:sz w:val="24"/>
          <w:szCs w:val="24"/>
        </w:rPr>
      </w:pPr>
      <w:r w:rsidRPr="009066B1">
        <w:rPr>
          <w:sz w:val="24"/>
          <w:szCs w:val="24"/>
        </w:rPr>
        <w:t>MPWG is in part funded by the NIHR Senior Investigator Scheme. MPWG is in part funded by the Southampton NIHR Biomedical Research Centre.</w:t>
      </w:r>
    </w:p>
    <w:p w14:paraId="165C8417" w14:textId="77777777" w:rsidR="00FB669F" w:rsidRDefault="00FB669F">
      <w:pPr>
        <w:rPr>
          <w:sz w:val="24"/>
          <w:szCs w:val="24"/>
        </w:rPr>
      </w:pPr>
      <w:r>
        <w:rPr>
          <w:sz w:val="24"/>
          <w:szCs w:val="24"/>
        </w:rPr>
        <w:br w:type="page"/>
      </w:r>
    </w:p>
    <w:p w14:paraId="7675647B" w14:textId="4C19D711" w:rsidR="008B3677" w:rsidRPr="008D337D" w:rsidRDefault="008B3677" w:rsidP="00FB669F">
      <w:pPr>
        <w:spacing w:line="480" w:lineRule="auto"/>
        <w:rPr>
          <w:rStyle w:val="normaltextrun"/>
          <w:rFonts w:cstheme="minorHAnsi"/>
          <w:b/>
          <w:bCs/>
          <w:sz w:val="24"/>
          <w:szCs w:val="24"/>
        </w:rPr>
      </w:pPr>
      <w:r w:rsidRPr="008D337D">
        <w:rPr>
          <w:rStyle w:val="normaltextrun"/>
          <w:rFonts w:cstheme="minorHAnsi"/>
          <w:b/>
          <w:bCs/>
          <w:sz w:val="24"/>
          <w:szCs w:val="24"/>
        </w:rPr>
        <w:lastRenderedPageBreak/>
        <w:t xml:space="preserve">Abstract </w:t>
      </w:r>
    </w:p>
    <w:p w14:paraId="02AB64D5" w14:textId="77777777" w:rsidR="007B7919" w:rsidRPr="007B7919" w:rsidRDefault="007B7919" w:rsidP="007B7919">
      <w:pPr>
        <w:pStyle w:val="Heading3"/>
        <w:rPr>
          <w:rStyle w:val="normaltextrun"/>
          <w:rFonts w:asciiTheme="minorHAnsi" w:hAnsiTheme="minorHAnsi" w:cstheme="minorHAnsi"/>
          <w:b/>
          <w:color w:val="auto"/>
        </w:rPr>
      </w:pPr>
      <w:r w:rsidRPr="007B7919">
        <w:rPr>
          <w:rStyle w:val="normaltextrun"/>
          <w:rFonts w:asciiTheme="minorHAnsi" w:hAnsiTheme="minorHAnsi" w:cstheme="minorHAnsi"/>
          <w:b/>
          <w:color w:val="auto"/>
        </w:rPr>
        <w:t>Background</w:t>
      </w:r>
    </w:p>
    <w:p w14:paraId="0447EB97" w14:textId="7B5766F7" w:rsidR="007B7919" w:rsidRPr="008D337D" w:rsidRDefault="007B7919" w:rsidP="007B7919">
      <w:pPr>
        <w:pStyle w:val="paragraph"/>
        <w:spacing w:after="0" w:line="480" w:lineRule="auto"/>
        <w:jc w:val="both"/>
        <w:textAlignment w:val="baseline"/>
        <w:rPr>
          <w:rFonts w:asciiTheme="minorHAnsi" w:hAnsiTheme="minorHAnsi" w:cstheme="minorHAnsi"/>
        </w:rPr>
      </w:pPr>
      <w:r w:rsidRPr="008D337D">
        <w:rPr>
          <w:rStyle w:val="normaltextrun"/>
          <w:rFonts w:asciiTheme="minorHAnsi" w:eastAsiaTheme="majorEastAsia" w:hAnsiTheme="minorHAnsi" w:cstheme="minorHAnsi"/>
        </w:rPr>
        <w:t>There have been over 200 million cases and 4.4 million</w:t>
      </w:r>
      <w:r w:rsidR="00ED6C25">
        <w:rPr>
          <w:rStyle w:val="normaltextrun"/>
          <w:rFonts w:asciiTheme="minorHAnsi" w:eastAsiaTheme="majorEastAsia" w:hAnsiTheme="minorHAnsi" w:cstheme="minorHAnsi"/>
        </w:rPr>
        <w:t xml:space="preserve"> deaths from COVID</w:t>
      </w:r>
      <w:r>
        <w:rPr>
          <w:rStyle w:val="normaltextrun"/>
          <w:rFonts w:asciiTheme="minorHAnsi" w:eastAsiaTheme="majorEastAsia" w:hAnsiTheme="minorHAnsi" w:cstheme="minorHAnsi"/>
        </w:rPr>
        <w:t>-19 worldwide. Despite the lack of robust evidence one</w:t>
      </w:r>
      <w:r>
        <w:rPr>
          <w:rStyle w:val="eop"/>
          <w:rFonts w:asciiTheme="minorHAnsi" w:hAnsiTheme="minorHAnsi" w:cstheme="minorHAnsi"/>
        </w:rPr>
        <w:t xml:space="preserve"> potential treatment for COVID-19 associated severe hypoxaemia is </w:t>
      </w:r>
      <w:r w:rsidRPr="008D337D">
        <w:rPr>
          <w:rStyle w:val="eop"/>
          <w:rFonts w:asciiTheme="minorHAnsi" w:hAnsiTheme="minorHAnsi" w:cstheme="minorHAnsi"/>
        </w:rPr>
        <w:t>inhaled pulmonary vasodilator</w:t>
      </w:r>
      <w:r>
        <w:rPr>
          <w:rStyle w:val="eop"/>
          <w:rFonts w:asciiTheme="minorHAnsi" w:hAnsiTheme="minorHAnsi" w:cstheme="minorHAnsi"/>
        </w:rPr>
        <w:t xml:space="preserve"> (IPVD) therapy</w:t>
      </w:r>
      <w:r w:rsidRPr="008D337D">
        <w:rPr>
          <w:rStyle w:val="eop"/>
          <w:rFonts w:asciiTheme="minorHAnsi" w:hAnsiTheme="minorHAnsi" w:cstheme="minorHAnsi"/>
        </w:rPr>
        <w:t xml:space="preserve">, </w:t>
      </w:r>
      <w:r>
        <w:rPr>
          <w:rStyle w:val="eop"/>
          <w:rFonts w:asciiTheme="minorHAnsi" w:hAnsiTheme="minorHAnsi" w:cstheme="minorHAnsi"/>
        </w:rPr>
        <w:t>using</w:t>
      </w:r>
      <w:r w:rsidRPr="008D337D">
        <w:rPr>
          <w:rStyle w:val="eop"/>
          <w:rFonts w:asciiTheme="minorHAnsi" w:hAnsiTheme="minorHAnsi" w:cstheme="minorHAnsi"/>
        </w:rPr>
        <w:t xml:space="preserve"> either nitric o</w:t>
      </w:r>
      <w:r>
        <w:rPr>
          <w:rStyle w:val="eop"/>
          <w:rFonts w:asciiTheme="minorHAnsi" w:hAnsiTheme="minorHAnsi" w:cstheme="minorHAnsi"/>
        </w:rPr>
        <w:t>xide (</w:t>
      </w:r>
      <w:proofErr w:type="spellStart"/>
      <w:r>
        <w:rPr>
          <w:rStyle w:val="eop"/>
          <w:rFonts w:asciiTheme="minorHAnsi" w:hAnsiTheme="minorHAnsi" w:cstheme="minorHAnsi"/>
        </w:rPr>
        <w:t>iNO</w:t>
      </w:r>
      <w:proofErr w:type="spellEnd"/>
      <w:r>
        <w:rPr>
          <w:rStyle w:val="eop"/>
          <w:rFonts w:asciiTheme="minorHAnsi" w:hAnsiTheme="minorHAnsi" w:cstheme="minorHAnsi"/>
        </w:rPr>
        <w:t xml:space="preserve">) or prostaglandins. </w:t>
      </w:r>
      <w:r>
        <w:rPr>
          <w:rFonts w:asciiTheme="minorHAnsi" w:hAnsiTheme="minorHAnsi" w:cstheme="minorHAnsi"/>
        </w:rPr>
        <w:t>We describe the implementation of, and outcomes from, a protocol using IPVDs in a</w:t>
      </w:r>
      <w:r w:rsidRPr="008D337D">
        <w:rPr>
          <w:rFonts w:asciiTheme="minorHAnsi" w:hAnsiTheme="minorHAnsi" w:cstheme="minorHAnsi"/>
        </w:rPr>
        <w:t xml:space="preserve"> </w:t>
      </w:r>
      <w:r>
        <w:rPr>
          <w:rFonts w:asciiTheme="minorHAnsi" w:hAnsiTheme="minorHAnsi" w:cstheme="minorHAnsi"/>
        </w:rPr>
        <w:t>cohort of patients with severe COVID-19 associated respiratory failure receiving maximal conventional support</w:t>
      </w:r>
      <w:r w:rsidRPr="008D337D">
        <w:rPr>
          <w:rFonts w:asciiTheme="minorHAnsi" w:hAnsiTheme="minorHAnsi" w:cstheme="minorHAnsi"/>
        </w:rPr>
        <w:t>.</w:t>
      </w:r>
    </w:p>
    <w:p w14:paraId="5625B9C7" w14:textId="77777777" w:rsidR="007B7919" w:rsidRPr="008D337D" w:rsidRDefault="007B7919" w:rsidP="007B7919">
      <w:pPr>
        <w:pStyle w:val="Heading3"/>
        <w:spacing w:line="480" w:lineRule="auto"/>
        <w:jc w:val="both"/>
        <w:rPr>
          <w:rStyle w:val="normaltextrun"/>
          <w:rFonts w:asciiTheme="minorHAnsi" w:hAnsiTheme="minorHAnsi" w:cstheme="minorHAnsi"/>
          <w:b/>
          <w:color w:val="auto"/>
        </w:rPr>
      </w:pPr>
      <w:r w:rsidRPr="008D337D">
        <w:rPr>
          <w:rStyle w:val="normaltextrun"/>
          <w:rFonts w:asciiTheme="minorHAnsi" w:hAnsiTheme="minorHAnsi" w:cstheme="minorHAnsi"/>
          <w:b/>
          <w:color w:val="auto"/>
        </w:rPr>
        <w:t>Methods</w:t>
      </w:r>
    </w:p>
    <w:p w14:paraId="0054E16D" w14:textId="77777777" w:rsidR="007B7919" w:rsidRPr="008D337D" w:rsidRDefault="007B7919" w:rsidP="007B7919">
      <w:pPr>
        <w:spacing w:line="480" w:lineRule="auto"/>
        <w:rPr>
          <w:rFonts w:cstheme="minorHAnsi"/>
        </w:rPr>
      </w:pPr>
      <w:r>
        <w:rPr>
          <w:rFonts w:cstheme="minorHAnsi"/>
          <w:sz w:val="24"/>
          <w:szCs w:val="24"/>
        </w:rPr>
        <w:t>Prospectively collected data from</w:t>
      </w:r>
      <w:r w:rsidRPr="008D337D">
        <w:rPr>
          <w:rFonts w:cstheme="minorHAnsi"/>
          <w:sz w:val="24"/>
          <w:szCs w:val="24"/>
        </w:rPr>
        <w:t xml:space="preserve"> </w:t>
      </w:r>
      <w:r>
        <w:rPr>
          <w:rFonts w:cstheme="minorHAnsi"/>
          <w:sz w:val="24"/>
          <w:szCs w:val="24"/>
        </w:rPr>
        <w:t xml:space="preserve">adult </w:t>
      </w:r>
      <w:r w:rsidRPr="008D337D">
        <w:rPr>
          <w:rFonts w:cstheme="minorHAnsi"/>
          <w:sz w:val="24"/>
          <w:szCs w:val="24"/>
        </w:rPr>
        <w:t xml:space="preserve">patients with SARS-CoV-2 admitted to the </w:t>
      </w:r>
      <w:r>
        <w:rPr>
          <w:rFonts w:cstheme="minorHAnsi"/>
          <w:sz w:val="24"/>
          <w:szCs w:val="24"/>
        </w:rPr>
        <w:t>intensive care unit (</w:t>
      </w:r>
      <w:r w:rsidRPr="008D337D">
        <w:rPr>
          <w:rFonts w:cstheme="minorHAnsi"/>
          <w:sz w:val="24"/>
          <w:szCs w:val="24"/>
        </w:rPr>
        <w:t>ICU</w:t>
      </w:r>
      <w:r>
        <w:rPr>
          <w:rFonts w:cstheme="minorHAnsi"/>
          <w:sz w:val="24"/>
          <w:szCs w:val="24"/>
        </w:rPr>
        <w:t>)</w:t>
      </w:r>
      <w:r w:rsidRPr="008D337D">
        <w:rPr>
          <w:rFonts w:cstheme="minorHAnsi"/>
          <w:sz w:val="24"/>
          <w:szCs w:val="24"/>
        </w:rPr>
        <w:t xml:space="preserve"> at a large teaching hospital we</w:t>
      </w:r>
      <w:r>
        <w:rPr>
          <w:rFonts w:cstheme="minorHAnsi"/>
          <w:sz w:val="24"/>
          <w:szCs w:val="24"/>
        </w:rPr>
        <w:t xml:space="preserve">re analysed for the </w:t>
      </w:r>
      <w:r w:rsidRPr="008D337D">
        <w:rPr>
          <w:rFonts w:cstheme="minorHAnsi"/>
          <w:sz w:val="24"/>
          <w:szCs w:val="24"/>
        </w:rPr>
        <w:t>period 14</w:t>
      </w:r>
      <w:r w:rsidRPr="008D337D">
        <w:rPr>
          <w:rFonts w:cstheme="minorHAnsi"/>
          <w:sz w:val="24"/>
          <w:szCs w:val="24"/>
          <w:vertAlign w:val="superscript"/>
        </w:rPr>
        <w:t>th</w:t>
      </w:r>
      <w:r w:rsidRPr="008D337D">
        <w:rPr>
          <w:rFonts w:cstheme="minorHAnsi"/>
          <w:sz w:val="24"/>
          <w:szCs w:val="24"/>
        </w:rPr>
        <w:t xml:space="preserve"> March 2020 - 11</w:t>
      </w:r>
      <w:r w:rsidRPr="008D337D">
        <w:rPr>
          <w:rFonts w:cstheme="minorHAnsi"/>
          <w:sz w:val="24"/>
          <w:szCs w:val="24"/>
          <w:vertAlign w:val="superscript"/>
        </w:rPr>
        <w:t>th</w:t>
      </w:r>
      <w:r w:rsidRPr="008D337D">
        <w:rPr>
          <w:rFonts w:cstheme="minorHAnsi"/>
          <w:sz w:val="24"/>
          <w:szCs w:val="24"/>
        </w:rPr>
        <w:t xml:space="preserve"> February 2021. An IPVD was considered if the PaO</w:t>
      </w:r>
      <w:r w:rsidRPr="008D337D">
        <w:rPr>
          <w:rFonts w:cstheme="minorHAnsi"/>
          <w:sz w:val="24"/>
          <w:szCs w:val="24"/>
          <w:vertAlign w:val="subscript"/>
        </w:rPr>
        <w:t>2</w:t>
      </w:r>
      <w:r w:rsidRPr="008D337D">
        <w:rPr>
          <w:rFonts w:cstheme="minorHAnsi"/>
          <w:sz w:val="24"/>
          <w:szCs w:val="24"/>
        </w:rPr>
        <w:t>/FiO</w:t>
      </w:r>
      <w:r w:rsidRPr="008D337D">
        <w:rPr>
          <w:rFonts w:cstheme="minorHAnsi"/>
          <w:sz w:val="24"/>
          <w:szCs w:val="24"/>
          <w:vertAlign w:val="subscript"/>
        </w:rPr>
        <w:t>2</w:t>
      </w:r>
      <w:r w:rsidRPr="00D36605">
        <w:rPr>
          <w:rFonts w:cstheme="minorHAnsi"/>
          <w:sz w:val="24"/>
          <w:szCs w:val="24"/>
        </w:rPr>
        <w:t xml:space="preserve"> (PF)</w:t>
      </w:r>
      <w:r w:rsidRPr="008D337D">
        <w:rPr>
          <w:rFonts w:cstheme="minorHAnsi"/>
          <w:sz w:val="24"/>
          <w:szCs w:val="24"/>
        </w:rPr>
        <w:t xml:space="preserve"> ratio was less than 13.3kPa despite </w:t>
      </w:r>
      <w:r>
        <w:rPr>
          <w:rFonts w:cstheme="minorHAnsi"/>
          <w:sz w:val="24"/>
          <w:szCs w:val="24"/>
        </w:rPr>
        <w:t xml:space="preserve">maximal conventional therapy. </w:t>
      </w:r>
      <w:r w:rsidRPr="008D337D">
        <w:rPr>
          <w:rFonts w:cstheme="minorHAnsi"/>
          <w:sz w:val="24"/>
          <w:szCs w:val="24"/>
        </w:rPr>
        <w:t xml:space="preserve">Nitric oxide was commenced at 20ppm and titrated to response. If oxygenation improved </w:t>
      </w:r>
      <w:r>
        <w:rPr>
          <w:rFonts w:cstheme="minorHAnsi"/>
          <w:sz w:val="24"/>
          <w:szCs w:val="24"/>
        </w:rPr>
        <w:t>Iloprost</w:t>
      </w:r>
      <w:r w:rsidRPr="008D337D">
        <w:rPr>
          <w:rFonts w:cstheme="minorHAnsi"/>
          <w:sz w:val="24"/>
          <w:szCs w:val="24"/>
        </w:rPr>
        <w:t xml:space="preserve"> nebulisers were c</w:t>
      </w:r>
      <w:r>
        <w:rPr>
          <w:rFonts w:cstheme="minorHAnsi"/>
          <w:sz w:val="24"/>
          <w:szCs w:val="24"/>
        </w:rPr>
        <w:t>ommenced</w:t>
      </w:r>
      <w:r w:rsidRPr="008D337D">
        <w:rPr>
          <w:rFonts w:cstheme="minorHAnsi"/>
          <w:sz w:val="24"/>
          <w:szCs w:val="24"/>
        </w:rPr>
        <w:t xml:space="preserve"> and </w:t>
      </w:r>
      <w:proofErr w:type="spellStart"/>
      <w:r>
        <w:rPr>
          <w:rFonts w:cstheme="minorHAnsi"/>
          <w:sz w:val="24"/>
          <w:szCs w:val="24"/>
        </w:rPr>
        <w:t>i</w:t>
      </w:r>
      <w:r w:rsidRPr="008D337D">
        <w:rPr>
          <w:rFonts w:cstheme="minorHAnsi"/>
          <w:sz w:val="24"/>
          <w:szCs w:val="24"/>
        </w:rPr>
        <w:t>NO</w:t>
      </w:r>
      <w:proofErr w:type="spellEnd"/>
      <w:r w:rsidRPr="008D337D">
        <w:rPr>
          <w:rFonts w:cstheme="minorHAnsi"/>
          <w:sz w:val="24"/>
          <w:szCs w:val="24"/>
        </w:rPr>
        <w:t xml:space="preserve"> weaned. The primary outcome was percentage changes in </w:t>
      </w:r>
      <w:r>
        <w:rPr>
          <w:rFonts w:cstheme="minorHAnsi"/>
          <w:sz w:val="24"/>
          <w:szCs w:val="24"/>
        </w:rPr>
        <w:t>PF</w:t>
      </w:r>
      <w:r w:rsidRPr="008D337D">
        <w:rPr>
          <w:rFonts w:cstheme="minorHAnsi"/>
          <w:sz w:val="24"/>
          <w:szCs w:val="24"/>
        </w:rPr>
        <w:t xml:space="preserve"> ratio and A</w:t>
      </w:r>
      <w:r>
        <w:rPr>
          <w:rFonts w:cstheme="minorHAnsi"/>
          <w:sz w:val="24"/>
          <w:szCs w:val="24"/>
        </w:rPr>
        <w:t>lveolar-arterial (A-a) gradient.</w:t>
      </w:r>
    </w:p>
    <w:p w14:paraId="5358CA7E" w14:textId="77777777" w:rsidR="007B7919" w:rsidRPr="003826F5" w:rsidRDefault="007B7919" w:rsidP="007B7919">
      <w:pPr>
        <w:pStyle w:val="Heading3"/>
        <w:spacing w:line="480" w:lineRule="auto"/>
        <w:jc w:val="both"/>
        <w:rPr>
          <w:rStyle w:val="normaltextrun"/>
          <w:rFonts w:asciiTheme="minorHAnsi" w:hAnsiTheme="minorHAnsi" w:cstheme="minorHAnsi"/>
          <w:b/>
        </w:rPr>
      </w:pPr>
      <w:r w:rsidRPr="008D337D">
        <w:rPr>
          <w:rStyle w:val="normaltextrun"/>
          <w:rFonts w:asciiTheme="minorHAnsi" w:hAnsiTheme="minorHAnsi" w:cstheme="minorHAnsi"/>
          <w:b/>
          <w:color w:val="auto"/>
        </w:rPr>
        <w:t>Results</w:t>
      </w:r>
    </w:p>
    <w:p w14:paraId="105D30F3" w14:textId="77777777" w:rsidR="007B7919" w:rsidRPr="008D337D" w:rsidRDefault="007B7919" w:rsidP="007B7919">
      <w:pPr>
        <w:spacing w:line="480" w:lineRule="auto"/>
        <w:jc w:val="both"/>
        <w:rPr>
          <w:rFonts w:cstheme="minorHAnsi"/>
          <w:sz w:val="24"/>
          <w:szCs w:val="24"/>
        </w:rPr>
      </w:pPr>
      <w:r>
        <w:rPr>
          <w:rFonts w:cstheme="minorHAnsi"/>
          <w:sz w:val="24"/>
          <w:szCs w:val="24"/>
        </w:rPr>
        <w:t>Fifty-nine patients</w:t>
      </w:r>
      <w:r w:rsidRPr="008D337D">
        <w:rPr>
          <w:rFonts w:cstheme="minorHAnsi"/>
          <w:sz w:val="24"/>
          <w:szCs w:val="24"/>
        </w:rPr>
        <w:t xml:space="preserve"> received IPVD therapy</w:t>
      </w:r>
      <w:r>
        <w:rPr>
          <w:rFonts w:cstheme="minorHAnsi"/>
          <w:sz w:val="24"/>
          <w:szCs w:val="24"/>
        </w:rPr>
        <w:t xml:space="preserve"> during the study period. </w:t>
      </w:r>
      <w:r w:rsidRPr="008D337D">
        <w:rPr>
          <w:rFonts w:cstheme="minorHAnsi"/>
          <w:sz w:val="24"/>
          <w:szCs w:val="24"/>
        </w:rPr>
        <w:t xml:space="preserve">The median </w:t>
      </w:r>
      <w:r>
        <w:rPr>
          <w:rFonts w:cstheme="minorHAnsi"/>
          <w:sz w:val="24"/>
          <w:szCs w:val="24"/>
        </w:rPr>
        <w:t>PF</w:t>
      </w:r>
      <w:r w:rsidRPr="008D337D">
        <w:rPr>
          <w:rFonts w:cstheme="minorHAnsi"/>
          <w:sz w:val="24"/>
          <w:szCs w:val="24"/>
        </w:rPr>
        <w:t xml:space="preserve"> ratio </w:t>
      </w:r>
      <w:r>
        <w:rPr>
          <w:rFonts w:cstheme="minorHAnsi"/>
          <w:sz w:val="24"/>
          <w:szCs w:val="24"/>
        </w:rPr>
        <w:t>before</w:t>
      </w:r>
      <w:r w:rsidRPr="008D337D">
        <w:rPr>
          <w:rFonts w:cstheme="minorHAnsi"/>
          <w:sz w:val="24"/>
          <w:szCs w:val="24"/>
        </w:rPr>
        <w:t xml:space="preserve"> IPVD therapy was</w:t>
      </w:r>
      <w:r>
        <w:rPr>
          <w:rFonts w:cstheme="minorHAnsi"/>
          <w:sz w:val="24"/>
          <w:szCs w:val="24"/>
        </w:rPr>
        <w:t xml:space="preserve"> commenced was</w:t>
      </w:r>
      <w:r w:rsidRPr="008D337D">
        <w:rPr>
          <w:rFonts w:cstheme="minorHAnsi"/>
          <w:sz w:val="24"/>
          <w:szCs w:val="24"/>
        </w:rPr>
        <w:t xml:space="preserve"> 11.33kPa (9.93-12</w:t>
      </w:r>
      <w:r>
        <w:rPr>
          <w:rFonts w:cstheme="minorHAnsi"/>
          <w:sz w:val="24"/>
          <w:szCs w:val="24"/>
        </w:rPr>
        <w:t>.91)</w:t>
      </w:r>
      <w:r w:rsidRPr="008D337D">
        <w:rPr>
          <w:rFonts w:cstheme="minorHAnsi"/>
          <w:sz w:val="24"/>
          <w:szCs w:val="24"/>
        </w:rPr>
        <w:t xml:space="preserve">. Patients receiving an IPVD had a lower </w:t>
      </w:r>
      <w:r>
        <w:rPr>
          <w:rFonts w:cstheme="minorHAnsi"/>
          <w:sz w:val="24"/>
          <w:szCs w:val="24"/>
        </w:rPr>
        <w:t>PF</w:t>
      </w:r>
      <w:r w:rsidRPr="008D337D">
        <w:rPr>
          <w:rFonts w:cstheme="minorHAnsi"/>
          <w:sz w:val="24"/>
          <w:szCs w:val="24"/>
        </w:rPr>
        <w:t xml:space="preserve"> ratio (14.37 vs. 16.37kPa, p=0.002) and higher APACHE-II score (17 vs. 13, p=0.028) at </w:t>
      </w:r>
      <w:r>
        <w:rPr>
          <w:rFonts w:cstheme="minorHAnsi"/>
          <w:sz w:val="24"/>
          <w:szCs w:val="24"/>
        </w:rPr>
        <w:t>ICU admission</w:t>
      </w:r>
      <w:r w:rsidRPr="008D337D">
        <w:rPr>
          <w:rFonts w:cstheme="minorHAnsi"/>
          <w:sz w:val="24"/>
          <w:szCs w:val="24"/>
        </w:rPr>
        <w:t>.</w:t>
      </w:r>
      <w:r>
        <w:rPr>
          <w:rFonts w:cstheme="minorHAnsi"/>
          <w:sz w:val="24"/>
          <w:szCs w:val="24"/>
        </w:rPr>
        <w:t xml:space="preserve"> </w:t>
      </w:r>
      <w:r w:rsidRPr="008D337D">
        <w:rPr>
          <w:rFonts w:cstheme="minorHAnsi"/>
          <w:sz w:val="24"/>
          <w:szCs w:val="24"/>
        </w:rPr>
        <w:t>At 72 hours</w:t>
      </w:r>
      <w:r>
        <w:rPr>
          <w:rFonts w:cstheme="minorHAnsi"/>
          <w:sz w:val="24"/>
          <w:szCs w:val="24"/>
        </w:rPr>
        <w:t xml:space="preserve"> after initiating an IPVD</w:t>
      </w:r>
      <w:r w:rsidRPr="008D337D">
        <w:rPr>
          <w:rFonts w:cstheme="minorHAnsi"/>
          <w:sz w:val="24"/>
          <w:szCs w:val="24"/>
        </w:rPr>
        <w:t xml:space="preserve"> the median improvement in </w:t>
      </w:r>
      <w:r>
        <w:rPr>
          <w:rFonts w:cstheme="minorHAnsi"/>
          <w:sz w:val="24"/>
          <w:szCs w:val="24"/>
        </w:rPr>
        <w:t>PF</w:t>
      </w:r>
      <w:r w:rsidRPr="008D337D">
        <w:rPr>
          <w:rFonts w:cstheme="minorHAnsi"/>
          <w:sz w:val="24"/>
          <w:szCs w:val="24"/>
        </w:rPr>
        <w:t xml:space="preserve"> ratio was 33.9% (-4.3</w:t>
      </w:r>
      <w:r>
        <w:rPr>
          <w:rFonts w:cstheme="minorHAnsi"/>
          <w:sz w:val="24"/>
          <w:szCs w:val="24"/>
        </w:rPr>
        <w:t xml:space="preserve"> </w:t>
      </w:r>
      <w:r w:rsidRPr="008D337D">
        <w:rPr>
          <w:rFonts w:cstheme="minorHAnsi"/>
          <w:sz w:val="24"/>
          <w:szCs w:val="24"/>
        </w:rPr>
        <w:t>-</w:t>
      </w:r>
      <w:r>
        <w:rPr>
          <w:rFonts w:cstheme="minorHAnsi"/>
          <w:sz w:val="24"/>
          <w:szCs w:val="24"/>
        </w:rPr>
        <w:t xml:space="preserve"> </w:t>
      </w:r>
      <w:r w:rsidRPr="008D337D">
        <w:rPr>
          <w:rFonts w:cstheme="minorHAnsi"/>
          <w:sz w:val="24"/>
          <w:szCs w:val="24"/>
        </w:rPr>
        <w:t xml:space="preserve">84.1). At 72 hours changes in </w:t>
      </w:r>
      <w:r>
        <w:rPr>
          <w:rFonts w:cstheme="minorHAnsi"/>
          <w:sz w:val="24"/>
          <w:szCs w:val="24"/>
        </w:rPr>
        <w:t>PF</w:t>
      </w:r>
      <w:r w:rsidRPr="008D337D">
        <w:rPr>
          <w:rFonts w:cstheme="minorHAnsi"/>
          <w:sz w:val="24"/>
          <w:szCs w:val="24"/>
        </w:rPr>
        <w:t xml:space="preserve"> ratio (70.8 vs. -4.1%</w:t>
      </w:r>
      <w:r>
        <w:rPr>
          <w:rFonts w:cstheme="minorHAnsi"/>
          <w:sz w:val="24"/>
          <w:szCs w:val="24"/>
        </w:rPr>
        <w:t>, p&lt;0.001</w:t>
      </w:r>
      <w:r w:rsidRPr="008D337D">
        <w:rPr>
          <w:rFonts w:cstheme="minorHAnsi"/>
          <w:sz w:val="24"/>
          <w:szCs w:val="24"/>
        </w:rPr>
        <w:t xml:space="preserve">) and reduction in </w:t>
      </w:r>
      <w:r w:rsidRPr="008D337D">
        <w:rPr>
          <w:rFonts w:cstheme="minorHAnsi"/>
          <w:sz w:val="24"/>
          <w:szCs w:val="24"/>
        </w:rPr>
        <w:lastRenderedPageBreak/>
        <w:t>A</w:t>
      </w:r>
      <w:r>
        <w:rPr>
          <w:rFonts w:cstheme="minorHAnsi"/>
          <w:sz w:val="24"/>
          <w:szCs w:val="24"/>
        </w:rPr>
        <w:t>-a</w:t>
      </w:r>
      <w:r w:rsidRPr="008D337D">
        <w:rPr>
          <w:rFonts w:cstheme="minorHAnsi"/>
          <w:sz w:val="24"/>
          <w:szCs w:val="24"/>
        </w:rPr>
        <w:t xml:space="preserve"> gradient (44.7 vs. 14.8%</w:t>
      </w:r>
      <w:r>
        <w:rPr>
          <w:rFonts w:cstheme="minorHAnsi"/>
          <w:sz w:val="24"/>
          <w:szCs w:val="24"/>
        </w:rPr>
        <w:t>, p&lt;0.001</w:t>
      </w:r>
      <w:r w:rsidRPr="008D337D">
        <w:rPr>
          <w:rFonts w:cstheme="minorHAnsi"/>
          <w:sz w:val="24"/>
          <w:szCs w:val="24"/>
        </w:rPr>
        <w:t>) differed significantly between survivors</w:t>
      </w:r>
      <w:r>
        <w:rPr>
          <w:rFonts w:cstheme="minorHAnsi"/>
          <w:sz w:val="24"/>
          <w:szCs w:val="24"/>
        </w:rPr>
        <w:t xml:space="preserve"> (n=33)</w:t>
      </w:r>
      <w:r w:rsidRPr="008D337D">
        <w:rPr>
          <w:rFonts w:cstheme="minorHAnsi"/>
          <w:sz w:val="24"/>
          <w:szCs w:val="24"/>
        </w:rPr>
        <w:t xml:space="preserve"> and non-survivors</w:t>
      </w:r>
      <w:r>
        <w:rPr>
          <w:rFonts w:cstheme="minorHAnsi"/>
          <w:sz w:val="24"/>
          <w:szCs w:val="24"/>
        </w:rPr>
        <w:t xml:space="preserve"> (n=26).</w:t>
      </w:r>
    </w:p>
    <w:p w14:paraId="622B8EBA" w14:textId="77777777" w:rsidR="007B7919" w:rsidRPr="008D337D" w:rsidRDefault="007B7919" w:rsidP="007B7919">
      <w:pPr>
        <w:pStyle w:val="Heading3"/>
        <w:spacing w:line="480" w:lineRule="auto"/>
        <w:jc w:val="both"/>
        <w:rPr>
          <w:rStyle w:val="normaltextrun"/>
          <w:rFonts w:asciiTheme="minorHAnsi" w:hAnsiTheme="minorHAnsi" w:cstheme="minorHAnsi"/>
          <w:b/>
          <w:color w:val="auto"/>
        </w:rPr>
      </w:pPr>
      <w:r w:rsidRPr="008D337D">
        <w:rPr>
          <w:rStyle w:val="normaltextrun"/>
          <w:rFonts w:asciiTheme="minorHAnsi" w:hAnsiTheme="minorHAnsi" w:cstheme="minorHAnsi"/>
          <w:b/>
          <w:color w:val="auto"/>
        </w:rPr>
        <w:t>Conclusions</w:t>
      </w:r>
    </w:p>
    <w:p w14:paraId="3C0F551B" w14:textId="77777777" w:rsidR="007B7919" w:rsidRPr="008D337D" w:rsidRDefault="007B7919" w:rsidP="007B7919">
      <w:pPr>
        <w:spacing w:line="480" w:lineRule="auto"/>
        <w:jc w:val="both"/>
        <w:rPr>
          <w:rFonts w:cstheme="minorHAnsi"/>
        </w:rPr>
      </w:pPr>
      <w:r w:rsidRPr="008D337D">
        <w:rPr>
          <w:rFonts w:cstheme="minorHAnsi"/>
        </w:rPr>
        <w:t>T</w:t>
      </w:r>
      <w:r w:rsidRPr="008D337D">
        <w:rPr>
          <w:rFonts w:cstheme="minorHAnsi"/>
          <w:sz w:val="24"/>
          <w:szCs w:val="24"/>
        </w:rPr>
        <w:t xml:space="preserve">he response to IPVDs </w:t>
      </w:r>
      <w:r>
        <w:rPr>
          <w:rFonts w:cstheme="minorHAnsi"/>
          <w:sz w:val="24"/>
          <w:szCs w:val="24"/>
        </w:rPr>
        <w:t>in</w:t>
      </w:r>
      <w:r w:rsidRPr="008D337D">
        <w:rPr>
          <w:rFonts w:cstheme="minorHAnsi"/>
          <w:sz w:val="24"/>
          <w:szCs w:val="24"/>
        </w:rPr>
        <w:t xml:space="preserve"> patients with </w:t>
      </w:r>
      <w:r>
        <w:rPr>
          <w:rFonts w:cstheme="minorHAnsi"/>
          <w:sz w:val="24"/>
          <w:szCs w:val="24"/>
        </w:rPr>
        <w:t xml:space="preserve">COVID-19 associated </w:t>
      </w:r>
      <w:r w:rsidRPr="008D337D">
        <w:rPr>
          <w:rFonts w:cstheme="minorHAnsi"/>
          <w:sz w:val="24"/>
          <w:szCs w:val="24"/>
        </w:rPr>
        <w:t xml:space="preserve">acute hypoxic </w:t>
      </w:r>
      <w:r>
        <w:rPr>
          <w:rFonts w:cstheme="minorHAnsi"/>
          <w:sz w:val="24"/>
          <w:szCs w:val="24"/>
        </w:rPr>
        <w:t xml:space="preserve">respiratory failure </w:t>
      </w:r>
      <w:r w:rsidRPr="008D337D">
        <w:rPr>
          <w:rFonts w:cstheme="minorHAnsi"/>
          <w:sz w:val="24"/>
          <w:szCs w:val="24"/>
        </w:rPr>
        <w:t>differ</w:t>
      </w:r>
      <w:r>
        <w:rPr>
          <w:rFonts w:cstheme="minorHAnsi"/>
          <w:sz w:val="24"/>
          <w:szCs w:val="24"/>
        </w:rPr>
        <w:t>ed</w:t>
      </w:r>
      <w:r w:rsidRPr="008D337D">
        <w:rPr>
          <w:rFonts w:cstheme="minorHAnsi"/>
          <w:sz w:val="24"/>
          <w:szCs w:val="24"/>
        </w:rPr>
        <w:t xml:space="preserve"> significantly between survivors and non-survivors. Both </w:t>
      </w:r>
      <w:proofErr w:type="spellStart"/>
      <w:r>
        <w:rPr>
          <w:rFonts w:cstheme="minorHAnsi"/>
          <w:sz w:val="24"/>
          <w:szCs w:val="24"/>
        </w:rPr>
        <w:t>i</w:t>
      </w:r>
      <w:r w:rsidRPr="008D337D">
        <w:rPr>
          <w:rFonts w:cstheme="minorHAnsi"/>
          <w:sz w:val="24"/>
          <w:szCs w:val="24"/>
        </w:rPr>
        <w:t>NO</w:t>
      </w:r>
      <w:proofErr w:type="spellEnd"/>
      <w:r w:rsidRPr="008D337D">
        <w:rPr>
          <w:rFonts w:cstheme="minorHAnsi"/>
          <w:sz w:val="24"/>
          <w:szCs w:val="24"/>
        </w:rPr>
        <w:t xml:space="preserve"> and prostaglandins may offer therapeutic options for </w:t>
      </w:r>
      <w:r>
        <w:rPr>
          <w:rFonts w:cstheme="minorHAnsi"/>
          <w:sz w:val="24"/>
          <w:szCs w:val="24"/>
        </w:rPr>
        <w:t xml:space="preserve">patients with severe refractory </w:t>
      </w:r>
      <w:r w:rsidRPr="008D337D">
        <w:rPr>
          <w:rFonts w:cstheme="minorHAnsi"/>
          <w:sz w:val="24"/>
          <w:szCs w:val="24"/>
        </w:rPr>
        <w:t>hypoxaemia due to COVID-19</w:t>
      </w:r>
      <w:r>
        <w:rPr>
          <w:rFonts w:cstheme="minorHAnsi"/>
          <w:sz w:val="24"/>
          <w:szCs w:val="24"/>
        </w:rPr>
        <w:t>.</w:t>
      </w:r>
      <w:r w:rsidRPr="008D337D">
        <w:rPr>
          <w:rFonts w:cstheme="minorHAnsi"/>
          <w:sz w:val="24"/>
          <w:szCs w:val="24"/>
        </w:rPr>
        <w:t xml:space="preserve"> The use of inhaled prostaglandins, and </w:t>
      </w:r>
      <w:proofErr w:type="spellStart"/>
      <w:r>
        <w:rPr>
          <w:rFonts w:cstheme="minorHAnsi"/>
          <w:sz w:val="24"/>
          <w:szCs w:val="24"/>
        </w:rPr>
        <w:t>i</w:t>
      </w:r>
      <w:r w:rsidRPr="008D337D">
        <w:rPr>
          <w:rFonts w:cstheme="minorHAnsi"/>
          <w:sz w:val="24"/>
          <w:szCs w:val="24"/>
        </w:rPr>
        <w:t>NO</w:t>
      </w:r>
      <w:proofErr w:type="spellEnd"/>
      <w:r w:rsidRPr="008D337D">
        <w:rPr>
          <w:rFonts w:cstheme="minorHAnsi"/>
          <w:sz w:val="24"/>
          <w:szCs w:val="24"/>
        </w:rPr>
        <w:t xml:space="preserve"> where feasible</w:t>
      </w:r>
      <w:r>
        <w:rPr>
          <w:rFonts w:cstheme="minorHAnsi"/>
          <w:sz w:val="24"/>
          <w:szCs w:val="24"/>
        </w:rPr>
        <w:t>, should be studied</w:t>
      </w:r>
      <w:r w:rsidRPr="008D337D">
        <w:rPr>
          <w:rFonts w:cstheme="minorHAnsi"/>
          <w:sz w:val="24"/>
          <w:szCs w:val="24"/>
        </w:rPr>
        <w:t xml:space="preserve"> in adequately powered prospective randomised trials.</w:t>
      </w:r>
    </w:p>
    <w:p w14:paraId="238BFEBD" w14:textId="19E9914B" w:rsidR="009066B1" w:rsidRPr="008D337D" w:rsidRDefault="00346FE1" w:rsidP="009066B1">
      <w:pPr>
        <w:pStyle w:val="Heading2"/>
        <w:spacing w:line="480" w:lineRule="auto"/>
        <w:jc w:val="both"/>
        <w:rPr>
          <w:rFonts w:asciiTheme="minorHAnsi" w:hAnsiTheme="minorHAnsi" w:cstheme="minorHAnsi"/>
          <w:b/>
          <w:bCs/>
          <w:color w:val="000000" w:themeColor="text1"/>
          <w:sz w:val="24"/>
          <w:szCs w:val="24"/>
        </w:rPr>
      </w:pPr>
      <w:r w:rsidRPr="008D337D">
        <w:rPr>
          <w:rFonts w:cstheme="minorHAnsi"/>
          <w:sz w:val="24"/>
          <w:szCs w:val="24"/>
        </w:rPr>
        <w:t>.</w:t>
      </w:r>
      <w:r w:rsidR="009066B1" w:rsidRPr="009066B1">
        <w:rPr>
          <w:rFonts w:asciiTheme="minorHAnsi" w:hAnsiTheme="minorHAnsi" w:cstheme="minorHAnsi"/>
          <w:b/>
          <w:bCs/>
          <w:color w:val="000000" w:themeColor="text1"/>
          <w:sz w:val="24"/>
          <w:szCs w:val="24"/>
        </w:rPr>
        <w:t xml:space="preserve"> </w:t>
      </w:r>
      <w:r w:rsidR="009066B1" w:rsidRPr="008D337D">
        <w:rPr>
          <w:rFonts w:asciiTheme="minorHAnsi" w:hAnsiTheme="minorHAnsi" w:cstheme="minorHAnsi"/>
          <w:b/>
          <w:bCs/>
          <w:color w:val="000000" w:themeColor="text1"/>
          <w:sz w:val="24"/>
          <w:szCs w:val="24"/>
        </w:rPr>
        <w:t xml:space="preserve">Keywords </w:t>
      </w:r>
    </w:p>
    <w:p w14:paraId="4CB86E3A" w14:textId="77777777" w:rsidR="009066B1" w:rsidRPr="008D337D" w:rsidRDefault="009066B1" w:rsidP="009066B1">
      <w:pPr>
        <w:spacing w:line="480" w:lineRule="auto"/>
        <w:jc w:val="both"/>
        <w:rPr>
          <w:rFonts w:cstheme="minorHAnsi"/>
          <w:sz w:val="24"/>
          <w:szCs w:val="24"/>
        </w:rPr>
      </w:pPr>
      <w:r w:rsidRPr="008D337D">
        <w:rPr>
          <w:rFonts w:cstheme="minorHAnsi"/>
          <w:sz w:val="24"/>
          <w:szCs w:val="24"/>
        </w:rPr>
        <w:t>COVID-19</w:t>
      </w:r>
    </w:p>
    <w:p w14:paraId="5A69918B" w14:textId="77777777" w:rsidR="009066B1" w:rsidRPr="008D337D" w:rsidRDefault="009066B1" w:rsidP="009066B1">
      <w:pPr>
        <w:spacing w:line="480" w:lineRule="auto"/>
        <w:jc w:val="both"/>
        <w:rPr>
          <w:rFonts w:cstheme="minorHAnsi"/>
          <w:sz w:val="24"/>
          <w:szCs w:val="24"/>
        </w:rPr>
      </w:pPr>
      <w:r w:rsidRPr="008D337D">
        <w:rPr>
          <w:rFonts w:cstheme="minorHAnsi"/>
          <w:sz w:val="24"/>
          <w:szCs w:val="24"/>
        </w:rPr>
        <w:t>Intensive care</w:t>
      </w:r>
    </w:p>
    <w:p w14:paraId="1F015F9C" w14:textId="77777777" w:rsidR="009066B1" w:rsidRPr="008D337D" w:rsidRDefault="009066B1" w:rsidP="009066B1">
      <w:pPr>
        <w:spacing w:line="480" w:lineRule="auto"/>
        <w:jc w:val="both"/>
        <w:rPr>
          <w:rFonts w:cstheme="minorHAnsi"/>
          <w:sz w:val="24"/>
          <w:szCs w:val="24"/>
        </w:rPr>
      </w:pPr>
      <w:r w:rsidRPr="008D337D">
        <w:rPr>
          <w:rFonts w:cstheme="minorHAnsi"/>
          <w:sz w:val="24"/>
          <w:szCs w:val="24"/>
        </w:rPr>
        <w:t>ARDS</w:t>
      </w:r>
    </w:p>
    <w:p w14:paraId="12BD9C8C" w14:textId="77777777" w:rsidR="009066B1" w:rsidRPr="008D337D" w:rsidRDefault="009066B1" w:rsidP="009066B1">
      <w:pPr>
        <w:spacing w:line="480" w:lineRule="auto"/>
        <w:jc w:val="both"/>
        <w:rPr>
          <w:rFonts w:cstheme="minorHAnsi"/>
          <w:sz w:val="24"/>
          <w:szCs w:val="24"/>
        </w:rPr>
      </w:pPr>
      <w:r w:rsidRPr="008D337D">
        <w:rPr>
          <w:rFonts w:cstheme="minorHAnsi"/>
          <w:sz w:val="24"/>
          <w:szCs w:val="24"/>
        </w:rPr>
        <w:t>Hypoxic respiratory failure</w:t>
      </w:r>
    </w:p>
    <w:p w14:paraId="0F2B552B" w14:textId="77777777" w:rsidR="009066B1" w:rsidRPr="008D337D" w:rsidRDefault="009066B1" w:rsidP="009066B1">
      <w:pPr>
        <w:spacing w:line="480" w:lineRule="auto"/>
        <w:jc w:val="both"/>
        <w:rPr>
          <w:rFonts w:cstheme="minorHAnsi"/>
          <w:sz w:val="24"/>
          <w:szCs w:val="24"/>
        </w:rPr>
      </w:pPr>
      <w:r w:rsidRPr="008D337D">
        <w:rPr>
          <w:rFonts w:cstheme="minorHAnsi"/>
          <w:sz w:val="24"/>
          <w:szCs w:val="24"/>
        </w:rPr>
        <w:t>Pulmonary vasodilators</w:t>
      </w:r>
    </w:p>
    <w:p w14:paraId="0C6F0FD7" w14:textId="77777777" w:rsidR="009066B1" w:rsidRPr="008D337D" w:rsidRDefault="009066B1" w:rsidP="009066B1">
      <w:pPr>
        <w:spacing w:line="480" w:lineRule="auto"/>
        <w:jc w:val="both"/>
        <w:rPr>
          <w:rFonts w:cstheme="minorHAnsi"/>
          <w:sz w:val="24"/>
          <w:szCs w:val="24"/>
        </w:rPr>
      </w:pPr>
      <w:r>
        <w:rPr>
          <w:rFonts w:cstheme="minorHAnsi"/>
          <w:sz w:val="24"/>
          <w:szCs w:val="24"/>
        </w:rPr>
        <w:t>Iloprost</w:t>
      </w:r>
    </w:p>
    <w:p w14:paraId="1BBF6DF2" w14:textId="77777777" w:rsidR="009066B1" w:rsidRPr="008D337D" w:rsidRDefault="009066B1" w:rsidP="009066B1">
      <w:pPr>
        <w:spacing w:line="480" w:lineRule="auto"/>
        <w:jc w:val="both"/>
        <w:rPr>
          <w:rFonts w:cstheme="minorHAnsi"/>
          <w:sz w:val="24"/>
          <w:szCs w:val="24"/>
        </w:rPr>
      </w:pPr>
      <w:r w:rsidRPr="008D337D">
        <w:rPr>
          <w:rFonts w:cstheme="minorHAnsi"/>
          <w:sz w:val="24"/>
          <w:szCs w:val="24"/>
        </w:rPr>
        <w:t>Nitric oxide</w:t>
      </w:r>
    </w:p>
    <w:p w14:paraId="3164BB8E" w14:textId="5E0BB854" w:rsidR="00346FE1" w:rsidRPr="008D337D" w:rsidRDefault="00346FE1" w:rsidP="008D337D">
      <w:pPr>
        <w:spacing w:line="480" w:lineRule="auto"/>
        <w:jc w:val="both"/>
        <w:rPr>
          <w:rFonts w:cstheme="minorHAnsi"/>
        </w:rPr>
      </w:pPr>
    </w:p>
    <w:p w14:paraId="4335101A" w14:textId="647638DA" w:rsidR="00D6398F" w:rsidRPr="008D337D" w:rsidRDefault="00D6398F" w:rsidP="008D337D">
      <w:pPr>
        <w:pStyle w:val="Heading3"/>
        <w:spacing w:line="480" w:lineRule="auto"/>
        <w:jc w:val="both"/>
        <w:rPr>
          <w:rStyle w:val="normaltextrun"/>
          <w:rFonts w:asciiTheme="minorHAnsi" w:eastAsia="Times New Roman" w:hAnsiTheme="minorHAnsi" w:cstheme="minorHAnsi"/>
          <w:b/>
          <w:color w:val="2E74B5" w:themeColor="accent1" w:themeShade="BF"/>
          <w:lang w:eastAsia="en-GB"/>
        </w:rPr>
      </w:pPr>
      <w:r w:rsidRPr="008D337D">
        <w:rPr>
          <w:rStyle w:val="normaltextrun"/>
          <w:rFonts w:asciiTheme="minorHAnsi" w:hAnsiTheme="minorHAnsi" w:cstheme="minorHAnsi"/>
          <w:b/>
        </w:rPr>
        <w:br w:type="page"/>
      </w:r>
    </w:p>
    <w:p w14:paraId="4CE9E1BC" w14:textId="5D76ABA2" w:rsidR="005B17BD" w:rsidRPr="00590031" w:rsidRDefault="005B17BD" w:rsidP="00590031">
      <w:pPr>
        <w:pStyle w:val="Heading2"/>
        <w:spacing w:line="480" w:lineRule="auto"/>
        <w:jc w:val="both"/>
        <w:rPr>
          <w:rStyle w:val="normaltextrun"/>
          <w:rFonts w:asciiTheme="minorHAnsi" w:hAnsiTheme="minorHAnsi" w:cstheme="minorHAnsi"/>
          <w:b/>
          <w:bCs/>
          <w:color w:val="000000" w:themeColor="text1"/>
          <w:sz w:val="24"/>
          <w:szCs w:val="24"/>
        </w:rPr>
      </w:pPr>
      <w:r w:rsidRPr="00590031">
        <w:rPr>
          <w:rStyle w:val="normaltextrun"/>
          <w:rFonts w:asciiTheme="minorHAnsi" w:hAnsiTheme="minorHAnsi" w:cstheme="minorHAnsi"/>
          <w:b/>
          <w:bCs/>
          <w:color w:val="000000" w:themeColor="text1"/>
          <w:sz w:val="24"/>
          <w:szCs w:val="24"/>
        </w:rPr>
        <w:lastRenderedPageBreak/>
        <w:t>Introduction</w:t>
      </w:r>
    </w:p>
    <w:p w14:paraId="2CA3544C" w14:textId="77777777" w:rsidR="001A31A5" w:rsidRPr="00590031" w:rsidRDefault="001A31A5" w:rsidP="00590031">
      <w:pPr>
        <w:spacing w:line="480" w:lineRule="auto"/>
        <w:rPr>
          <w:rFonts w:cstheme="minorHAnsi"/>
          <w:sz w:val="24"/>
          <w:szCs w:val="24"/>
        </w:rPr>
      </w:pPr>
    </w:p>
    <w:p w14:paraId="68850D80" w14:textId="6021138E" w:rsidR="00B227BE" w:rsidRPr="00590031" w:rsidRDefault="00B360C9" w:rsidP="00590031">
      <w:pPr>
        <w:pStyle w:val="paragraph"/>
        <w:spacing w:before="0" w:beforeAutospacing="0" w:after="0" w:afterAutospacing="0" w:line="480" w:lineRule="auto"/>
        <w:jc w:val="both"/>
        <w:textAlignment w:val="baseline"/>
        <w:rPr>
          <w:rStyle w:val="normaltextrun"/>
          <w:rFonts w:asciiTheme="minorHAnsi" w:hAnsiTheme="minorHAnsi" w:cstheme="minorHAnsi"/>
        </w:rPr>
      </w:pPr>
      <w:r w:rsidRPr="00590031">
        <w:rPr>
          <w:rStyle w:val="normaltextrun"/>
          <w:rFonts w:asciiTheme="minorHAnsi" w:hAnsiTheme="minorHAnsi" w:cstheme="minorHAnsi"/>
        </w:rPr>
        <w:t xml:space="preserve">The novel coronavirus SARS-CoV-2 was first detected in Wuhan, China, in December 2019. The consequent illness referred to as COVID-19 has emerged as a global pandemic accounting for </w:t>
      </w:r>
      <w:r w:rsidR="006578A6" w:rsidRPr="00590031">
        <w:rPr>
          <w:rStyle w:val="normaltextrun"/>
          <w:rFonts w:asciiTheme="minorHAnsi" w:hAnsiTheme="minorHAnsi" w:cstheme="minorHAnsi"/>
        </w:rPr>
        <w:t>over</w:t>
      </w:r>
      <w:r w:rsidRPr="00590031">
        <w:rPr>
          <w:rStyle w:val="normaltextrun"/>
          <w:rFonts w:asciiTheme="minorHAnsi" w:hAnsiTheme="minorHAnsi" w:cstheme="minorHAnsi"/>
        </w:rPr>
        <w:t xml:space="preserve"> 200 million confirmed cases </w:t>
      </w:r>
      <w:r w:rsidR="006578A6" w:rsidRPr="00590031">
        <w:rPr>
          <w:rStyle w:val="normaltextrun"/>
          <w:rFonts w:asciiTheme="minorHAnsi" w:hAnsiTheme="minorHAnsi" w:cstheme="minorHAnsi"/>
        </w:rPr>
        <w:t>and</w:t>
      </w:r>
      <w:r w:rsidRPr="00590031">
        <w:rPr>
          <w:rStyle w:val="normaltextrun"/>
          <w:rFonts w:asciiTheme="minorHAnsi" w:hAnsiTheme="minorHAnsi" w:cstheme="minorHAnsi"/>
        </w:rPr>
        <w:t xml:space="preserve"> 4.</w:t>
      </w:r>
      <w:r w:rsidR="006578A6" w:rsidRPr="00590031">
        <w:rPr>
          <w:rStyle w:val="normaltextrun"/>
          <w:rFonts w:asciiTheme="minorHAnsi" w:hAnsiTheme="minorHAnsi" w:cstheme="minorHAnsi"/>
        </w:rPr>
        <w:t>4</w:t>
      </w:r>
      <w:r w:rsidRPr="00590031">
        <w:rPr>
          <w:rStyle w:val="normaltextrun"/>
          <w:rFonts w:asciiTheme="minorHAnsi" w:hAnsiTheme="minorHAnsi" w:cstheme="minorHAnsi"/>
        </w:rPr>
        <w:t xml:space="preserve"> million deaths worldwide</w:t>
      </w:r>
      <w:r w:rsidR="00BC6058" w:rsidRPr="00590031">
        <w:rPr>
          <w:rStyle w:val="normaltextrun"/>
          <w:rFonts w:asciiTheme="minorHAnsi" w:hAnsiTheme="minorHAnsi" w:cstheme="minorHAnsi"/>
        </w:rPr>
        <w:fldChar w:fldCharType="begin" w:fldLock="1"/>
      </w:r>
      <w:r w:rsidR="00DA75A6" w:rsidRPr="00590031">
        <w:rPr>
          <w:rStyle w:val="normaltextrun"/>
          <w:rFonts w:asciiTheme="minorHAnsi" w:hAnsiTheme="minorHAnsi" w:cstheme="minorHAnsi"/>
        </w:rPr>
        <w:instrText>ADDIN CSL_CITATION {"citationItems":[{"id":"ITEM-1","itemData":{"URL":"https://www.who.int/emergencies/diseases/novel-coronavirus-2019","accessed":{"date-parts":[["2021","8","19"]]},"author":[{"dropping-particle":"","family":"WHO","given":"","non-dropping-particle":"","parse-names":false,"suffix":""}],"id":"ITEM-1","issued":{"date-parts":[["0"]]},"title":"Coronavirus disease (COVID-19)","type":"webpage"},"uris":["http://www.mendeley.com/documents/?uuid=88aa6100-d76f-34a5-9c09-d00119729a4f"]}],"mendeley":{"formattedCitation":"&lt;sup&gt;1&lt;/sup&gt;","plainTextFormattedCitation":"1","previouslyFormattedCitation":"[1]"},"properties":{"noteIndex":0},"schema":"https://github.com/citation-style-language/schema/raw/master/csl-citation.json"}</w:instrText>
      </w:r>
      <w:r w:rsidR="00BC6058" w:rsidRPr="00590031">
        <w:rPr>
          <w:rStyle w:val="normaltextrun"/>
          <w:rFonts w:asciiTheme="minorHAnsi" w:hAnsiTheme="minorHAnsi" w:cstheme="minorHAnsi"/>
        </w:rPr>
        <w:fldChar w:fldCharType="separate"/>
      </w:r>
      <w:r w:rsidR="00DA75A6" w:rsidRPr="00590031">
        <w:rPr>
          <w:rStyle w:val="normaltextrun"/>
          <w:rFonts w:asciiTheme="minorHAnsi" w:hAnsiTheme="minorHAnsi" w:cstheme="minorHAnsi"/>
          <w:noProof/>
          <w:vertAlign w:val="superscript"/>
        </w:rPr>
        <w:t>1</w:t>
      </w:r>
      <w:r w:rsidR="00BC6058" w:rsidRPr="00590031">
        <w:rPr>
          <w:rStyle w:val="normaltextrun"/>
          <w:rFonts w:asciiTheme="minorHAnsi" w:hAnsiTheme="minorHAnsi" w:cstheme="minorHAnsi"/>
        </w:rPr>
        <w:fldChar w:fldCharType="end"/>
      </w:r>
      <w:r w:rsidRPr="00590031">
        <w:rPr>
          <w:rStyle w:val="normaltextrun"/>
          <w:rFonts w:asciiTheme="minorHAnsi" w:hAnsiTheme="minorHAnsi" w:cstheme="minorHAnsi"/>
        </w:rPr>
        <w:t xml:space="preserve">.  The first COVID-19 case in the United Kingdom (UK) was diagnosed in January 2020, and since then, more than </w:t>
      </w:r>
      <w:r w:rsidR="00200413" w:rsidRPr="00590031">
        <w:rPr>
          <w:rStyle w:val="normaltextrun"/>
          <w:rFonts w:asciiTheme="minorHAnsi" w:hAnsiTheme="minorHAnsi" w:cstheme="minorHAnsi"/>
        </w:rPr>
        <w:t>6.4</w:t>
      </w:r>
      <w:r w:rsidRPr="00590031">
        <w:rPr>
          <w:rStyle w:val="normaltextrun"/>
          <w:rFonts w:asciiTheme="minorHAnsi" w:hAnsiTheme="minorHAnsi" w:cstheme="minorHAnsi"/>
        </w:rPr>
        <w:t xml:space="preserve"> million people have tested positive, with </w:t>
      </w:r>
      <w:r w:rsidR="00200413" w:rsidRPr="00590031">
        <w:rPr>
          <w:rStyle w:val="normaltextrun"/>
          <w:rFonts w:asciiTheme="minorHAnsi" w:hAnsiTheme="minorHAnsi" w:cstheme="minorHAnsi"/>
        </w:rPr>
        <w:t>over</w:t>
      </w:r>
      <w:r w:rsidRPr="00590031">
        <w:rPr>
          <w:rStyle w:val="normaltextrun"/>
          <w:rFonts w:asciiTheme="minorHAnsi" w:hAnsiTheme="minorHAnsi" w:cstheme="minorHAnsi"/>
        </w:rPr>
        <w:t xml:space="preserve"> half a million requiring hospitalisation. Although most people experience either no symptoms or</w:t>
      </w:r>
      <w:r w:rsidR="00200413" w:rsidRPr="00590031">
        <w:rPr>
          <w:rStyle w:val="normaltextrun"/>
          <w:rFonts w:asciiTheme="minorHAnsi" w:hAnsiTheme="minorHAnsi" w:cstheme="minorHAnsi"/>
        </w:rPr>
        <w:t xml:space="preserve"> a</w:t>
      </w:r>
      <w:r w:rsidRPr="00590031">
        <w:rPr>
          <w:rStyle w:val="normaltextrun"/>
          <w:rFonts w:asciiTheme="minorHAnsi" w:hAnsiTheme="minorHAnsi" w:cstheme="minorHAnsi"/>
        </w:rPr>
        <w:t xml:space="preserve"> mild illness</w:t>
      </w:r>
      <w:r w:rsidR="008F006E" w:rsidRPr="00590031">
        <w:rPr>
          <w:rStyle w:val="normaltextrun"/>
          <w:rFonts w:asciiTheme="minorHAnsi" w:hAnsiTheme="minorHAnsi" w:cstheme="minorHAnsi"/>
        </w:rPr>
        <w:t>,</w:t>
      </w:r>
      <w:r w:rsidRPr="00590031">
        <w:rPr>
          <w:rStyle w:val="normaltextrun"/>
          <w:rFonts w:asciiTheme="minorHAnsi" w:hAnsiTheme="minorHAnsi" w:cstheme="minorHAnsi"/>
        </w:rPr>
        <w:t xml:space="preserve"> with an overall mortality of around 2-3%</w:t>
      </w:r>
      <w:r w:rsidR="00E2349E" w:rsidRPr="00590031">
        <w:rPr>
          <w:rStyle w:val="normaltextrun"/>
          <w:rFonts w:asciiTheme="minorHAnsi" w:hAnsiTheme="minorHAnsi" w:cstheme="minorHAnsi"/>
        </w:rPr>
        <w:t xml:space="preserve"> </w:t>
      </w:r>
      <w:r w:rsidRPr="00590031">
        <w:rPr>
          <w:rStyle w:val="normaltextrun"/>
          <w:rFonts w:asciiTheme="minorHAnsi" w:hAnsiTheme="minorHAnsi" w:cstheme="minorHAnsi"/>
        </w:rPr>
        <w:t xml:space="preserve">, the mortality </w:t>
      </w:r>
      <w:r w:rsidR="008F006E" w:rsidRPr="00590031">
        <w:rPr>
          <w:rStyle w:val="normaltextrun"/>
          <w:rFonts w:asciiTheme="minorHAnsi" w:hAnsiTheme="minorHAnsi" w:cstheme="minorHAnsi"/>
        </w:rPr>
        <w:t>for patients requiring mechanical ventilation</w:t>
      </w:r>
      <w:r w:rsidRPr="00590031">
        <w:rPr>
          <w:rStyle w:val="normaltextrun"/>
          <w:rFonts w:asciiTheme="minorHAnsi" w:hAnsiTheme="minorHAnsi" w:cstheme="minorHAnsi"/>
        </w:rPr>
        <w:t xml:space="preserve"> can be high as 50%</w:t>
      </w:r>
      <w:r w:rsidR="00200413" w:rsidRPr="00590031">
        <w:rPr>
          <w:rStyle w:val="normaltextrun"/>
          <w:rFonts w:asciiTheme="minorHAnsi" w:hAnsiTheme="minorHAnsi" w:cstheme="minorHAnsi"/>
        </w:rPr>
        <w:fldChar w:fldCharType="begin" w:fldLock="1"/>
      </w:r>
      <w:r w:rsidR="00DA75A6" w:rsidRPr="00590031">
        <w:rPr>
          <w:rStyle w:val="normaltextrun"/>
          <w:rFonts w:asciiTheme="minorHAnsi" w:hAnsiTheme="minorHAnsi" w:cstheme="minorHAnsi"/>
        </w:rPr>
        <w:instrText>ADDIN CSL_CITATION {"citationItems":[{"id":"ITEM-1","itemData":{"DOI":"10.1136/bmjopen-2020-043560","ISSN":"20446055","PMID":"33148769","abstract":"Objective To investigate the influence of demographic and socioeconomic factors on the COVID-19 case-fatality rate (CFR) globally. Design Publicly available register-based ecological study. Setting Two hundred and nine countries/territories in the world. Participants Aggregated data including 10 445 656 confirmed COVID-19 cases. Primary and secondary outcome measures COVID-19 CFR and crude cause-specific death rate were calculated using country-level data from the Our World in Data website. Results The average of country/territory-specific COVID-19 CFR is about 2%-3% worldwide and higher than previously reported at 0.7%-1.3%. A doubling in size of a population is associated with a 0.48% (95% CI 0.25% to 0.70%) increase in COVID-19 CFR, and a doubling in the proportion of female smokers is associated with a 0.55% (95% CI 0.09% to 1.02%) increase in COVID-19 CFR. The open testing policies are associated with a 2.23% (95% CI 0.21% to 4.25%) decrease in CFR. The strictness of anti-COVID-19 measures was not statistically significantly associated with CFR overall, but the higher Stringency Index was associated with higher CFR in higher-income countries with active testing policies (regression coefficient beta=0.14, 95% CI 0.01 to 0.27). Inverse associations were found between cardiovascular disease death rate and diabetes prevalence and CFR. Conclusion The association between population size and COVID-19 CFR may imply the healthcare strain and lower treatment efficiency in countries with large populations. The observed association between smoking in women and COVID-19 CFR might be due to the finding that the proportion of female smokers reflected broadly the income level of a country. When testing is warranted and healthcare resources are sufficient, strict quarantine and/or lockdown measures might result in excess deaths in underprivileged populations. Spatial dependence and temporal trends in the data should be taken into account in global joint strategy and/or policy making against the COVID-19 pandemic.","author":[{"dropping-particle":"","family":"Cao","given":"Yang","non-dropping-particle":"","parse-names":false,"suffix":""},{"dropping-particle":"","family":"Hiyoshi","given":"Ayako","non-dropping-particle":"","parse-names":false,"suffix":""},{"dropping-particle":"","family":"Montgomery","given":"Scott","non-dropping-particle":"","parse-names":false,"suffix":""}],"container-title":"BMJ Open","id":"ITEM-1","issue":"11","issued":{"date-parts":[["2020","11","3"]]},"publisher":"BMJ Open","title":"COVID-19 case-fatality rate and demographic and socioeconomic influencers: Worldwide spatial regression analysis based on country-level data","type":"article-journal","volume":"10"},"uris":["http://www.mendeley.com/documents/?uuid=c3271c72-a526-3ce0-801c-38c0b493f926"]}],"mendeley":{"formattedCitation":"&lt;sup&gt;2&lt;/sup&gt;","plainTextFormattedCitation":"2","previouslyFormattedCitation":"[2]"},"properties":{"noteIndex":0},"schema":"https://github.com/citation-style-language/schema/raw/master/csl-citation.json"}</w:instrText>
      </w:r>
      <w:r w:rsidR="00200413" w:rsidRPr="00590031">
        <w:rPr>
          <w:rStyle w:val="normaltextrun"/>
          <w:rFonts w:asciiTheme="minorHAnsi" w:hAnsiTheme="minorHAnsi" w:cstheme="minorHAnsi"/>
        </w:rPr>
        <w:fldChar w:fldCharType="separate"/>
      </w:r>
      <w:r w:rsidR="00DA75A6" w:rsidRPr="00590031">
        <w:rPr>
          <w:rStyle w:val="normaltextrun"/>
          <w:rFonts w:asciiTheme="minorHAnsi" w:hAnsiTheme="minorHAnsi" w:cstheme="minorHAnsi"/>
          <w:noProof/>
          <w:vertAlign w:val="superscript"/>
        </w:rPr>
        <w:t>2</w:t>
      </w:r>
      <w:r w:rsidR="00200413" w:rsidRPr="00590031">
        <w:rPr>
          <w:rStyle w:val="normaltextrun"/>
          <w:rFonts w:asciiTheme="minorHAnsi" w:hAnsiTheme="minorHAnsi" w:cstheme="minorHAnsi"/>
        </w:rPr>
        <w:fldChar w:fldCharType="end"/>
      </w:r>
      <w:r w:rsidR="004031FA" w:rsidRPr="00590031">
        <w:rPr>
          <w:rStyle w:val="normaltextrun"/>
          <w:rFonts w:asciiTheme="minorHAnsi" w:hAnsiTheme="minorHAnsi" w:cstheme="minorHAnsi"/>
          <w:vertAlign w:val="superscript"/>
        </w:rPr>
        <w:t>,</w:t>
      </w:r>
      <w:r w:rsidR="000B6FEA" w:rsidRPr="00590031">
        <w:rPr>
          <w:rStyle w:val="normaltextrun"/>
          <w:rFonts w:asciiTheme="minorHAnsi" w:hAnsiTheme="minorHAnsi" w:cstheme="minorHAnsi"/>
        </w:rPr>
        <w:fldChar w:fldCharType="begin" w:fldLock="1"/>
      </w:r>
      <w:r w:rsidR="00DA75A6" w:rsidRPr="00590031">
        <w:rPr>
          <w:rStyle w:val="normaltextrun"/>
          <w:rFonts w:asciiTheme="minorHAnsi" w:hAnsiTheme="minorHAnsi" w:cstheme="minorHAnsi"/>
        </w:rPr>
        <w:instrText>ADDIN CSL_CITATION {"citationItems":[{"id":"ITEM-1","itemData":{"URL":"https://www.icnarc.org/DataServices/Attachments/Download/6281b38a-45fc-eb11-9134-00505601089b","accessed":{"date-parts":[["2021","8","20"]]},"author":[{"dropping-particle":"","family":"ICNARC (Intensive Care National Audit and Research Centre)","given":"","non-dropping-particle":"","parse-names":false,"suffix":""}],"container-title":"ICNARC Covid-19 Report 2021-08-13","id":"ITEM-1","issued":{"date-parts":[["2021"]]},"title":"ICNARC Covid-19 Report 2021-08-13","type":"webpage"},"uris":["http://www.mendeley.com/documents/?uuid=aa309e9a-edf6-4cf7-af29-2d769c86399d"]}],"mendeley":{"formattedCitation":"&lt;sup&gt;3&lt;/sup&gt;","plainTextFormattedCitation":"3","previouslyFormattedCitation":"[3]"},"properties":{"noteIndex":0},"schema":"https://github.com/citation-style-language/schema/raw/master/csl-citation.json"}</w:instrText>
      </w:r>
      <w:r w:rsidR="000B6FEA" w:rsidRPr="00590031">
        <w:rPr>
          <w:rStyle w:val="normaltextrun"/>
          <w:rFonts w:asciiTheme="minorHAnsi" w:hAnsiTheme="minorHAnsi" w:cstheme="minorHAnsi"/>
        </w:rPr>
        <w:fldChar w:fldCharType="separate"/>
      </w:r>
      <w:r w:rsidR="00DA75A6" w:rsidRPr="00590031">
        <w:rPr>
          <w:rStyle w:val="normaltextrun"/>
          <w:rFonts w:asciiTheme="minorHAnsi" w:hAnsiTheme="minorHAnsi" w:cstheme="minorHAnsi"/>
          <w:noProof/>
          <w:vertAlign w:val="superscript"/>
        </w:rPr>
        <w:t>3</w:t>
      </w:r>
      <w:r w:rsidR="000B6FEA" w:rsidRPr="00590031">
        <w:rPr>
          <w:rStyle w:val="normaltextrun"/>
          <w:rFonts w:asciiTheme="minorHAnsi" w:hAnsiTheme="minorHAnsi" w:cstheme="minorHAnsi"/>
        </w:rPr>
        <w:fldChar w:fldCharType="end"/>
      </w:r>
      <w:r w:rsidRPr="00590031">
        <w:rPr>
          <w:rStyle w:val="normaltextrun"/>
          <w:rFonts w:asciiTheme="minorHAnsi" w:hAnsiTheme="minorHAnsi" w:cstheme="minorHAnsi"/>
        </w:rPr>
        <w:t xml:space="preserve">. Despite improvements in treatment strategies with systemic corticosteroids and immune modulation with anti-IL-6 therapies, there was </w:t>
      </w:r>
      <w:r w:rsidR="00200413" w:rsidRPr="00590031">
        <w:rPr>
          <w:rStyle w:val="normaltextrun"/>
          <w:rFonts w:asciiTheme="minorHAnsi" w:hAnsiTheme="minorHAnsi" w:cstheme="minorHAnsi"/>
        </w:rPr>
        <w:t>little</w:t>
      </w:r>
      <w:r w:rsidRPr="00590031">
        <w:rPr>
          <w:rStyle w:val="normaltextrun"/>
          <w:rFonts w:asciiTheme="minorHAnsi" w:hAnsiTheme="minorHAnsi" w:cstheme="minorHAnsi"/>
        </w:rPr>
        <w:t xml:space="preserve"> difference in the observed </w:t>
      </w:r>
      <w:r w:rsidR="00867017" w:rsidRPr="00590031">
        <w:rPr>
          <w:rStyle w:val="normaltextrun"/>
          <w:rFonts w:asciiTheme="minorHAnsi" w:hAnsiTheme="minorHAnsi" w:cstheme="minorHAnsi"/>
        </w:rPr>
        <w:t>28-day</w:t>
      </w:r>
      <w:r w:rsidRPr="00590031">
        <w:rPr>
          <w:rStyle w:val="normaltextrun"/>
          <w:rFonts w:asciiTheme="minorHAnsi" w:hAnsiTheme="minorHAnsi" w:cstheme="minorHAnsi"/>
        </w:rPr>
        <w:t xml:space="preserve"> mortality between the </w:t>
      </w:r>
      <w:r w:rsidR="00867017" w:rsidRPr="00590031">
        <w:rPr>
          <w:rStyle w:val="normaltextrun"/>
          <w:rFonts w:asciiTheme="minorHAnsi" w:hAnsiTheme="minorHAnsi" w:cstheme="minorHAnsi"/>
        </w:rPr>
        <w:t>first and second waves of</w:t>
      </w:r>
      <w:r w:rsidRPr="00590031">
        <w:rPr>
          <w:rStyle w:val="normaltextrun"/>
          <w:rFonts w:asciiTheme="minorHAnsi" w:hAnsiTheme="minorHAnsi" w:cstheme="minorHAnsi"/>
        </w:rPr>
        <w:t xml:space="preserve"> the pandemic in the UK</w:t>
      </w:r>
      <w:r w:rsidR="00867017" w:rsidRPr="00590031">
        <w:rPr>
          <w:rStyle w:val="normaltextrun"/>
          <w:rFonts w:asciiTheme="minorHAnsi" w:hAnsiTheme="minorHAnsi" w:cstheme="minorHAnsi"/>
        </w:rPr>
        <w:fldChar w:fldCharType="begin" w:fldLock="1"/>
      </w:r>
      <w:r w:rsidR="00DA75A6" w:rsidRPr="00590031">
        <w:rPr>
          <w:rStyle w:val="normaltextrun"/>
          <w:rFonts w:asciiTheme="minorHAnsi" w:hAnsiTheme="minorHAnsi" w:cstheme="minorHAnsi"/>
        </w:rPr>
        <w:instrText>ADDIN CSL_CITATION {"citationItems":[{"id":"ITEM-1","itemData":{"URL":"https://www.icnarc.org/DataServices/Attachments/Download/6281b38a-45fc-eb11-9134-00505601089b","accessed":{"date-parts":[["2021","8","20"]]},"author":[{"dropping-particle":"","family":"ICNARC (Intensive Care National Audit and Research Centre)","given":"","non-dropping-particle":"","parse-names":false,"suffix":""}],"container-title":"ICNARC Covid-19 Report 2021-08-13","id":"ITEM-1","issued":{"date-parts":[["2021"]]},"title":"ICNARC Covid-19 Report 2021-08-13","type":"webpage"},"uris":["http://www.mendeley.com/documents/?uuid=aa309e9a-edf6-4cf7-af29-2d769c86399d"]}],"mendeley":{"formattedCitation":"&lt;sup&gt;3&lt;/sup&gt;","plainTextFormattedCitation":"3","previouslyFormattedCitation":"[3]"},"properties":{"noteIndex":0},"schema":"https://github.com/citation-style-language/schema/raw/master/csl-citation.json"}</w:instrText>
      </w:r>
      <w:r w:rsidR="00867017" w:rsidRPr="00590031">
        <w:rPr>
          <w:rStyle w:val="normaltextrun"/>
          <w:rFonts w:asciiTheme="minorHAnsi" w:hAnsiTheme="minorHAnsi" w:cstheme="minorHAnsi"/>
        </w:rPr>
        <w:fldChar w:fldCharType="separate"/>
      </w:r>
      <w:r w:rsidR="00DA75A6" w:rsidRPr="00590031">
        <w:rPr>
          <w:rStyle w:val="normaltextrun"/>
          <w:rFonts w:asciiTheme="minorHAnsi" w:hAnsiTheme="minorHAnsi" w:cstheme="minorHAnsi"/>
          <w:noProof/>
          <w:vertAlign w:val="superscript"/>
        </w:rPr>
        <w:t>3</w:t>
      </w:r>
      <w:r w:rsidR="00867017" w:rsidRPr="00590031">
        <w:rPr>
          <w:rStyle w:val="normaltextrun"/>
          <w:rFonts w:asciiTheme="minorHAnsi" w:hAnsiTheme="minorHAnsi" w:cstheme="minorHAnsi"/>
        </w:rPr>
        <w:fldChar w:fldCharType="end"/>
      </w:r>
      <w:r w:rsidR="00FF553F" w:rsidRPr="00590031">
        <w:rPr>
          <w:rStyle w:val="normaltextrun"/>
          <w:rFonts w:asciiTheme="minorHAnsi" w:hAnsiTheme="minorHAnsi" w:cstheme="minorHAnsi"/>
        </w:rPr>
        <w:t xml:space="preserve">. </w:t>
      </w:r>
      <w:r w:rsidR="003B5ECA" w:rsidRPr="00590031">
        <w:rPr>
          <w:rStyle w:val="normaltextrun"/>
          <w:rFonts w:asciiTheme="minorHAnsi" w:hAnsiTheme="minorHAnsi" w:cstheme="minorHAnsi"/>
        </w:rPr>
        <w:t xml:space="preserve">This large data set from all intensive care unit admissions in the UK implies that there is an urgent need to identify other effective therapeutic interventions to </w:t>
      </w:r>
      <w:r w:rsidR="003E6908" w:rsidRPr="00590031">
        <w:rPr>
          <w:rStyle w:val="normaltextrun"/>
          <w:rFonts w:asciiTheme="minorHAnsi" w:hAnsiTheme="minorHAnsi" w:cstheme="minorHAnsi"/>
        </w:rPr>
        <w:t xml:space="preserve">reduce </w:t>
      </w:r>
      <w:r w:rsidR="003B5ECA" w:rsidRPr="00590031">
        <w:rPr>
          <w:rStyle w:val="normaltextrun"/>
          <w:rFonts w:asciiTheme="minorHAnsi" w:hAnsiTheme="minorHAnsi" w:cstheme="minorHAnsi"/>
        </w:rPr>
        <w:t xml:space="preserve">mortality </w:t>
      </w:r>
      <w:r w:rsidR="003E6908" w:rsidRPr="00590031">
        <w:rPr>
          <w:rStyle w:val="normaltextrun"/>
          <w:rFonts w:asciiTheme="minorHAnsi" w:hAnsiTheme="minorHAnsi" w:cstheme="minorHAnsi"/>
        </w:rPr>
        <w:t>and disease progression among this critically ill COVID-19 phenotype.</w:t>
      </w:r>
      <w:r w:rsidR="003B5ECA" w:rsidRPr="00590031">
        <w:rPr>
          <w:rStyle w:val="normaltextrun"/>
          <w:rFonts w:asciiTheme="minorHAnsi" w:hAnsiTheme="minorHAnsi" w:cstheme="minorHAnsi"/>
        </w:rPr>
        <w:t xml:space="preserve"> </w:t>
      </w:r>
    </w:p>
    <w:p w14:paraId="158E7196" w14:textId="77777777" w:rsidR="00900449" w:rsidRPr="00590031" w:rsidRDefault="00900449" w:rsidP="00590031">
      <w:pPr>
        <w:pStyle w:val="paragraph"/>
        <w:spacing w:before="0" w:beforeAutospacing="0" w:after="0" w:afterAutospacing="0" w:line="480" w:lineRule="auto"/>
        <w:jc w:val="both"/>
        <w:textAlignment w:val="baseline"/>
        <w:rPr>
          <w:rStyle w:val="normaltextrun"/>
          <w:rFonts w:asciiTheme="minorHAnsi" w:hAnsiTheme="minorHAnsi" w:cstheme="minorHAnsi"/>
        </w:rPr>
      </w:pPr>
    </w:p>
    <w:p w14:paraId="4A9F26FF" w14:textId="178CEF8D" w:rsidR="00741822" w:rsidRPr="00590031" w:rsidRDefault="00900449" w:rsidP="00590031">
      <w:pPr>
        <w:pStyle w:val="paragraph"/>
        <w:spacing w:before="0" w:beforeAutospacing="0" w:after="0" w:afterAutospacing="0" w:line="480" w:lineRule="auto"/>
        <w:jc w:val="both"/>
        <w:textAlignment w:val="baseline"/>
        <w:rPr>
          <w:rFonts w:asciiTheme="minorHAnsi" w:hAnsiTheme="minorHAnsi" w:cstheme="minorHAnsi"/>
        </w:rPr>
      </w:pPr>
      <w:r w:rsidRPr="00590031">
        <w:rPr>
          <w:rStyle w:val="eop"/>
          <w:rFonts w:asciiTheme="minorHAnsi" w:hAnsiTheme="minorHAnsi" w:cstheme="minorHAnsi"/>
        </w:rPr>
        <w:t>Due to the evolving understanding of the pathophysiology of COVID-19 and the rapidly changing evidence surrounding therapeutics, it is unsurprising that there is significant variation in the reported treatment of COVID-19 patients with severe</w:t>
      </w:r>
      <w:r w:rsidR="00531941" w:rsidRPr="00590031">
        <w:rPr>
          <w:rStyle w:val="eop"/>
          <w:rFonts w:asciiTheme="minorHAnsi" w:hAnsiTheme="minorHAnsi" w:cstheme="minorHAnsi"/>
        </w:rPr>
        <w:t xml:space="preserve"> acute</w:t>
      </w:r>
      <w:r w:rsidR="00200413" w:rsidRPr="00590031">
        <w:rPr>
          <w:rStyle w:val="eop"/>
          <w:rFonts w:asciiTheme="minorHAnsi" w:hAnsiTheme="minorHAnsi" w:cstheme="minorHAnsi"/>
        </w:rPr>
        <w:t xml:space="preserve"> hypoxic respiratory failure</w:t>
      </w:r>
      <w:r w:rsidR="00531941" w:rsidRPr="00590031">
        <w:rPr>
          <w:rStyle w:val="eop"/>
          <w:rFonts w:asciiTheme="minorHAnsi" w:hAnsiTheme="minorHAnsi" w:cstheme="minorHAnsi"/>
        </w:rPr>
        <w:t xml:space="preserve"> (AHRF)</w:t>
      </w:r>
      <w:r w:rsidR="00326C11" w:rsidRPr="00590031">
        <w:rPr>
          <w:rStyle w:val="eop"/>
          <w:rFonts w:asciiTheme="minorHAnsi" w:hAnsiTheme="minorHAnsi" w:cstheme="minorHAnsi"/>
        </w:rPr>
        <w:fldChar w:fldCharType="begin" w:fldLock="1"/>
      </w:r>
      <w:r w:rsidR="00DA75A6" w:rsidRPr="00590031">
        <w:rPr>
          <w:rStyle w:val="eop"/>
          <w:rFonts w:asciiTheme="minorHAnsi" w:hAnsiTheme="minorHAnsi" w:cstheme="minorHAnsi"/>
        </w:rPr>
        <w:instrText>ADDIN CSL_CITATION {"citationItems":[{"id":"ITEM-1","itemData":{"DOI":"10.1177/17511437211002352","ISSN":"17511437","abstract":"Background: Whilst the management of Coronavirus disease-2019 (COVID-19) has evolved in response to the emerging data, treating such patients remains a challenge, and many treatments lack robust clinical evidence. We conducted a survey to evaluate Intensive Care Unit (ICU) management of COVID-19 patients with acute hypoxic respiratory failure and compared the results with data from a similar survey focusing on Acute Respiratory Distress Syndrome (ARDS) that was conducted in 2013. Methods: The questionnaire was refined from a previous survey of ARDS-related clinical practice using an online electronic survey engine (Survey Monkey®) and all UK intensivists were encouraged to participate. The survey was conducted between 16/05/2020 and 17/06/2020. Results: There were 137 responses from 89 UK centres. Non-invasive ventilation was commonly used in the form of CPAP. The primary ventilation strategy was the ARDSnet protocol, with 63% deviating from its PEEP recommendations. Similar to our previous ARDS survey, most allowed permissive targets for hypoxia (94%), hypercapnia (55%) and pH (94%). The routine use of antibiotics was common, and corticosteroids were frequently used, usually in the context of a clinical trial (45%). Late tracheostomy (&gt;7 days) was preferred (92%). Routine follow-up was offered by 66% with few centres providing routine dedicated rehabilitation programmes following discharge. Compared to the ARDS survey, there is an increased use of neuromuscular agents, APRV ventilation and improved provision of rehabilitation services. Conclusions: Similar to our previous ARDS survey, this survey highlights variations in the management strategies used for patients with acute hypoxic respiratory failure due to COVID-19.","author":[{"dropping-particle":"","family":"Dushianthan","given":"A","non-dropping-particle":"","parse-names":false,"suffix":""},{"dropping-particle":"","family":"Cumpstey","given":"A. F.","non-dropping-particle":"","parse-names":false,"suffix":""},{"dropping-particle":"","family":"Ferrari","given":"M","non-dropping-particle":"","parse-names":false,"suffix":""},{"dropping-particle":"","family":"Thomas","given":"W","non-dropping-particle":"","parse-names":false,"suffix":""},{"dropping-particle":"","family":"Moonesinghe","given":"S. R.","non-dropping-particle":"","parse-names":false,"suffix":""},{"dropping-particle":"","family":"Summers","given":"C","non-dropping-particle":"","parse-names":false,"suffix":""},{"dropping-particle":"","family":"Montgomery","given":"H","non-dropping-particle":"","parse-names":false,"suffix":""},{"dropping-particle":"","family":"Grocott","given":"M. P.W.","non-dropping-particle":"","parse-names":false,"suffix":""}],"container-title":"Journal of the Intensive Care Society","id":"ITEM-1","issued":{"date-parts":[["2021","3","15"]]},"publisher":"SAGE PublicationsSage UK: London, England","title":"Intensive care physicians’ perceptions of the diagnosis &amp; management of patients with acute hypoxic respiratory failure associated with COVID-19: A UK based survey","type":"article-journal"},"uris":["http://www.mendeley.com/documents/?uuid=2281b1a0-27f6-38e5-8ce6-6ee2e9872c89"]}],"mendeley":{"formattedCitation":"&lt;sup&gt;4&lt;/sup&gt;","plainTextFormattedCitation":"4","previouslyFormattedCitation":"[4]"},"properties":{"noteIndex":0},"schema":"https://github.com/citation-style-language/schema/raw/master/csl-citation.json"}</w:instrText>
      </w:r>
      <w:r w:rsidR="00326C11" w:rsidRPr="00590031">
        <w:rPr>
          <w:rStyle w:val="eop"/>
          <w:rFonts w:asciiTheme="minorHAnsi" w:hAnsiTheme="minorHAnsi" w:cstheme="minorHAnsi"/>
        </w:rPr>
        <w:fldChar w:fldCharType="separate"/>
      </w:r>
      <w:r w:rsidR="00DA75A6" w:rsidRPr="00590031">
        <w:rPr>
          <w:rStyle w:val="eop"/>
          <w:rFonts w:asciiTheme="minorHAnsi" w:hAnsiTheme="minorHAnsi" w:cstheme="minorHAnsi"/>
          <w:noProof/>
          <w:vertAlign w:val="superscript"/>
        </w:rPr>
        <w:t>4</w:t>
      </w:r>
      <w:r w:rsidR="00326C11" w:rsidRPr="00590031">
        <w:rPr>
          <w:rStyle w:val="eop"/>
          <w:rFonts w:asciiTheme="minorHAnsi" w:hAnsiTheme="minorHAnsi" w:cstheme="minorHAnsi"/>
        </w:rPr>
        <w:fldChar w:fldCharType="end"/>
      </w:r>
      <w:r w:rsidRPr="00590031">
        <w:rPr>
          <w:rStyle w:val="eop"/>
          <w:rFonts w:asciiTheme="minorHAnsi" w:hAnsiTheme="minorHAnsi" w:cstheme="minorHAnsi"/>
        </w:rPr>
        <w:t>. One potential treatment strategy for</w:t>
      </w:r>
      <w:r w:rsidR="00200413" w:rsidRPr="00590031">
        <w:rPr>
          <w:rStyle w:val="eop"/>
          <w:rFonts w:asciiTheme="minorHAnsi" w:hAnsiTheme="minorHAnsi" w:cstheme="minorHAnsi"/>
        </w:rPr>
        <w:t xml:space="preserve"> patient</w:t>
      </w:r>
      <w:r w:rsidRPr="00590031">
        <w:rPr>
          <w:rStyle w:val="eop"/>
          <w:rFonts w:asciiTheme="minorHAnsi" w:hAnsiTheme="minorHAnsi" w:cstheme="minorHAnsi"/>
        </w:rPr>
        <w:t>s</w:t>
      </w:r>
      <w:r w:rsidR="00200413" w:rsidRPr="00590031">
        <w:rPr>
          <w:rStyle w:val="eop"/>
          <w:rFonts w:asciiTheme="minorHAnsi" w:hAnsiTheme="minorHAnsi" w:cstheme="minorHAnsi"/>
        </w:rPr>
        <w:t xml:space="preserve"> with severe hypoxaemia</w:t>
      </w:r>
      <w:r w:rsidRPr="00590031">
        <w:rPr>
          <w:rStyle w:val="eop"/>
          <w:rFonts w:asciiTheme="minorHAnsi" w:hAnsiTheme="minorHAnsi" w:cstheme="minorHAnsi"/>
        </w:rPr>
        <w:t xml:space="preserve"> is inhaled pulmonary vasodilator (IPVD) therapy either in the form of nitric oxide (iNO) or prostaglandin analogues. During the UK pandemic waves, the</w:t>
      </w:r>
      <w:r w:rsidR="00B40C4D" w:rsidRPr="00590031">
        <w:rPr>
          <w:rStyle w:val="eop"/>
          <w:rFonts w:asciiTheme="minorHAnsi" w:hAnsiTheme="minorHAnsi" w:cstheme="minorHAnsi"/>
        </w:rPr>
        <w:t xml:space="preserve"> </w:t>
      </w:r>
      <w:r w:rsidRPr="00590031">
        <w:rPr>
          <w:rStyle w:val="eop"/>
          <w:rFonts w:asciiTheme="minorHAnsi" w:hAnsiTheme="minorHAnsi" w:cstheme="minorHAnsi"/>
        </w:rPr>
        <w:t>use of pulmonary vasodilators' a</w:t>
      </w:r>
      <w:r w:rsidR="00B40C4D" w:rsidRPr="00590031">
        <w:rPr>
          <w:rStyle w:val="eop"/>
          <w:rFonts w:asciiTheme="minorHAnsi" w:hAnsiTheme="minorHAnsi" w:cstheme="minorHAnsi"/>
        </w:rPr>
        <w:t>s treatment for acute hypoxic respiratory failure was reported by 35.3% of ICUs</w:t>
      </w:r>
      <w:r w:rsidR="00B40C4D" w:rsidRPr="00590031">
        <w:rPr>
          <w:rStyle w:val="eop"/>
          <w:rFonts w:asciiTheme="minorHAnsi" w:hAnsiTheme="minorHAnsi" w:cstheme="minorHAnsi"/>
        </w:rPr>
        <w:fldChar w:fldCharType="begin" w:fldLock="1"/>
      </w:r>
      <w:r w:rsidR="00DA75A6" w:rsidRPr="00590031">
        <w:rPr>
          <w:rStyle w:val="eop"/>
          <w:rFonts w:asciiTheme="minorHAnsi" w:hAnsiTheme="minorHAnsi" w:cstheme="minorHAnsi"/>
        </w:rPr>
        <w:instrText>ADDIN CSL_CITATION {"citationItems":[{"id":"ITEM-1","itemData":{"DOI":"10.1177/17511437211002352","ISSN":"17511437","abstract":"Background: Whilst the management of Coronavirus disease-2019 (COVID-19) has evolved in response to the emerging data, treating such patients remains a challenge, and many treatments lack robust clinical evidence. We conducted a survey to evaluate Intensive Care Unit (ICU) management of COVID-19 patients with acute hypoxic respiratory failure and compared the results with data from a similar survey focusing on Acute Respiratory Distress Syndrome (ARDS) that was conducted in 2013. Methods: The questionnaire was refined from a previous survey of ARDS-related clinical practice using an online electronic survey engine (Survey Monkey®) and all UK intensivists were encouraged to participate. The survey was conducted between 16/05/2020 and 17/06/2020. Results: There were 137 responses from 89 UK centres. Non-invasive ventilation was commonly used in the form of CPAP. The primary ventilation strategy was the ARDSnet protocol, with 63% deviating from its PEEP recommendations. Similar to our previous ARDS survey, most allowed permissive targets for hypoxia (94%), hypercapnia (55%) and pH (94%). The routine use of antibiotics was common, and corticosteroids were frequently used, usually in the context of a clinical trial (45%). Late tracheostomy (&gt;7 days) was preferred (92%). Routine follow-up was offered by 66% with few centres providing routine dedicated rehabilitation programmes following discharge. Compared to the ARDS survey, there is an increased use of neuromuscular agents, APRV ventilation and improved provision of rehabilitation services. Conclusions: Similar to our previous ARDS survey, this survey highlights variations in the management strategies used for patients with acute hypoxic respiratory failure due to COVID-19.","author":[{"dropping-particle":"","family":"Dushianthan","given":"A","non-dropping-particle":"","parse-names":false,"suffix":""},{"dropping-particle":"","family":"Cumpstey","given":"A. F.","non-dropping-particle":"","parse-names":false,"suffix":""},{"dropping-particle":"","family":"Ferrari","given":"M","non-dropping-particle":"","parse-names":false,"suffix":""},{"dropping-particle":"","family":"Thomas","given":"W","non-dropping-particle":"","parse-names":false,"suffix":""},{"dropping-particle":"","family":"Moonesinghe","given":"S. R.","non-dropping-particle":"","parse-names":false,"suffix":""},{"dropping-particle":"","family":"Summers","given":"C","non-dropping-particle":"","parse-names":false,"suffix":""},{"dropping-particle":"","family":"Montgomery","given":"H","non-dropping-particle":"","parse-names":false,"suffix":""},{"dropping-particle":"","family":"Grocott","given":"M. P.W.","non-dropping-particle":"","parse-names":false,"suffix":""}],"container-title":"Journal of the Intensive Care Society","id":"ITEM-1","issued":{"date-parts":[["2021","3","15"]]},"publisher":"SAGE PublicationsSage UK: London, England","title":"Intensive care physicians’ perceptions of the diagnosis &amp; management of patients with acute hypoxic respiratory failure associated with COVID-19: A UK based survey","type":"article-journal"},"uris":["http://www.mendeley.com/documents/?uuid=2281b1a0-27f6-38e5-8ce6-6ee2e9872c89"]}],"mendeley":{"formattedCitation":"&lt;sup&gt;4&lt;/sup&gt;","plainTextFormattedCitation":"4","previouslyFormattedCitation":"[4]"},"properties":{"noteIndex":0},"schema":"https://github.com/citation-style-language/schema/raw/master/csl-citation.json"}</w:instrText>
      </w:r>
      <w:r w:rsidR="00B40C4D" w:rsidRPr="00590031">
        <w:rPr>
          <w:rStyle w:val="eop"/>
          <w:rFonts w:asciiTheme="minorHAnsi" w:hAnsiTheme="minorHAnsi" w:cstheme="minorHAnsi"/>
        </w:rPr>
        <w:fldChar w:fldCharType="separate"/>
      </w:r>
      <w:r w:rsidR="00DA75A6" w:rsidRPr="00590031">
        <w:rPr>
          <w:rStyle w:val="eop"/>
          <w:rFonts w:asciiTheme="minorHAnsi" w:hAnsiTheme="minorHAnsi" w:cstheme="minorHAnsi"/>
          <w:noProof/>
          <w:vertAlign w:val="superscript"/>
        </w:rPr>
        <w:t>4</w:t>
      </w:r>
      <w:r w:rsidR="00B40C4D" w:rsidRPr="00590031">
        <w:rPr>
          <w:rStyle w:val="eop"/>
          <w:rFonts w:asciiTheme="minorHAnsi" w:hAnsiTheme="minorHAnsi" w:cstheme="minorHAnsi"/>
        </w:rPr>
        <w:fldChar w:fldCharType="end"/>
      </w:r>
      <w:r w:rsidR="00B40C4D" w:rsidRPr="00590031">
        <w:rPr>
          <w:rStyle w:val="eop"/>
          <w:rFonts w:asciiTheme="minorHAnsi" w:hAnsiTheme="minorHAnsi" w:cstheme="minorHAnsi"/>
        </w:rPr>
        <w:t>.</w:t>
      </w:r>
      <w:r w:rsidR="00B45435" w:rsidRPr="00590031">
        <w:rPr>
          <w:rStyle w:val="eop"/>
          <w:rFonts w:asciiTheme="minorHAnsi" w:hAnsiTheme="minorHAnsi" w:cstheme="minorHAnsi"/>
        </w:rPr>
        <w:t xml:space="preserve"> Despite the lack of robust clinical evidence pulmonary vasodilators are often </w:t>
      </w:r>
      <w:r w:rsidR="00B45435" w:rsidRPr="00590031">
        <w:rPr>
          <w:rStyle w:val="eop"/>
          <w:rFonts w:asciiTheme="minorHAnsi" w:hAnsiTheme="minorHAnsi" w:cstheme="minorHAnsi"/>
        </w:rPr>
        <w:lastRenderedPageBreak/>
        <w:t>considered as recue therapies in extreme</w:t>
      </w:r>
      <w:r w:rsidR="00DA4262" w:rsidRPr="00590031">
        <w:rPr>
          <w:rStyle w:val="eop"/>
          <w:rFonts w:asciiTheme="minorHAnsi" w:hAnsiTheme="minorHAnsi" w:cstheme="minorHAnsi"/>
        </w:rPr>
        <w:t xml:space="preserve"> refractory</w:t>
      </w:r>
      <w:r w:rsidR="00B45435" w:rsidRPr="00590031">
        <w:rPr>
          <w:rStyle w:val="eop"/>
          <w:rFonts w:asciiTheme="minorHAnsi" w:hAnsiTheme="minorHAnsi" w:cstheme="minorHAnsi"/>
        </w:rPr>
        <w:t xml:space="preserve"> </w:t>
      </w:r>
      <w:r w:rsidR="004031FA" w:rsidRPr="00590031">
        <w:rPr>
          <w:rStyle w:val="eop"/>
          <w:rFonts w:asciiTheme="minorHAnsi" w:hAnsiTheme="minorHAnsi" w:cstheme="minorHAnsi"/>
        </w:rPr>
        <w:t>hypoxaemia</w:t>
      </w:r>
      <w:r w:rsidR="00867017" w:rsidRPr="00590031">
        <w:rPr>
          <w:rStyle w:val="eop"/>
          <w:rFonts w:asciiTheme="minorHAnsi" w:hAnsiTheme="minorHAnsi" w:cstheme="minorHAnsi"/>
        </w:rPr>
        <w:fldChar w:fldCharType="begin" w:fldLock="1"/>
      </w:r>
      <w:r w:rsidR="00DA75A6" w:rsidRPr="00590031">
        <w:rPr>
          <w:rStyle w:val="eop"/>
          <w:rFonts w:asciiTheme="minorHAnsi" w:hAnsiTheme="minorHAnsi" w:cstheme="minorHAnsi"/>
        </w:rPr>
        <w:instrText>ADDIN CSL_CITATION {"citationItems":[{"id":"ITEM-1","itemData":{"DOI":"10.4187/respcare.04162","ISSN":"19433654","PMID":"26647448","abstract":"Background: Subjects with severe hypoxemic respiratory failure have shown a high mortality in previous studies. Methods: All adult ICU patients requiring mechanical ventilation from 2005 to 2010 at Mayo Clinic were screened for severe hypoxemia (Murray lung injury score of ≥ 3). Extracorporeal membrane oxygenation, prone positioning, high-frequency oscillatory ventilation (HFOV), and inhaled vasodilators were considered as rescue strategies. A propensity-based scoring was created for the indication or predilection to use each strategy. A model was created to evaluate the association of each rescue strategy with hospital mortality. Results: Among 1,032 subjects with severe hypoxemia, 239 subjects received some form of rescue strategy (59 received a combination of therapies, and 180 received individual therapies). Inhaled vasodilators were the most common, followed by HFOV. Rescue strategies were used in younger subjects with severe oxygenation deficits. Subjects receiving rescue strategies had higher mortality and longer ICU stays. None of the strategies individually or in combination showed a significant association with hospital mortality after adjusting covariates by propensity scoring. Adjusted Odds ratios and respective 95% CI were as follows: HFOV 0.67 (0.35–1.27), extracorporeal membrane oxygenation 0.63 (0.18–1.92), prone position 1.07 (0.49–2.28), and inhaled vasodilators 1.17 (0.78–1.77). Conclusions: In this retrospective comparative effectiveness study, there was no association of rescue strategies with hospital mortality in subjects with severe hypoxemia.","author":[{"dropping-particle":"","family":"Moreno Franco","given":"Pablo","non-dropping-particle":"","parse-names":false,"suffix":""},{"dropping-particle":"","family":"Enders","given":"Felicity","non-dropping-particle":"","parse-names":false,"suffix":""},{"dropping-particle":"","family":"Wilson","given":"Gregory","non-dropping-particle":"","parse-names":false,"suffix":""},{"dropping-particle":"","family":"Gajic","given":"Ognjen","non-dropping-particle":"","parse-names":false,"suffix":""},{"dropping-particle":"","family":"Pannu","given":"Sonal R.","non-dropping-particle":"","parse-names":false,"suffix":""}],"container-title":"Respiratory Care","id":"ITEM-1","issue":"2","issued":{"date-parts":[["2016","2","1"]]},"page":"127-133","publisher":"Respir Care","title":"A comparative effectiveness study of rescue strategies in 1,000 subjects with severe hypoxemic respiratory failure","type":"article","volume":"61"},"uris":["http://www.mendeley.com/documents/?uuid=1dc3440c-e95f-3fe0-bcd3-acccf2661051"]}],"mendeley":{"formattedCitation":"&lt;sup&gt;5&lt;/sup&gt;","plainTextFormattedCitation":"5","previouslyFormattedCitation":"[5]"},"properties":{"noteIndex":0},"schema":"https://github.com/citation-style-language/schema/raw/master/csl-citation.json"}</w:instrText>
      </w:r>
      <w:r w:rsidR="00867017" w:rsidRPr="00590031">
        <w:rPr>
          <w:rStyle w:val="eop"/>
          <w:rFonts w:asciiTheme="minorHAnsi" w:hAnsiTheme="minorHAnsi" w:cstheme="minorHAnsi"/>
        </w:rPr>
        <w:fldChar w:fldCharType="separate"/>
      </w:r>
      <w:r w:rsidR="00DA75A6" w:rsidRPr="00590031">
        <w:rPr>
          <w:rStyle w:val="eop"/>
          <w:rFonts w:asciiTheme="minorHAnsi" w:hAnsiTheme="minorHAnsi" w:cstheme="minorHAnsi"/>
          <w:noProof/>
          <w:vertAlign w:val="superscript"/>
        </w:rPr>
        <w:t>5</w:t>
      </w:r>
      <w:r w:rsidR="00867017" w:rsidRPr="00590031">
        <w:rPr>
          <w:rStyle w:val="eop"/>
          <w:rFonts w:asciiTheme="minorHAnsi" w:hAnsiTheme="minorHAnsi" w:cstheme="minorHAnsi"/>
        </w:rPr>
        <w:fldChar w:fldCharType="end"/>
      </w:r>
      <w:r w:rsidR="00B45435" w:rsidRPr="00590031">
        <w:rPr>
          <w:rStyle w:val="eop"/>
          <w:rFonts w:asciiTheme="minorHAnsi" w:hAnsiTheme="minorHAnsi" w:cstheme="minorHAnsi"/>
        </w:rPr>
        <w:t xml:space="preserve">. </w:t>
      </w:r>
      <w:r w:rsidR="00CA0249" w:rsidRPr="00590031">
        <w:rPr>
          <w:rFonts w:asciiTheme="minorHAnsi" w:hAnsiTheme="minorHAnsi" w:cstheme="minorHAnsi"/>
        </w:rPr>
        <w:t>Given the severity of hypoxaemia in pa</w:t>
      </w:r>
      <w:r w:rsidR="003D76C0" w:rsidRPr="00590031">
        <w:rPr>
          <w:rFonts w:asciiTheme="minorHAnsi" w:hAnsiTheme="minorHAnsi" w:cstheme="minorHAnsi"/>
        </w:rPr>
        <w:t>tients with C</w:t>
      </w:r>
      <w:r w:rsidR="00B45435" w:rsidRPr="00590031">
        <w:rPr>
          <w:rFonts w:asciiTheme="minorHAnsi" w:hAnsiTheme="minorHAnsi" w:cstheme="minorHAnsi"/>
        </w:rPr>
        <w:t>OVID</w:t>
      </w:r>
      <w:r w:rsidR="003D76C0" w:rsidRPr="00590031">
        <w:rPr>
          <w:rFonts w:asciiTheme="minorHAnsi" w:hAnsiTheme="minorHAnsi" w:cstheme="minorHAnsi"/>
        </w:rPr>
        <w:t>-19</w:t>
      </w:r>
      <w:r w:rsidR="008F006E" w:rsidRPr="00590031">
        <w:rPr>
          <w:rFonts w:asciiTheme="minorHAnsi" w:hAnsiTheme="minorHAnsi" w:cstheme="minorHAnsi"/>
        </w:rPr>
        <w:t>,</w:t>
      </w:r>
      <w:r w:rsidR="003D76C0" w:rsidRPr="00590031">
        <w:rPr>
          <w:rFonts w:asciiTheme="minorHAnsi" w:hAnsiTheme="minorHAnsi" w:cstheme="minorHAnsi"/>
        </w:rPr>
        <w:t xml:space="preserve"> and the theoretical</w:t>
      </w:r>
      <w:r w:rsidR="00CA0249" w:rsidRPr="00590031">
        <w:rPr>
          <w:rFonts w:asciiTheme="minorHAnsi" w:hAnsiTheme="minorHAnsi" w:cstheme="minorHAnsi"/>
        </w:rPr>
        <w:t xml:space="preserve"> benefits of IPVD therapy</w:t>
      </w:r>
      <w:r w:rsidR="00B45435" w:rsidRPr="00590031">
        <w:rPr>
          <w:rFonts w:asciiTheme="minorHAnsi" w:hAnsiTheme="minorHAnsi" w:cstheme="minorHAnsi"/>
        </w:rPr>
        <w:t>,</w:t>
      </w:r>
      <w:r w:rsidR="00CA0249" w:rsidRPr="00590031">
        <w:rPr>
          <w:rFonts w:asciiTheme="minorHAnsi" w:hAnsiTheme="minorHAnsi" w:cstheme="minorHAnsi"/>
        </w:rPr>
        <w:t xml:space="preserve"> </w:t>
      </w:r>
      <w:r w:rsidR="000B0584" w:rsidRPr="00590031">
        <w:rPr>
          <w:rFonts w:asciiTheme="minorHAnsi" w:hAnsiTheme="minorHAnsi" w:cstheme="minorHAnsi"/>
        </w:rPr>
        <w:t xml:space="preserve">we </w:t>
      </w:r>
      <w:r w:rsidR="00B45435" w:rsidRPr="00590031">
        <w:rPr>
          <w:rFonts w:asciiTheme="minorHAnsi" w:hAnsiTheme="minorHAnsi" w:cstheme="minorHAnsi"/>
        </w:rPr>
        <w:t xml:space="preserve">rapidly </w:t>
      </w:r>
      <w:r w:rsidR="000B0584" w:rsidRPr="00590031">
        <w:rPr>
          <w:rFonts w:asciiTheme="minorHAnsi" w:hAnsiTheme="minorHAnsi" w:cstheme="minorHAnsi"/>
        </w:rPr>
        <w:t xml:space="preserve">developed and implemented a protocol </w:t>
      </w:r>
      <w:r w:rsidR="001F4457" w:rsidRPr="00590031">
        <w:rPr>
          <w:rFonts w:asciiTheme="minorHAnsi" w:hAnsiTheme="minorHAnsi" w:cstheme="minorHAnsi"/>
        </w:rPr>
        <w:t xml:space="preserve">at our institution </w:t>
      </w:r>
      <w:r w:rsidR="000B0584" w:rsidRPr="00590031">
        <w:rPr>
          <w:rFonts w:asciiTheme="minorHAnsi" w:hAnsiTheme="minorHAnsi" w:cstheme="minorHAnsi"/>
        </w:rPr>
        <w:t xml:space="preserve">for the </w:t>
      </w:r>
      <w:r w:rsidR="00383857" w:rsidRPr="00590031">
        <w:rPr>
          <w:rFonts w:asciiTheme="minorHAnsi" w:hAnsiTheme="minorHAnsi" w:cstheme="minorHAnsi"/>
        </w:rPr>
        <w:t>use of IPVD therapy</w:t>
      </w:r>
      <w:r w:rsidR="000B0584" w:rsidRPr="00590031">
        <w:rPr>
          <w:rFonts w:asciiTheme="minorHAnsi" w:hAnsiTheme="minorHAnsi" w:cstheme="minorHAnsi"/>
        </w:rPr>
        <w:t xml:space="preserve"> on a compassionate basis for patients </w:t>
      </w:r>
      <w:r w:rsidR="00151E61" w:rsidRPr="00590031">
        <w:rPr>
          <w:rFonts w:asciiTheme="minorHAnsi" w:hAnsiTheme="minorHAnsi" w:cstheme="minorHAnsi"/>
        </w:rPr>
        <w:t>with</w:t>
      </w:r>
      <w:r w:rsidR="000B0584" w:rsidRPr="00590031">
        <w:rPr>
          <w:rFonts w:asciiTheme="minorHAnsi" w:hAnsiTheme="minorHAnsi" w:cstheme="minorHAnsi"/>
        </w:rPr>
        <w:t xml:space="preserve"> severe hypoxaemia</w:t>
      </w:r>
      <w:r w:rsidR="005B17BD" w:rsidRPr="00590031">
        <w:rPr>
          <w:rFonts w:asciiTheme="minorHAnsi" w:hAnsiTheme="minorHAnsi" w:cstheme="minorHAnsi"/>
        </w:rPr>
        <w:t xml:space="preserve"> who were receiving maximal </w:t>
      </w:r>
      <w:r w:rsidR="00677573" w:rsidRPr="00590031">
        <w:rPr>
          <w:rFonts w:asciiTheme="minorHAnsi" w:hAnsiTheme="minorHAnsi" w:cstheme="minorHAnsi"/>
        </w:rPr>
        <w:t xml:space="preserve">conventional </w:t>
      </w:r>
      <w:r w:rsidR="00005726" w:rsidRPr="00590031">
        <w:rPr>
          <w:rFonts w:asciiTheme="minorHAnsi" w:hAnsiTheme="minorHAnsi" w:cstheme="minorHAnsi"/>
        </w:rPr>
        <w:t>support.</w:t>
      </w:r>
      <w:r w:rsidR="00383857" w:rsidRPr="00590031">
        <w:rPr>
          <w:rFonts w:asciiTheme="minorHAnsi" w:hAnsiTheme="minorHAnsi" w:cstheme="minorHAnsi"/>
        </w:rPr>
        <w:t xml:space="preserve"> </w:t>
      </w:r>
      <w:r w:rsidR="00151E61" w:rsidRPr="00590031">
        <w:rPr>
          <w:rFonts w:asciiTheme="minorHAnsi" w:hAnsiTheme="minorHAnsi" w:cstheme="minorHAnsi"/>
        </w:rPr>
        <w:t xml:space="preserve">In this </w:t>
      </w:r>
      <w:r w:rsidR="00B45435" w:rsidRPr="00590031">
        <w:rPr>
          <w:rFonts w:asciiTheme="minorHAnsi" w:hAnsiTheme="minorHAnsi" w:cstheme="minorHAnsi"/>
        </w:rPr>
        <w:t xml:space="preserve">study </w:t>
      </w:r>
      <w:r w:rsidR="00151E61" w:rsidRPr="00590031">
        <w:rPr>
          <w:rFonts w:asciiTheme="minorHAnsi" w:hAnsiTheme="minorHAnsi" w:cstheme="minorHAnsi"/>
        </w:rPr>
        <w:t xml:space="preserve">we </w:t>
      </w:r>
      <w:r w:rsidR="00677573" w:rsidRPr="00590031">
        <w:rPr>
          <w:rFonts w:asciiTheme="minorHAnsi" w:hAnsiTheme="minorHAnsi" w:cstheme="minorHAnsi"/>
        </w:rPr>
        <w:t xml:space="preserve">describe the cohort of patients who received IPVDs </w:t>
      </w:r>
      <w:r w:rsidR="00151E61" w:rsidRPr="00590031">
        <w:rPr>
          <w:rFonts w:asciiTheme="minorHAnsi" w:hAnsiTheme="minorHAnsi" w:cstheme="minorHAnsi"/>
        </w:rPr>
        <w:t xml:space="preserve">and assess </w:t>
      </w:r>
      <w:r w:rsidR="00677573" w:rsidRPr="00590031">
        <w:rPr>
          <w:rFonts w:asciiTheme="minorHAnsi" w:hAnsiTheme="minorHAnsi" w:cstheme="minorHAnsi"/>
        </w:rPr>
        <w:t xml:space="preserve">the </w:t>
      </w:r>
      <w:r w:rsidR="00151E61" w:rsidRPr="00590031">
        <w:rPr>
          <w:rFonts w:asciiTheme="minorHAnsi" w:hAnsiTheme="minorHAnsi" w:cstheme="minorHAnsi"/>
        </w:rPr>
        <w:t>difference</w:t>
      </w:r>
      <w:r w:rsidR="00677573" w:rsidRPr="00590031">
        <w:rPr>
          <w:rFonts w:asciiTheme="minorHAnsi" w:hAnsiTheme="minorHAnsi" w:cstheme="minorHAnsi"/>
        </w:rPr>
        <w:t>s</w:t>
      </w:r>
      <w:r w:rsidR="00151E61" w:rsidRPr="00590031">
        <w:rPr>
          <w:rFonts w:asciiTheme="minorHAnsi" w:hAnsiTheme="minorHAnsi" w:cstheme="minorHAnsi"/>
        </w:rPr>
        <w:t xml:space="preserve"> in response to </w:t>
      </w:r>
      <w:r w:rsidR="00B45435" w:rsidRPr="00590031">
        <w:rPr>
          <w:rFonts w:asciiTheme="minorHAnsi" w:hAnsiTheme="minorHAnsi" w:cstheme="minorHAnsi"/>
        </w:rPr>
        <w:t xml:space="preserve">our </w:t>
      </w:r>
      <w:r w:rsidR="0085011C" w:rsidRPr="00590031">
        <w:rPr>
          <w:rFonts w:asciiTheme="minorHAnsi" w:hAnsiTheme="minorHAnsi" w:cstheme="minorHAnsi"/>
        </w:rPr>
        <w:t>protocolised</w:t>
      </w:r>
      <w:r w:rsidR="00677573" w:rsidRPr="00590031">
        <w:rPr>
          <w:rFonts w:asciiTheme="minorHAnsi" w:hAnsiTheme="minorHAnsi" w:cstheme="minorHAnsi"/>
        </w:rPr>
        <w:t xml:space="preserve"> use </w:t>
      </w:r>
      <w:r w:rsidR="00C729D1" w:rsidRPr="00590031">
        <w:rPr>
          <w:rFonts w:asciiTheme="minorHAnsi" w:hAnsiTheme="minorHAnsi" w:cstheme="minorHAnsi"/>
        </w:rPr>
        <w:t>of IPVD</w:t>
      </w:r>
      <w:r w:rsidR="00151E61" w:rsidRPr="00590031">
        <w:rPr>
          <w:rFonts w:asciiTheme="minorHAnsi" w:hAnsiTheme="minorHAnsi" w:cstheme="minorHAnsi"/>
        </w:rPr>
        <w:t xml:space="preserve"> therapy between survivors and non-survivors </w:t>
      </w:r>
      <w:r w:rsidR="00677573" w:rsidRPr="00590031">
        <w:rPr>
          <w:rFonts w:asciiTheme="minorHAnsi" w:hAnsiTheme="minorHAnsi" w:cstheme="minorHAnsi"/>
        </w:rPr>
        <w:t xml:space="preserve">in </w:t>
      </w:r>
      <w:r w:rsidR="00151E61" w:rsidRPr="00590031">
        <w:rPr>
          <w:rFonts w:asciiTheme="minorHAnsi" w:hAnsiTheme="minorHAnsi" w:cstheme="minorHAnsi"/>
        </w:rPr>
        <w:t xml:space="preserve">patients admitted to </w:t>
      </w:r>
      <w:r w:rsidR="004C6EAF" w:rsidRPr="00590031">
        <w:rPr>
          <w:rFonts w:asciiTheme="minorHAnsi" w:hAnsiTheme="minorHAnsi" w:cstheme="minorHAnsi"/>
        </w:rPr>
        <w:t>the</w:t>
      </w:r>
      <w:r w:rsidR="00B45435" w:rsidRPr="00590031">
        <w:rPr>
          <w:rFonts w:asciiTheme="minorHAnsi" w:hAnsiTheme="minorHAnsi" w:cstheme="minorHAnsi"/>
        </w:rPr>
        <w:t xml:space="preserve"> general intensive care unit</w:t>
      </w:r>
      <w:r w:rsidR="00151E61" w:rsidRPr="00590031">
        <w:rPr>
          <w:rFonts w:asciiTheme="minorHAnsi" w:hAnsiTheme="minorHAnsi" w:cstheme="minorHAnsi"/>
        </w:rPr>
        <w:t xml:space="preserve"> with C</w:t>
      </w:r>
      <w:r w:rsidR="00B45435" w:rsidRPr="00590031">
        <w:rPr>
          <w:rFonts w:asciiTheme="minorHAnsi" w:hAnsiTheme="minorHAnsi" w:cstheme="minorHAnsi"/>
        </w:rPr>
        <w:t>OVID</w:t>
      </w:r>
      <w:r w:rsidR="00151E61" w:rsidRPr="00590031">
        <w:rPr>
          <w:rFonts w:asciiTheme="minorHAnsi" w:hAnsiTheme="minorHAnsi" w:cstheme="minorHAnsi"/>
        </w:rPr>
        <w:t>-19</w:t>
      </w:r>
      <w:r w:rsidR="00B45435" w:rsidRPr="00590031">
        <w:rPr>
          <w:rFonts w:asciiTheme="minorHAnsi" w:hAnsiTheme="minorHAnsi" w:cstheme="minorHAnsi"/>
        </w:rPr>
        <w:t xml:space="preserve"> AHRF</w:t>
      </w:r>
      <w:r w:rsidR="00151E61" w:rsidRPr="00590031">
        <w:rPr>
          <w:rFonts w:asciiTheme="minorHAnsi" w:hAnsiTheme="minorHAnsi" w:cstheme="minorHAnsi"/>
        </w:rPr>
        <w:t>.</w:t>
      </w:r>
    </w:p>
    <w:p w14:paraId="56A7D46F" w14:textId="6B93B273" w:rsidR="0098550A" w:rsidRPr="00590031" w:rsidRDefault="0098550A" w:rsidP="00590031">
      <w:pPr>
        <w:spacing w:line="480" w:lineRule="auto"/>
        <w:jc w:val="both"/>
        <w:rPr>
          <w:rFonts w:cstheme="minorHAnsi"/>
          <w:sz w:val="24"/>
          <w:szCs w:val="24"/>
        </w:rPr>
      </w:pPr>
    </w:p>
    <w:p w14:paraId="7F8D9151" w14:textId="77777777" w:rsidR="0098550A" w:rsidRPr="00590031" w:rsidRDefault="0098550A" w:rsidP="00590031">
      <w:pPr>
        <w:pStyle w:val="Heading2"/>
        <w:spacing w:line="480" w:lineRule="auto"/>
        <w:jc w:val="both"/>
        <w:rPr>
          <w:rFonts w:asciiTheme="minorHAnsi" w:hAnsiTheme="minorHAnsi" w:cstheme="minorHAnsi"/>
          <w:b/>
          <w:bCs/>
          <w:color w:val="000000" w:themeColor="text1"/>
          <w:sz w:val="24"/>
          <w:szCs w:val="24"/>
        </w:rPr>
      </w:pPr>
      <w:r w:rsidRPr="00590031">
        <w:rPr>
          <w:rFonts w:asciiTheme="minorHAnsi" w:hAnsiTheme="minorHAnsi" w:cstheme="minorHAnsi"/>
          <w:b/>
          <w:bCs/>
          <w:color w:val="000000" w:themeColor="text1"/>
          <w:sz w:val="24"/>
          <w:szCs w:val="24"/>
        </w:rPr>
        <w:t>Methods</w:t>
      </w:r>
    </w:p>
    <w:p w14:paraId="4FC74A5E" w14:textId="77777777" w:rsidR="001A31A5" w:rsidRPr="00590031" w:rsidRDefault="001A31A5" w:rsidP="00590031">
      <w:pPr>
        <w:pStyle w:val="Heading3"/>
        <w:spacing w:line="480" w:lineRule="auto"/>
        <w:jc w:val="both"/>
        <w:rPr>
          <w:rFonts w:asciiTheme="minorHAnsi" w:hAnsiTheme="minorHAnsi" w:cstheme="minorHAnsi"/>
          <w:b/>
          <w:bCs/>
          <w:color w:val="000000" w:themeColor="text1"/>
        </w:rPr>
      </w:pPr>
    </w:p>
    <w:p w14:paraId="750CDF50" w14:textId="1AA53AA3" w:rsidR="0098550A" w:rsidRPr="00590031" w:rsidRDefault="0098550A" w:rsidP="00590031">
      <w:pPr>
        <w:pStyle w:val="Heading3"/>
        <w:spacing w:line="480" w:lineRule="auto"/>
        <w:jc w:val="both"/>
        <w:rPr>
          <w:rFonts w:asciiTheme="minorHAnsi" w:hAnsiTheme="minorHAnsi" w:cstheme="minorHAnsi"/>
          <w:b/>
          <w:bCs/>
          <w:color w:val="000000" w:themeColor="text1"/>
        </w:rPr>
      </w:pPr>
      <w:r w:rsidRPr="00590031">
        <w:rPr>
          <w:rFonts w:asciiTheme="minorHAnsi" w:hAnsiTheme="minorHAnsi" w:cstheme="minorHAnsi"/>
          <w:b/>
          <w:bCs/>
          <w:color w:val="000000" w:themeColor="text1"/>
        </w:rPr>
        <w:t>Design</w:t>
      </w:r>
    </w:p>
    <w:p w14:paraId="2B5E8D6B" w14:textId="4A37E79C" w:rsidR="00F6353B" w:rsidRPr="00590031" w:rsidRDefault="0098550A" w:rsidP="00590031">
      <w:pPr>
        <w:spacing w:line="480" w:lineRule="auto"/>
        <w:jc w:val="both"/>
        <w:rPr>
          <w:rFonts w:cstheme="minorHAnsi"/>
          <w:sz w:val="24"/>
          <w:szCs w:val="24"/>
        </w:rPr>
      </w:pPr>
      <w:r w:rsidRPr="00590031">
        <w:rPr>
          <w:rFonts w:cstheme="minorHAnsi"/>
          <w:sz w:val="24"/>
          <w:szCs w:val="24"/>
        </w:rPr>
        <w:t xml:space="preserve">This is a retrospective analysis of prospectively collected data </w:t>
      </w:r>
      <w:r w:rsidR="00677573" w:rsidRPr="00590031">
        <w:rPr>
          <w:rFonts w:cstheme="minorHAnsi"/>
          <w:sz w:val="24"/>
          <w:szCs w:val="24"/>
        </w:rPr>
        <w:t xml:space="preserve">in </w:t>
      </w:r>
      <w:r w:rsidRPr="00590031">
        <w:rPr>
          <w:rFonts w:cstheme="minorHAnsi"/>
          <w:sz w:val="24"/>
          <w:szCs w:val="24"/>
        </w:rPr>
        <w:t xml:space="preserve">patients with </w:t>
      </w:r>
      <w:r w:rsidR="00DA4262" w:rsidRPr="00590031">
        <w:rPr>
          <w:rFonts w:cstheme="minorHAnsi"/>
          <w:sz w:val="24"/>
          <w:szCs w:val="24"/>
        </w:rPr>
        <w:t>polymerase</w:t>
      </w:r>
      <w:r w:rsidR="004C6EAF" w:rsidRPr="00590031">
        <w:rPr>
          <w:rFonts w:cstheme="minorHAnsi"/>
          <w:sz w:val="24"/>
          <w:szCs w:val="24"/>
        </w:rPr>
        <w:t xml:space="preserve"> chain reaction (PCR) </w:t>
      </w:r>
      <w:r w:rsidRPr="00590031">
        <w:rPr>
          <w:rFonts w:cstheme="minorHAnsi"/>
          <w:sz w:val="24"/>
          <w:szCs w:val="24"/>
        </w:rPr>
        <w:t>confirmed SARS-Co</w:t>
      </w:r>
      <w:r w:rsidR="004C6EAF" w:rsidRPr="00590031">
        <w:rPr>
          <w:rFonts w:cstheme="minorHAnsi"/>
          <w:sz w:val="24"/>
          <w:szCs w:val="24"/>
        </w:rPr>
        <w:t>V</w:t>
      </w:r>
      <w:r w:rsidRPr="00590031">
        <w:rPr>
          <w:rFonts w:cstheme="minorHAnsi"/>
          <w:sz w:val="24"/>
          <w:szCs w:val="24"/>
        </w:rPr>
        <w:t>-2 infection admitted to the Intensive Care Unit at a large teachin</w:t>
      </w:r>
      <w:r w:rsidR="003D76C0" w:rsidRPr="00590031">
        <w:rPr>
          <w:rFonts w:cstheme="minorHAnsi"/>
          <w:sz w:val="24"/>
          <w:szCs w:val="24"/>
        </w:rPr>
        <w:t>g hospital. The hospital is</w:t>
      </w:r>
      <w:r w:rsidRPr="00590031">
        <w:rPr>
          <w:rFonts w:cstheme="minorHAnsi"/>
          <w:sz w:val="24"/>
          <w:szCs w:val="24"/>
        </w:rPr>
        <w:t xml:space="preserve"> a</w:t>
      </w:r>
      <w:r w:rsidR="003D76C0" w:rsidRPr="00590031">
        <w:rPr>
          <w:rFonts w:cstheme="minorHAnsi"/>
          <w:sz w:val="24"/>
          <w:szCs w:val="24"/>
        </w:rPr>
        <w:t xml:space="preserve"> tertiary</w:t>
      </w:r>
      <w:r w:rsidRPr="00590031">
        <w:rPr>
          <w:rFonts w:cstheme="minorHAnsi"/>
          <w:sz w:val="24"/>
          <w:szCs w:val="24"/>
        </w:rPr>
        <w:t xml:space="preserve"> </w:t>
      </w:r>
      <w:r w:rsidR="003D76C0" w:rsidRPr="00590031">
        <w:rPr>
          <w:rFonts w:cstheme="minorHAnsi"/>
          <w:sz w:val="24"/>
          <w:szCs w:val="24"/>
        </w:rPr>
        <w:t xml:space="preserve">centre for paediatric </w:t>
      </w:r>
      <w:r w:rsidRPr="00590031">
        <w:rPr>
          <w:rFonts w:cstheme="minorHAnsi"/>
          <w:sz w:val="24"/>
          <w:szCs w:val="24"/>
        </w:rPr>
        <w:t>cardiac surgery and</w:t>
      </w:r>
      <w:r w:rsidR="003D76C0" w:rsidRPr="00590031">
        <w:rPr>
          <w:rFonts w:cstheme="minorHAnsi"/>
          <w:sz w:val="24"/>
          <w:szCs w:val="24"/>
        </w:rPr>
        <w:t xml:space="preserve"> adult pulmonary hypertension and</w:t>
      </w:r>
      <w:r w:rsidRPr="00590031">
        <w:rPr>
          <w:rFonts w:cstheme="minorHAnsi"/>
          <w:sz w:val="24"/>
          <w:szCs w:val="24"/>
        </w:rPr>
        <w:t xml:space="preserve"> therefore had immediate access to nitric oxide delivery systems </w:t>
      </w:r>
      <w:r w:rsidR="003D76C0" w:rsidRPr="00590031">
        <w:rPr>
          <w:rFonts w:cstheme="minorHAnsi"/>
          <w:sz w:val="24"/>
          <w:szCs w:val="24"/>
        </w:rPr>
        <w:t>and nebulised</w:t>
      </w:r>
      <w:r w:rsidR="004C6EAF" w:rsidRPr="00590031">
        <w:rPr>
          <w:rFonts w:cstheme="minorHAnsi"/>
          <w:sz w:val="24"/>
          <w:szCs w:val="24"/>
        </w:rPr>
        <w:t xml:space="preserve"> prostaglandins</w:t>
      </w:r>
      <w:r w:rsidRPr="00590031">
        <w:rPr>
          <w:rFonts w:cstheme="minorHAnsi"/>
          <w:sz w:val="24"/>
          <w:szCs w:val="24"/>
        </w:rPr>
        <w:t>.</w:t>
      </w:r>
      <w:r w:rsidR="004C6EAF" w:rsidRPr="00590031">
        <w:rPr>
          <w:rFonts w:cstheme="minorHAnsi"/>
          <w:sz w:val="24"/>
          <w:szCs w:val="24"/>
        </w:rPr>
        <w:t xml:space="preserve"> </w:t>
      </w:r>
      <w:r w:rsidRPr="00590031">
        <w:rPr>
          <w:rFonts w:cstheme="minorHAnsi"/>
          <w:sz w:val="24"/>
          <w:szCs w:val="24"/>
        </w:rPr>
        <w:t>Data analysed are for the time period 14</w:t>
      </w:r>
      <w:r w:rsidRPr="00590031">
        <w:rPr>
          <w:rFonts w:cstheme="minorHAnsi"/>
          <w:sz w:val="24"/>
          <w:szCs w:val="24"/>
          <w:vertAlign w:val="superscript"/>
        </w:rPr>
        <w:t>th</w:t>
      </w:r>
      <w:r w:rsidRPr="00590031">
        <w:rPr>
          <w:rFonts w:cstheme="minorHAnsi"/>
          <w:sz w:val="24"/>
          <w:szCs w:val="24"/>
        </w:rPr>
        <w:t xml:space="preserve"> March 2020</w:t>
      </w:r>
      <w:r w:rsidR="00DA4262" w:rsidRPr="00590031">
        <w:rPr>
          <w:rFonts w:cstheme="minorHAnsi"/>
          <w:sz w:val="24"/>
          <w:szCs w:val="24"/>
        </w:rPr>
        <w:t xml:space="preserve"> </w:t>
      </w:r>
      <w:r w:rsidRPr="00590031">
        <w:rPr>
          <w:rFonts w:cstheme="minorHAnsi"/>
          <w:sz w:val="24"/>
          <w:szCs w:val="24"/>
        </w:rPr>
        <w:t>-</w:t>
      </w:r>
      <w:r w:rsidR="00DA4262" w:rsidRPr="00590031">
        <w:rPr>
          <w:rFonts w:cstheme="minorHAnsi"/>
          <w:sz w:val="24"/>
          <w:szCs w:val="24"/>
        </w:rPr>
        <w:t xml:space="preserve"> </w:t>
      </w:r>
      <w:r w:rsidRPr="00590031">
        <w:rPr>
          <w:rFonts w:cstheme="minorHAnsi"/>
          <w:sz w:val="24"/>
          <w:szCs w:val="24"/>
        </w:rPr>
        <w:t>11</w:t>
      </w:r>
      <w:r w:rsidRPr="00590031">
        <w:rPr>
          <w:rFonts w:cstheme="minorHAnsi"/>
          <w:sz w:val="24"/>
          <w:szCs w:val="24"/>
          <w:vertAlign w:val="superscript"/>
        </w:rPr>
        <w:t>th</w:t>
      </w:r>
      <w:r w:rsidRPr="00590031">
        <w:rPr>
          <w:rFonts w:cstheme="minorHAnsi"/>
          <w:sz w:val="24"/>
          <w:szCs w:val="24"/>
        </w:rPr>
        <w:t xml:space="preserve"> February 2021. Standard care for all patients with confirmed SARS-Cov-2 on the ICU consisted of a trial of non-invasive ventilation followed by mechanical ventilation </w:t>
      </w:r>
      <w:r w:rsidR="004C6EAF" w:rsidRPr="00590031">
        <w:rPr>
          <w:rFonts w:cstheme="minorHAnsi"/>
          <w:sz w:val="24"/>
          <w:szCs w:val="24"/>
        </w:rPr>
        <w:t>in the event of deterioration</w:t>
      </w:r>
      <w:r w:rsidRPr="00590031">
        <w:rPr>
          <w:rFonts w:cstheme="minorHAnsi"/>
          <w:sz w:val="24"/>
          <w:szCs w:val="24"/>
        </w:rPr>
        <w:t>. As the evidence base progressed</w:t>
      </w:r>
      <w:r w:rsidR="00677573" w:rsidRPr="00590031">
        <w:rPr>
          <w:rFonts w:cstheme="minorHAnsi"/>
          <w:sz w:val="24"/>
          <w:szCs w:val="24"/>
        </w:rPr>
        <w:t>,</w:t>
      </w:r>
      <w:r w:rsidRPr="00590031">
        <w:rPr>
          <w:rFonts w:cstheme="minorHAnsi"/>
          <w:sz w:val="24"/>
          <w:szCs w:val="24"/>
        </w:rPr>
        <w:t xml:space="preserve"> corticosteroids (dexamethasone), and subsequently IL-6 inhibitors (</w:t>
      </w:r>
      <w:r w:rsidR="004C6EAF" w:rsidRPr="00590031">
        <w:rPr>
          <w:rFonts w:cstheme="minorHAnsi"/>
          <w:sz w:val="24"/>
          <w:szCs w:val="24"/>
        </w:rPr>
        <w:t>tocilizumab/sarilumab</w:t>
      </w:r>
      <w:r w:rsidRPr="00590031">
        <w:rPr>
          <w:rFonts w:cstheme="minorHAnsi"/>
          <w:sz w:val="24"/>
          <w:szCs w:val="24"/>
        </w:rPr>
        <w:t>)</w:t>
      </w:r>
      <w:r w:rsidR="00F27295" w:rsidRPr="00590031">
        <w:rPr>
          <w:rFonts w:cstheme="minorHAnsi"/>
          <w:sz w:val="24"/>
          <w:szCs w:val="24"/>
        </w:rPr>
        <w:t>,</w:t>
      </w:r>
      <w:r w:rsidRPr="00590031">
        <w:rPr>
          <w:rFonts w:cstheme="minorHAnsi"/>
          <w:sz w:val="24"/>
          <w:szCs w:val="24"/>
        </w:rPr>
        <w:t xml:space="preserve"> were used</w:t>
      </w:r>
      <w:r w:rsidR="004C6EAF" w:rsidRPr="00590031">
        <w:rPr>
          <w:rFonts w:cstheme="minorHAnsi"/>
          <w:sz w:val="24"/>
          <w:szCs w:val="24"/>
        </w:rPr>
        <w:t xml:space="preserve"> in accordance wit</w:t>
      </w:r>
      <w:r w:rsidR="00F27295" w:rsidRPr="00590031">
        <w:rPr>
          <w:rFonts w:cstheme="minorHAnsi"/>
          <w:sz w:val="24"/>
          <w:szCs w:val="24"/>
        </w:rPr>
        <w:t>h</w:t>
      </w:r>
      <w:r w:rsidR="004C6EAF" w:rsidRPr="00590031">
        <w:rPr>
          <w:rFonts w:cstheme="minorHAnsi"/>
          <w:sz w:val="24"/>
          <w:szCs w:val="24"/>
        </w:rPr>
        <w:t xml:space="preserve"> local guidelines</w:t>
      </w:r>
      <w:r w:rsidRPr="00590031">
        <w:rPr>
          <w:rFonts w:cstheme="minorHAnsi"/>
          <w:sz w:val="24"/>
          <w:szCs w:val="24"/>
        </w:rPr>
        <w:t>. Once mechanically ventilated</w:t>
      </w:r>
      <w:r w:rsidR="004F7CD2" w:rsidRPr="00590031">
        <w:rPr>
          <w:rFonts w:cstheme="minorHAnsi"/>
          <w:sz w:val="24"/>
          <w:szCs w:val="24"/>
        </w:rPr>
        <w:t>,</w:t>
      </w:r>
      <w:r w:rsidRPr="00590031">
        <w:rPr>
          <w:rFonts w:cstheme="minorHAnsi"/>
          <w:sz w:val="24"/>
          <w:szCs w:val="24"/>
        </w:rPr>
        <w:t xml:space="preserve"> all patients underwent a minimum of three proning cycles unless contra-indicated (16 hours prone, 8 hours supine), received neuromuscular </w:t>
      </w:r>
      <w:r w:rsidRPr="00590031">
        <w:rPr>
          <w:rFonts w:cstheme="minorHAnsi"/>
          <w:sz w:val="24"/>
          <w:szCs w:val="24"/>
        </w:rPr>
        <w:lastRenderedPageBreak/>
        <w:t>blockade and ventilation titrated to target PaO</w:t>
      </w:r>
      <w:r w:rsidRPr="00590031">
        <w:rPr>
          <w:rFonts w:cstheme="minorHAnsi"/>
          <w:sz w:val="24"/>
          <w:szCs w:val="24"/>
          <w:vertAlign w:val="subscript"/>
        </w:rPr>
        <w:t>2</w:t>
      </w:r>
      <w:r w:rsidRPr="00590031">
        <w:rPr>
          <w:rFonts w:cstheme="minorHAnsi"/>
          <w:sz w:val="24"/>
          <w:szCs w:val="24"/>
        </w:rPr>
        <w:t xml:space="preserve"> 8kPa with permissive </w:t>
      </w:r>
      <w:r w:rsidR="004C6EAF" w:rsidRPr="00590031">
        <w:rPr>
          <w:rFonts w:cstheme="minorHAnsi"/>
          <w:sz w:val="24"/>
          <w:szCs w:val="24"/>
        </w:rPr>
        <w:t>hypercapnia</w:t>
      </w:r>
      <w:r w:rsidRPr="00590031">
        <w:rPr>
          <w:rFonts w:cstheme="minorHAnsi"/>
          <w:sz w:val="24"/>
          <w:szCs w:val="24"/>
        </w:rPr>
        <w:t xml:space="preserve">. Where this could not be safely achieved appropriate patients were referred </w:t>
      </w:r>
      <w:r w:rsidR="00677573" w:rsidRPr="00590031">
        <w:rPr>
          <w:rFonts w:cstheme="minorHAnsi"/>
          <w:sz w:val="24"/>
          <w:szCs w:val="24"/>
        </w:rPr>
        <w:t xml:space="preserve">to a specialised tertiary centre </w:t>
      </w:r>
      <w:r w:rsidRPr="00590031">
        <w:rPr>
          <w:rFonts w:cstheme="minorHAnsi"/>
          <w:sz w:val="24"/>
          <w:szCs w:val="24"/>
        </w:rPr>
        <w:t xml:space="preserve">for consideration of extracorporeal membrane oxygenation (ECMO). </w:t>
      </w:r>
      <w:r w:rsidR="004C6EAF" w:rsidRPr="00590031">
        <w:rPr>
          <w:rFonts w:cstheme="minorHAnsi"/>
          <w:sz w:val="24"/>
          <w:szCs w:val="24"/>
        </w:rPr>
        <w:t>During the peak of the pandemic, there were rigorous inclusion criteria for ECMO acceptance</w:t>
      </w:r>
      <w:r w:rsidR="00063C82" w:rsidRPr="00590031">
        <w:rPr>
          <w:rFonts w:cstheme="minorHAnsi"/>
          <w:sz w:val="24"/>
          <w:szCs w:val="24"/>
        </w:rPr>
        <w:t xml:space="preserve"> </w:t>
      </w:r>
      <w:r w:rsidR="004C6EAF" w:rsidRPr="00590031">
        <w:rPr>
          <w:rFonts w:cstheme="minorHAnsi"/>
          <w:sz w:val="24"/>
          <w:szCs w:val="24"/>
        </w:rPr>
        <w:t>due to the availability of ECMO beds. We developed</w:t>
      </w:r>
      <w:r w:rsidRPr="00590031">
        <w:rPr>
          <w:rFonts w:cstheme="minorHAnsi"/>
          <w:sz w:val="24"/>
          <w:szCs w:val="24"/>
        </w:rPr>
        <w:t xml:space="preserve"> departmental </w:t>
      </w:r>
      <w:r w:rsidR="004C6EAF" w:rsidRPr="00590031">
        <w:rPr>
          <w:rFonts w:cstheme="minorHAnsi"/>
          <w:sz w:val="24"/>
          <w:szCs w:val="24"/>
        </w:rPr>
        <w:t>guideline</w:t>
      </w:r>
      <w:r w:rsidR="00F34F55" w:rsidRPr="00590031">
        <w:rPr>
          <w:rFonts w:cstheme="minorHAnsi"/>
          <w:sz w:val="24"/>
          <w:szCs w:val="24"/>
        </w:rPr>
        <w:t>s</w:t>
      </w:r>
      <w:r w:rsidRPr="00590031">
        <w:rPr>
          <w:rFonts w:cstheme="minorHAnsi"/>
          <w:sz w:val="24"/>
          <w:szCs w:val="24"/>
        </w:rPr>
        <w:t xml:space="preserve"> for the use of inhaled IPVD therapy on a compassionate basis for patients with severe </w:t>
      </w:r>
      <w:r w:rsidR="00063C82" w:rsidRPr="00590031">
        <w:rPr>
          <w:rFonts w:cstheme="minorHAnsi"/>
          <w:sz w:val="24"/>
          <w:szCs w:val="24"/>
        </w:rPr>
        <w:t xml:space="preserve">refractory </w:t>
      </w:r>
      <w:r w:rsidRPr="00590031">
        <w:rPr>
          <w:rFonts w:cstheme="minorHAnsi"/>
          <w:sz w:val="24"/>
          <w:szCs w:val="24"/>
        </w:rPr>
        <w:t>hypoxaemia</w:t>
      </w:r>
      <w:r w:rsidR="003D76C0" w:rsidRPr="00590031">
        <w:rPr>
          <w:rFonts w:cstheme="minorHAnsi"/>
          <w:sz w:val="24"/>
          <w:szCs w:val="24"/>
        </w:rPr>
        <w:t xml:space="preserve"> (PaO</w:t>
      </w:r>
      <w:r w:rsidR="003D76C0" w:rsidRPr="00590031">
        <w:rPr>
          <w:rFonts w:cstheme="minorHAnsi"/>
          <w:sz w:val="24"/>
          <w:szCs w:val="24"/>
          <w:vertAlign w:val="subscript"/>
        </w:rPr>
        <w:t>2</w:t>
      </w:r>
      <w:r w:rsidR="003D76C0" w:rsidRPr="00590031">
        <w:rPr>
          <w:rFonts w:cstheme="minorHAnsi"/>
          <w:sz w:val="24"/>
          <w:szCs w:val="24"/>
        </w:rPr>
        <w:t xml:space="preserve"> &lt;13.3kPa) who were on otherwise maximal therapy.</w:t>
      </w:r>
      <w:r w:rsidR="00063C82" w:rsidRPr="00590031">
        <w:rPr>
          <w:rFonts w:cstheme="minorHAnsi"/>
          <w:sz w:val="24"/>
          <w:szCs w:val="24"/>
        </w:rPr>
        <w:t xml:space="preserve"> We used a combination of volume targeted (Adaptive pressure ventilation controlled mandatory ventilation synchronised (APVcmv)) and airway pressure release ventilation (APRV) as primary invasive ven</w:t>
      </w:r>
      <w:r w:rsidR="00BE4428" w:rsidRPr="00590031">
        <w:rPr>
          <w:rFonts w:cstheme="minorHAnsi"/>
          <w:sz w:val="24"/>
          <w:szCs w:val="24"/>
        </w:rPr>
        <w:t>tilation</w:t>
      </w:r>
      <w:r w:rsidR="00063C82" w:rsidRPr="00590031">
        <w:rPr>
          <w:rFonts w:cstheme="minorHAnsi"/>
          <w:sz w:val="24"/>
          <w:szCs w:val="24"/>
        </w:rPr>
        <w:t xml:space="preserve"> strategies. The target tidal </w:t>
      </w:r>
      <w:r w:rsidR="00EB37DF" w:rsidRPr="00590031">
        <w:rPr>
          <w:rFonts w:cstheme="minorHAnsi"/>
          <w:sz w:val="24"/>
          <w:szCs w:val="24"/>
        </w:rPr>
        <w:t>volumes and</w:t>
      </w:r>
      <w:r w:rsidR="0008598D" w:rsidRPr="00590031">
        <w:rPr>
          <w:rFonts w:cstheme="minorHAnsi"/>
          <w:sz w:val="24"/>
          <w:szCs w:val="24"/>
        </w:rPr>
        <w:t xml:space="preserve"> plateau pressures were limited to 6-8ml/kg </w:t>
      </w:r>
      <w:r w:rsidR="00EB37DF" w:rsidRPr="00590031">
        <w:rPr>
          <w:rFonts w:cstheme="minorHAnsi"/>
          <w:sz w:val="24"/>
          <w:szCs w:val="24"/>
        </w:rPr>
        <w:t xml:space="preserve">predicted body weight </w:t>
      </w:r>
      <w:r w:rsidR="0008598D" w:rsidRPr="00590031">
        <w:rPr>
          <w:rFonts w:cstheme="minorHAnsi"/>
          <w:sz w:val="24"/>
          <w:szCs w:val="24"/>
        </w:rPr>
        <w:t xml:space="preserve">and </w:t>
      </w:r>
      <w:r w:rsidR="0008598D" w:rsidRPr="00590031">
        <w:rPr>
          <w:rFonts w:cstheme="minorHAnsi"/>
          <w:sz w:val="24"/>
          <w:szCs w:val="24"/>
        </w:rPr>
        <w:sym w:font="Symbol" w:char="F0A3"/>
      </w:r>
      <w:r w:rsidR="0008598D" w:rsidRPr="00590031">
        <w:rPr>
          <w:rFonts w:cstheme="minorHAnsi"/>
          <w:sz w:val="24"/>
          <w:szCs w:val="24"/>
        </w:rPr>
        <w:t>30cm H</w:t>
      </w:r>
      <w:r w:rsidR="0008598D" w:rsidRPr="00590031">
        <w:rPr>
          <w:rFonts w:cstheme="minorHAnsi"/>
          <w:sz w:val="24"/>
          <w:szCs w:val="24"/>
          <w:vertAlign w:val="subscript"/>
        </w:rPr>
        <w:t>2</w:t>
      </w:r>
      <w:r w:rsidR="00EB37DF" w:rsidRPr="00590031">
        <w:rPr>
          <w:rFonts w:cstheme="minorHAnsi"/>
          <w:sz w:val="24"/>
          <w:szCs w:val="24"/>
        </w:rPr>
        <w:t>O</w:t>
      </w:r>
      <w:r w:rsidR="0008598D" w:rsidRPr="00590031">
        <w:rPr>
          <w:rFonts w:cstheme="minorHAnsi"/>
          <w:sz w:val="24"/>
          <w:szCs w:val="24"/>
        </w:rPr>
        <w:t xml:space="preserve"> </w:t>
      </w:r>
      <w:r w:rsidR="00EB37DF" w:rsidRPr="00590031">
        <w:rPr>
          <w:rFonts w:cstheme="minorHAnsi"/>
          <w:sz w:val="24"/>
          <w:szCs w:val="24"/>
        </w:rPr>
        <w:t xml:space="preserve">respectively. The required </w:t>
      </w:r>
      <w:r w:rsidR="00063C82" w:rsidRPr="00590031">
        <w:rPr>
          <w:rFonts w:cstheme="minorHAnsi"/>
          <w:sz w:val="24"/>
          <w:szCs w:val="24"/>
        </w:rPr>
        <w:t>PEEP was</w:t>
      </w:r>
      <w:r w:rsidR="0008598D" w:rsidRPr="00590031">
        <w:rPr>
          <w:rFonts w:cstheme="minorHAnsi"/>
          <w:sz w:val="24"/>
          <w:szCs w:val="24"/>
        </w:rPr>
        <w:t xml:space="preserve"> titrated according to the </w:t>
      </w:r>
      <w:r w:rsidR="00EB37DF" w:rsidRPr="00590031">
        <w:rPr>
          <w:rFonts w:cstheme="minorHAnsi"/>
          <w:sz w:val="24"/>
          <w:szCs w:val="24"/>
        </w:rPr>
        <w:t>quasi-static pressure volume curve</w:t>
      </w:r>
      <w:r w:rsidR="00F6353B" w:rsidRPr="00590031">
        <w:rPr>
          <w:rFonts w:cstheme="minorHAnsi"/>
          <w:sz w:val="24"/>
          <w:szCs w:val="24"/>
        </w:rPr>
        <w:t xml:space="preserve"> via a P-V Tool</w:t>
      </w:r>
      <w:r w:rsidR="00F6353B" w:rsidRPr="00590031">
        <w:rPr>
          <w:rFonts w:cstheme="minorHAnsi"/>
          <w:sz w:val="24"/>
          <w:szCs w:val="24"/>
          <w:vertAlign w:val="superscript"/>
        </w:rPr>
        <w:sym w:font="Symbol" w:char="F0D2"/>
      </w:r>
      <w:r w:rsidR="00F6353B" w:rsidRPr="00590031">
        <w:rPr>
          <w:rFonts w:cstheme="minorHAnsi"/>
          <w:sz w:val="24"/>
          <w:szCs w:val="24"/>
        </w:rPr>
        <w:t xml:space="preserve"> function (HAMILTON-C6)</w:t>
      </w:r>
      <w:r w:rsidR="00EB37DF" w:rsidRPr="00590031">
        <w:rPr>
          <w:rFonts w:cstheme="minorHAnsi"/>
          <w:sz w:val="24"/>
          <w:szCs w:val="24"/>
        </w:rPr>
        <w:t xml:space="preserve">. During APRV, peak inspiratory pressure was limited to </w:t>
      </w:r>
      <w:r w:rsidR="00EB37DF" w:rsidRPr="00590031">
        <w:rPr>
          <w:rFonts w:cstheme="minorHAnsi"/>
          <w:sz w:val="24"/>
          <w:szCs w:val="24"/>
        </w:rPr>
        <w:sym w:font="Symbol" w:char="F0A3"/>
      </w:r>
      <w:r w:rsidR="00EB37DF" w:rsidRPr="00590031">
        <w:rPr>
          <w:rFonts w:cstheme="minorHAnsi"/>
          <w:sz w:val="24"/>
          <w:szCs w:val="24"/>
        </w:rPr>
        <w:t>30 cm H</w:t>
      </w:r>
      <w:r w:rsidR="00EB37DF" w:rsidRPr="00590031">
        <w:rPr>
          <w:rFonts w:cstheme="minorHAnsi"/>
          <w:sz w:val="24"/>
          <w:szCs w:val="24"/>
          <w:vertAlign w:val="subscript"/>
        </w:rPr>
        <w:t>2</w:t>
      </w:r>
      <w:r w:rsidR="00EB37DF" w:rsidRPr="00590031">
        <w:rPr>
          <w:rFonts w:cstheme="minorHAnsi"/>
          <w:sz w:val="24"/>
          <w:szCs w:val="24"/>
        </w:rPr>
        <w:t xml:space="preserve">O.  </w:t>
      </w:r>
    </w:p>
    <w:p w14:paraId="7382FB9D" w14:textId="0B11FA95" w:rsidR="00F34F55" w:rsidRPr="00590031" w:rsidRDefault="0098550A" w:rsidP="00590031">
      <w:pPr>
        <w:spacing w:line="480" w:lineRule="auto"/>
        <w:jc w:val="both"/>
        <w:rPr>
          <w:rFonts w:cstheme="minorHAnsi"/>
          <w:color w:val="000000"/>
          <w:sz w:val="24"/>
          <w:szCs w:val="24"/>
          <w:shd w:val="clear" w:color="auto" w:fill="FFFFFF"/>
        </w:rPr>
      </w:pPr>
      <w:r w:rsidRPr="00590031">
        <w:rPr>
          <w:rFonts w:cstheme="minorHAnsi"/>
          <w:sz w:val="24"/>
          <w:szCs w:val="24"/>
        </w:rPr>
        <w:t>The</w:t>
      </w:r>
      <w:r w:rsidR="00F6353B" w:rsidRPr="00590031">
        <w:rPr>
          <w:rFonts w:cstheme="minorHAnsi"/>
          <w:sz w:val="24"/>
          <w:szCs w:val="24"/>
        </w:rPr>
        <w:t xml:space="preserve"> </w:t>
      </w:r>
      <w:r w:rsidRPr="00590031">
        <w:rPr>
          <w:rFonts w:cstheme="minorHAnsi"/>
          <w:sz w:val="24"/>
          <w:szCs w:val="24"/>
        </w:rPr>
        <w:t>objective</w:t>
      </w:r>
      <w:r w:rsidR="00F6353B" w:rsidRPr="00590031">
        <w:rPr>
          <w:rFonts w:cstheme="minorHAnsi"/>
          <w:sz w:val="24"/>
          <w:szCs w:val="24"/>
        </w:rPr>
        <w:t>s</w:t>
      </w:r>
      <w:r w:rsidRPr="00590031">
        <w:rPr>
          <w:rFonts w:cstheme="minorHAnsi"/>
          <w:sz w:val="24"/>
          <w:szCs w:val="24"/>
        </w:rPr>
        <w:t xml:space="preserve"> of this study w</w:t>
      </w:r>
      <w:r w:rsidR="00F6353B" w:rsidRPr="00590031">
        <w:rPr>
          <w:rFonts w:cstheme="minorHAnsi"/>
          <w:sz w:val="24"/>
          <w:szCs w:val="24"/>
        </w:rPr>
        <w:t>ere</w:t>
      </w:r>
      <w:r w:rsidRPr="00590031">
        <w:rPr>
          <w:rFonts w:cstheme="minorHAnsi"/>
          <w:sz w:val="24"/>
          <w:szCs w:val="24"/>
        </w:rPr>
        <w:t xml:space="preserve"> to assess </w:t>
      </w:r>
      <w:r w:rsidR="00F27295" w:rsidRPr="00590031">
        <w:rPr>
          <w:rFonts w:cstheme="minorHAnsi"/>
          <w:sz w:val="24"/>
          <w:szCs w:val="24"/>
        </w:rPr>
        <w:t>changes</w:t>
      </w:r>
      <w:r w:rsidR="00F6353B" w:rsidRPr="00590031">
        <w:rPr>
          <w:rFonts w:cstheme="minorHAnsi"/>
          <w:sz w:val="24"/>
          <w:szCs w:val="24"/>
        </w:rPr>
        <w:t xml:space="preserve"> in oxygenation following the initiation of IPVD</w:t>
      </w:r>
      <w:r w:rsidR="009C3E28" w:rsidRPr="00590031">
        <w:rPr>
          <w:rFonts w:cstheme="minorHAnsi"/>
          <w:sz w:val="24"/>
          <w:szCs w:val="24"/>
        </w:rPr>
        <w:t xml:space="preserve"> therapy</w:t>
      </w:r>
      <w:r w:rsidR="00F6353B" w:rsidRPr="00590031">
        <w:rPr>
          <w:rFonts w:cstheme="minorHAnsi"/>
          <w:sz w:val="24"/>
          <w:szCs w:val="24"/>
        </w:rPr>
        <w:t xml:space="preserve"> and to </w:t>
      </w:r>
      <w:r w:rsidR="00795795" w:rsidRPr="00590031">
        <w:rPr>
          <w:rFonts w:cstheme="minorHAnsi"/>
          <w:sz w:val="24"/>
          <w:szCs w:val="24"/>
        </w:rPr>
        <w:t>evaluate any differences in the response between ICU</w:t>
      </w:r>
      <w:r w:rsidRPr="00590031">
        <w:rPr>
          <w:rFonts w:cstheme="minorHAnsi"/>
          <w:sz w:val="24"/>
          <w:szCs w:val="24"/>
        </w:rPr>
        <w:t xml:space="preserve"> survivors and non-survivors. Our secondary objective was to assess the differences in characteristics between survivors and non-survivors.</w:t>
      </w:r>
      <w:r w:rsidR="00CE664B" w:rsidRPr="00590031">
        <w:rPr>
          <w:rFonts w:cstheme="minorHAnsi"/>
          <w:sz w:val="24"/>
          <w:szCs w:val="24"/>
        </w:rPr>
        <w:t xml:space="preserve"> The study was completed in accordance </w:t>
      </w:r>
      <w:r w:rsidR="0085011C" w:rsidRPr="00590031">
        <w:rPr>
          <w:rFonts w:cstheme="minorHAnsi"/>
          <w:sz w:val="24"/>
          <w:szCs w:val="24"/>
        </w:rPr>
        <w:t>with the STROBE guidelines</w:t>
      </w:r>
      <w:r w:rsidR="00641164" w:rsidRPr="00590031">
        <w:rPr>
          <w:rFonts w:cstheme="minorHAnsi"/>
          <w:sz w:val="24"/>
          <w:szCs w:val="24"/>
        </w:rPr>
        <w:fldChar w:fldCharType="begin" w:fldLock="1"/>
      </w:r>
      <w:r w:rsidR="00DA75A6" w:rsidRPr="00590031">
        <w:rPr>
          <w:rFonts w:cstheme="minorHAnsi"/>
          <w:sz w:val="24"/>
          <w:szCs w:val="24"/>
        </w:rPr>
        <w:instrText>ADDIN CSL_CITATION {"citationItems":[{"id":"ITEM-1","itemData":{"DOI":"10.1371/journal.pmed.0040296","ISSN":"15491277","PMID":"17941714","abstract":"Much biomedical research is observational. The reporting of such research is often inadequate, which hampers the assessment of its strengths and weaknesses and of a study's generalisability. The Strengthening the Reporting of Observational Studies in Epidemiology (STROBE) Initiative developed recommendations on what should be included in an accurate and complete report of an observational study. We defined the scope of the recommendations to cover three main study designs: cohort, case-control, and cross-sectional studies. We convened a 2-day workshop in September 2004, with methodologists, researchers, and journal editors to draft a checklist of items. This list was subsequently revised during several meetings of the coordinating group and in e-mail discussions with the larger group of STROBE contributors, taking into account empirical evidence and methodological considerations. The workshop and the subsequent iterative process of consultation and revision resulted in a checklist of 22 items (the STROBE Statement) that relate to the title, abstract, introduction, methods, results, and discussion sections of articles. 18 items are common to all three study designs and four are specific for cohort, case-control, or cross-sectional studies. A detailed Explanation and Elaboration document is published separately and is freely available on the Web sites of PLoS Medicine, Annals of Internal Medicine, and Epidemiology. We hope that the STROBE Statement will contribute to improving the quality of reporting of observational studies. © 2007 von Elm et al.","author":[{"dropping-particle":"","family":"Elm","given":"Erik","non-dropping-particle":"Von","parse-names":false,"suffix":""},{"dropping-particle":"","family":"Altman","given":"Douglas G","non-dropping-particle":"","parse-names":false,"suffix":""},{"dropping-particle":"","family":"Egger","given":"Matthias","non-dropping-particle":"","parse-names":false,"suffix":""},{"dropping-particle":"","family":"Pocock","given":"Stuart J","non-dropping-particle":"","parse-names":false,"suffix":""},{"dropping-particle":"","family":"Gøtzsche","given":"Peter C","non-dropping-particle":"","parse-names":false,"suffix":""},{"dropping-particle":"","family":"Vandenbroucke","given":"Jan P","non-dropping-particle":"","parse-names":false,"suffix":""}],"container-title":"PLoS Medicine","id":"ITEM-1","issue":"10","issued":{"date-parts":[["2007","10"]]},"page":"1623-1627","publisher":"Public Library of Science","title":"The Strengthening the Reporting of Observational Studies in Epidemiology (STROBE) statement: Guidelines for reporting observational studies","type":"article-journal","volume":"4"},"uris":["http://www.mendeley.com/documents/?uuid=48b14f99-33eb-3b9d-aa9e-725ded80ba83"]}],"mendeley":{"formattedCitation":"&lt;sup&gt;6&lt;/sup&gt;","plainTextFormattedCitation":"6","previouslyFormattedCitation":"[6]"},"properties":{"noteIndex":0},"schema":"https://github.com/citation-style-language/schema/raw/master/csl-citation.json"}</w:instrText>
      </w:r>
      <w:r w:rsidR="00641164" w:rsidRPr="00590031">
        <w:rPr>
          <w:rFonts w:cstheme="minorHAnsi"/>
          <w:sz w:val="24"/>
          <w:szCs w:val="24"/>
        </w:rPr>
        <w:fldChar w:fldCharType="separate"/>
      </w:r>
      <w:r w:rsidR="00DA75A6" w:rsidRPr="00590031">
        <w:rPr>
          <w:rFonts w:cstheme="minorHAnsi"/>
          <w:noProof/>
          <w:sz w:val="24"/>
          <w:szCs w:val="24"/>
          <w:vertAlign w:val="superscript"/>
        </w:rPr>
        <w:t>6</w:t>
      </w:r>
      <w:r w:rsidR="00641164" w:rsidRPr="00590031">
        <w:rPr>
          <w:rFonts w:cstheme="minorHAnsi"/>
          <w:sz w:val="24"/>
          <w:szCs w:val="24"/>
        </w:rPr>
        <w:fldChar w:fldCharType="end"/>
      </w:r>
      <w:r w:rsidR="00CE664B" w:rsidRPr="00590031">
        <w:rPr>
          <w:rFonts w:cstheme="minorHAnsi"/>
          <w:sz w:val="24"/>
          <w:szCs w:val="24"/>
        </w:rPr>
        <w:t>.</w:t>
      </w:r>
      <w:r w:rsidR="00F34F55" w:rsidRPr="00590031">
        <w:rPr>
          <w:rFonts w:cstheme="minorHAnsi"/>
          <w:sz w:val="24"/>
          <w:szCs w:val="24"/>
        </w:rPr>
        <w:t xml:space="preserve"> </w:t>
      </w:r>
      <w:r w:rsidR="00F34F55" w:rsidRPr="00590031">
        <w:rPr>
          <w:rFonts w:cstheme="minorHAnsi"/>
          <w:color w:val="000000"/>
          <w:sz w:val="24"/>
          <w:szCs w:val="24"/>
          <w:shd w:val="clear" w:color="auto" w:fill="FFFFFF"/>
        </w:rPr>
        <w:t>This study was part of a larger observational cohort study (REACT-COVID Observational Database) and has the approval of the local research and development and National Health Research Authority (IRA</w:t>
      </w:r>
      <w:r w:rsidR="008607CF" w:rsidRPr="00590031">
        <w:rPr>
          <w:rFonts w:cstheme="minorHAnsi"/>
          <w:color w:val="000000"/>
          <w:sz w:val="24"/>
          <w:szCs w:val="24"/>
          <w:shd w:val="clear" w:color="auto" w:fill="FFFFFF"/>
        </w:rPr>
        <w:t xml:space="preserve">S: </w:t>
      </w:r>
      <w:r w:rsidR="00F34F55" w:rsidRPr="00590031">
        <w:rPr>
          <w:rFonts w:cstheme="minorHAnsi"/>
          <w:color w:val="000000"/>
          <w:sz w:val="24"/>
          <w:szCs w:val="24"/>
          <w:shd w:val="clear" w:color="auto" w:fill="FFFFFF"/>
        </w:rPr>
        <w:t xml:space="preserve">285145) with a REC reference 20/HRA/2986. Due to the nature of the study consent was waived. </w:t>
      </w:r>
    </w:p>
    <w:p w14:paraId="591307B4" w14:textId="77777777" w:rsidR="0098550A" w:rsidRPr="00590031" w:rsidRDefault="0098550A" w:rsidP="00590031">
      <w:pPr>
        <w:pStyle w:val="Heading3"/>
        <w:spacing w:line="480" w:lineRule="auto"/>
        <w:jc w:val="both"/>
        <w:rPr>
          <w:rFonts w:asciiTheme="minorHAnsi" w:hAnsiTheme="minorHAnsi" w:cstheme="minorHAnsi"/>
          <w:b/>
          <w:bCs/>
          <w:color w:val="000000" w:themeColor="text1"/>
        </w:rPr>
      </w:pPr>
      <w:r w:rsidRPr="00590031">
        <w:rPr>
          <w:rFonts w:asciiTheme="minorHAnsi" w:hAnsiTheme="minorHAnsi" w:cstheme="minorHAnsi"/>
          <w:b/>
          <w:bCs/>
          <w:color w:val="000000" w:themeColor="text1"/>
        </w:rPr>
        <w:lastRenderedPageBreak/>
        <w:t>Participants</w:t>
      </w:r>
    </w:p>
    <w:p w14:paraId="4A1B7708" w14:textId="43ABDE90" w:rsidR="0098550A" w:rsidRPr="00590031" w:rsidRDefault="0098550A" w:rsidP="00590031">
      <w:pPr>
        <w:spacing w:line="480" w:lineRule="auto"/>
        <w:jc w:val="both"/>
        <w:rPr>
          <w:rFonts w:cstheme="minorHAnsi"/>
          <w:sz w:val="24"/>
          <w:szCs w:val="24"/>
        </w:rPr>
      </w:pPr>
      <w:r w:rsidRPr="00590031">
        <w:rPr>
          <w:rFonts w:cstheme="minorHAnsi"/>
          <w:sz w:val="24"/>
          <w:szCs w:val="24"/>
        </w:rPr>
        <w:t xml:space="preserve">Patients aged 18 years or older with </w:t>
      </w:r>
      <w:r w:rsidR="009C3E28" w:rsidRPr="00590031">
        <w:rPr>
          <w:rFonts w:cstheme="minorHAnsi"/>
          <w:sz w:val="24"/>
          <w:szCs w:val="24"/>
        </w:rPr>
        <w:t xml:space="preserve">PCR </w:t>
      </w:r>
      <w:r w:rsidRPr="00590031">
        <w:rPr>
          <w:rFonts w:cstheme="minorHAnsi"/>
          <w:sz w:val="24"/>
          <w:szCs w:val="24"/>
        </w:rPr>
        <w:t>confirmed SARS-Co</w:t>
      </w:r>
      <w:r w:rsidR="00F34F55" w:rsidRPr="00590031">
        <w:rPr>
          <w:rFonts w:cstheme="minorHAnsi"/>
          <w:sz w:val="24"/>
          <w:szCs w:val="24"/>
        </w:rPr>
        <w:t>V</w:t>
      </w:r>
      <w:r w:rsidRPr="00590031">
        <w:rPr>
          <w:rFonts w:cstheme="minorHAnsi"/>
          <w:sz w:val="24"/>
          <w:szCs w:val="24"/>
        </w:rPr>
        <w:t>-2 infection admitted to the ICU who received an IPVD during their admission were eligible for inclusion in this analysis. Exclusion criteria included the use of an IPVD for reasons other than SARS-Co</w:t>
      </w:r>
      <w:r w:rsidR="00F34F55" w:rsidRPr="00590031">
        <w:rPr>
          <w:rFonts w:cstheme="minorHAnsi"/>
          <w:sz w:val="24"/>
          <w:szCs w:val="24"/>
        </w:rPr>
        <w:t>V</w:t>
      </w:r>
      <w:r w:rsidRPr="00590031">
        <w:rPr>
          <w:rFonts w:cstheme="minorHAnsi"/>
          <w:sz w:val="24"/>
          <w:szCs w:val="24"/>
        </w:rPr>
        <w:t xml:space="preserve">-2 infection and receipt of less than 24 hours of an </w:t>
      </w:r>
      <w:r w:rsidR="0085011C" w:rsidRPr="00590031">
        <w:rPr>
          <w:rFonts w:cstheme="minorHAnsi"/>
          <w:sz w:val="24"/>
          <w:szCs w:val="24"/>
        </w:rPr>
        <w:t>IPVD</w:t>
      </w:r>
      <w:r w:rsidRPr="00590031">
        <w:rPr>
          <w:rFonts w:cstheme="minorHAnsi"/>
          <w:sz w:val="24"/>
          <w:szCs w:val="24"/>
        </w:rPr>
        <w:t xml:space="preserve">. The latter </w:t>
      </w:r>
      <w:r w:rsidR="0085011C" w:rsidRPr="00590031">
        <w:rPr>
          <w:rFonts w:cstheme="minorHAnsi"/>
          <w:sz w:val="24"/>
          <w:szCs w:val="24"/>
        </w:rPr>
        <w:t xml:space="preserve">criterion </w:t>
      </w:r>
      <w:r w:rsidRPr="00590031">
        <w:rPr>
          <w:rFonts w:cstheme="minorHAnsi"/>
          <w:sz w:val="24"/>
          <w:szCs w:val="24"/>
        </w:rPr>
        <w:t xml:space="preserve">was to allow for titration of therapy as well as mitigate the </w:t>
      </w:r>
      <w:r w:rsidR="0085011C" w:rsidRPr="00590031">
        <w:rPr>
          <w:rFonts w:cstheme="minorHAnsi"/>
          <w:sz w:val="24"/>
          <w:szCs w:val="24"/>
        </w:rPr>
        <w:t>potential confounding effect of prone positioning</w:t>
      </w:r>
      <w:r w:rsidRPr="00590031">
        <w:rPr>
          <w:rFonts w:cstheme="minorHAnsi"/>
          <w:sz w:val="24"/>
          <w:szCs w:val="24"/>
        </w:rPr>
        <w:t>.</w:t>
      </w:r>
    </w:p>
    <w:p w14:paraId="1AB2444D" w14:textId="77777777" w:rsidR="0098550A" w:rsidRPr="00590031" w:rsidRDefault="0098550A" w:rsidP="00590031">
      <w:pPr>
        <w:pStyle w:val="Heading3"/>
        <w:spacing w:line="480" w:lineRule="auto"/>
        <w:jc w:val="both"/>
        <w:rPr>
          <w:rFonts w:asciiTheme="minorHAnsi" w:hAnsiTheme="minorHAnsi" w:cstheme="minorHAnsi"/>
          <w:b/>
          <w:bCs/>
          <w:color w:val="000000" w:themeColor="text1"/>
        </w:rPr>
      </w:pPr>
      <w:r w:rsidRPr="00590031">
        <w:rPr>
          <w:rFonts w:asciiTheme="minorHAnsi" w:hAnsiTheme="minorHAnsi" w:cstheme="minorHAnsi"/>
          <w:b/>
          <w:bCs/>
          <w:color w:val="000000" w:themeColor="text1"/>
        </w:rPr>
        <w:t>Interventions</w:t>
      </w:r>
    </w:p>
    <w:p w14:paraId="6B8999AF" w14:textId="69C7F643" w:rsidR="000803B3" w:rsidRPr="00590031" w:rsidRDefault="0098550A" w:rsidP="00590031">
      <w:pPr>
        <w:spacing w:line="480" w:lineRule="auto"/>
        <w:jc w:val="both"/>
        <w:rPr>
          <w:rFonts w:cstheme="minorHAnsi"/>
          <w:sz w:val="24"/>
          <w:szCs w:val="24"/>
        </w:rPr>
      </w:pPr>
      <w:r w:rsidRPr="00590031">
        <w:rPr>
          <w:rFonts w:cstheme="minorHAnsi"/>
          <w:sz w:val="24"/>
          <w:szCs w:val="24"/>
        </w:rPr>
        <w:t>The decision to start an IPVD followed a standard operating procedure</w:t>
      </w:r>
      <w:r w:rsidR="0085011C" w:rsidRPr="00590031">
        <w:rPr>
          <w:rFonts w:cstheme="minorHAnsi"/>
          <w:sz w:val="24"/>
          <w:szCs w:val="24"/>
        </w:rPr>
        <w:t xml:space="preserve"> (SOP) </w:t>
      </w:r>
      <w:r w:rsidRPr="00590031">
        <w:rPr>
          <w:rFonts w:cstheme="minorHAnsi"/>
          <w:sz w:val="24"/>
          <w:szCs w:val="24"/>
        </w:rPr>
        <w:t xml:space="preserve">(Supplementary Material 1). In brief, an </w:t>
      </w:r>
      <w:r w:rsidR="0085011C" w:rsidRPr="00590031">
        <w:rPr>
          <w:rFonts w:cstheme="minorHAnsi"/>
          <w:sz w:val="24"/>
          <w:szCs w:val="24"/>
        </w:rPr>
        <w:t>IPVD</w:t>
      </w:r>
      <w:r w:rsidRPr="00590031">
        <w:rPr>
          <w:rFonts w:cstheme="minorHAnsi"/>
          <w:sz w:val="24"/>
          <w:szCs w:val="24"/>
        </w:rPr>
        <w:t xml:space="preserve"> was considered if </w:t>
      </w:r>
      <w:r w:rsidR="00D3125D" w:rsidRPr="00590031">
        <w:rPr>
          <w:rFonts w:cstheme="minorHAnsi"/>
          <w:sz w:val="24"/>
          <w:szCs w:val="24"/>
        </w:rPr>
        <w:t>a</w:t>
      </w:r>
      <w:r w:rsidRPr="00590031">
        <w:rPr>
          <w:rFonts w:cstheme="minorHAnsi"/>
          <w:sz w:val="24"/>
          <w:szCs w:val="24"/>
        </w:rPr>
        <w:t xml:space="preserve"> patient had a </w:t>
      </w:r>
      <w:r w:rsidR="009A6A49" w:rsidRPr="00590031">
        <w:rPr>
          <w:rFonts w:cstheme="minorHAnsi"/>
          <w:sz w:val="24"/>
          <w:szCs w:val="24"/>
        </w:rPr>
        <w:t>PaO</w:t>
      </w:r>
      <w:r w:rsidR="009A6A49" w:rsidRPr="00590031">
        <w:rPr>
          <w:rFonts w:cstheme="minorHAnsi"/>
          <w:sz w:val="24"/>
          <w:szCs w:val="24"/>
          <w:vertAlign w:val="subscript"/>
        </w:rPr>
        <w:t>2</w:t>
      </w:r>
      <w:r w:rsidR="009A6A49" w:rsidRPr="00590031">
        <w:rPr>
          <w:rFonts w:cstheme="minorHAnsi"/>
          <w:sz w:val="24"/>
          <w:szCs w:val="24"/>
        </w:rPr>
        <w:t>/FiO</w:t>
      </w:r>
      <w:r w:rsidR="009A6A49" w:rsidRPr="00590031">
        <w:rPr>
          <w:rFonts w:cstheme="minorHAnsi"/>
          <w:sz w:val="24"/>
          <w:szCs w:val="24"/>
          <w:vertAlign w:val="subscript"/>
        </w:rPr>
        <w:t>2</w:t>
      </w:r>
      <w:r w:rsidR="009A6A49" w:rsidRPr="00590031">
        <w:rPr>
          <w:rFonts w:cstheme="minorHAnsi"/>
          <w:sz w:val="24"/>
          <w:szCs w:val="24"/>
        </w:rPr>
        <w:t xml:space="preserve"> (</w:t>
      </w:r>
      <w:r w:rsidR="00781EB2" w:rsidRPr="00590031">
        <w:rPr>
          <w:rFonts w:cstheme="minorHAnsi"/>
          <w:sz w:val="24"/>
          <w:szCs w:val="24"/>
        </w:rPr>
        <w:t>PF</w:t>
      </w:r>
      <w:r w:rsidR="009A6A49" w:rsidRPr="00590031">
        <w:rPr>
          <w:rFonts w:cstheme="minorHAnsi"/>
          <w:sz w:val="24"/>
          <w:szCs w:val="24"/>
        </w:rPr>
        <w:t>)</w:t>
      </w:r>
      <w:r w:rsidRPr="00590031">
        <w:rPr>
          <w:rFonts w:cstheme="minorHAnsi"/>
          <w:sz w:val="24"/>
          <w:szCs w:val="24"/>
        </w:rPr>
        <w:t xml:space="preserve"> ratio &lt;13.3kPa refractory to rescue therapies (prone position, PEEP titration, APRV</w:t>
      </w:r>
      <w:r w:rsidR="00F34F55" w:rsidRPr="00590031">
        <w:rPr>
          <w:rFonts w:cstheme="minorHAnsi"/>
          <w:sz w:val="24"/>
          <w:szCs w:val="24"/>
        </w:rPr>
        <w:t xml:space="preserve"> ventilation</w:t>
      </w:r>
      <w:r w:rsidRPr="00590031">
        <w:rPr>
          <w:rFonts w:cstheme="minorHAnsi"/>
          <w:sz w:val="24"/>
          <w:szCs w:val="24"/>
        </w:rPr>
        <w:t>)</w:t>
      </w:r>
      <w:r w:rsidR="00D3125D" w:rsidRPr="00590031">
        <w:rPr>
          <w:rFonts w:cstheme="minorHAnsi"/>
          <w:sz w:val="24"/>
          <w:szCs w:val="24"/>
        </w:rPr>
        <w:t xml:space="preserve"> with</w:t>
      </w:r>
      <w:r w:rsidRPr="00590031">
        <w:rPr>
          <w:rFonts w:cstheme="minorHAnsi"/>
          <w:sz w:val="24"/>
          <w:szCs w:val="24"/>
        </w:rPr>
        <w:t xml:space="preserve"> evidence of right heart strain </w:t>
      </w:r>
      <w:r w:rsidR="0085011C" w:rsidRPr="00590031">
        <w:rPr>
          <w:rFonts w:cstheme="minorHAnsi"/>
          <w:sz w:val="24"/>
          <w:szCs w:val="24"/>
        </w:rPr>
        <w:t>and/</w:t>
      </w:r>
      <w:r w:rsidRPr="00590031">
        <w:rPr>
          <w:rFonts w:cstheme="minorHAnsi"/>
          <w:sz w:val="24"/>
          <w:szCs w:val="24"/>
        </w:rPr>
        <w:t>or pulmonary hypertension on trans-thoracic echocardiogram</w:t>
      </w:r>
      <w:r w:rsidR="00F34F55" w:rsidRPr="00590031">
        <w:rPr>
          <w:rFonts w:cstheme="minorHAnsi"/>
          <w:sz w:val="24"/>
          <w:szCs w:val="24"/>
        </w:rPr>
        <w:t xml:space="preserve"> where possible</w:t>
      </w:r>
      <w:r w:rsidRPr="00590031">
        <w:rPr>
          <w:rFonts w:cstheme="minorHAnsi"/>
          <w:sz w:val="24"/>
          <w:szCs w:val="24"/>
        </w:rPr>
        <w:t xml:space="preserve">. </w:t>
      </w:r>
      <w:r w:rsidR="00F34F55" w:rsidRPr="00590031">
        <w:rPr>
          <w:rFonts w:cstheme="minorHAnsi"/>
          <w:sz w:val="24"/>
          <w:szCs w:val="24"/>
        </w:rPr>
        <w:t>The iNO was delivered by NOxBOX</w:t>
      </w:r>
      <w:r w:rsidR="00F34F55" w:rsidRPr="00590031">
        <w:rPr>
          <w:rFonts w:cstheme="minorHAnsi"/>
          <w:sz w:val="24"/>
          <w:szCs w:val="24"/>
          <w:vertAlign w:val="subscript"/>
        </w:rPr>
        <w:t>i</w:t>
      </w:r>
      <w:r w:rsidR="00F34F55" w:rsidRPr="00590031">
        <w:rPr>
          <w:rFonts w:cstheme="minorHAnsi"/>
          <w:sz w:val="24"/>
          <w:szCs w:val="24"/>
          <w:vertAlign w:val="superscript"/>
        </w:rPr>
        <w:t xml:space="preserve">® </w:t>
      </w:r>
      <w:r w:rsidR="00F34F55" w:rsidRPr="00590031">
        <w:rPr>
          <w:rFonts w:cstheme="minorHAnsi"/>
          <w:sz w:val="24"/>
          <w:szCs w:val="24"/>
        </w:rPr>
        <w:t>at a starting dose of 20ppm and titrated to the</w:t>
      </w:r>
      <w:r w:rsidR="00EE7D4B" w:rsidRPr="00590031">
        <w:rPr>
          <w:rFonts w:cstheme="minorHAnsi"/>
          <w:sz w:val="24"/>
          <w:szCs w:val="24"/>
        </w:rPr>
        <w:t>ir</w:t>
      </w:r>
      <w:bookmarkStart w:id="0" w:name="_GoBack"/>
      <w:bookmarkEnd w:id="0"/>
      <w:r w:rsidR="00F34F55" w:rsidRPr="00590031">
        <w:rPr>
          <w:rFonts w:cstheme="minorHAnsi"/>
          <w:sz w:val="24"/>
          <w:szCs w:val="24"/>
        </w:rPr>
        <w:t xml:space="preserve"> response up to 40ppm. </w:t>
      </w:r>
      <w:r w:rsidRPr="00526F5C">
        <w:rPr>
          <w:rFonts w:cstheme="minorHAnsi"/>
          <w:color w:val="FF0000"/>
          <w:sz w:val="24"/>
          <w:szCs w:val="24"/>
        </w:rPr>
        <w:t xml:space="preserve">Where there was an improvement in oxygenation </w:t>
      </w:r>
      <w:r w:rsidR="009C0AAE" w:rsidRPr="00526F5C">
        <w:rPr>
          <w:rFonts w:cstheme="minorHAnsi"/>
          <w:color w:val="FF0000"/>
          <w:sz w:val="24"/>
          <w:szCs w:val="24"/>
        </w:rPr>
        <w:t>Iloprost</w:t>
      </w:r>
      <w:r w:rsidRPr="00526F5C">
        <w:rPr>
          <w:rFonts w:cstheme="minorHAnsi"/>
          <w:color w:val="FF0000"/>
          <w:sz w:val="24"/>
          <w:szCs w:val="24"/>
        </w:rPr>
        <w:t xml:space="preserve"> nebulisers were commenced and NO weaned</w:t>
      </w:r>
      <w:r w:rsidR="00E574E3" w:rsidRPr="00526F5C">
        <w:rPr>
          <w:rFonts w:cstheme="minorHAnsi"/>
          <w:color w:val="FF0000"/>
          <w:sz w:val="24"/>
          <w:szCs w:val="24"/>
        </w:rPr>
        <w:t xml:space="preserve"> (Figure 1)</w:t>
      </w:r>
      <w:r w:rsidRPr="00526F5C">
        <w:rPr>
          <w:rFonts w:cstheme="minorHAnsi"/>
          <w:color w:val="FF0000"/>
          <w:sz w:val="24"/>
          <w:szCs w:val="24"/>
        </w:rPr>
        <w:t xml:space="preserve">. </w:t>
      </w:r>
      <w:r w:rsidR="00526F5C" w:rsidRPr="00526F5C">
        <w:rPr>
          <w:rFonts w:cstheme="minorHAnsi"/>
          <w:color w:val="FF0000"/>
          <w:sz w:val="24"/>
          <w:szCs w:val="24"/>
        </w:rPr>
        <w:t xml:space="preserve">Iloprost was commenced at 10mcg every four hours and delivered via </w:t>
      </w:r>
      <w:r w:rsidR="00526F5C" w:rsidRPr="00526F5C">
        <w:rPr>
          <w:rFonts w:cstheme="minorHAnsi"/>
          <w:color w:val="FF0000"/>
          <w:sz w:val="24"/>
          <w:szCs w:val="24"/>
        </w:rPr>
        <w:t xml:space="preserve">the </w:t>
      </w:r>
      <w:proofErr w:type="spellStart"/>
      <w:r w:rsidR="00526F5C" w:rsidRPr="00526F5C">
        <w:rPr>
          <w:rFonts w:cstheme="minorHAnsi"/>
          <w:color w:val="FF0000"/>
          <w:sz w:val="24"/>
          <w:szCs w:val="24"/>
        </w:rPr>
        <w:t>Aerogen</w:t>
      </w:r>
      <w:proofErr w:type="spellEnd"/>
      <w:r w:rsidR="00526F5C" w:rsidRPr="00526F5C">
        <w:rPr>
          <w:rFonts w:cstheme="minorHAnsi"/>
          <w:color w:val="FF0000"/>
          <w:sz w:val="24"/>
          <w:szCs w:val="24"/>
          <w:vertAlign w:val="superscript"/>
        </w:rPr>
        <w:sym w:font="Symbol" w:char="F0D2"/>
      </w:r>
      <w:r w:rsidR="00526F5C" w:rsidRPr="00526F5C">
        <w:rPr>
          <w:rFonts w:cstheme="minorHAnsi"/>
          <w:color w:val="FF0000"/>
          <w:sz w:val="24"/>
          <w:szCs w:val="24"/>
        </w:rPr>
        <w:t xml:space="preserve"> Solo nebuliser delivery system.</w:t>
      </w:r>
      <w:r w:rsidR="00526F5C" w:rsidRPr="00526F5C">
        <w:rPr>
          <w:rFonts w:cstheme="minorHAnsi"/>
          <w:color w:val="FF0000"/>
          <w:sz w:val="24"/>
          <w:szCs w:val="24"/>
        </w:rPr>
        <w:t xml:space="preserve"> The dose was increased in 10mcg increments up to a maximum of 30mcg every four ho</w:t>
      </w:r>
      <w:r w:rsidR="00526F5C">
        <w:rPr>
          <w:rFonts w:cstheme="minorHAnsi"/>
          <w:color w:val="FF0000"/>
          <w:sz w:val="24"/>
          <w:szCs w:val="24"/>
        </w:rPr>
        <w:t>urs.</w:t>
      </w:r>
      <w:r w:rsidR="00EE7D4B" w:rsidRPr="00526F5C">
        <w:rPr>
          <w:rFonts w:cstheme="minorHAnsi"/>
          <w:color w:val="FF0000"/>
          <w:sz w:val="24"/>
          <w:szCs w:val="24"/>
        </w:rPr>
        <w:t xml:space="preserve"> </w:t>
      </w:r>
      <w:r w:rsidRPr="00526F5C">
        <w:rPr>
          <w:rFonts w:cstheme="minorHAnsi"/>
          <w:color w:val="FF0000"/>
          <w:sz w:val="24"/>
          <w:szCs w:val="24"/>
        </w:rPr>
        <w:t xml:space="preserve">If there was no further improvement in oxygenation at 48 hours </w:t>
      </w:r>
      <w:r w:rsidR="00EE7D4B" w:rsidRPr="00526F5C">
        <w:rPr>
          <w:rFonts w:cstheme="minorHAnsi"/>
          <w:color w:val="FF0000"/>
          <w:sz w:val="24"/>
          <w:szCs w:val="24"/>
        </w:rPr>
        <w:t xml:space="preserve">the </w:t>
      </w:r>
      <w:r w:rsidR="000803B3" w:rsidRPr="00526F5C">
        <w:rPr>
          <w:rFonts w:cstheme="minorHAnsi"/>
          <w:color w:val="FF0000"/>
          <w:sz w:val="24"/>
          <w:szCs w:val="24"/>
        </w:rPr>
        <w:t>I</w:t>
      </w:r>
      <w:r w:rsidR="00EE7D4B" w:rsidRPr="00526F5C">
        <w:rPr>
          <w:rFonts w:cstheme="minorHAnsi"/>
          <w:color w:val="FF0000"/>
          <w:sz w:val="24"/>
          <w:szCs w:val="24"/>
        </w:rPr>
        <w:t>loprost</w:t>
      </w:r>
      <w:r w:rsidRPr="00526F5C">
        <w:rPr>
          <w:rFonts w:cstheme="minorHAnsi"/>
          <w:color w:val="FF0000"/>
          <w:sz w:val="24"/>
          <w:szCs w:val="24"/>
        </w:rPr>
        <w:t xml:space="preserve"> nebulisers were stopped.</w:t>
      </w:r>
      <w:r w:rsidRPr="00590031">
        <w:rPr>
          <w:rFonts w:cstheme="minorHAnsi"/>
          <w:sz w:val="24"/>
          <w:szCs w:val="24"/>
        </w:rPr>
        <w:t xml:space="preserve"> </w:t>
      </w:r>
      <w:r w:rsidR="00795795" w:rsidRPr="00590031">
        <w:rPr>
          <w:rFonts w:cstheme="minorHAnsi"/>
          <w:sz w:val="24"/>
          <w:szCs w:val="24"/>
        </w:rPr>
        <w:t xml:space="preserve">We only </w:t>
      </w:r>
      <w:r w:rsidR="00266883" w:rsidRPr="00590031">
        <w:rPr>
          <w:rFonts w:cstheme="minorHAnsi"/>
          <w:sz w:val="24"/>
          <w:szCs w:val="24"/>
        </w:rPr>
        <w:t>had 4</w:t>
      </w:r>
      <w:r w:rsidR="00795795" w:rsidRPr="00590031">
        <w:rPr>
          <w:rFonts w:cstheme="minorHAnsi"/>
          <w:sz w:val="24"/>
          <w:szCs w:val="24"/>
        </w:rPr>
        <w:t xml:space="preserve"> </w:t>
      </w:r>
      <w:r w:rsidR="00EE7D4B" w:rsidRPr="00590031">
        <w:rPr>
          <w:rFonts w:cstheme="minorHAnsi"/>
          <w:sz w:val="24"/>
          <w:szCs w:val="24"/>
        </w:rPr>
        <w:t>i</w:t>
      </w:r>
      <w:r w:rsidR="00F34F55" w:rsidRPr="00590031">
        <w:rPr>
          <w:rFonts w:cstheme="minorHAnsi"/>
          <w:sz w:val="24"/>
          <w:szCs w:val="24"/>
        </w:rPr>
        <w:t xml:space="preserve">NO </w:t>
      </w:r>
      <w:r w:rsidRPr="00590031">
        <w:rPr>
          <w:rFonts w:cstheme="minorHAnsi"/>
          <w:sz w:val="24"/>
          <w:szCs w:val="24"/>
        </w:rPr>
        <w:t>delivery systems (n=4)</w:t>
      </w:r>
      <w:r w:rsidR="00795795" w:rsidRPr="00590031">
        <w:rPr>
          <w:rFonts w:cstheme="minorHAnsi"/>
          <w:sz w:val="24"/>
          <w:szCs w:val="24"/>
        </w:rPr>
        <w:t>, which were shared between the paediatric (PICU) and the general intensive care units (GICU). I</w:t>
      </w:r>
      <w:r w:rsidR="00F34F55" w:rsidRPr="00590031">
        <w:rPr>
          <w:rFonts w:cstheme="minorHAnsi"/>
          <w:sz w:val="24"/>
          <w:szCs w:val="24"/>
        </w:rPr>
        <w:t xml:space="preserve">n the absence </w:t>
      </w:r>
      <w:r w:rsidR="00EE7D4B" w:rsidRPr="00590031">
        <w:rPr>
          <w:rFonts w:cstheme="minorHAnsi"/>
          <w:sz w:val="24"/>
          <w:szCs w:val="24"/>
        </w:rPr>
        <w:t>of a NOxBOX</w:t>
      </w:r>
      <w:r w:rsidR="00795795" w:rsidRPr="00590031">
        <w:rPr>
          <w:rFonts w:cstheme="minorHAnsi"/>
          <w:sz w:val="24"/>
          <w:szCs w:val="24"/>
          <w:vertAlign w:val="subscript"/>
        </w:rPr>
        <w:t>i</w:t>
      </w:r>
      <w:r w:rsidR="00795795" w:rsidRPr="00590031">
        <w:rPr>
          <w:rFonts w:cstheme="minorHAnsi"/>
          <w:sz w:val="24"/>
          <w:szCs w:val="24"/>
          <w:vertAlign w:val="superscript"/>
        </w:rPr>
        <w:sym w:font="Symbol" w:char="F0D2"/>
      </w:r>
      <w:r w:rsidR="00EE7D4B" w:rsidRPr="00590031">
        <w:rPr>
          <w:rFonts w:cstheme="minorHAnsi"/>
          <w:sz w:val="24"/>
          <w:szCs w:val="24"/>
        </w:rPr>
        <w:t xml:space="preserve"> </w:t>
      </w:r>
      <w:r w:rsidRPr="00590031">
        <w:rPr>
          <w:rFonts w:cstheme="minorHAnsi"/>
          <w:sz w:val="24"/>
          <w:szCs w:val="24"/>
        </w:rPr>
        <w:t>patient</w:t>
      </w:r>
      <w:r w:rsidR="00EE7D4B" w:rsidRPr="00590031">
        <w:rPr>
          <w:rFonts w:cstheme="minorHAnsi"/>
          <w:sz w:val="24"/>
          <w:szCs w:val="24"/>
        </w:rPr>
        <w:t>s</w:t>
      </w:r>
      <w:r w:rsidRPr="00590031">
        <w:rPr>
          <w:rFonts w:cstheme="minorHAnsi"/>
          <w:sz w:val="24"/>
          <w:szCs w:val="24"/>
        </w:rPr>
        <w:t xml:space="preserve"> </w:t>
      </w:r>
      <w:r w:rsidR="00EE7D4B" w:rsidRPr="00590031">
        <w:rPr>
          <w:rFonts w:cstheme="minorHAnsi"/>
          <w:sz w:val="24"/>
          <w:szCs w:val="24"/>
        </w:rPr>
        <w:t xml:space="preserve">were </w:t>
      </w:r>
      <w:r w:rsidRPr="00590031">
        <w:rPr>
          <w:rFonts w:cstheme="minorHAnsi"/>
          <w:sz w:val="24"/>
          <w:szCs w:val="24"/>
        </w:rPr>
        <w:t xml:space="preserve">commenced on </w:t>
      </w:r>
      <w:r w:rsidR="009C0AAE" w:rsidRPr="00590031">
        <w:rPr>
          <w:rFonts w:cstheme="minorHAnsi"/>
          <w:sz w:val="24"/>
          <w:szCs w:val="24"/>
        </w:rPr>
        <w:t>Iloprost</w:t>
      </w:r>
      <w:r w:rsidRPr="00590031">
        <w:rPr>
          <w:rFonts w:cstheme="minorHAnsi"/>
          <w:sz w:val="24"/>
          <w:szCs w:val="24"/>
        </w:rPr>
        <w:t xml:space="preserve"> nebulisers and </w:t>
      </w:r>
      <w:r w:rsidR="00EE7D4B" w:rsidRPr="00590031">
        <w:rPr>
          <w:rFonts w:cstheme="minorHAnsi"/>
          <w:sz w:val="24"/>
          <w:szCs w:val="24"/>
        </w:rPr>
        <w:t>i</w:t>
      </w:r>
      <w:r w:rsidRPr="00590031">
        <w:rPr>
          <w:rFonts w:cstheme="minorHAnsi"/>
          <w:sz w:val="24"/>
          <w:szCs w:val="24"/>
        </w:rPr>
        <w:t xml:space="preserve">NO </w:t>
      </w:r>
      <w:r w:rsidR="00EE7D4B" w:rsidRPr="00590031">
        <w:rPr>
          <w:rFonts w:cstheme="minorHAnsi"/>
          <w:sz w:val="24"/>
          <w:szCs w:val="24"/>
        </w:rPr>
        <w:t xml:space="preserve">was started if and </w:t>
      </w:r>
      <w:r w:rsidRPr="00590031">
        <w:rPr>
          <w:rFonts w:cstheme="minorHAnsi"/>
          <w:sz w:val="24"/>
          <w:szCs w:val="24"/>
        </w:rPr>
        <w:t>when it became available.</w:t>
      </w:r>
      <w:r w:rsidR="0085011C" w:rsidRPr="00590031">
        <w:rPr>
          <w:rFonts w:cstheme="minorHAnsi"/>
          <w:sz w:val="24"/>
          <w:szCs w:val="24"/>
        </w:rPr>
        <w:t xml:space="preserve"> Where patients did not meet the </w:t>
      </w:r>
      <w:r w:rsidR="00EE7D4B" w:rsidRPr="00590031">
        <w:rPr>
          <w:rFonts w:cstheme="minorHAnsi"/>
          <w:sz w:val="24"/>
          <w:szCs w:val="24"/>
        </w:rPr>
        <w:t>inclusion criteria for</w:t>
      </w:r>
      <w:r w:rsidR="003D76C0" w:rsidRPr="00590031">
        <w:rPr>
          <w:rFonts w:cstheme="minorHAnsi"/>
          <w:sz w:val="24"/>
          <w:szCs w:val="24"/>
        </w:rPr>
        <w:t xml:space="preserve"> the</w:t>
      </w:r>
      <w:r w:rsidR="00EE7D4B" w:rsidRPr="00590031">
        <w:rPr>
          <w:rFonts w:cstheme="minorHAnsi"/>
          <w:sz w:val="24"/>
          <w:szCs w:val="24"/>
        </w:rPr>
        <w:t xml:space="preserve"> intervention</w:t>
      </w:r>
      <w:r w:rsidR="003D76C0" w:rsidRPr="00590031">
        <w:rPr>
          <w:rFonts w:cstheme="minorHAnsi"/>
          <w:sz w:val="24"/>
          <w:szCs w:val="24"/>
        </w:rPr>
        <w:t xml:space="preserve"> (</w:t>
      </w:r>
      <w:r w:rsidR="00EE7D4B" w:rsidRPr="00590031">
        <w:rPr>
          <w:rFonts w:cstheme="minorHAnsi"/>
          <w:sz w:val="24"/>
          <w:szCs w:val="24"/>
        </w:rPr>
        <w:t>e.g.,</w:t>
      </w:r>
      <w:r w:rsidR="003D76C0" w:rsidRPr="00590031">
        <w:rPr>
          <w:rFonts w:cstheme="minorHAnsi"/>
          <w:sz w:val="24"/>
          <w:szCs w:val="24"/>
        </w:rPr>
        <w:t xml:space="preserve"> patients with</w:t>
      </w:r>
      <w:r w:rsidR="0085011C" w:rsidRPr="00590031">
        <w:rPr>
          <w:rFonts w:cstheme="minorHAnsi"/>
          <w:sz w:val="24"/>
          <w:szCs w:val="24"/>
        </w:rPr>
        <w:t xml:space="preserve"> NIV</w:t>
      </w:r>
      <w:r w:rsidR="003D76C0" w:rsidRPr="00590031">
        <w:rPr>
          <w:rFonts w:cstheme="minorHAnsi"/>
          <w:sz w:val="24"/>
          <w:szCs w:val="24"/>
        </w:rPr>
        <w:t xml:space="preserve"> as ceiling of care</w:t>
      </w:r>
      <w:r w:rsidR="0085011C" w:rsidRPr="00590031">
        <w:rPr>
          <w:rFonts w:cstheme="minorHAnsi"/>
          <w:sz w:val="24"/>
          <w:szCs w:val="24"/>
        </w:rPr>
        <w:t xml:space="preserve">) an IPVD could be commenced </w:t>
      </w:r>
      <w:r w:rsidR="00EE7D4B" w:rsidRPr="00590031">
        <w:rPr>
          <w:rFonts w:cstheme="minorHAnsi"/>
          <w:sz w:val="24"/>
          <w:szCs w:val="24"/>
        </w:rPr>
        <w:t xml:space="preserve">following a consensus review from the treating clinicians </w:t>
      </w:r>
      <w:r w:rsidR="003D76C0" w:rsidRPr="00590031">
        <w:rPr>
          <w:rFonts w:cstheme="minorHAnsi"/>
          <w:sz w:val="24"/>
          <w:szCs w:val="24"/>
        </w:rPr>
        <w:t>(</w:t>
      </w:r>
      <w:r w:rsidR="00EE7D4B" w:rsidRPr="00590031">
        <w:rPr>
          <w:rFonts w:cstheme="minorHAnsi"/>
          <w:sz w:val="24"/>
          <w:szCs w:val="24"/>
        </w:rPr>
        <w:t>e.g.,</w:t>
      </w:r>
      <w:r w:rsidR="003D76C0" w:rsidRPr="00590031">
        <w:rPr>
          <w:rFonts w:cstheme="minorHAnsi"/>
          <w:sz w:val="24"/>
          <w:szCs w:val="24"/>
        </w:rPr>
        <w:t xml:space="preserve"> nebulised </w:t>
      </w:r>
      <w:r w:rsidR="009C0AAE" w:rsidRPr="00590031">
        <w:rPr>
          <w:rFonts w:cstheme="minorHAnsi"/>
          <w:sz w:val="24"/>
          <w:szCs w:val="24"/>
        </w:rPr>
        <w:t>Iloprost</w:t>
      </w:r>
      <w:r w:rsidR="003D76C0" w:rsidRPr="00590031">
        <w:rPr>
          <w:rFonts w:cstheme="minorHAnsi"/>
          <w:sz w:val="24"/>
          <w:szCs w:val="24"/>
        </w:rPr>
        <w:t xml:space="preserve"> during NIV)</w:t>
      </w:r>
      <w:r w:rsidR="0085011C" w:rsidRPr="00590031">
        <w:rPr>
          <w:rFonts w:cstheme="minorHAnsi"/>
          <w:sz w:val="24"/>
          <w:szCs w:val="24"/>
        </w:rPr>
        <w:t>.</w:t>
      </w:r>
    </w:p>
    <w:p w14:paraId="51AB363E" w14:textId="6C6B2DF8" w:rsidR="0090704B" w:rsidRPr="00590031" w:rsidRDefault="0090704B" w:rsidP="00590031">
      <w:pPr>
        <w:spacing w:line="480" w:lineRule="auto"/>
        <w:jc w:val="both"/>
        <w:rPr>
          <w:rFonts w:cstheme="minorHAnsi"/>
          <w:sz w:val="24"/>
          <w:szCs w:val="24"/>
        </w:rPr>
      </w:pPr>
    </w:p>
    <w:p w14:paraId="181DF118" w14:textId="08EE49E0" w:rsidR="00763F0A" w:rsidRPr="00590031" w:rsidRDefault="00763F0A" w:rsidP="00590031">
      <w:pPr>
        <w:spacing w:line="480" w:lineRule="auto"/>
        <w:jc w:val="center"/>
        <w:rPr>
          <w:rFonts w:cstheme="minorHAnsi"/>
          <w:sz w:val="24"/>
          <w:szCs w:val="24"/>
        </w:rPr>
      </w:pPr>
      <w:r w:rsidRPr="00590031">
        <w:rPr>
          <w:rFonts w:cstheme="minorHAnsi"/>
          <w:sz w:val="24"/>
          <w:szCs w:val="24"/>
        </w:rPr>
        <w:t xml:space="preserve">Figure 1. Compassionate use of </w:t>
      </w:r>
      <w:r w:rsidR="005B51F1" w:rsidRPr="00590031">
        <w:rPr>
          <w:rFonts w:cstheme="minorHAnsi"/>
          <w:sz w:val="24"/>
          <w:szCs w:val="24"/>
        </w:rPr>
        <w:t>inhaled pulmonary vasodilators</w:t>
      </w:r>
      <w:r w:rsidRPr="00590031">
        <w:rPr>
          <w:rFonts w:cstheme="minorHAnsi"/>
          <w:sz w:val="24"/>
          <w:szCs w:val="24"/>
        </w:rPr>
        <w:t xml:space="preserve"> </w:t>
      </w:r>
      <w:r w:rsidR="005B51F1" w:rsidRPr="00590031">
        <w:rPr>
          <w:rFonts w:cstheme="minorHAnsi"/>
          <w:sz w:val="24"/>
          <w:szCs w:val="24"/>
        </w:rPr>
        <w:t xml:space="preserve">(IPVD) </w:t>
      </w:r>
      <w:r w:rsidRPr="00590031">
        <w:rPr>
          <w:rFonts w:cstheme="minorHAnsi"/>
          <w:sz w:val="24"/>
          <w:szCs w:val="24"/>
        </w:rPr>
        <w:t>pathway overview</w:t>
      </w:r>
    </w:p>
    <w:p w14:paraId="35E25DA1" w14:textId="77777777" w:rsidR="001A31A5" w:rsidRPr="00590031" w:rsidRDefault="001A31A5" w:rsidP="00590031">
      <w:pPr>
        <w:pStyle w:val="Heading3"/>
        <w:spacing w:line="480" w:lineRule="auto"/>
        <w:jc w:val="both"/>
        <w:rPr>
          <w:rFonts w:asciiTheme="minorHAnsi" w:hAnsiTheme="minorHAnsi" w:cstheme="minorHAnsi"/>
          <w:b/>
          <w:bCs/>
          <w:color w:val="000000" w:themeColor="text1"/>
        </w:rPr>
      </w:pPr>
    </w:p>
    <w:p w14:paraId="5CA0DDDE" w14:textId="0912EB87" w:rsidR="0098550A" w:rsidRPr="00590031" w:rsidRDefault="0098550A" w:rsidP="00590031">
      <w:pPr>
        <w:pStyle w:val="Heading3"/>
        <w:spacing w:line="480" w:lineRule="auto"/>
        <w:jc w:val="both"/>
        <w:rPr>
          <w:rFonts w:asciiTheme="minorHAnsi" w:hAnsiTheme="minorHAnsi" w:cstheme="minorHAnsi"/>
          <w:b/>
          <w:bCs/>
          <w:color w:val="000000" w:themeColor="text1"/>
        </w:rPr>
      </w:pPr>
      <w:r w:rsidRPr="00590031">
        <w:rPr>
          <w:rFonts w:asciiTheme="minorHAnsi" w:hAnsiTheme="minorHAnsi" w:cstheme="minorHAnsi"/>
          <w:b/>
          <w:bCs/>
          <w:color w:val="000000" w:themeColor="text1"/>
        </w:rPr>
        <w:t>Outcomes</w:t>
      </w:r>
    </w:p>
    <w:p w14:paraId="353807A9" w14:textId="529DF2D9" w:rsidR="0098550A" w:rsidRPr="00590031" w:rsidRDefault="0098550A" w:rsidP="00590031">
      <w:pPr>
        <w:spacing w:line="480" w:lineRule="auto"/>
        <w:jc w:val="both"/>
        <w:rPr>
          <w:rFonts w:cstheme="minorHAnsi"/>
          <w:sz w:val="24"/>
          <w:szCs w:val="24"/>
        </w:rPr>
      </w:pPr>
      <w:r w:rsidRPr="00590031">
        <w:rPr>
          <w:rFonts w:cstheme="minorHAnsi"/>
          <w:sz w:val="24"/>
          <w:szCs w:val="24"/>
        </w:rPr>
        <w:t>The following data were prospectively collected from the ICU Clinical Information System (Metavision</w:t>
      </w:r>
      <w:r w:rsidR="009A6A49" w:rsidRPr="00590031">
        <w:rPr>
          <w:rFonts w:cstheme="minorHAnsi"/>
          <w:sz w:val="24"/>
          <w:szCs w:val="24"/>
          <w:vertAlign w:val="superscript"/>
        </w:rPr>
        <w:sym w:font="Symbol" w:char="F0D2"/>
      </w:r>
      <w:r w:rsidRPr="00590031">
        <w:rPr>
          <w:rFonts w:cstheme="minorHAnsi"/>
          <w:sz w:val="24"/>
          <w:szCs w:val="24"/>
        </w:rPr>
        <w:t xml:space="preserve">, iMDsoft): </w:t>
      </w:r>
      <w:r w:rsidR="0085011C" w:rsidRPr="00590031">
        <w:rPr>
          <w:rFonts w:cstheme="minorHAnsi"/>
          <w:sz w:val="24"/>
          <w:szCs w:val="24"/>
        </w:rPr>
        <w:t>H</w:t>
      </w:r>
      <w:r w:rsidRPr="00590031">
        <w:rPr>
          <w:rFonts w:cstheme="minorHAnsi"/>
          <w:sz w:val="24"/>
          <w:szCs w:val="24"/>
        </w:rPr>
        <w:t xml:space="preserve">ospital and ICU admission and discharge dates, </w:t>
      </w:r>
      <w:r w:rsidR="0085011C" w:rsidRPr="00590031">
        <w:rPr>
          <w:rFonts w:cstheme="minorHAnsi"/>
          <w:sz w:val="24"/>
          <w:szCs w:val="24"/>
        </w:rPr>
        <w:t xml:space="preserve">ICU and hospital </w:t>
      </w:r>
      <w:r w:rsidRPr="00590031">
        <w:rPr>
          <w:rFonts w:cstheme="minorHAnsi"/>
          <w:sz w:val="24"/>
          <w:szCs w:val="24"/>
        </w:rPr>
        <w:t xml:space="preserve">survival, age, gender, ethnicity, BMI, illness severity scores, admission ventilation indices, admission bloods, therapies received (corticosteroids, prone position ventilation, renal replacement therapy (RRT) and ECMO.) </w:t>
      </w:r>
      <w:r w:rsidR="00EE7D4B" w:rsidRPr="00590031">
        <w:rPr>
          <w:rFonts w:cstheme="minorHAnsi"/>
          <w:sz w:val="24"/>
          <w:szCs w:val="24"/>
        </w:rPr>
        <w:t xml:space="preserve"> </w:t>
      </w:r>
      <w:r w:rsidRPr="00590031">
        <w:rPr>
          <w:rFonts w:cstheme="minorHAnsi"/>
          <w:sz w:val="24"/>
          <w:szCs w:val="24"/>
        </w:rPr>
        <w:t xml:space="preserve">The primary outcome was </w:t>
      </w:r>
      <w:r w:rsidR="00AB10B9" w:rsidRPr="00590031">
        <w:rPr>
          <w:rFonts w:cstheme="minorHAnsi"/>
          <w:sz w:val="24"/>
          <w:szCs w:val="24"/>
        </w:rPr>
        <w:t>percentage change</w:t>
      </w:r>
      <w:r w:rsidR="009A6A49" w:rsidRPr="00590031">
        <w:rPr>
          <w:rFonts w:cstheme="minorHAnsi"/>
          <w:sz w:val="24"/>
          <w:szCs w:val="24"/>
        </w:rPr>
        <w:t>s</w:t>
      </w:r>
      <w:r w:rsidR="00AB10B9" w:rsidRPr="00590031">
        <w:rPr>
          <w:rFonts w:cstheme="minorHAnsi"/>
          <w:sz w:val="24"/>
          <w:szCs w:val="24"/>
        </w:rPr>
        <w:t xml:space="preserve"> </w:t>
      </w:r>
      <w:r w:rsidRPr="00590031">
        <w:rPr>
          <w:rFonts w:cstheme="minorHAnsi"/>
          <w:sz w:val="24"/>
          <w:szCs w:val="24"/>
        </w:rPr>
        <w:t xml:space="preserve">in </w:t>
      </w:r>
      <w:r w:rsidR="00E90EF7" w:rsidRPr="00590031">
        <w:rPr>
          <w:rFonts w:cstheme="minorHAnsi"/>
          <w:sz w:val="24"/>
          <w:szCs w:val="24"/>
        </w:rPr>
        <w:t xml:space="preserve">PF </w:t>
      </w:r>
      <w:r w:rsidRPr="00590031">
        <w:rPr>
          <w:rFonts w:cstheme="minorHAnsi"/>
          <w:sz w:val="24"/>
          <w:szCs w:val="24"/>
        </w:rPr>
        <w:t>ratio and Alveolar-arterial (A-a) gradient at 2, 6, 12, 24, 48 and 72 hours follo</w:t>
      </w:r>
      <w:r w:rsidR="005D53E0" w:rsidRPr="00590031">
        <w:rPr>
          <w:rFonts w:cstheme="minorHAnsi"/>
          <w:sz w:val="24"/>
          <w:szCs w:val="24"/>
        </w:rPr>
        <w:t>wing initiation of IPVD therapy</w:t>
      </w:r>
      <w:r w:rsidRPr="00590031">
        <w:rPr>
          <w:rFonts w:cstheme="minorHAnsi"/>
          <w:sz w:val="24"/>
          <w:szCs w:val="24"/>
        </w:rPr>
        <w:t xml:space="preserve"> </w:t>
      </w:r>
      <w:r w:rsidR="005D53E0" w:rsidRPr="00590031">
        <w:rPr>
          <w:rFonts w:cstheme="minorHAnsi"/>
          <w:sz w:val="24"/>
          <w:szCs w:val="24"/>
        </w:rPr>
        <w:t>(A-a gradient calculate</w:t>
      </w:r>
      <w:r w:rsidR="004B3F34" w:rsidRPr="00590031">
        <w:rPr>
          <w:rFonts w:cstheme="minorHAnsi"/>
          <w:sz w:val="24"/>
          <w:szCs w:val="24"/>
        </w:rPr>
        <w:t xml:space="preserve">d </w:t>
      </w:r>
      <w:proofErr w:type="gramStart"/>
      <w:r w:rsidR="004B3F34" w:rsidRPr="00590031">
        <w:rPr>
          <w:rFonts w:cstheme="minorHAnsi"/>
          <w:sz w:val="24"/>
          <w:szCs w:val="24"/>
        </w:rPr>
        <w:t xml:space="preserve">as </w:t>
      </w:r>
      <w:proofErr w:type="gramEnd"/>
      <m:oMath>
        <m:r>
          <w:rPr>
            <w:rFonts w:ascii="Cambria Math" w:hAnsi="Cambria Math" w:cstheme="minorHAnsi"/>
            <w:sz w:val="24"/>
            <w:szCs w:val="24"/>
          </w:rPr>
          <m:t>A-a=</m:t>
        </m:r>
        <m:d>
          <m:dPr>
            <m:ctrlPr>
              <w:rPr>
                <w:rFonts w:ascii="Cambria Math" w:hAnsi="Cambria Math" w:cstheme="minorHAnsi"/>
                <w:i/>
                <w:sz w:val="24"/>
                <w:szCs w:val="24"/>
              </w:rPr>
            </m:ctrlPr>
          </m:dPr>
          <m:e>
            <m:sSub>
              <m:sSubPr>
                <m:ctrlPr>
                  <w:rPr>
                    <w:rFonts w:ascii="Cambria Math" w:hAnsi="Cambria Math" w:cstheme="minorHAnsi"/>
                    <w:i/>
                    <w:sz w:val="24"/>
                    <w:szCs w:val="24"/>
                  </w:rPr>
                </m:ctrlPr>
              </m:sSubPr>
              <m:e>
                <m:r>
                  <w:rPr>
                    <w:rFonts w:ascii="Cambria Math" w:hAnsi="Cambria Math" w:cstheme="minorHAnsi"/>
                    <w:sz w:val="24"/>
                    <w:szCs w:val="24"/>
                  </w:rPr>
                  <m:t>FiO</m:t>
                </m:r>
              </m:e>
              <m:sub>
                <m:r>
                  <w:rPr>
                    <w:rFonts w:ascii="Cambria Math" w:hAnsi="Cambria Math" w:cstheme="minorHAnsi"/>
                    <w:sz w:val="24"/>
                    <w:szCs w:val="24"/>
                  </w:rPr>
                  <m:t>2</m:t>
                </m:r>
              </m:sub>
            </m:sSub>
            <m:d>
              <m:dPr>
                <m:ctrlPr>
                  <w:rPr>
                    <w:rFonts w:ascii="Cambria Math" w:hAnsi="Cambria Math" w:cstheme="minorHAnsi"/>
                    <w:i/>
                    <w:sz w:val="24"/>
                    <w:szCs w:val="24"/>
                  </w:rPr>
                </m:ctrlPr>
              </m:dPr>
              <m:e>
                <m:sSub>
                  <m:sSubPr>
                    <m:ctrlPr>
                      <w:rPr>
                        <w:rFonts w:ascii="Cambria Math" w:hAnsi="Cambria Math" w:cstheme="minorHAnsi"/>
                        <w:i/>
                        <w:sz w:val="24"/>
                        <w:szCs w:val="24"/>
                      </w:rPr>
                    </m:ctrlPr>
                  </m:sSubPr>
                  <m:e>
                    <m:r>
                      <w:rPr>
                        <w:rFonts w:ascii="Cambria Math" w:hAnsi="Cambria Math" w:cstheme="minorHAnsi"/>
                        <w:sz w:val="24"/>
                        <w:szCs w:val="24"/>
                      </w:rPr>
                      <m:t>P</m:t>
                    </m:r>
                  </m:e>
                  <m:sub>
                    <m:r>
                      <w:rPr>
                        <w:rFonts w:ascii="Cambria Math" w:hAnsi="Cambria Math" w:cstheme="minorHAnsi"/>
                        <w:sz w:val="24"/>
                        <w:szCs w:val="24"/>
                      </w:rPr>
                      <m:t>atm</m:t>
                    </m:r>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P</m:t>
                    </m:r>
                  </m:e>
                  <m:sub>
                    <m:r>
                      <w:rPr>
                        <w:rFonts w:ascii="Cambria Math" w:hAnsi="Cambria Math" w:cstheme="minorHAnsi"/>
                        <w:sz w:val="24"/>
                        <w:szCs w:val="24"/>
                      </w:rPr>
                      <m:t>H2O</m:t>
                    </m:r>
                  </m:sub>
                </m:sSub>
              </m:e>
            </m:d>
            <m:r>
              <w:rPr>
                <w:rFonts w:ascii="Cambria Math" w:hAnsi="Cambria Math" w:cstheme="minorHAnsi"/>
                <w:sz w:val="24"/>
                <w:szCs w:val="24"/>
              </w:rPr>
              <m:t>-</m:t>
            </m:r>
            <m:f>
              <m:fPr>
                <m:ctrlPr>
                  <w:rPr>
                    <w:rFonts w:ascii="Cambria Math" w:hAnsi="Cambria Math" w:cstheme="minorHAnsi"/>
                    <w:i/>
                    <w:sz w:val="24"/>
                    <w:szCs w:val="24"/>
                  </w:rPr>
                </m:ctrlPr>
              </m:fPr>
              <m:num>
                <m:r>
                  <w:rPr>
                    <w:rFonts w:ascii="Cambria Math" w:hAnsi="Cambria Math" w:cstheme="minorHAnsi"/>
                    <w:sz w:val="24"/>
                    <w:szCs w:val="24"/>
                  </w:rPr>
                  <m:t>PaCO2</m:t>
                </m:r>
              </m:num>
              <m:den>
                <m:r>
                  <w:rPr>
                    <w:rFonts w:ascii="Cambria Math" w:hAnsi="Cambria Math" w:cstheme="minorHAnsi"/>
                    <w:sz w:val="24"/>
                    <w:szCs w:val="24"/>
                  </w:rPr>
                  <m:t>0.8</m:t>
                </m:r>
              </m:den>
            </m:f>
          </m:e>
        </m:d>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Pa</m:t>
            </m:r>
          </m:e>
          <m:sub>
            <m:r>
              <w:rPr>
                <w:rFonts w:ascii="Cambria Math" w:hAnsi="Cambria Math" w:cstheme="minorHAnsi"/>
                <w:sz w:val="24"/>
                <w:szCs w:val="24"/>
              </w:rPr>
              <m:t>O2</m:t>
            </m:r>
          </m:sub>
        </m:sSub>
      </m:oMath>
      <w:r w:rsidR="005D53E0" w:rsidRPr="00590031">
        <w:rPr>
          <w:rFonts w:eastAsiaTheme="minorEastAsia" w:cstheme="minorHAnsi"/>
          <w:sz w:val="24"/>
          <w:szCs w:val="24"/>
        </w:rPr>
        <w:t>).</w:t>
      </w:r>
      <w:r w:rsidR="005D53E0" w:rsidRPr="00590031">
        <w:rPr>
          <w:rFonts w:cstheme="minorHAnsi"/>
          <w:sz w:val="24"/>
          <w:szCs w:val="24"/>
        </w:rPr>
        <w:t xml:space="preserve"> </w:t>
      </w:r>
      <w:r w:rsidRPr="00590031">
        <w:rPr>
          <w:rFonts w:cstheme="minorHAnsi"/>
          <w:sz w:val="24"/>
          <w:szCs w:val="24"/>
        </w:rPr>
        <w:t xml:space="preserve">Secondary outcomes were differences </w:t>
      </w:r>
      <w:r w:rsidR="00E574E3" w:rsidRPr="00590031">
        <w:rPr>
          <w:rFonts w:cstheme="minorHAnsi"/>
          <w:sz w:val="24"/>
          <w:szCs w:val="24"/>
        </w:rPr>
        <w:t xml:space="preserve">in </w:t>
      </w:r>
      <w:r w:rsidRPr="00590031">
        <w:rPr>
          <w:rFonts w:cstheme="minorHAnsi"/>
          <w:sz w:val="24"/>
          <w:szCs w:val="24"/>
        </w:rPr>
        <w:t>patient characteristics</w:t>
      </w:r>
      <w:r w:rsidR="00E574E3" w:rsidRPr="00590031">
        <w:rPr>
          <w:rFonts w:cstheme="minorHAnsi"/>
          <w:sz w:val="24"/>
          <w:szCs w:val="24"/>
        </w:rPr>
        <w:t xml:space="preserve">, </w:t>
      </w:r>
      <w:r w:rsidRPr="00590031">
        <w:rPr>
          <w:rFonts w:cstheme="minorHAnsi"/>
          <w:sz w:val="24"/>
          <w:szCs w:val="24"/>
        </w:rPr>
        <w:t>therapies</w:t>
      </w:r>
      <w:r w:rsidR="00E574E3" w:rsidRPr="00590031">
        <w:rPr>
          <w:rFonts w:cstheme="minorHAnsi"/>
          <w:sz w:val="24"/>
          <w:szCs w:val="24"/>
        </w:rPr>
        <w:t xml:space="preserve"> received and changes in PF ratio and A-a gradient</w:t>
      </w:r>
      <w:r w:rsidRPr="00590031">
        <w:rPr>
          <w:rFonts w:cstheme="minorHAnsi"/>
          <w:sz w:val="24"/>
          <w:szCs w:val="24"/>
        </w:rPr>
        <w:t xml:space="preserve"> between survivors and non-survivors</w:t>
      </w:r>
      <w:r w:rsidR="0085011C" w:rsidRPr="00590031">
        <w:rPr>
          <w:rFonts w:cstheme="minorHAnsi"/>
          <w:sz w:val="24"/>
          <w:szCs w:val="24"/>
        </w:rPr>
        <w:t xml:space="preserve"> who received an IPVD</w:t>
      </w:r>
      <w:r w:rsidRPr="00590031">
        <w:rPr>
          <w:rFonts w:cstheme="minorHAnsi"/>
          <w:sz w:val="24"/>
          <w:szCs w:val="24"/>
        </w:rPr>
        <w:t>.</w:t>
      </w:r>
      <w:r w:rsidR="005E76C4" w:rsidRPr="00590031">
        <w:rPr>
          <w:rFonts w:cstheme="minorHAnsi"/>
          <w:sz w:val="24"/>
          <w:szCs w:val="24"/>
        </w:rPr>
        <w:t xml:space="preserve"> </w:t>
      </w:r>
      <w:r w:rsidR="00BC4748" w:rsidRPr="00590031">
        <w:rPr>
          <w:rFonts w:cstheme="minorHAnsi"/>
          <w:sz w:val="24"/>
          <w:szCs w:val="24"/>
        </w:rPr>
        <w:t xml:space="preserve">We also assessed the number </w:t>
      </w:r>
      <w:r w:rsidR="00567166" w:rsidRPr="00590031">
        <w:rPr>
          <w:rFonts w:cstheme="minorHAnsi"/>
          <w:sz w:val="24"/>
          <w:szCs w:val="24"/>
        </w:rPr>
        <w:t xml:space="preserve">of patients </w:t>
      </w:r>
      <w:r w:rsidR="00B73E60" w:rsidRPr="00590031">
        <w:rPr>
          <w:rFonts w:cstheme="minorHAnsi"/>
          <w:sz w:val="24"/>
          <w:szCs w:val="24"/>
        </w:rPr>
        <w:t>who had an improvement in PF ratio of</w:t>
      </w:r>
      <w:r w:rsidR="00567166" w:rsidRPr="00590031">
        <w:rPr>
          <w:rFonts w:cstheme="minorHAnsi"/>
          <w:sz w:val="24"/>
          <w:szCs w:val="24"/>
        </w:rPr>
        <w:t xml:space="preserve"> 10</w:t>
      </w:r>
      <w:r w:rsidR="009A6A49" w:rsidRPr="00590031">
        <w:rPr>
          <w:rFonts w:cstheme="minorHAnsi"/>
          <w:sz w:val="24"/>
          <w:szCs w:val="24"/>
        </w:rPr>
        <w:t>%</w:t>
      </w:r>
      <w:r w:rsidR="00567166" w:rsidRPr="00590031">
        <w:rPr>
          <w:rFonts w:cstheme="minorHAnsi"/>
          <w:sz w:val="24"/>
          <w:szCs w:val="24"/>
        </w:rPr>
        <w:t>, 20</w:t>
      </w:r>
      <w:r w:rsidR="009A6A49" w:rsidRPr="00590031">
        <w:rPr>
          <w:rFonts w:cstheme="minorHAnsi"/>
          <w:sz w:val="24"/>
          <w:szCs w:val="24"/>
        </w:rPr>
        <w:t>%</w:t>
      </w:r>
      <w:r w:rsidR="00BC4748" w:rsidRPr="00590031">
        <w:rPr>
          <w:rFonts w:cstheme="minorHAnsi"/>
          <w:sz w:val="24"/>
          <w:szCs w:val="24"/>
        </w:rPr>
        <w:t xml:space="preserve"> and 50% to explore whether different percentage increments were associated with </w:t>
      </w:r>
      <w:r w:rsidR="00E574E3" w:rsidRPr="00590031">
        <w:rPr>
          <w:rFonts w:cstheme="minorHAnsi"/>
          <w:sz w:val="24"/>
          <w:szCs w:val="24"/>
        </w:rPr>
        <w:t xml:space="preserve">improved </w:t>
      </w:r>
      <w:r w:rsidR="00BC4748" w:rsidRPr="00590031">
        <w:rPr>
          <w:rFonts w:cstheme="minorHAnsi"/>
          <w:sz w:val="24"/>
          <w:szCs w:val="24"/>
        </w:rPr>
        <w:t xml:space="preserve">survival. </w:t>
      </w:r>
      <w:r w:rsidR="005E76C4" w:rsidRPr="00590031">
        <w:rPr>
          <w:rFonts w:cstheme="minorHAnsi"/>
          <w:sz w:val="24"/>
          <w:szCs w:val="24"/>
        </w:rPr>
        <w:t xml:space="preserve">Outcomes are up to date as of </w:t>
      </w:r>
      <w:r w:rsidR="00470B51" w:rsidRPr="00590031">
        <w:rPr>
          <w:rFonts w:cstheme="minorHAnsi"/>
          <w:sz w:val="24"/>
          <w:szCs w:val="24"/>
        </w:rPr>
        <w:t>July 6</w:t>
      </w:r>
      <w:r w:rsidR="00470B51" w:rsidRPr="00590031">
        <w:rPr>
          <w:rFonts w:cstheme="minorHAnsi"/>
          <w:sz w:val="24"/>
          <w:szCs w:val="24"/>
          <w:vertAlign w:val="superscript"/>
        </w:rPr>
        <w:t>th</w:t>
      </w:r>
      <w:r w:rsidR="00070705" w:rsidRPr="00590031">
        <w:rPr>
          <w:rFonts w:cstheme="minorHAnsi"/>
          <w:sz w:val="24"/>
          <w:szCs w:val="24"/>
        </w:rPr>
        <w:t xml:space="preserve"> 2021</w:t>
      </w:r>
      <w:r w:rsidR="00470B51" w:rsidRPr="00590031">
        <w:rPr>
          <w:rFonts w:cstheme="minorHAnsi"/>
          <w:sz w:val="24"/>
          <w:szCs w:val="24"/>
        </w:rPr>
        <w:t>.</w:t>
      </w:r>
    </w:p>
    <w:p w14:paraId="418A9F22" w14:textId="77777777" w:rsidR="0098550A" w:rsidRPr="00590031" w:rsidRDefault="0098550A" w:rsidP="00590031">
      <w:pPr>
        <w:pStyle w:val="Heading3"/>
        <w:spacing w:line="480" w:lineRule="auto"/>
        <w:jc w:val="both"/>
        <w:rPr>
          <w:rFonts w:asciiTheme="minorHAnsi" w:hAnsiTheme="minorHAnsi" w:cstheme="minorHAnsi"/>
          <w:b/>
          <w:bCs/>
          <w:color w:val="000000" w:themeColor="text1"/>
          <w:shd w:val="clear" w:color="auto" w:fill="FFFFFF"/>
        </w:rPr>
      </w:pPr>
      <w:r w:rsidRPr="00590031">
        <w:rPr>
          <w:rFonts w:asciiTheme="minorHAnsi" w:hAnsiTheme="minorHAnsi" w:cstheme="minorHAnsi"/>
          <w:b/>
          <w:bCs/>
          <w:color w:val="000000" w:themeColor="text1"/>
        </w:rPr>
        <w:lastRenderedPageBreak/>
        <w:t>Statistical methods</w:t>
      </w:r>
      <w:r w:rsidRPr="00590031">
        <w:rPr>
          <w:rFonts w:asciiTheme="minorHAnsi" w:hAnsiTheme="minorHAnsi" w:cstheme="minorHAnsi"/>
          <w:b/>
          <w:bCs/>
          <w:color w:val="000000" w:themeColor="text1"/>
          <w:shd w:val="clear" w:color="auto" w:fill="FFFFFF"/>
        </w:rPr>
        <w:t xml:space="preserve"> </w:t>
      </w:r>
    </w:p>
    <w:p w14:paraId="5F21B9D3" w14:textId="07A791A0" w:rsidR="00070705" w:rsidRPr="00590031" w:rsidRDefault="0098550A" w:rsidP="00590031">
      <w:pPr>
        <w:pStyle w:val="Heading2"/>
        <w:spacing w:line="480" w:lineRule="auto"/>
        <w:jc w:val="both"/>
        <w:rPr>
          <w:rFonts w:asciiTheme="minorHAnsi" w:hAnsiTheme="minorHAnsi" w:cstheme="minorHAnsi"/>
          <w:color w:val="000000" w:themeColor="text1"/>
          <w:sz w:val="24"/>
          <w:szCs w:val="24"/>
        </w:rPr>
      </w:pPr>
      <w:r w:rsidRPr="00590031">
        <w:rPr>
          <w:rFonts w:asciiTheme="minorHAnsi" w:hAnsiTheme="minorHAnsi" w:cstheme="minorHAnsi"/>
          <w:color w:val="000000" w:themeColor="text1"/>
          <w:sz w:val="24"/>
          <w:szCs w:val="24"/>
        </w:rPr>
        <w:t xml:space="preserve">Data were analysed using IBM SPSS Statistics 26.0 for Microsoft Windows. Data were tested for normality using the Shapiro-Wilks test. </w:t>
      </w:r>
      <w:r w:rsidR="005E76C4" w:rsidRPr="00590031">
        <w:rPr>
          <w:rFonts w:asciiTheme="minorHAnsi" w:hAnsiTheme="minorHAnsi" w:cstheme="minorHAnsi"/>
          <w:color w:val="000000" w:themeColor="text1"/>
          <w:sz w:val="24"/>
          <w:szCs w:val="24"/>
        </w:rPr>
        <w:t>Data are presented as mean and standard deviation, median and inter-quartile range or number</w:t>
      </w:r>
      <w:r w:rsidR="00F70CE0" w:rsidRPr="00590031">
        <w:rPr>
          <w:rFonts w:asciiTheme="minorHAnsi" w:hAnsiTheme="minorHAnsi" w:cstheme="minorHAnsi"/>
          <w:color w:val="000000" w:themeColor="text1"/>
          <w:sz w:val="24"/>
          <w:szCs w:val="24"/>
        </w:rPr>
        <w:t xml:space="preserve"> and percentages,</w:t>
      </w:r>
      <w:r w:rsidR="005E76C4" w:rsidRPr="00590031">
        <w:rPr>
          <w:rFonts w:asciiTheme="minorHAnsi" w:hAnsiTheme="minorHAnsi" w:cstheme="minorHAnsi"/>
          <w:color w:val="000000" w:themeColor="text1"/>
          <w:sz w:val="24"/>
          <w:szCs w:val="24"/>
        </w:rPr>
        <w:t xml:space="preserve"> depending on </w:t>
      </w:r>
      <w:r w:rsidR="00E574E3" w:rsidRPr="00590031">
        <w:rPr>
          <w:rFonts w:asciiTheme="minorHAnsi" w:hAnsiTheme="minorHAnsi" w:cstheme="minorHAnsi"/>
          <w:color w:val="000000" w:themeColor="text1"/>
          <w:sz w:val="24"/>
          <w:szCs w:val="24"/>
        </w:rPr>
        <w:t>their</w:t>
      </w:r>
      <w:r w:rsidR="005E76C4" w:rsidRPr="00590031">
        <w:rPr>
          <w:rFonts w:asciiTheme="minorHAnsi" w:hAnsiTheme="minorHAnsi" w:cstheme="minorHAnsi"/>
          <w:color w:val="000000" w:themeColor="text1"/>
          <w:sz w:val="24"/>
          <w:szCs w:val="24"/>
        </w:rPr>
        <w:t xml:space="preserve"> distributio</w:t>
      </w:r>
      <w:r w:rsidR="00F70CE0" w:rsidRPr="00590031">
        <w:rPr>
          <w:rFonts w:asciiTheme="minorHAnsi" w:hAnsiTheme="minorHAnsi" w:cstheme="minorHAnsi"/>
          <w:color w:val="000000" w:themeColor="text1"/>
          <w:sz w:val="24"/>
          <w:szCs w:val="24"/>
        </w:rPr>
        <w:t>n</w:t>
      </w:r>
      <w:r w:rsidR="005E76C4" w:rsidRPr="00590031">
        <w:rPr>
          <w:rFonts w:asciiTheme="minorHAnsi" w:hAnsiTheme="minorHAnsi" w:cstheme="minorHAnsi"/>
          <w:color w:val="000000" w:themeColor="text1"/>
          <w:sz w:val="24"/>
          <w:szCs w:val="24"/>
        </w:rPr>
        <w:t xml:space="preserve">. </w:t>
      </w:r>
      <w:r w:rsidRPr="00590031">
        <w:rPr>
          <w:rFonts w:asciiTheme="minorHAnsi" w:hAnsiTheme="minorHAnsi" w:cstheme="minorHAnsi"/>
          <w:color w:val="000000" w:themeColor="text1"/>
          <w:sz w:val="24"/>
          <w:szCs w:val="24"/>
        </w:rPr>
        <w:t>Continuous data were compared using an independent </w:t>
      </w:r>
      <w:r w:rsidRPr="00590031">
        <w:rPr>
          <w:rFonts w:asciiTheme="minorHAnsi" w:hAnsiTheme="minorHAnsi" w:cstheme="minorHAnsi"/>
          <w:i/>
          <w:iCs/>
          <w:color w:val="000000" w:themeColor="text1"/>
          <w:sz w:val="24"/>
          <w:szCs w:val="24"/>
        </w:rPr>
        <w:t>t</w:t>
      </w:r>
      <w:r w:rsidRPr="00590031">
        <w:rPr>
          <w:rFonts w:asciiTheme="minorHAnsi" w:hAnsiTheme="minorHAnsi" w:cstheme="minorHAnsi"/>
          <w:color w:val="000000" w:themeColor="text1"/>
          <w:sz w:val="24"/>
          <w:szCs w:val="24"/>
        </w:rPr>
        <w:t xml:space="preserve">-test, </w:t>
      </w:r>
      <w:r w:rsidR="000441E2" w:rsidRPr="00590031">
        <w:rPr>
          <w:rFonts w:asciiTheme="minorHAnsi" w:hAnsiTheme="minorHAnsi" w:cstheme="minorHAnsi"/>
          <w:color w:val="000000" w:themeColor="text1"/>
          <w:sz w:val="24"/>
          <w:szCs w:val="24"/>
        </w:rPr>
        <w:t xml:space="preserve">non-parametric variables with </w:t>
      </w:r>
      <w:r w:rsidRPr="00590031">
        <w:rPr>
          <w:rFonts w:asciiTheme="minorHAnsi" w:hAnsiTheme="minorHAnsi" w:cstheme="minorHAnsi"/>
          <w:color w:val="000000" w:themeColor="text1"/>
          <w:sz w:val="24"/>
          <w:szCs w:val="24"/>
        </w:rPr>
        <w:t>the Mann–Whitney </w:t>
      </w:r>
      <w:r w:rsidRPr="00590031">
        <w:rPr>
          <w:rFonts w:asciiTheme="minorHAnsi" w:hAnsiTheme="minorHAnsi" w:cstheme="minorHAnsi"/>
          <w:i/>
          <w:iCs/>
          <w:color w:val="000000" w:themeColor="text1"/>
          <w:sz w:val="24"/>
          <w:szCs w:val="24"/>
        </w:rPr>
        <w:t>U</w:t>
      </w:r>
      <w:r w:rsidRPr="00590031">
        <w:rPr>
          <w:rFonts w:asciiTheme="minorHAnsi" w:hAnsiTheme="minorHAnsi" w:cstheme="minorHAnsi"/>
          <w:color w:val="000000" w:themeColor="text1"/>
          <w:sz w:val="24"/>
          <w:szCs w:val="24"/>
        </w:rPr>
        <w:t>-</w:t>
      </w:r>
      <w:r w:rsidR="009A6A49" w:rsidRPr="00590031">
        <w:rPr>
          <w:rFonts w:asciiTheme="minorHAnsi" w:hAnsiTheme="minorHAnsi" w:cstheme="minorHAnsi"/>
          <w:color w:val="000000" w:themeColor="text1"/>
          <w:sz w:val="24"/>
          <w:szCs w:val="24"/>
        </w:rPr>
        <w:t xml:space="preserve">and </w:t>
      </w:r>
      <w:proofErr w:type="spellStart"/>
      <w:r w:rsidR="009A6A49" w:rsidRPr="00590031">
        <w:rPr>
          <w:rFonts w:asciiTheme="minorHAnsi" w:hAnsiTheme="minorHAnsi" w:cstheme="minorHAnsi"/>
          <w:color w:val="000000" w:themeColor="text1"/>
          <w:sz w:val="24"/>
          <w:szCs w:val="24"/>
        </w:rPr>
        <w:t>Kruskal</w:t>
      </w:r>
      <w:proofErr w:type="spellEnd"/>
      <w:r w:rsidR="009A6A49" w:rsidRPr="00590031">
        <w:rPr>
          <w:rFonts w:asciiTheme="minorHAnsi" w:hAnsiTheme="minorHAnsi" w:cstheme="minorHAnsi"/>
          <w:color w:val="000000" w:themeColor="text1"/>
          <w:sz w:val="24"/>
          <w:szCs w:val="24"/>
        </w:rPr>
        <w:t xml:space="preserve">-Wallis </w:t>
      </w:r>
      <w:r w:rsidRPr="00590031">
        <w:rPr>
          <w:rFonts w:asciiTheme="minorHAnsi" w:hAnsiTheme="minorHAnsi" w:cstheme="minorHAnsi"/>
          <w:color w:val="000000" w:themeColor="text1"/>
          <w:sz w:val="24"/>
          <w:szCs w:val="24"/>
        </w:rPr>
        <w:t>test</w:t>
      </w:r>
      <w:r w:rsidR="009A6A49" w:rsidRPr="00590031">
        <w:rPr>
          <w:rFonts w:asciiTheme="minorHAnsi" w:hAnsiTheme="minorHAnsi" w:cstheme="minorHAnsi"/>
          <w:color w:val="000000" w:themeColor="text1"/>
          <w:sz w:val="24"/>
          <w:szCs w:val="24"/>
        </w:rPr>
        <w:t>s</w:t>
      </w:r>
      <w:r w:rsidRPr="00590031">
        <w:rPr>
          <w:rFonts w:asciiTheme="minorHAnsi" w:hAnsiTheme="minorHAnsi" w:cstheme="minorHAnsi"/>
          <w:color w:val="000000" w:themeColor="text1"/>
          <w:sz w:val="24"/>
          <w:szCs w:val="24"/>
        </w:rPr>
        <w:t>, and</w:t>
      </w:r>
      <w:r w:rsidR="000441E2" w:rsidRPr="00590031">
        <w:rPr>
          <w:rFonts w:asciiTheme="minorHAnsi" w:hAnsiTheme="minorHAnsi" w:cstheme="minorHAnsi"/>
          <w:color w:val="000000" w:themeColor="text1"/>
          <w:sz w:val="24"/>
          <w:szCs w:val="24"/>
        </w:rPr>
        <w:t xml:space="preserve"> categorical variables with </w:t>
      </w:r>
      <w:r w:rsidRPr="00590031">
        <w:rPr>
          <w:rFonts w:asciiTheme="minorHAnsi" w:hAnsiTheme="minorHAnsi" w:cstheme="minorHAnsi"/>
          <w:color w:val="000000" w:themeColor="text1"/>
          <w:sz w:val="24"/>
          <w:szCs w:val="24"/>
        </w:rPr>
        <w:t>the </w:t>
      </w:r>
      <w:r w:rsidRPr="00590031">
        <w:rPr>
          <w:rFonts w:asciiTheme="minorHAnsi" w:hAnsiTheme="minorHAnsi" w:cstheme="minorHAnsi"/>
          <w:i/>
          <w:iCs/>
          <w:color w:val="000000" w:themeColor="text1"/>
          <w:sz w:val="24"/>
          <w:szCs w:val="24"/>
        </w:rPr>
        <w:t>χ</w:t>
      </w:r>
      <w:r w:rsidRPr="00590031">
        <w:rPr>
          <w:rFonts w:asciiTheme="minorHAnsi" w:hAnsiTheme="minorHAnsi" w:cstheme="minorHAnsi"/>
          <w:color w:val="000000" w:themeColor="text1"/>
          <w:sz w:val="24"/>
          <w:szCs w:val="24"/>
          <w:vertAlign w:val="superscript"/>
        </w:rPr>
        <w:t>2</w:t>
      </w:r>
      <w:r w:rsidRPr="00590031">
        <w:rPr>
          <w:rFonts w:asciiTheme="minorHAnsi" w:hAnsiTheme="minorHAnsi" w:cstheme="minorHAnsi"/>
          <w:color w:val="000000" w:themeColor="text1"/>
          <w:sz w:val="24"/>
          <w:szCs w:val="24"/>
        </w:rPr>
        <w:t> or Fisher’</w:t>
      </w:r>
      <w:r w:rsidR="000441E2" w:rsidRPr="00590031">
        <w:rPr>
          <w:rFonts w:asciiTheme="minorHAnsi" w:hAnsiTheme="minorHAnsi" w:cstheme="minorHAnsi"/>
          <w:color w:val="000000" w:themeColor="text1"/>
          <w:sz w:val="24"/>
          <w:szCs w:val="24"/>
        </w:rPr>
        <w:t>s exact test</w:t>
      </w:r>
      <w:r w:rsidRPr="00590031">
        <w:rPr>
          <w:rFonts w:asciiTheme="minorHAnsi" w:hAnsiTheme="minorHAnsi" w:cstheme="minorHAnsi"/>
          <w:color w:val="000000" w:themeColor="text1"/>
          <w:sz w:val="24"/>
          <w:szCs w:val="24"/>
        </w:rPr>
        <w:t>.</w:t>
      </w:r>
      <w:r w:rsidR="003D76C0" w:rsidRPr="00590031">
        <w:rPr>
          <w:rFonts w:asciiTheme="minorHAnsi" w:hAnsiTheme="minorHAnsi" w:cstheme="minorHAnsi"/>
          <w:color w:val="000000" w:themeColor="text1"/>
          <w:sz w:val="24"/>
          <w:szCs w:val="24"/>
        </w:rPr>
        <w:t xml:space="preserve"> A p-value of &lt; 0.05 was used to denote statistical signif</w:t>
      </w:r>
      <w:r w:rsidR="00EE7D4B" w:rsidRPr="00590031">
        <w:rPr>
          <w:rFonts w:asciiTheme="minorHAnsi" w:hAnsiTheme="minorHAnsi" w:cstheme="minorHAnsi"/>
          <w:color w:val="000000" w:themeColor="text1"/>
          <w:sz w:val="24"/>
          <w:szCs w:val="24"/>
        </w:rPr>
        <w:t>ican</w:t>
      </w:r>
      <w:r w:rsidR="003D76C0" w:rsidRPr="00590031">
        <w:rPr>
          <w:rFonts w:asciiTheme="minorHAnsi" w:hAnsiTheme="minorHAnsi" w:cstheme="minorHAnsi"/>
          <w:color w:val="000000" w:themeColor="text1"/>
          <w:sz w:val="24"/>
          <w:szCs w:val="24"/>
        </w:rPr>
        <w:t>ce.</w:t>
      </w:r>
    </w:p>
    <w:p w14:paraId="3320A132" w14:textId="77777777" w:rsidR="00070705" w:rsidRPr="00590031" w:rsidRDefault="00070705" w:rsidP="00590031">
      <w:pPr>
        <w:spacing w:line="480" w:lineRule="auto"/>
        <w:jc w:val="both"/>
        <w:rPr>
          <w:rFonts w:cstheme="minorHAnsi"/>
          <w:sz w:val="24"/>
          <w:szCs w:val="24"/>
        </w:rPr>
      </w:pPr>
    </w:p>
    <w:p w14:paraId="0BC0C6D0" w14:textId="05D4C74C" w:rsidR="001F4457" w:rsidRPr="00590031" w:rsidRDefault="001F4457" w:rsidP="00590031">
      <w:pPr>
        <w:pStyle w:val="Heading2"/>
        <w:spacing w:line="480" w:lineRule="auto"/>
        <w:jc w:val="both"/>
        <w:rPr>
          <w:rFonts w:asciiTheme="minorHAnsi" w:hAnsiTheme="minorHAnsi" w:cstheme="minorHAnsi"/>
          <w:b/>
          <w:bCs/>
          <w:color w:val="000000" w:themeColor="text1"/>
          <w:sz w:val="24"/>
          <w:szCs w:val="24"/>
        </w:rPr>
      </w:pPr>
      <w:r w:rsidRPr="00590031">
        <w:rPr>
          <w:rFonts w:asciiTheme="minorHAnsi" w:hAnsiTheme="minorHAnsi" w:cstheme="minorHAnsi"/>
          <w:b/>
          <w:bCs/>
          <w:color w:val="000000" w:themeColor="text1"/>
          <w:sz w:val="24"/>
          <w:szCs w:val="24"/>
        </w:rPr>
        <w:t>Results</w:t>
      </w:r>
    </w:p>
    <w:p w14:paraId="27D0E42F" w14:textId="77777777" w:rsidR="001A31A5" w:rsidRPr="00590031" w:rsidRDefault="001A31A5" w:rsidP="00590031">
      <w:pPr>
        <w:spacing w:line="480" w:lineRule="auto"/>
        <w:jc w:val="both"/>
        <w:rPr>
          <w:rFonts w:cstheme="minorHAnsi"/>
          <w:sz w:val="24"/>
          <w:szCs w:val="24"/>
        </w:rPr>
      </w:pPr>
    </w:p>
    <w:p w14:paraId="7D97DAAC" w14:textId="646F95C0" w:rsidR="001F4457" w:rsidRPr="00590031" w:rsidRDefault="001F4457" w:rsidP="00590031">
      <w:pPr>
        <w:spacing w:line="480" w:lineRule="auto"/>
        <w:jc w:val="both"/>
        <w:rPr>
          <w:rFonts w:cstheme="minorHAnsi"/>
          <w:sz w:val="24"/>
          <w:szCs w:val="24"/>
        </w:rPr>
      </w:pPr>
      <w:r w:rsidRPr="00590031">
        <w:rPr>
          <w:rFonts w:cstheme="minorHAnsi"/>
          <w:sz w:val="24"/>
          <w:szCs w:val="24"/>
        </w:rPr>
        <w:t>Between 14</w:t>
      </w:r>
      <w:r w:rsidRPr="00590031">
        <w:rPr>
          <w:rFonts w:cstheme="minorHAnsi"/>
          <w:sz w:val="24"/>
          <w:szCs w:val="24"/>
          <w:vertAlign w:val="superscript"/>
        </w:rPr>
        <w:t>th</w:t>
      </w:r>
      <w:r w:rsidRPr="00590031">
        <w:rPr>
          <w:rFonts w:cstheme="minorHAnsi"/>
          <w:sz w:val="24"/>
          <w:szCs w:val="24"/>
        </w:rPr>
        <w:t xml:space="preserve"> March 2020 and 11</w:t>
      </w:r>
      <w:r w:rsidRPr="00590031">
        <w:rPr>
          <w:rFonts w:cstheme="minorHAnsi"/>
          <w:sz w:val="24"/>
          <w:szCs w:val="24"/>
          <w:vertAlign w:val="superscript"/>
        </w:rPr>
        <w:t>th</w:t>
      </w:r>
      <w:r w:rsidRPr="00590031">
        <w:rPr>
          <w:rFonts w:cstheme="minorHAnsi"/>
          <w:sz w:val="24"/>
          <w:szCs w:val="24"/>
        </w:rPr>
        <w:t xml:space="preserve"> February 2021</w:t>
      </w:r>
      <w:r w:rsidR="005E76C4" w:rsidRPr="00590031">
        <w:rPr>
          <w:rFonts w:cstheme="minorHAnsi"/>
          <w:sz w:val="24"/>
          <w:szCs w:val="24"/>
        </w:rPr>
        <w:t>,</w:t>
      </w:r>
      <w:r w:rsidRPr="00590031">
        <w:rPr>
          <w:rFonts w:cstheme="minorHAnsi"/>
          <w:sz w:val="24"/>
          <w:szCs w:val="24"/>
        </w:rPr>
        <w:t xml:space="preserve"> 308 patients with confirmed SARS-Co</w:t>
      </w:r>
      <w:r w:rsidR="005E76C4" w:rsidRPr="00590031">
        <w:rPr>
          <w:rFonts w:cstheme="minorHAnsi"/>
          <w:sz w:val="24"/>
          <w:szCs w:val="24"/>
        </w:rPr>
        <w:t>V</w:t>
      </w:r>
      <w:r w:rsidRPr="00590031">
        <w:rPr>
          <w:rFonts w:cstheme="minorHAnsi"/>
          <w:sz w:val="24"/>
          <w:szCs w:val="24"/>
        </w:rPr>
        <w:t xml:space="preserve">-2 infection were admitted to the ICU. Two hundred forty-one patients did not </w:t>
      </w:r>
      <w:r w:rsidR="005E76C4" w:rsidRPr="00590031">
        <w:rPr>
          <w:rFonts w:cstheme="minorHAnsi"/>
          <w:sz w:val="24"/>
          <w:szCs w:val="24"/>
        </w:rPr>
        <w:t>receive</w:t>
      </w:r>
      <w:r w:rsidRPr="00590031">
        <w:rPr>
          <w:rFonts w:cstheme="minorHAnsi"/>
          <w:sz w:val="24"/>
          <w:szCs w:val="24"/>
        </w:rPr>
        <w:t xml:space="preserve"> an IPVD and eight received less than 24 hours of therapy. Of th</w:t>
      </w:r>
      <w:r w:rsidR="009C3E28" w:rsidRPr="00590031">
        <w:rPr>
          <w:rFonts w:cstheme="minorHAnsi"/>
          <w:sz w:val="24"/>
          <w:szCs w:val="24"/>
        </w:rPr>
        <w:t>e</w:t>
      </w:r>
      <w:r w:rsidRPr="00590031">
        <w:rPr>
          <w:rFonts w:cstheme="minorHAnsi"/>
          <w:sz w:val="24"/>
          <w:szCs w:val="24"/>
        </w:rPr>
        <w:t xml:space="preserve"> 59 patients who received an IPVD </w:t>
      </w:r>
      <w:r w:rsidR="00F70CE0" w:rsidRPr="00590031">
        <w:rPr>
          <w:rFonts w:cstheme="minorHAnsi"/>
          <w:sz w:val="24"/>
          <w:szCs w:val="24"/>
        </w:rPr>
        <w:t>nine</w:t>
      </w:r>
      <w:r w:rsidRPr="00590031">
        <w:rPr>
          <w:rFonts w:cstheme="minorHAnsi"/>
          <w:sz w:val="24"/>
          <w:szCs w:val="24"/>
        </w:rPr>
        <w:t xml:space="preserve"> received </w:t>
      </w:r>
      <w:r w:rsidR="005E76C4" w:rsidRPr="00590031">
        <w:rPr>
          <w:rFonts w:cstheme="minorHAnsi"/>
          <w:sz w:val="24"/>
          <w:szCs w:val="24"/>
        </w:rPr>
        <w:t>i</w:t>
      </w:r>
      <w:r w:rsidRPr="00590031">
        <w:rPr>
          <w:rFonts w:cstheme="minorHAnsi"/>
          <w:sz w:val="24"/>
          <w:szCs w:val="24"/>
        </w:rPr>
        <w:t xml:space="preserve">NO, 11 received </w:t>
      </w:r>
      <w:r w:rsidR="009C0AAE" w:rsidRPr="00590031">
        <w:rPr>
          <w:rFonts w:cstheme="minorHAnsi"/>
          <w:sz w:val="24"/>
          <w:szCs w:val="24"/>
        </w:rPr>
        <w:t>Iloprost</w:t>
      </w:r>
      <w:r w:rsidRPr="00590031">
        <w:rPr>
          <w:rFonts w:cstheme="minorHAnsi"/>
          <w:sz w:val="24"/>
          <w:szCs w:val="24"/>
        </w:rPr>
        <w:t xml:space="preserve"> and </w:t>
      </w:r>
      <w:r w:rsidR="00F70CE0" w:rsidRPr="00590031">
        <w:rPr>
          <w:rFonts w:cstheme="minorHAnsi"/>
          <w:sz w:val="24"/>
          <w:szCs w:val="24"/>
        </w:rPr>
        <w:t>39</w:t>
      </w:r>
      <w:r w:rsidRPr="00590031">
        <w:rPr>
          <w:rFonts w:cstheme="minorHAnsi"/>
          <w:sz w:val="24"/>
          <w:szCs w:val="24"/>
        </w:rPr>
        <w:t xml:space="preserve"> received </w:t>
      </w:r>
      <w:r w:rsidR="00070705" w:rsidRPr="00590031">
        <w:rPr>
          <w:rFonts w:cstheme="minorHAnsi"/>
          <w:sz w:val="24"/>
          <w:szCs w:val="24"/>
        </w:rPr>
        <w:t xml:space="preserve">combination of both </w:t>
      </w:r>
      <w:r w:rsidR="005E76C4" w:rsidRPr="00590031">
        <w:rPr>
          <w:rFonts w:cstheme="minorHAnsi"/>
          <w:sz w:val="24"/>
          <w:szCs w:val="24"/>
        </w:rPr>
        <w:t>i</w:t>
      </w:r>
      <w:r w:rsidRPr="00590031">
        <w:rPr>
          <w:rFonts w:cstheme="minorHAnsi"/>
          <w:sz w:val="24"/>
          <w:szCs w:val="24"/>
        </w:rPr>
        <w:t xml:space="preserve">NO and </w:t>
      </w:r>
      <w:r w:rsidR="000803B3" w:rsidRPr="00590031">
        <w:rPr>
          <w:rFonts w:cstheme="minorHAnsi"/>
          <w:sz w:val="24"/>
          <w:szCs w:val="24"/>
        </w:rPr>
        <w:t>I</w:t>
      </w:r>
      <w:r w:rsidR="005E76C4" w:rsidRPr="00590031">
        <w:rPr>
          <w:rFonts w:cstheme="minorHAnsi"/>
          <w:sz w:val="24"/>
          <w:szCs w:val="24"/>
        </w:rPr>
        <w:t>loprost</w:t>
      </w:r>
      <w:r w:rsidRPr="00590031">
        <w:rPr>
          <w:rFonts w:cstheme="minorHAnsi"/>
          <w:sz w:val="24"/>
          <w:szCs w:val="24"/>
        </w:rPr>
        <w:t xml:space="preserve">. Data was available for analysis on all </w:t>
      </w:r>
      <w:r w:rsidR="005E76C4" w:rsidRPr="00590031">
        <w:rPr>
          <w:rFonts w:cstheme="minorHAnsi"/>
          <w:sz w:val="24"/>
          <w:szCs w:val="24"/>
        </w:rPr>
        <w:t xml:space="preserve">59 </w:t>
      </w:r>
      <w:r w:rsidRPr="00590031">
        <w:rPr>
          <w:rFonts w:cstheme="minorHAnsi"/>
          <w:sz w:val="24"/>
          <w:szCs w:val="24"/>
        </w:rPr>
        <w:t>patients</w:t>
      </w:r>
      <w:r w:rsidR="005E76C4" w:rsidRPr="00590031">
        <w:rPr>
          <w:rFonts w:cstheme="minorHAnsi"/>
          <w:sz w:val="24"/>
          <w:szCs w:val="24"/>
        </w:rPr>
        <w:t xml:space="preserve"> </w:t>
      </w:r>
      <w:r w:rsidRPr="00590031">
        <w:rPr>
          <w:rFonts w:cstheme="minorHAnsi"/>
          <w:sz w:val="24"/>
          <w:szCs w:val="24"/>
        </w:rPr>
        <w:t xml:space="preserve">(Figure </w:t>
      </w:r>
      <w:r w:rsidR="0090704B" w:rsidRPr="00590031">
        <w:rPr>
          <w:rFonts w:cstheme="minorHAnsi"/>
          <w:sz w:val="24"/>
          <w:szCs w:val="24"/>
        </w:rPr>
        <w:t>2</w:t>
      </w:r>
      <w:r w:rsidRPr="00590031">
        <w:rPr>
          <w:rFonts w:cstheme="minorHAnsi"/>
          <w:sz w:val="24"/>
          <w:szCs w:val="24"/>
        </w:rPr>
        <w:t>)</w:t>
      </w:r>
      <w:r w:rsidR="005E76C4" w:rsidRPr="00590031">
        <w:rPr>
          <w:rFonts w:cstheme="minorHAnsi"/>
          <w:sz w:val="24"/>
          <w:szCs w:val="24"/>
        </w:rPr>
        <w:t>.</w:t>
      </w:r>
      <w:r w:rsidRPr="00590031">
        <w:rPr>
          <w:rFonts w:cstheme="minorHAnsi"/>
          <w:sz w:val="24"/>
          <w:szCs w:val="24"/>
        </w:rPr>
        <w:t xml:space="preserve"> </w:t>
      </w:r>
    </w:p>
    <w:p w14:paraId="4FA51D72" w14:textId="13208D8F" w:rsidR="005E76C4" w:rsidRPr="00590031" w:rsidRDefault="005E76C4" w:rsidP="00590031">
      <w:pPr>
        <w:spacing w:line="480" w:lineRule="auto"/>
        <w:jc w:val="both"/>
        <w:rPr>
          <w:rFonts w:cstheme="minorHAnsi"/>
          <w:b/>
          <w:sz w:val="24"/>
          <w:szCs w:val="24"/>
        </w:rPr>
      </w:pPr>
    </w:p>
    <w:p w14:paraId="31D311B3" w14:textId="6B8A0BB0" w:rsidR="001F4457" w:rsidRPr="00590031" w:rsidRDefault="001F4457" w:rsidP="00590031">
      <w:pPr>
        <w:spacing w:line="480" w:lineRule="auto"/>
        <w:jc w:val="both"/>
        <w:rPr>
          <w:rFonts w:cstheme="minorHAnsi"/>
          <w:sz w:val="24"/>
          <w:szCs w:val="24"/>
        </w:rPr>
      </w:pPr>
      <w:r w:rsidRPr="00590031">
        <w:rPr>
          <w:rFonts w:cstheme="minorHAnsi"/>
          <w:sz w:val="24"/>
          <w:szCs w:val="24"/>
        </w:rPr>
        <w:t xml:space="preserve">Figure </w:t>
      </w:r>
      <w:r w:rsidR="0090704B" w:rsidRPr="00590031">
        <w:rPr>
          <w:rFonts w:cstheme="minorHAnsi"/>
          <w:sz w:val="24"/>
          <w:szCs w:val="24"/>
        </w:rPr>
        <w:t>2</w:t>
      </w:r>
      <w:r w:rsidRPr="00590031">
        <w:rPr>
          <w:rFonts w:cstheme="minorHAnsi"/>
          <w:sz w:val="24"/>
          <w:szCs w:val="24"/>
        </w:rPr>
        <w:t>. STROBE Flow chart</w:t>
      </w:r>
    </w:p>
    <w:p w14:paraId="192E163D" w14:textId="77777777" w:rsidR="001A31A5" w:rsidRPr="00590031" w:rsidRDefault="001A31A5" w:rsidP="00590031">
      <w:pPr>
        <w:pStyle w:val="Heading3"/>
        <w:spacing w:line="480" w:lineRule="auto"/>
        <w:jc w:val="both"/>
        <w:rPr>
          <w:rFonts w:asciiTheme="minorHAnsi" w:hAnsiTheme="minorHAnsi" w:cstheme="minorHAnsi"/>
          <w:b/>
          <w:bCs/>
          <w:color w:val="000000" w:themeColor="text1"/>
        </w:rPr>
      </w:pPr>
    </w:p>
    <w:p w14:paraId="095AD706" w14:textId="1FF51B89" w:rsidR="001F4457" w:rsidRPr="00590031" w:rsidRDefault="001F4457" w:rsidP="00590031">
      <w:pPr>
        <w:pStyle w:val="Heading3"/>
        <w:spacing w:line="480" w:lineRule="auto"/>
        <w:jc w:val="both"/>
        <w:rPr>
          <w:rFonts w:asciiTheme="minorHAnsi" w:hAnsiTheme="minorHAnsi" w:cstheme="minorHAnsi"/>
          <w:b/>
          <w:bCs/>
          <w:color w:val="000000" w:themeColor="text1"/>
        </w:rPr>
      </w:pPr>
      <w:r w:rsidRPr="00590031">
        <w:rPr>
          <w:rFonts w:asciiTheme="minorHAnsi" w:hAnsiTheme="minorHAnsi" w:cstheme="minorHAnsi"/>
          <w:b/>
          <w:bCs/>
          <w:color w:val="000000" w:themeColor="text1"/>
        </w:rPr>
        <w:t xml:space="preserve">Patient characteristics </w:t>
      </w:r>
    </w:p>
    <w:p w14:paraId="7BCF054D" w14:textId="7B5071A1" w:rsidR="00992912" w:rsidRPr="00590031" w:rsidRDefault="001F4457" w:rsidP="00590031">
      <w:pPr>
        <w:spacing w:line="480" w:lineRule="auto"/>
        <w:jc w:val="both"/>
        <w:rPr>
          <w:rFonts w:cstheme="minorHAnsi"/>
          <w:sz w:val="24"/>
          <w:szCs w:val="24"/>
        </w:rPr>
      </w:pPr>
      <w:r w:rsidRPr="00590031">
        <w:rPr>
          <w:rFonts w:cstheme="minorHAnsi"/>
          <w:sz w:val="24"/>
          <w:szCs w:val="24"/>
        </w:rPr>
        <w:t xml:space="preserve">The characteristics of the IPVD group compared to patients who did not receive an IPVD during their admission are detailed in Table 1. Patients receiving an IPVD had </w:t>
      </w:r>
      <w:r w:rsidR="00BD6447" w:rsidRPr="00590031">
        <w:rPr>
          <w:rFonts w:cstheme="minorHAnsi"/>
          <w:sz w:val="24"/>
          <w:szCs w:val="24"/>
        </w:rPr>
        <w:t>a lower P</w:t>
      </w:r>
      <w:r w:rsidRPr="00590031">
        <w:rPr>
          <w:rFonts w:cstheme="minorHAnsi"/>
          <w:sz w:val="24"/>
          <w:szCs w:val="24"/>
        </w:rPr>
        <w:t>F ratio (14.37 vs. 16.37</w:t>
      </w:r>
      <w:r w:rsidR="005E76C4" w:rsidRPr="00590031">
        <w:rPr>
          <w:rFonts w:cstheme="minorHAnsi"/>
          <w:sz w:val="24"/>
          <w:szCs w:val="24"/>
        </w:rPr>
        <w:t xml:space="preserve"> </w:t>
      </w:r>
      <w:r w:rsidRPr="00590031">
        <w:rPr>
          <w:rFonts w:cstheme="minorHAnsi"/>
          <w:sz w:val="24"/>
          <w:szCs w:val="24"/>
        </w:rPr>
        <w:t>kPa, p=0.002) and higher APACHE-II score (17 vs. 13, p=0.028) at admission</w:t>
      </w:r>
      <w:r w:rsidR="00F91F37" w:rsidRPr="00590031">
        <w:rPr>
          <w:rFonts w:cstheme="minorHAnsi"/>
          <w:sz w:val="24"/>
          <w:szCs w:val="24"/>
        </w:rPr>
        <w:t>,</w:t>
      </w:r>
      <w:r w:rsidRPr="00590031">
        <w:rPr>
          <w:rFonts w:cstheme="minorHAnsi"/>
          <w:sz w:val="24"/>
          <w:szCs w:val="24"/>
        </w:rPr>
        <w:t xml:space="preserve"> </w:t>
      </w:r>
      <w:r w:rsidRPr="00590031">
        <w:rPr>
          <w:rFonts w:cstheme="minorHAnsi"/>
          <w:sz w:val="24"/>
          <w:szCs w:val="24"/>
        </w:rPr>
        <w:lastRenderedPageBreak/>
        <w:t xml:space="preserve">and were more likely to receive renal replacement therapy (25.4% vs. 13.7%, p=0.026). There were no </w:t>
      </w:r>
      <w:r w:rsidR="005E76C4" w:rsidRPr="00590031">
        <w:rPr>
          <w:rFonts w:cstheme="minorHAnsi"/>
          <w:sz w:val="24"/>
          <w:szCs w:val="24"/>
        </w:rPr>
        <w:t xml:space="preserve">other </w:t>
      </w:r>
      <w:r w:rsidRPr="00590031">
        <w:rPr>
          <w:rFonts w:cstheme="minorHAnsi"/>
          <w:sz w:val="24"/>
          <w:szCs w:val="24"/>
        </w:rPr>
        <w:t xml:space="preserve">differences in </w:t>
      </w:r>
      <w:r w:rsidR="005E76C4" w:rsidRPr="00590031">
        <w:rPr>
          <w:rFonts w:cstheme="minorHAnsi"/>
          <w:sz w:val="24"/>
          <w:szCs w:val="24"/>
        </w:rPr>
        <w:t xml:space="preserve">demographic and clinical variables such as </w:t>
      </w:r>
      <w:r w:rsidRPr="00590031">
        <w:rPr>
          <w:rFonts w:cstheme="minorHAnsi"/>
          <w:sz w:val="24"/>
          <w:szCs w:val="24"/>
        </w:rPr>
        <w:t>age, gender, BMI, ethnicity or baseline co-morbidities between patients who received an IPVD and those that did not.</w:t>
      </w:r>
      <w:r w:rsidR="005E76C4" w:rsidRPr="00590031">
        <w:rPr>
          <w:rFonts w:cstheme="minorHAnsi"/>
          <w:sz w:val="24"/>
          <w:szCs w:val="24"/>
        </w:rPr>
        <w:t xml:space="preserve"> </w:t>
      </w:r>
      <w:r w:rsidR="00C86B67" w:rsidRPr="00590031">
        <w:rPr>
          <w:rFonts w:cstheme="minorHAnsi"/>
          <w:sz w:val="24"/>
          <w:szCs w:val="24"/>
        </w:rPr>
        <w:t>Thirty-three (55.9%) patients in the IPVD group survived to ICU discharge compared to 81.9% of the non-IPVD group (p &lt;0.001).</w:t>
      </w:r>
      <w:r w:rsidR="00DA3CCA" w:rsidRPr="00590031">
        <w:rPr>
          <w:rFonts w:cstheme="minorHAnsi"/>
          <w:sz w:val="24"/>
          <w:szCs w:val="24"/>
        </w:rPr>
        <w:t xml:space="preserve"> </w:t>
      </w:r>
    </w:p>
    <w:p w14:paraId="7A38B8D5" w14:textId="77777777" w:rsidR="001E4E44" w:rsidRPr="00590031" w:rsidRDefault="001E4E44" w:rsidP="00590031">
      <w:pPr>
        <w:spacing w:line="480" w:lineRule="auto"/>
        <w:jc w:val="both"/>
        <w:rPr>
          <w:rFonts w:cstheme="minorHAnsi"/>
          <w:sz w:val="24"/>
          <w:szCs w:val="24"/>
        </w:rPr>
      </w:pPr>
    </w:p>
    <w:p w14:paraId="250E1558" w14:textId="52082B54" w:rsidR="005B51F1" w:rsidRPr="00590031" w:rsidRDefault="005B51F1" w:rsidP="00590031">
      <w:pPr>
        <w:pStyle w:val="Heading2"/>
        <w:spacing w:line="480" w:lineRule="auto"/>
        <w:rPr>
          <w:rFonts w:asciiTheme="minorHAnsi" w:hAnsiTheme="minorHAnsi" w:cstheme="minorHAnsi"/>
          <w:color w:val="auto"/>
          <w:sz w:val="24"/>
          <w:szCs w:val="24"/>
        </w:rPr>
      </w:pPr>
      <w:r w:rsidRPr="00590031">
        <w:rPr>
          <w:rFonts w:asciiTheme="minorHAnsi" w:hAnsiTheme="minorHAnsi" w:cstheme="minorHAnsi"/>
          <w:color w:val="auto"/>
          <w:sz w:val="24"/>
          <w:szCs w:val="24"/>
        </w:rPr>
        <w:t>Table 1. IPVD therapy vs. n</w:t>
      </w:r>
      <w:r w:rsidR="00ED6C25">
        <w:rPr>
          <w:rFonts w:asciiTheme="minorHAnsi" w:hAnsiTheme="minorHAnsi" w:cstheme="minorHAnsi"/>
          <w:color w:val="auto"/>
          <w:sz w:val="24"/>
          <w:szCs w:val="24"/>
        </w:rPr>
        <w:t>on-IPVD therapy COVID</w:t>
      </w:r>
      <w:r w:rsidRPr="00590031">
        <w:rPr>
          <w:rFonts w:asciiTheme="minorHAnsi" w:hAnsiTheme="minorHAnsi" w:cstheme="minorHAnsi"/>
          <w:color w:val="auto"/>
          <w:sz w:val="24"/>
          <w:szCs w:val="24"/>
        </w:rPr>
        <w:t>-19 ICU patients</w:t>
      </w:r>
    </w:p>
    <w:p w14:paraId="0CFE8AEE" w14:textId="77777777" w:rsidR="005B51F1" w:rsidRPr="00590031" w:rsidRDefault="005B51F1" w:rsidP="00590031">
      <w:pPr>
        <w:spacing w:line="480" w:lineRule="auto"/>
        <w:rPr>
          <w:rFonts w:cstheme="minorHAnsi"/>
          <w:sz w:val="24"/>
          <w:szCs w:val="24"/>
        </w:rPr>
      </w:pPr>
    </w:p>
    <w:p w14:paraId="316B5EEF" w14:textId="2BC56B2B" w:rsidR="00290CE6" w:rsidRPr="00590031" w:rsidRDefault="00290CE6" w:rsidP="00590031">
      <w:pPr>
        <w:pStyle w:val="Heading3"/>
        <w:spacing w:line="480" w:lineRule="auto"/>
        <w:jc w:val="both"/>
        <w:rPr>
          <w:rFonts w:asciiTheme="minorHAnsi" w:hAnsiTheme="minorHAnsi" w:cstheme="minorHAnsi"/>
          <w:b/>
          <w:bCs/>
          <w:color w:val="000000" w:themeColor="text1"/>
        </w:rPr>
      </w:pPr>
      <w:r w:rsidRPr="00590031">
        <w:rPr>
          <w:rFonts w:asciiTheme="minorHAnsi" w:hAnsiTheme="minorHAnsi" w:cstheme="minorHAnsi"/>
          <w:b/>
          <w:bCs/>
          <w:color w:val="000000" w:themeColor="text1"/>
        </w:rPr>
        <w:t>Response to inhaled pulmonary vasodilator therapy</w:t>
      </w:r>
    </w:p>
    <w:p w14:paraId="662963CA" w14:textId="3D762C61" w:rsidR="008A579D" w:rsidRPr="00590031" w:rsidRDefault="00E574E3" w:rsidP="00590031">
      <w:pPr>
        <w:spacing w:line="480" w:lineRule="auto"/>
        <w:jc w:val="both"/>
        <w:rPr>
          <w:rFonts w:cstheme="minorHAnsi"/>
          <w:sz w:val="24"/>
          <w:szCs w:val="24"/>
        </w:rPr>
      </w:pPr>
      <w:r w:rsidRPr="00590031">
        <w:rPr>
          <w:rFonts w:cstheme="minorHAnsi"/>
          <w:sz w:val="24"/>
          <w:szCs w:val="24"/>
        </w:rPr>
        <w:t xml:space="preserve">The median PF ratio at commencing </w:t>
      </w:r>
      <w:r w:rsidR="00C86B67" w:rsidRPr="00590031">
        <w:rPr>
          <w:rFonts w:cstheme="minorHAnsi"/>
          <w:sz w:val="24"/>
          <w:szCs w:val="24"/>
        </w:rPr>
        <w:t xml:space="preserve">of </w:t>
      </w:r>
      <w:r w:rsidRPr="00590031">
        <w:rPr>
          <w:rFonts w:cstheme="minorHAnsi"/>
          <w:sz w:val="24"/>
          <w:szCs w:val="24"/>
        </w:rPr>
        <w:t xml:space="preserve">IPVD therapy was 11.33kPa (9.93-12.91). The median time from ICU admission to receipt of </w:t>
      </w:r>
      <w:r w:rsidR="009C3E28" w:rsidRPr="00590031">
        <w:rPr>
          <w:rFonts w:cstheme="minorHAnsi"/>
          <w:sz w:val="24"/>
          <w:szCs w:val="24"/>
        </w:rPr>
        <w:t>an IPVD</w:t>
      </w:r>
      <w:r w:rsidRPr="00590031">
        <w:rPr>
          <w:rFonts w:cstheme="minorHAnsi"/>
          <w:sz w:val="24"/>
          <w:szCs w:val="24"/>
        </w:rPr>
        <w:t xml:space="preserve"> was 6 d</w:t>
      </w:r>
      <w:r w:rsidR="00C86B67" w:rsidRPr="00590031">
        <w:rPr>
          <w:rFonts w:cstheme="minorHAnsi"/>
          <w:sz w:val="24"/>
          <w:szCs w:val="24"/>
        </w:rPr>
        <w:t>ays</w:t>
      </w:r>
      <w:r w:rsidRPr="00590031">
        <w:rPr>
          <w:rFonts w:cstheme="minorHAnsi"/>
          <w:sz w:val="24"/>
          <w:szCs w:val="24"/>
        </w:rPr>
        <w:t xml:space="preserve">. </w:t>
      </w:r>
      <w:r w:rsidR="00DA3CCA" w:rsidRPr="00590031">
        <w:rPr>
          <w:rFonts w:cstheme="minorHAnsi"/>
          <w:sz w:val="24"/>
          <w:szCs w:val="24"/>
        </w:rPr>
        <w:t>At 48 hours</w:t>
      </w:r>
      <w:r w:rsidR="009C3E28" w:rsidRPr="00590031">
        <w:rPr>
          <w:rFonts w:cstheme="minorHAnsi"/>
          <w:sz w:val="24"/>
          <w:szCs w:val="24"/>
        </w:rPr>
        <w:t xml:space="preserve"> from commencing an IPVD</w:t>
      </w:r>
      <w:r w:rsidR="00DA3CCA" w:rsidRPr="00590031">
        <w:rPr>
          <w:rFonts w:cstheme="minorHAnsi"/>
          <w:sz w:val="24"/>
          <w:szCs w:val="24"/>
        </w:rPr>
        <w:t xml:space="preserve"> three patients had died</w:t>
      </w:r>
      <w:r w:rsidR="0059751E" w:rsidRPr="00590031">
        <w:rPr>
          <w:rFonts w:cstheme="minorHAnsi"/>
          <w:sz w:val="24"/>
          <w:szCs w:val="24"/>
        </w:rPr>
        <w:t xml:space="preserve"> (3/59</w:t>
      </w:r>
      <w:r w:rsidR="0067033B" w:rsidRPr="00590031">
        <w:rPr>
          <w:rFonts w:cstheme="minorHAnsi"/>
          <w:sz w:val="24"/>
          <w:szCs w:val="24"/>
        </w:rPr>
        <w:t xml:space="preserve">) </w:t>
      </w:r>
      <w:r w:rsidR="0059751E" w:rsidRPr="00590031">
        <w:rPr>
          <w:rFonts w:cstheme="minorHAnsi"/>
          <w:sz w:val="24"/>
          <w:szCs w:val="24"/>
        </w:rPr>
        <w:t>[5</w:t>
      </w:r>
      <w:r w:rsidR="0067033B" w:rsidRPr="00590031">
        <w:rPr>
          <w:rFonts w:cstheme="minorHAnsi"/>
          <w:sz w:val="24"/>
          <w:szCs w:val="24"/>
        </w:rPr>
        <w:t>.1</w:t>
      </w:r>
      <w:r w:rsidR="0059751E" w:rsidRPr="00590031">
        <w:rPr>
          <w:rFonts w:cstheme="minorHAnsi"/>
          <w:sz w:val="24"/>
          <w:szCs w:val="24"/>
        </w:rPr>
        <w:t>%]</w:t>
      </w:r>
      <w:r w:rsidR="007D2178" w:rsidRPr="00590031">
        <w:rPr>
          <w:rFonts w:cstheme="minorHAnsi"/>
          <w:sz w:val="24"/>
          <w:szCs w:val="24"/>
        </w:rPr>
        <w:t>)</w:t>
      </w:r>
      <w:r w:rsidR="00DA3CCA" w:rsidRPr="00590031">
        <w:rPr>
          <w:rFonts w:cstheme="minorHAnsi"/>
          <w:sz w:val="24"/>
          <w:szCs w:val="24"/>
        </w:rPr>
        <w:t xml:space="preserve"> (one receiving </w:t>
      </w:r>
      <w:r w:rsidR="009A6A49" w:rsidRPr="00590031">
        <w:rPr>
          <w:rFonts w:cstheme="minorHAnsi"/>
          <w:sz w:val="24"/>
          <w:szCs w:val="24"/>
        </w:rPr>
        <w:t>i</w:t>
      </w:r>
      <w:r w:rsidR="00DA3CCA" w:rsidRPr="00590031">
        <w:rPr>
          <w:rFonts w:cstheme="minorHAnsi"/>
          <w:sz w:val="24"/>
          <w:szCs w:val="24"/>
        </w:rPr>
        <w:t xml:space="preserve">NO and two receiving combined therapy) and one patient had been transferred to the regional ECMO centre. </w:t>
      </w:r>
      <w:r w:rsidR="00290CE6" w:rsidRPr="00590031">
        <w:rPr>
          <w:rFonts w:cstheme="minorHAnsi"/>
          <w:sz w:val="24"/>
          <w:szCs w:val="24"/>
        </w:rPr>
        <w:t xml:space="preserve">The overall response to IPVD therapy at different time points and the variations between therapies received are detailed in Table 2. </w:t>
      </w:r>
      <w:r w:rsidR="007D2178" w:rsidRPr="00590031">
        <w:rPr>
          <w:rFonts w:cstheme="minorHAnsi"/>
          <w:sz w:val="24"/>
          <w:szCs w:val="24"/>
        </w:rPr>
        <w:t xml:space="preserve">The majority of patients showed an improvement in oxygenation when assessed </w:t>
      </w:r>
      <w:r w:rsidR="00290CE6" w:rsidRPr="00590031">
        <w:rPr>
          <w:rFonts w:cstheme="minorHAnsi"/>
          <w:sz w:val="24"/>
          <w:szCs w:val="24"/>
        </w:rPr>
        <w:t xml:space="preserve">72 hours following </w:t>
      </w:r>
      <w:r w:rsidR="007D2178" w:rsidRPr="00590031">
        <w:rPr>
          <w:rFonts w:cstheme="minorHAnsi"/>
          <w:sz w:val="24"/>
          <w:szCs w:val="24"/>
        </w:rPr>
        <w:t>the start of</w:t>
      </w:r>
      <w:r w:rsidR="00290CE6" w:rsidRPr="00590031">
        <w:rPr>
          <w:rFonts w:cstheme="minorHAnsi"/>
          <w:sz w:val="24"/>
          <w:szCs w:val="24"/>
        </w:rPr>
        <w:t xml:space="preserve"> IPVD </w:t>
      </w:r>
      <w:r w:rsidR="007D2178" w:rsidRPr="00590031">
        <w:rPr>
          <w:rFonts w:cstheme="minorHAnsi"/>
          <w:sz w:val="24"/>
          <w:szCs w:val="24"/>
        </w:rPr>
        <w:t>therapy (</w:t>
      </w:r>
      <w:r w:rsidR="00290CE6" w:rsidRPr="00590031">
        <w:rPr>
          <w:rFonts w:cstheme="minorHAnsi"/>
          <w:sz w:val="24"/>
          <w:szCs w:val="24"/>
        </w:rPr>
        <w:t xml:space="preserve">median increase </w:t>
      </w:r>
      <w:r w:rsidR="00BC4748" w:rsidRPr="00590031">
        <w:rPr>
          <w:rFonts w:cstheme="minorHAnsi"/>
          <w:sz w:val="24"/>
          <w:szCs w:val="24"/>
        </w:rPr>
        <w:t>in PF ratio</w:t>
      </w:r>
      <w:r w:rsidR="00290CE6" w:rsidRPr="00590031">
        <w:rPr>
          <w:rFonts w:cstheme="minorHAnsi"/>
          <w:sz w:val="24"/>
          <w:szCs w:val="24"/>
        </w:rPr>
        <w:t xml:space="preserve"> 33.9% (-4.3-84.1)</w:t>
      </w:r>
      <w:r w:rsidR="007D2178" w:rsidRPr="00590031">
        <w:rPr>
          <w:rFonts w:cstheme="minorHAnsi"/>
          <w:sz w:val="24"/>
          <w:szCs w:val="24"/>
        </w:rPr>
        <w:t>)</w:t>
      </w:r>
      <w:r w:rsidR="00290CE6" w:rsidRPr="00590031">
        <w:rPr>
          <w:rFonts w:cstheme="minorHAnsi"/>
          <w:sz w:val="24"/>
          <w:szCs w:val="24"/>
        </w:rPr>
        <w:t>.</w:t>
      </w:r>
      <w:r w:rsidR="00A34D42" w:rsidRPr="00590031">
        <w:rPr>
          <w:rFonts w:cstheme="minorHAnsi"/>
          <w:sz w:val="24"/>
          <w:szCs w:val="24"/>
        </w:rPr>
        <w:t xml:space="preserve"> </w:t>
      </w:r>
      <w:r w:rsidR="007D2178" w:rsidRPr="00590031">
        <w:rPr>
          <w:rFonts w:cstheme="minorHAnsi"/>
          <w:sz w:val="24"/>
          <w:szCs w:val="24"/>
        </w:rPr>
        <w:t xml:space="preserve">This increase occurred more quickly in patients treated with iNO compared to those treated with </w:t>
      </w:r>
      <w:r w:rsidR="005A0B3A" w:rsidRPr="00590031">
        <w:rPr>
          <w:rFonts w:cstheme="minorHAnsi"/>
          <w:sz w:val="24"/>
          <w:szCs w:val="24"/>
        </w:rPr>
        <w:t>Iloprost,</w:t>
      </w:r>
      <w:r w:rsidR="007D2178" w:rsidRPr="00590031">
        <w:rPr>
          <w:rFonts w:cstheme="minorHAnsi"/>
          <w:sz w:val="24"/>
          <w:szCs w:val="24"/>
        </w:rPr>
        <w:t xml:space="preserve"> </w:t>
      </w:r>
      <w:r w:rsidR="005A0B3A" w:rsidRPr="00590031">
        <w:rPr>
          <w:rFonts w:cstheme="minorHAnsi"/>
          <w:sz w:val="24"/>
          <w:szCs w:val="24"/>
        </w:rPr>
        <w:t>with</w:t>
      </w:r>
      <w:r w:rsidR="007D2178" w:rsidRPr="00590031">
        <w:rPr>
          <w:rFonts w:cstheme="minorHAnsi"/>
          <w:sz w:val="24"/>
          <w:szCs w:val="24"/>
        </w:rPr>
        <w:t xml:space="preserve"> maximal improvement</w:t>
      </w:r>
      <w:r w:rsidR="005A0B3A" w:rsidRPr="00590031">
        <w:rPr>
          <w:rFonts w:cstheme="minorHAnsi"/>
          <w:sz w:val="24"/>
          <w:szCs w:val="24"/>
        </w:rPr>
        <w:t xml:space="preserve"> at 12 and 72 hours, respectively. (Table 2)</w:t>
      </w:r>
      <w:r w:rsidR="007D2178" w:rsidRPr="00590031">
        <w:rPr>
          <w:rFonts w:cstheme="minorHAnsi"/>
          <w:sz w:val="24"/>
          <w:szCs w:val="24"/>
        </w:rPr>
        <w:t xml:space="preserve"> </w:t>
      </w:r>
      <w:r w:rsidR="00A34D42" w:rsidRPr="00590031">
        <w:rPr>
          <w:rFonts w:cstheme="minorHAnsi"/>
          <w:sz w:val="24"/>
          <w:szCs w:val="24"/>
        </w:rPr>
        <w:t xml:space="preserve"> </w:t>
      </w:r>
      <w:r w:rsidR="00181812" w:rsidRPr="00590031">
        <w:rPr>
          <w:rFonts w:cstheme="minorHAnsi"/>
          <w:sz w:val="24"/>
          <w:szCs w:val="24"/>
        </w:rPr>
        <w:t>T</w:t>
      </w:r>
      <w:r w:rsidR="00BC4748" w:rsidRPr="00590031">
        <w:rPr>
          <w:rFonts w:cstheme="minorHAnsi"/>
          <w:sz w:val="24"/>
          <w:szCs w:val="24"/>
        </w:rPr>
        <w:t xml:space="preserve">he greatest percentage change was seen in patients receiving </w:t>
      </w:r>
      <w:r w:rsidR="00A4020E" w:rsidRPr="00590031">
        <w:rPr>
          <w:rFonts w:cstheme="minorHAnsi"/>
          <w:sz w:val="24"/>
          <w:szCs w:val="24"/>
        </w:rPr>
        <w:t>i</w:t>
      </w:r>
      <w:r w:rsidR="00BC4748" w:rsidRPr="00590031">
        <w:rPr>
          <w:rFonts w:cstheme="minorHAnsi"/>
          <w:sz w:val="24"/>
          <w:szCs w:val="24"/>
        </w:rPr>
        <w:t>NO</w:t>
      </w:r>
      <w:r w:rsidR="00A4020E" w:rsidRPr="00590031">
        <w:rPr>
          <w:rFonts w:cstheme="minorHAnsi"/>
          <w:sz w:val="24"/>
          <w:szCs w:val="24"/>
        </w:rPr>
        <w:t xml:space="preserve"> only</w:t>
      </w:r>
      <w:r w:rsidR="00BC4748" w:rsidRPr="00590031">
        <w:rPr>
          <w:rFonts w:cstheme="minorHAnsi"/>
          <w:sz w:val="24"/>
          <w:szCs w:val="24"/>
        </w:rPr>
        <w:t xml:space="preserve"> (</w:t>
      </w:r>
      <w:r w:rsidR="008E64CC" w:rsidRPr="008E64CC">
        <w:rPr>
          <w:rFonts w:cstheme="minorHAnsi"/>
          <w:color w:val="FF0000"/>
          <w:sz w:val="24"/>
          <w:szCs w:val="24"/>
        </w:rPr>
        <w:t>65.1</w:t>
      </w:r>
      <w:r w:rsidR="00BC4748" w:rsidRPr="008E64CC">
        <w:rPr>
          <w:rFonts w:cstheme="minorHAnsi"/>
          <w:color w:val="FF0000"/>
          <w:sz w:val="24"/>
          <w:szCs w:val="24"/>
        </w:rPr>
        <w:t xml:space="preserve">% at </w:t>
      </w:r>
      <w:r w:rsidR="002D1D94" w:rsidRPr="008E64CC">
        <w:rPr>
          <w:rFonts w:cstheme="minorHAnsi"/>
          <w:color w:val="FF0000"/>
          <w:sz w:val="24"/>
          <w:szCs w:val="24"/>
        </w:rPr>
        <w:t>1</w:t>
      </w:r>
      <w:r w:rsidR="00BC4748" w:rsidRPr="008E64CC">
        <w:rPr>
          <w:rFonts w:cstheme="minorHAnsi"/>
          <w:color w:val="FF0000"/>
          <w:sz w:val="24"/>
          <w:szCs w:val="24"/>
        </w:rPr>
        <w:t>2 hours</w:t>
      </w:r>
      <w:r w:rsidR="00BC4748" w:rsidRPr="00590031">
        <w:rPr>
          <w:rFonts w:cstheme="minorHAnsi"/>
          <w:sz w:val="24"/>
          <w:szCs w:val="24"/>
        </w:rPr>
        <w:t>)</w:t>
      </w:r>
      <w:r w:rsidR="00F91F37" w:rsidRPr="00590031">
        <w:rPr>
          <w:rFonts w:cstheme="minorHAnsi"/>
          <w:sz w:val="24"/>
          <w:szCs w:val="24"/>
        </w:rPr>
        <w:t>,</w:t>
      </w:r>
      <w:r w:rsidR="00BC4748" w:rsidRPr="00590031">
        <w:rPr>
          <w:rFonts w:cstheme="minorHAnsi"/>
          <w:sz w:val="24"/>
          <w:szCs w:val="24"/>
        </w:rPr>
        <w:t xml:space="preserve"> </w:t>
      </w:r>
      <w:r w:rsidR="00F91F37" w:rsidRPr="00590031">
        <w:rPr>
          <w:rFonts w:cstheme="minorHAnsi"/>
          <w:sz w:val="24"/>
          <w:szCs w:val="24"/>
        </w:rPr>
        <w:t>however</w:t>
      </w:r>
      <w:r w:rsidR="00A4020E" w:rsidRPr="00590031">
        <w:rPr>
          <w:rFonts w:cstheme="minorHAnsi"/>
          <w:sz w:val="24"/>
          <w:szCs w:val="24"/>
        </w:rPr>
        <w:t xml:space="preserve"> th</w:t>
      </w:r>
      <w:r w:rsidR="00266A4E" w:rsidRPr="00590031">
        <w:rPr>
          <w:rFonts w:cstheme="minorHAnsi"/>
          <w:sz w:val="24"/>
          <w:szCs w:val="24"/>
        </w:rPr>
        <w:t xml:space="preserve">is data was from a </w:t>
      </w:r>
      <w:r w:rsidR="00A4020E" w:rsidRPr="00590031">
        <w:rPr>
          <w:rFonts w:cstheme="minorHAnsi"/>
          <w:sz w:val="24"/>
          <w:szCs w:val="24"/>
        </w:rPr>
        <w:t xml:space="preserve">small number of patients. </w:t>
      </w:r>
      <w:r w:rsidR="00BC4748" w:rsidRPr="00590031">
        <w:rPr>
          <w:rFonts w:cstheme="minorHAnsi"/>
          <w:sz w:val="24"/>
          <w:szCs w:val="24"/>
        </w:rPr>
        <w:t>The percentage changes for all patients during therapy are shown in Figure 3.</w:t>
      </w:r>
      <w:r w:rsidR="00364F58" w:rsidRPr="00590031">
        <w:rPr>
          <w:rFonts w:cstheme="minorHAnsi"/>
          <w:sz w:val="24"/>
          <w:szCs w:val="24"/>
        </w:rPr>
        <w:t xml:space="preserve"> </w:t>
      </w:r>
    </w:p>
    <w:p w14:paraId="04F77777" w14:textId="1C338F65" w:rsidR="008A579D" w:rsidRPr="00590031" w:rsidRDefault="008A579D" w:rsidP="00590031">
      <w:pPr>
        <w:spacing w:line="480" w:lineRule="auto"/>
        <w:jc w:val="both"/>
        <w:rPr>
          <w:rFonts w:cstheme="minorHAnsi"/>
          <w:sz w:val="24"/>
          <w:szCs w:val="24"/>
        </w:rPr>
      </w:pPr>
    </w:p>
    <w:p w14:paraId="0110C93F" w14:textId="21634B0E" w:rsidR="00777826" w:rsidRPr="00590031" w:rsidRDefault="00777826" w:rsidP="00590031">
      <w:pPr>
        <w:spacing w:line="480" w:lineRule="auto"/>
        <w:jc w:val="both"/>
        <w:rPr>
          <w:rFonts w:cstheme="minorHAnsi"/>
          <w:sz w:val="24"/>
          <w:szCs w:val="24"/>
        </w:rPr>
      </w:pPr>
      <w:r w:rsidRPr="00590031">
        <w:rPr>
          <w:rFonts w:cstheme="minorHAnsi"/>
          <w:sz w:val="24"/>
          <w:szCs w:val="24"/>
        </w:rPr>
        <w:lastRenderedPageBreak/>
        <w:t>Table 2. Percentage change in PF ratio from initiation of IPVD</w:t>
      </w:r>
      <w:r w:rsidR="00F309A5" w:rsidRPr="00590031">
        <w:rPr>
          <w:rFonts w:cstheme="minorHAnsi"/>
          <w:sz w:val="24"/>
          <w:szCs w:val="24"/>
        </w:rPr>
        <w:t xml:space="preserve"> therapy</w:t>
      </w:r>
    </w:p>
    <w:p w14:paraId="62ED867D" w14:textId="4AFED11E" w:rsidR="00CD2421" w:rsidRPr="00590031" w:rsidRDefault="00CD2421" w:rsidP="00590031">
      <w:pPr>
        <w:autoSpaceDE w:val="0"/>
        <w:autoSpaceDN w:val="0"/>
        <w:adjustRightInd w:val="0"/>
        <w:spacing w:after="0" w:line="480" w:lineRule="auto"/>
        <w:jc w:val="both"/>
        <w:rPr>
          <w:rFonts w:cstheme="minorHAnsi"/>
          <w:sz w:val="24"/>
          <w:szCs w:val="24"/>
        </w:rPr>
      </w:pPr>
    </w:p>
    <w:p w14:paraId="5A068B19" w14:textId="1591F244" w:rsidR="00BC4748" w:rsidRPr="00590031" w:rsidRDefault="00BC4748" w:rsidP="00590031">
      <w:pPr>
        <w:spacing w:line="480" w:lineRule="auto"/>
        <w:jc w:val="both"/>
        <w:rPr>
          <w:rFonts w:cstheme="minorHAnsi"/>
          <w:sz w:val="24"/>
          <w:szCs w:val="24"/>
        </w:rPr>
      </w:pPr>
      <w:r w:rsidRPr="00590031">
        <w:rPr>
          <w:rFonts w:cstheme="minorHAnsi"/>
          <w:sz w:val="24"/>
          <w:szCs w:val="24"/>
        </w:rPr>
        <w:t>Figure 3. Percentage change in PF ratio from initiation of IPVD (all patients)</w:t>
      </w:r>
    </w:p>
    <w:p w14:paraId="18B92F01" w14:textId="77777777" w:rsidR="009C3DD5" w:rsidRPr="00590031" w:rsidRDefault="009C3DD5" w:rsidP="00590031">
      <w:pPr>
        <w:pStyle w:val="Heading3"/>
        <w:spacing w:line="480" w:lineRule="auto"/>
        <w:jc w:val="both"/>
        <w:rPr>
          <w:rFonts w:asciiTheme="minorHAnsi" w:hAnsiTheme="minorHAnsi" w:cstheme="minorHAnsi"/>
          <w:b/>
          <w:bCs/>
          <w:color w:val="000000" w:themeColor="text1"/>
        </w:rPr>
      </w:pPr>
    </w:p>
    <w:p w14:paraId="34F4A351" w14:textId="7B9AA68F" w:rsidR="009C3DD5" w:rsidRPr="00590031" w:rsidRDefault="009C3DD5" w:rsidP="00590031">
      <w:pPr>
        <w:spacing w:line="480" w:lineRule="auto"/>
        <w:jc w:val="both"/>
        <w:rPr>
          <w:rFonts w:cstheme="minorHAnsi"/>
          <w:b/>
          <w:bCs/>
          <w:color w:val="000000" w:themeColor="text1"/>
          <w:sz w:val="24"/>
          <w:szCs w:val="24"/>
        </w:rPr>
      </w:pPr>
      <w:r w:rsidRPr="00590031">
        <w:rPr>
          <w:rFonts w:cstheme="minorHAnsi"/>
          <w:b/>
          <w:bCs/>
          <w:color w:val="000000" w:themeColor="text1"/>
          <w:sz w:val="24"/>
          <w:szCs w:val="24"/>
        </w:rPr>
        <w:t>Characteristics of survivors vs. non-survivors</w:t>
      </w:r>
      <w:r w:rsidR="00A34D42" w:rsidRPr="00590031">
        <w:rPr>
          <w:rFonts w:cstheme="minorHAnsi"/>
          <w:b/>
          <w:bCs/>
          <w:color w:val="000000" w:themeColor="text1"/>
          <w:sz w:val="24"/>
          <w:szCs w:val="24"/>
        </w:rPr>
        <w:t xml:space="preserve"> in patients receiving an IPVD</w:t>
      </w:r>
    </w:p>
    <w:p w14:paraId="282A1D0A" w14:textId="114D5D53" w:rsidR="009C3DD5" w:rsidRPr="00590031" w:rsidRDefault="00A34D42" w:rsidP="00590031">
      <w:pPr>
        <w:spacing w:line="480" w:lineRule="auto"/>
        <w:jc w:val="both"/>
        <w:rPr>
          <w:rFonts w:cstheme="minorHAnsi"/>
          <w:sz w:val="24"/>
          <w:szCs w:val="24"/>
        </w:rPr>
      </w:pPr>
      <w:r w:rsidRPr="00590031">
        <w:rPr>
          <w:rFonts w:cstheme="minorHAnsi"/>
          <w:sz w:val="24"/>
          <w:szCs w:val="24"/>
        </w:rPr>
        <w:t xml:space="preserve">Of the 59 patients who received an IPVD 33 (55.9%) survived to ICU discharge. </w:t>
      </w:r>
      <w:r w:rsidR="0082540E" w:rsidRPr="00590031">
        <w:rPr>
          <w:rFonts w:cstheme="minorHAnsi"/>
          <w:sz w:val="24"/>
          <w:szCs w:val="24"/>
        </w:rPr>
        <w:t xml:space="preserve">The differences in characteristics between survivors and non-survivors are detailed in table 3. </w:t>
      </w:r>
      <w:r w:rsidR="009C3DD5" w:rsidRPr="00590031">
        <w:rPr>
          <w:rFonts w:cstheme="minorHAnsi"/>
          <w:sz w:val="24"/>
          <w:szCs w:val="24"/>
        </w:rPr>
        <w:t xml:space="preserve">There were no </w:t>
      </w:r>
      <w:r w:rsidR="00266A4E" w:rsidRPr="00590031">
        <w:rPr>
          <w:rFonts w:cstheme="minorHAnsi"/>
          <w:sz w:val="24"/>
          <w:szCs w:val="24"/>
        </w:rPr>
        <w:t xml:space="preserve">significant </w:t>
      </w:r>
      <w:r w:rsidR="009C3DD5" w:rsidRPr="00590031">
        <w:rPr>
          <w:rFonts w:cstheme="minorHAnsi"/>
          <w:sz w:val="24"/>
          <w:szCs w:val="24"/>
        </w:rPr>
        <w:t>differences in survivors compared to non-survivors with regards to age, gender, BMI, ethnicity, baseline comorbidities, APACHE-II score or admission oxygenation indices. With the exception of a higher creatinine kinase in the survivors there were no differences in admission bloods. There were no differences in receipt of corticosteroids, ECMO or prone position ventilation between the groups. Survivors received renal replacement therapy less frequently than non-survivors (15.2% vs. 38.5%, p=0.041).</w:t>
      </w:r>
    </w:p>
    <w:p w14:paraId="53A26853" w14:textId="77777777" w:rsidR="00472A4F" w:rsidRPr="00590031" w:rsidRDefault="00472A4F" w:rsidP="00590031">
      <w:pPr>
        <w:spacing w:line="480" w:lineRule="auto"/>
        <w:jc w:val="both"/>
        <w:rPr>
          <w:rFonts w:cstheme="minorHAnsi"/>
          <w:sz w:val="24"/>
          <w:szCs w:val="24"/>
        </w:rPr>
      </w:pPr>
    </w:p>
    <w:p w14:paraId="010931D0" w14:textId="43FED163" w:rsidR="009C3DD5" w:rsidRPr="00590031" w:rsidRDefault="009C3DD5" w:rsidP="00590031">
      <w:pPr>
        <w:spacing w:line="480" w:lineRule="auto"/>
        <w:jc w:val="both"/>
        <w:rPr>
          <w:rFonts w:cstheme="minorHAnsi"/>
          <w:sz w:val="24"/>
          <w:szCs w:val="24"/>
        </w:rPr>
      </w:pPr>
      <w:r w:rsidRPr="00590031">
        <w:rPr>
          <w:rFonts w:cstheme="minorHAnsi"/>
          <w:sz w:val="24"/>
          <w:szCs w:val="24"/>
        </w:rPr>
        <w:t xml:space="preserve">Table 3. Characteristics of survivors </w:t>
      </w:r>
      <w:r w:rsidR="005B51F1" w:rsidRPr="00590031">
        <w:rPr>
          <w:rFonts w:cstheme="minorHAnsi"/>
          <w:sz w:val="24"/>
          <w:szCs w:val="24"/>
        </w:rPr>
        <w:t>vs.</w:t>
      </w:r>
      <w:r w:rsidRPr="00590031">
        <w:rPr>
          <w:rFonts w:cstheme="minorHAnsi"/>
          <w:sz w:val="24"/>
          <w:szCs w:val="24"/>
        </w:rPr>
        <w:t xml:space="preserve"> non-survivor</w:t>
      </w:r>
      <w:r w:rsidR="00472A4F" w:rsidRPr="00590031">
        <w:rPr>
          <w:rFonts w:cstheme="minorHAnsi"/>
          <w:sz w:val="24"/>
          <w:szCs w:val="24"/>
        </w:rPr>
        <w:t>s in patients receiving IPVD therapy</w:t>
      </w:r>
    </w:p>
    <w:p w14:paraId="1FD58864" w14:textId="77777777" w:rsidR="001A31A5" w:rsidRPr="00590031" w:rsidRDefault="001A31A5" w:rsidP="00590031">
      <w:pPr>
        <w:pStyle w:val="Heading3"/>
        <w:spacing w:line="480" w:lineRule="auto"/>
        <w:jc w:val="both"/>
        <w:rPr>
          <w:rFonts w:asciiTheme="minorHAnsi" w:hAnsiTheme="minorHAnsi" w:cstheme="minorHAnsi"/>
          <w:b/>
          <w:bCs/>
          <w:color w:val="000000" w:themeColor="text1"/>
        </w:rPr>
      </w:pPr>
    </w:p>
    <w:p w14:paraId="7F4F7A8F" w14:textId="3FE06D7F" w:rsidR="001F4457" w:rsidRPr="00590031" w:rsidRDefault="001F4457" w:rsidP="00590031">
      <w:pPr>
        <w:pStyle w:val="Heading3"/>
        <w:spacing w:line="480" w:lineRule="auto"/>
        <w:jc w:val="both"/>
        <w:rPr>
          <w:rFonts w:asciiTheme="minorHAnsi" w:hAnsiTheme="minorHAnsi" w:cstheme="minorHAnsi"/>
          <w:b/>
          <w:bCs/>
          <w:color w:val="000000" w:themeColor="text1"/>
        </w:rPr>
      </w:pPr>
      <w:r w:rsidRPr="00590031">
        <w:rPr>
          <w:rFonts w:asciiTheme="minorHAnsi" w:hAnsiTheme="minorHAnsi" w:cstheme="minorHAnsi"/>
          <w:b/>
          <w:bCs/>
          <w:color w:val="000000" w:themeColor="text1"/>
        </w:rPr>
        <w:t xml:space="preserve">Response to IPVD therapy </w:t>
      </w:r>
      <w:r w:rsidR="0082540E" w:rsidRPr="00590031">
        <w:rPr>
          <w:rFonts w:asciiTheme="minorHAnsi" w:hAnsiTheme="minorHAnsi" w:cstheme="minorHAnsi"/>
          <w:b/>
          <w:bCs/>
          <w:color w:val="000000" w:themeColor="text1"/>
        </w:rPr>
        <w:t>in survivors vs. non-survivors</w:t>
      </w:r>
    </w:p>
    <w:p w14:paraId="58892C3C" w14:textId="09D27DC8" w:rsidR="003C25D6" w:rsidRPr="00590031" w:rsidRDefault="00266A4E" w:rsidP="00590031">
      <w:pPr>
        <w:spacing w:line="480" w:lineRule="auto"/>
        <w:jc w:val="both"/>
        <w:rPr>
          <w:rFonts w:cstheme="minorHAnsi"/>
          <w:sz w:val="24"/>
          <w:szCs w:val="24"/>
        </w:rPr>
      </w:pPr>
      <w:r w:rsidRPr="00590031">
        <w:rPr>
          <w:rFonts w:cstheme="minorHAnsi"/>
          <w:sz w:val="24"/>
          <w:szCs w:val="24"/>
        </w:rPr>
        <w:t>Both groups had severe acute hypoxic respiratory failure with a median PF ratio of 11</w:t>
      </w:r>
      <w:r w:rsidR="003232BF" w:rsidRPr="00590031">
        <w:rPr>
          <w:rFonts w:cstheme="minorHAnsi"/>
          <w:sz w:val="24"/>
          <w:szCs w:val="24"/>
        </w:rPr>
        <w:t>.33</w:t>
      </w:r>
      <w:r w:rsidRPr="00590031">
        <w:rPr>
          <w:rFonts w:cstheme="minorHAnsi"/>
          <w:sz w:val="24"/>
          <w:szCs w:val="24"/>
        </w:rPr>
        <w:t xml:space="preserve"> kPa before</w:t>
      </w:r>
      <w:r w:rsidR="00181812" w:rsidRPr="00590031">
        <w:rPr>
          <w:rFonts w:cstheme="minorHAnsi"/>
          <w:sz w:val="24"/>
          <w:szCs w:val="24"/>
        </w:rPr>
        <w:t xml:space="preserve"> </w:t>
      </w:r>
      <w:r w:rsidR="007010E6" w:rsidRPr="00590031">
        <w:rPr>
          <w:rFonts w:cstheme="minorHAnsi"/>
          <w:sz w:val="24"/>
          <w:szCs w:val="24"/>
        </w:rPr>
        <w:t>commencing IPVD therapy</w:t>
      </w:r>
      <w:r w:rsidRPr="00590031">
        <w:rPr>
          <w:rFonts w:cstheme="minorHAnsi"/>
          <w:sz w:val="24"/>
          <w:szCs w:val="24"/>
        </w:rPr>
        <w:t xml:space="preserve">. There were no differences in PF ratio or A-a gradient at initiation of IPVD between both groups. </w:t>
      </w:r>
      <w:r w:rsidR="007108B4" w:rsidRPr="00590031">
        <w:rPr>
          <w:rFonts w:cstheme="minorHAnsi"/>
          <w:sz w:val="24"/>
          <w:szCs w:val="24"/>
        </w:rPr>
        <w:t xml:space="preserve">The median time from </w:t>
      </w:r>
      <w:r w:rsidR="003C25D6" w:rsidRPr="00590031">
        <w:rPr>
          <w:rFonts w:cstheme="minorHAnsi"/>
          <w:sz w:val="24"/>
          <w:szCs w:val="24"/>
        </w:rPr>
        <w:t xml:space="preserve">ICU </w:t>
      </w:r>
      <w:r w:rsidR="007108B4" w:rsidRPr="00590031">
        <w:rPr>
          <w:rFonts w:cstheme="minorHAnsi"/>
          <w:sz w:val="24"/>
          <w:szCs w:val="24"/>
        </w:rPr>
        <w:t xml:space="preserve">admission to receipt of </w:t>
      </w:r>
      <w:r w:rsidRPr="00590031">
        <w:rPr>
          <w:rFonts w:cstheme="minorHAnsi"/>
          <w:sz w:val="24"/>
          <w:szCs w:val="24"/>
        </w:rPr>
        <w:t xml:space="preserve">IPVD </w:t>
      </w:r>
      <w:r w:rsidR="007108B4" w:rsidRPr="00590031">
        <w:rPr>
          <w:rFonts w:cstheme="minorHAnsi"/>
          <w:sz w:val="24"/>
          <w:szCs w:val="24"/>
        </w:rPr>
        <w:t xml:space="preserve">therapy was 6 days and did not differ between </w:t>
      </w:r>
      <w:r w:rsidR="005E76C4" w:rsidRPr="00590031">
        <w:rPr>
          <w:rFonts w:cstheme="minorHAnsi"/>
          <w:sz w:val="24"/>
          <w:szCs w:val="24"/>
        </w:rPr>
        <w:t>survivors and non-survivors</w:t>
      </w:r>
      <w:r w:rsidR="007108B4" w:rsidRPr="00590031">
        <w:rPr>
          <w:rFonts w:cstheme="minorHAnsi"/>
          <w:sz w:val="24"/>
          <w:szCs w:val="24"/>
        </w:rPr>
        <w:t xml:space="preserve">. </w:t>
      </w:r>
      <w:r w:rsidR="005E76C4" w:rsidRPr="00590031">
        <w:rPr>
          <w:rFonts w:cstheme="minorHAnsi"/>
          <w:sz w:val="24"/>
          <w:szCs w:val="24"/>
        </w:rPr>
        <w:t>Moreover, t</w:t>
      </w:r>
      <w:r w:rsidR="008C2481" w:rsidRPr="00590031">
        <w:rPr>
          <w:rFonts w:cstheme="minorHAnsi"/>
          <w:sz w:val="24"/>
          <w:szCs w:val="24"/>
        </w:rPr>
        <w:t>here were no differences betwee</w:t>
      </w:r>
      <w:r w:rsidR="007108B4" w:rsidRPr="00590031">
        <w:rPr>
          <w:rFonts w:cstheme="minorHAnsi"/>
          <w:sz w:val="24"/>
          <w:szCs w:val="24"/>
        </w:rPr>
        <w:t>n the groups in terms of IPVD</w:t>
      </w:r>
      <w:r w:rsidR="008C2481" w:rsidRPr="00590031">
        <w:rPr>
          <w:rFonts w:cstheme="minorHAnsi"/>
          <w:sz w:val="24"/>
          <w:szCs w:val="24"/>
        </w:rPr>
        <w:t xml:space="preserve"> received (</w:t>
      </w:r>
      <w:r w:rsidR="000803B3" w:rsidRPr="00590031">
        <w:rPr>
          <w:rFonts w:cstheme="minorHAnsi"/>
          <w:sz w:val="24"/>
          <w:szCs w:val="24"/>
        </w:rPr>
        <w:t>I</w:t>
      </w:r>
      <w:r w:rsidR="008C2481" w:rsidRPr="00590031">
        <w:rPr>
          <w:rFonts w:cstheme="minorHAnsi"/>
          <w:sz w:val="24"/>
          <w:szCs w:val="24"/>
        </w:rPr>
        <w:t xml:space="preserve">loprost, </w:t>
      </w:r>
      <w:r w:rsidR="005E76C4" w:rsidRPr="00590031">
        <w:rPr>
          <w:rFonts w:cstheme="minorHAnsi"/>
          <w:sz w:val="24"/>
          <w:szCs w:val="24"/>
        </w:rPr>
        <w:t>i</w:t>
      </w:r>
      <w:r w:rsidR="008C2481" w:rsidRPr="00590031">
        <w:rPr>
          <w:rFonts w:cstheme="minorHAnsi"/>
          <w:sz w:val="24"/>
          <w:szCs w:val="24"/>
        </w:rPr>
        <w:t xml:space="preserve">NO or </w:t>
      </w:r>
      <w:r w:rsidR="008C2481" w:rsidRPr="00590031">
        <w:rPr>
          <w:rFonts w:cstheme="minorHAnsi"/>
          <w:sz w:val="24"/>
          <w:szCs w:val="24"/>
        </w:rPr>
        <w:lastRenderedPageBreak/>
        <w:t>both)</w:t>
      </w:r>
      <w:r w:rsidR="00F978E2" w:rsidRPr="00590031">
        <w:rPr>
          <w:rFonts w:cstheme="minorHAnsi"/>
          <w:sz w:val="24"/>
          <w:szCs w:val="24"/>
        </w:rPr>
        <w:t xml:space="preserve"> (Table </w:t>
      </w:r>
      <w:r w:rsidR="00BC4748" w:rsidRPr="00590031">
        <w:rPr>
          <w:rFonts w:cstheme="minorHAnsi"/>
          <w:sz w:val="24"/>
          <w:szCs w:val="24"/>
        </w:rPr>
        <w:t>4</w:t>
      </w:r>
      <w:r w:rsidR="00F978E2" w:rsidRPr="00590031">
        <w:rPr>
          <w:rFonts w:cstheme="minorHAnsi"/>
          <w:sz w:val="24"/>
          <w:szCs w:val="24"/>
        </w:rPr>
        <w:t>)</w:t>
      </w:r>
      <w:r w:rsidR="003C25D6" w:rsidRPr="00590031">
        <w:rPr>
          <w:rFonts w:cstheme="minorHAnsi"/>
          <w:sz w:val="24"/>
          <w:szCs w:val="24"/>
        </w:rPr>
        <w:t>. The PF ratio increased significantly after 2 hours of IPVD initiation</w:t>
      </w:r>
      <w:r w:rsidR="009C3DD5" w:rsidRPr="00590031">
        <w:rPr>
          <w:rFonts w:cstheme="minorHAnsi"/>
          <w:sz w:val="24"/>
          <w:szCs w:val="24"/>
        </w:rPr>
        <w:t xml:space="preserve"> and the response was more evident after 24 hours. </w:t>
      </w:r>
      <w:r w:rsidR="005C7792" w:rsidRPr="00590031">
        <w:rPr>
          <w:rFonts w:cstheme="minorHAnsi"/>
          <w:sz w:val="24"/>
          <w:szCs w:val="24"/>
        </w:rPr>
        <w:t>Sustained improvement in PF ratio from baseline was noted in survivors</w:t>
      </w:r>
      <w:r w:rsidR="003232BF" w:rsidRPr="00590031">
        <w:rPr>
          <w:rFonts w:cstheme="minorHAnsi"/>
          <w:sz w:val="24"/>
          <w:szCs w:val="24"/>
        </w:rPr>
        <w:t>,</w:t>
      </w:r>
      <w:r w:rsidR="005C7792" w:rsidRPr="00590031">
        <w:rPr>
          <w:rFonts w:cstheme="minorHAnsi"/>
          <w:sz w:val="24"/>
          <w:szCs w:val="24"/>
        </w:rPr>
        <w:t xml:space="preserve"> </w:t>
      </w:r>
      <w:r w:rsidR="003232BF" w:rsidRPr="00590031">
        <w:rPr>
          <w:rFonts w:cstheme="minorHAnsi"/>
          <w:sz w:val="24"/>
          <w:szCs w:val="24"/>
        </w:rPr>
        <w:t>with</w:t>
      </w:r>
      <w:r w:rsidR="009C3DD5" w:rsidRPr="00590031">
        <w:rPr>
          <w:rFonts w:cstheme="minorHAnsi"/>
          <w:sz w:val="24"/>
          <w:szCs w:val="24"/>
        </w:rPr>
        <w:t xml:space="preserve"> a </w:t>
      </w:r>
      <w:r w:rsidR="003C25D6" w:rsidRPr="00590031">
        <w:rPr>
          <w:rFonts w:cstheme="minorHAnsi"/>
          <w:sz w:val="24"/>
          <w:szCs w:val="24"/>
        </w:rPr>
        <w:t xml:space="preserve">median </w:t>
      </w:r>
      <w:r w:rsidR="005C7792" w:rsidRPr="00590031">
        <w:rPr>
          <w:rFonts w:cstheme="minorHAnsi"/>
          <w:sz w:val="24"/>
          <w:szCs w:val="24"/>
        </w:rPr>
        <w:t xml:space="preserve">70.8% </w:t>
      </w:r>
      <w:r w:rsidR="00C97032" w:rsidRPr="00590031">
        <w:rPr>
          <w:rFonts w:cstheme="minorHAnsi"/>
          <w:sz w:val="24"/>
          <w:szCs w:val="24"/>
        </w:rPr>
        <w:t>percent increase</w:t>
      </w:r>
      <w:r w:rsidR="003232BF" w:rsidRPr="00590031">
        <w:rPr>
          <w:rFonts w:cstheme="minorHAnsi"/>
          <w:sz w:val="24"/>
          <w:szCs w:val="24"/>
        </w:rPr>
        <w:t xml:space="preserve"> at 72 hours</w:t>
      </w:r>
      <w:r w:rsidR="005C7792" w:rsidRPr="00590031">
        <w:rPr>
          <w:rFonts w:cstheme="minorHAnsi"/>
          <w:sz w:val="24"/>
          <w:szCs w:val="24"/>
        </w:rPr>
        <w:t xml:space="preserve">. </w:t>
      </w:r>
      <w:r w:rsidR="003C25D6" w:rsidRPr="00590031">
        <w:rPr>
          <w:rFonts w:cstheme="minorHAnsi"/>
          <w:sz w:val="24"/>
          <w:szCs w:val="24"/>
        </w:rPr>
        <w:t>In contrast</w:t>
      </w:r>
      <w:r w:rsidR="009C3DD5" w:rsidRPr="00590031">
        <w:rPr>
          <w:rFonts w:cstheme="minorHAnsi"/>
          <w:sz w:val="24"/>
          <w:szCs w:val="24"/>
        </w:rPr>
        <w:t>,</w:t>
      </w:r>
      <w:r w:rsidR="003C25D6" w:rsidRPr="00590031">
        <w:rPr>
          <w:rFonts w:cstheme="minorHAnsi"/>
          <w:sz w:val="24"/>
          <w:szCs w:val="24"/>
        </w:rPr>
        <w:t xml:space="preserve"> the non-survivors had a median reduction in PF ratio of </w:t>
      </w:r>
      <w:r w:rsidR="00C97032" w:rsidRPr="00590031">
        <w:rPr>
          <w:rFonts w:cstheme="minorHAnsi"/>
          <w:sz w:val="24"/>
          <w:szCs w:val="24"/>
        </w:rPr>
        <w:t>4.1% from baseline</w:t>
      </w:r>
      <w:r w:rsidR="003C25D6" w:rsidRPr="00590031">
        <w:rPr>
          <w:rFonts w:cstheme="minorHAnsi"/>
          <w:sz w:val="24"/>
          <w:szCs w:val="24"/>
        </w:rPr>
        <w:t xml:space="preserve"> at 72 hours (Table </w:t>
      </w:r>
      <w:r w:rsidR="00C97032" w:rsidRPr="00590031">
        <w:rPr>
          <w:rFonts w:cstheme="minorHAnsi"/>
          <w:sz w:val="24"/>
          <w:szCs w:val="24"/>
        </w:rPr>
        <w:t>4</w:t>
      </w:r>
      <w:r w:rsidR="003C25D6" w:rsidRPr="00590031">
        <w:rPr>
          <w:rFonts w:cstheme="minorHAnsi"/>
          <w:sz w:val="24"/>
          <w:szCs w:val="24"/>
        </w:rPr>
        <w:t xml:space="preserve"> and Figure </w:t>
      </w:r>
      <w:r w:rsidR="00C97032" w:rsidRPr="00590031">
        <w:rPr>
          <w:rFonts w:cstheme="minorHAnsi"/>
          <w:sz w:val="24"/>
          <w:szCs w:val="24"/>
        </w:rPr>
        <w:t>4</w:t>
      </w:r>
      <w:r w:rsidR="003C25D6" w:rsidRPr="00590031">
        <w:rPr>
          <w:rFonts w:cstheme="minorHAnsi"/>
          <w:sz w:val="24"/>
          <w:szCs w:val="24"/>
        </w:rPr>
        <w:t>)</w:t>
      </w:r>
      <w:r w:rsidR="005C7792" w:rsidRPr="00590031">
        <w:rPr>
          <w:rFonts w:cstheme="minorHAnsi"/>
          <w:sz w:val="24"/>
          <w:szCs w:val="24"/>
        </w:rPr>
        <w:t>.</w:t>
      </w:r>
      <w:r w:rsidR="003C25D6" w:rsidRPr="00590031">
        <w:rPr>
          <w:rFonts w:cstheme="minorHAnsi"/>
          <w:sz w:val="24"/>
          <w:szCs w:val="24"/>
        </w:rPr>
        <w:t xml:space="preserve"> The </w:t>
      </w:r>
      <w:r w:rsidR="00567166" w:rsidRPr="00590031">
        <w:rPr>
          <w:rFonts w:cstheme="minorHAnsi"/>
          <w:sz w:val="24"/>
          <w:szCs w:val="24"/>
        </w:rPr>
        <w:t xml:space="preserve">reduction in </w:t>
      </w:r>
      <w:r w:rsidR="003C25D6" w:rsidRPr="00590031">
        <w:rPr>
          <w:rFonts w:cstheme="minorHAnsi"/>
          <w:sz w:val="24"/>
          <w:szCs w:val="24"/>
        </w:rPr>
        <w:t xml:space="preserve">A-a gradient </w:t>
      </w:r>
      <w:r w:rsidR="00567166" w:rsidRPr="00590031">
        <w:rPr>
          <w:rFonts w:cstheme="minorHAnsi"/>
          <w:sz w:val="24"/>
          <w:szCs w:val="24"/>
        </w:rPr>
        <w:t>was greater in survivors compared</w:t>
      </w:r>
      <w:r w:rsidR="00D30C63" w:rsidRPr="00590031">
        <w:rPr>
          <w:rFonts w:cstheme="minorHAnsi"/>
          <w:sz w:val="24"/>
          <w:szCs w:val="24"/>
        </w:rPr>
        <w:t xml:space="preserve"> t</w:t>
      </w:r>
      <w:r w:rsidR="00250CAB" w:rsidRPr="00590031">
        <w:rPr>
          <w:rFonts w:cstheme="minorHAnsi"/>
          <w:sz w:val="24"/>
          <w:szCs w:val="24"/>
        </w:rPr>
        <w:t>o non-survivors at 48 and 72</w:t>
      </w:r>
      <w:r w:rsidR="00567166" w:rsidRPr="00590031">
        <w:rPr>
          <w:rFonts w:cstheme="minorHAnsi"/>
          <w:sz w:val="24"/>
          <w:szCs w:val="24"/>
        </w:rPr>
        <w:t xml:space="preserve"> hours</w:t>
      </w:r>
      <w:r w:rsidR="003C25D6" w:rsidRPr="00590031">
        <w:rPr>
          <w:rFonts w:cstheme="minorHAnsi"/>
          <w:sz w:val="24"/>
          <w:szCs w:val="24"/>
        </w:rPr>
        <w:t xml:space="preserve"> (Table </w:t>
      </w:r>
      <w:r w:rsidR="00C97032" w:rsidRPr="00590031">
        <w:rPr>
          <w:rFonts w:cstheme="minorHAnsi"/>
          <w:sz w:val="24"/>
          <w:szCs w:val="24"/>
        </w:rPr>
        <w:t>4</w:t>
      </w:r>
      <w:r w:rsidR="003C25D6" w:rsidRPr="00590031">
        <w:rPr>
          <w:rFonts w:cstheme="minorHAnsi"/>
          <w:sz w:val="24"/>
          <w:szCs w:val="24"/>
        </w:rPr>
        <w:t>)</w:t>
      </w:r>
      <w:r w:rsidR="005C7792" w:rsidRPr="00590031">
        <w:rPr>
          <w:rFonts w:cstheme="minorHAnsi"/>
          <w:sz w:val="24"/>
          <w:szCs w:val="24"/>
        </w:rPr>
        <w:t>. The improvements noted in the A-a gradient was less in non-survivors than survivors.</w:t>
      </w:r>
    </w:p>
    <w:p w14:paraId="12A77F31" w14:textId="77777777" w:rsidR="00421724" w:rsidRPr="00590031" w:rsidRDefault="00421724" w:rsidP="00590031">
      <w:pPr>
        <w:spacing w:line="480" w:lineRule="auto"/>
        <w:jc w:val="both"/>
        <w:rPr>
          <w:rFonts w:cstheme="minorHAnsi"/>
          <w:sz w:val="24"/>
          <w:szCs w:val="24"/>
        </w:rPr>
      </w:pPr>
    </w:p>
    <w:p w14:paraId="3EC730AD" w14:textId="04B747E9" w:rsidR="00421724" w:rsidRPr="00590031" w:rsidRDefault="00BD6447" w:rsidP="00590031">
      <w:pPr>
        <w:spacing w:line="480" w:lineRule="auto"/>
        <w:jc w:val="both"/>
        <w:rPr>
          <w:rFonts w:cstheme="minorHAnsi"/>
          <w:sz w:val="24"/>
          <w:szCs w:val="24"/>
        </w:rPr>
      </w:pPr>
      <w:r w:rsidRPr="00590031">
        <w:rPr>
          <w:rFonts w:cstheme="minorHAnsi"/>
          <w:sz w:val="24"/>
          <w:szCs w:val="24"/>
        </w:rPr>
        <w:t xml:space="preserve">Table </w:t>
      </w:r>
      <w:r w:rsidR="0082540E" w:rsidRPr="00590031">
        <w:rPr>
          <w:rFonts w:cstheme="minorHAnsi"/>
          <w:sz w:val="24"/>
          <w:szCs w:val="24"/>
        </w:rPr>
        <w:t>4</w:t>
      </w:r>
      <w:r w:rsidRPr="00590031">
        <w:rPr>
          <w:rFonts w:cstheme="minorHAnsi"/>
          <w:sz w:val="24"/>
          <w:szCs w:val="24"/>
        </w:rPr>
        <w:t xml:space="preserve">. </w:t>
      </w:r>
      <w:r w:rsidR="0082540E" w:rsidRPr="00590031">
        <w:rPr>
          <w:rFonts w:cstheme="minorHAnsi"/>
          <w:sz w:val="24"/>
          <w:szCs w:val="24"/>
        </w:rPr>
        <w:t xml:space="preserve">Response to IPVD therapy </w:t>
      </w:r>
      <w:r w:rsidRPr="00590031">
        <w:rPr>
          <w:rFonts w:cstheme="minorHAnsi"/>
          <w:sz w:val="24"/>
          <w:szCs w:val="24"/>
        </w:rPr>
        <w:t>in survivors vs. non-survivors</w:t>
      </w:r>
    </w:p>
    <w:p w14:paraId="40B2DC5B" w14:textId="769330D4" w:rsidR="001B1B09" w:rsidRPr="00590031" w:rsidRDefault="001B1B09" w:rsidP="00590031">
      <w:pPr>
        <w:autoSpaceDE w:val="0"/>
        <w:autoSpaceDN w:val="0"/>
        <w:adjustRightInd w:val="0"/>
        <w:spacing w:after="0" w:line="480" w:lineRule="auto"/>
        <w:jc w:val="both"/>
        <w:rPr>
          <w:rFonts w:cstheme="minorHAnsi"/>
          <w:sz w:val="24"/>
          <w:szCs w:val="24"/>
        </w:rPr>
      </w:pPr>
    </w:p>
    <w:p w14:paraId="0E47A18E" w14:textId="566BBF66" w:rsidR="001F4457" w:rsidRPr="00590031" w:rsidRDefault="002310F0" w:rsidP="00590031">
      <w:pPr>
        <w:spacing w:line="480" w:lineRule="auto"/>
        <w:jc w:val="both"/>
        <w:rPr>
          <w:rFonts w:cstheme="minorHAnsi"/>
          <w:sz w:val="24"/>
          <w:szCs w:val="24"/>
        </w:rPr>
      </w:pPr>
      <w:r w:rsidRPr="00590031">
        <w:rPr>
          <w:rFonts w:cstheme="minorHAnsi"/>
          <w:sz w:val="24"/>
          <w:szCs w:val="24"/>
        </w:rPr>
        <w:t xml:space="preserve">Figure </w:t>
      </w:r>
      <w:r w:rsidR="00C97032" w:rsidRPr="00590031">
        <w:rPr>
          <w:rFonts w:cstheme="minorHAnsi"/>
          <w:sz w:val="24"/>
          <w:szCs w:val="24"/>
        </w:rPr>
        <w:t>4</w:t>
      </w:r>
      <w:r w:rsidRPr="00590031">
        <w:rPr>
          <w:rFonts w:cstheme="minorHAnsi"/>
          <w:sz w:val="24"/>
          <w:szCs w:val="24"/>
        </w:rPr>
        <w:t>. Changes in P</w:t>
      </w:r>
      <w:r w:rsidR="001F4457" w:rsidRPr="00590031">
        <w:rPr>
          <w:rFonts w:cstheme="minorHAnsi"/>
          <w:sz w:val="24"/>
          <w:szCs w:val="24"/>
        </w:rPr>
        <w:t xml:space="preserve">F ratio during </w:t>
      </w:r>
      <w:r w:rsidR="006E3CAE" w:rsidRPr="00590031">
        <w:rPr>
          <w:rFonts w:cstheme="minorHAnsi"/>
          <w:sz w:val="24"/>
          <w:szCs w:val="24"/>
        </w:rPr>
        <w:t xml:space="preserve">IPVD therapy </w:t>
      </w:r>
      <w:r w:rsidR="00CF45DA" w:rsidRPr="00590031">
        <w:rPr>
          <w:rFonts w:cstheme="minorHAnsi"/>
          <w:sz w:val="24"/>
          <w:szCs w:val="24"/>
        </w:rPr>
        <w:t>in non-survivors vs. survivors</w:t>
      </w:r>
    </w:p>
    <w:p w14:paraId="792D8F09" w14:textId="77777777" w:rsidR="001A31A5" w:rsidRPr="00590031" w:rsidRDefault="001A31A5" w:rsidP="00590031">
      <w:pPr>
        <w:spacing w:line="480" w:lineRule="auto"/>
        <w:jc w:val="both"/>
        <w:rPr>
          <w:rFonts w:cstheme="minorHAnsi"/>
          <w:b/>
          <w:sz w:val="24"/>
          <w:szCs w:val="24"/>
        </w:rPr>
      </w:pPr>
    </w:p>
    <w:p w14:paraId="04AA1871" w14:textId="184DBBE2" w:rsidR="009D2DC0" w:rsidRPr="00590031" w:rsidRDefault="009D2DC0" w:rsidP="00590031">
      <w:pPr>
        <w:spacing w:line="480" w:lineRule="auto"/>
        <w:jc w:val="both"/>
        <w:rPr>
          <w:rFonts w:cstheme="minorHAnsi"/>
          <w:b/>
          <w:sz w:val="24"/>
          <w:szCs w:val="24"/>
        </w:rPr>
      </w:pPr>
      <w:r w:rsidRPr="00590031">
        <w:rPr>
          <w:rFonts w:cstheme="minorHAnsi"/>
          <w:b/>
          <w:sz w:val="24"/>
          <w:szCs w:val="24"/>
        </w:rPr>
        <w:t>Survival in patients</w:t>
      </w:r>
      <w:r w:rsidR="003508E6" w:rsidRPr="00590031">
        <w:rPr>
          <w:rFonts w:cstheme="minorHAnsi"/>
          <w:b/>
          <w:sz w:val="24"/>
          <w:szCs w:val="24"/>
        </w:rPr>
        <w:t xml:space="preserve"> increasing PF ratio by 10</w:t>
      </w:r>
      <w:r w:rsidR="00022207" w:rsidRPr="00590031">
        <w:rPr>
          <w:rFonts w:cstheme="minorHAnsi"/>
          <w:b/>
          <w:sz w:val="24"/>
          <w:szCs w:val="24"/>
        </w:rPr>
        <w:t>%</w:t>
      </w:r>
      <w:r w:rsidR="003508E6" w:rsidRPr="00590031">
        <w:rPr>
          <w:rFonts w:cstheme="minorHAnsi"/>
          <w:b/>
          <w:sz w:val="24"/>
          <w:szCs w:val="24"/>
        </w:rPr>
        <w:t>, 20</w:t>
      </w:r>
      <w:r w:rsidR="00022207" w:rsidRPr="00590031">
        <w:rPr>
          <w:rFonts w:cstheme="minorHAnsi"/>
          <w:b/>
          <w:sz w:val="24"/>
          <w:szCs w:val="24"/>
        </w:rPr>
        <w:t>%</w:t>
      </w:r>
      <w:r w:rsidR="003508E6" w:rsidRPr="00590031">
        <w:rPr>
          <w:rFonts w:cstheme="minorHAnsi"/>
          <w:b/>
          <w:sz w:val="24"/>
          <w:szCs w:val="24"/>
        </w:rPr>
        <w:t xml:space="preserve"> and</w:t>
      </w:r>
      <w:r w:rsidR="00022207" w:rsidRPr="00590031">
        <w:rPr>
          <w:rFonts w:cstheme="minorHAnsi"/>
          <w:b/>
          <w:sz w:val="24"/>
          <w:szCs w:val="24"/>
        </w:rPr>
        <w:t xml:space="preserve"> 50%</w:t>
      </w:r>
    </w:p>
    <w:p w14:paraId="7F492391" w14:textId="494A74DA" w:rsidR="009D2DC0" w:rsidRPr="00590031" w:rsidRDefault="00D34A28" w:rsidP="00590031">
      <w:pPr>
        <w:spacing w:line="480" w:lineRule="auto"/>
        <w:jc w:val="both"/>
        <w:rPr>
          <w:rFonts w:cstheme="minorHAnsi"/>
          <w:sz w:val="24"/>
          <w:szCs w:val="24"/>
        </w:rPr>
      </w:pPr>
      <w:r w:rsidRPr="00590031">
        <w:rPr>
          <w:rFonts w:cstheme="minorHAnsi"/>
          <w:sz w:val="24"/>
          <w:szCs w:val="24"/>
        </w:rPr>
        <w:t xml:space="preserve">A 10% increment in PF ratio was seen in </w:t>
      </w:r>
      <w:r w:rsidR="00022207" w:rsidRPr="00590031">
        <w:rPr>
          <w:rFonts w:cstheme="minorHAnsi"/>
          <w:sz w:val="24"/>
          <w:szCs w:val="24"/>
        </w:rPr>
        <w:t>27 (</w:t>
      </w:r>
      <w:r w:rsidRPr="00590031">
        <w:rPr>
          <w:rFonts w:cstheme="minorHAnsi"/>
          <w:sz w:val="24"/>
          <w:szCs w:val="24"/>
        </w:rPr>
        <w:t>45.8%</w:t>
      </w:r>
      <w:r w:rsidR="00022207" w:rsidRPr="00590031">
        <w:rPr>
          <w:rFonts w:cstheme="minorHAnsi"/>
          <w:sz w:val="24"/>
          <w:szCs w:val="24"/>
        </w:rPr>
        <w:t>)</w:t>
      </w:r>
      <w:r w:rsidRPr="00590031">
        <w:rPr>
          <w:rFonts w:cstheme="minorHAnsi"/>
          <w:sz w:val="24"/>
          <w:szCs w:val="24"/>
        </w:rPr>
        <w:t xml:space="preserve"> and </w:t>
      </w:r>
      <w:r w:rsidR="00022207" w:rsidRPr="00590031">
        <w:rPr>
          <w:rFonts w:cstheme="minorHAnsi"/>
          <w:sz w:val="24"/>
          <w:szCs w:val="24"/>
        </w:rPr>
        <w:t>38 (</w:t>
      </w:r>
      <w:r w:rsidRPr="00590031">
        <w:rPr>
          <w:rFonts w:cstheme="minorHAnsi"/>
          <w:sz w:val="24"/>
          <w:szCs w:val="24"/>
        </w:rPr>
        <w:t>69.1%</w:t>
      </w:r>
      <w:r w:rsidR="002E04DF" w:rsidRPr="00590031">
        <w:rPr>
          <w:rFonts w:cstheme="minorHAnsi"/>
          <w:sz w:val="24"/>
          <w:szCs w:val="24"/>
        </w:rPr>
        <w:t>) patients</w:t>
      </w:r>
      <w:r w:rsidRPr="00590031">
        <w:rPr>
          <w:rFonts w:cstheme="minorHAnsi"/>
          <w:sz w:val="24"/>
          <w:szCs w:val="24"/>
        </w:rPr>
        <w:t xml:space="preserve"> at 2 hours and 72 hours after </w:t>
      </w:r>
      <w:r w:rsidR="00471EEE" w:rsidRPr="00590031">
        <w:rPr>
          <w:rFonts w:cstheme="minorHAnsi"/>
          <w:sz w:val="24"/>
          <w:szCs w:val="24"/>
        </w:rPr>
        <w:t>commencing</w:t>
      </w:r>
      <w:r w:rsidRPr="00590031">
        <w:rPr>
          <w:rFonts w:cstheme="minorHAnsi"/>
          <w:sz w:val="24"/>
          <w:szCs w:val="24"/>
        </w:rPr>
        <w:t xml:space="preserve"> IPVD therapy</w:t>
      </w:r>
      <w:r w:rsidR="00BE4428" w:rsidRPr="00590031">
        <w:rPr>
          <w:rFonts w:cstheme="minorHAnsi"/>
          <w:sz w:val="24"/>
          <w:szCs w:val="24"/>
        </w:rPr>
        <w:t>,</w:t>
      </w:r>
      <w:r w:rsidRPr="00590031">
        <w:rPr>
          <w:rFonts w:cstheme="minorHAnsi"/>
          <w:sz w:val="24"/>
          <w:szCs w:val="24"/>
        </w:rPr>
        <w:t xml:space="preserve"> respectively. Similar proportional changes were noted for</w:t>
      </w:r>
      <w:r w:rsidR="00471EEE" w:rsidRPr="00590031">
        <w:rPr>
          <w:rFonts w:cstheme="minorHAnsi"/>
          <w:sz w:val="24"/>
          <w:szCs w:val="24"/>
        </w:rPr>
        <w:t xml:space="preserve"> a </w:t>
      </w:r>
      <w:r w:rsidRPr="00590031">
        <w:rPr>
          <w:rFonts w:cstheme="minorHAnsi"/>
          <w:sz w:val="24"/>
          <w:szCs w:val="24"/>
        </w:rPr>
        <w:t>20% response. However, 50% increment in PF ratio was proportionately lower at 10.2% and 43.6% at 2</w:t>
      </w:r>
      <w:r w:rsidR="00471EEE" w:rsidRPr="00590031">
        <w:rPr>
          <w:rFonts w:cstheme="minorHAnsi"/>
          <w:sz w:val="24"/>
          <w:szCs w:val="24"/>
        </w:rPr>
        <w:t xml:space="preserve"> </w:t>
      </w:r>
      <w:r w:rsidRPr="00590031">
        <w:rPr>
          <w:rFonts w:cstheme="minorHAnsi"/>
          <w:sz w:val="24"/>
          <w:szCs w:val="24"/>
        </w:rPr>
        <w:t>hours and 72 hours</w:t>
      </w:r>
      <w:r w:rsidR="00BE4428" w:rsidRPr="00590031">
        <w:rPr>
          <w:rFonts w:cstheme="minorHAnsi"/>
          <w:sz w:val="24"/>
          <w:szCs w:val="24"/>
        </w:rPr>
        <w:t>,</w:t>
      </w:r>
      <w:r w:rsidRPr="00590031">
        <w:rPr>
          <w:rFonts w:cstheme="minorHAnsi"/>
          <w:sz w:val="24"/>
          <w:szCs w:val="24"/>
        </w:rPr>
        <w:t xml:space="preserve"> respectively. </w:t>
      </w:r>
      <w:r w:rsidR="00F73CAD" w:rsidRPr="00590031">
        <w:rPr>
          <w:rFonts w:cstheme="minorHAnsi"/>
          <w:sz w:val="24"/>
          <w:szCs w:val="24"/>
        </w:rPr>
        <w:t xml:space="preserve">An increment in PF ratio of 10% (p=0.006), 20% (p=0.001) and 50% (p&lt;0.001) at 48 hours from commencing IPVD therapy was associated with increased ICU survival. </w:t>
      </w:r>
      <w:r w:rsidRPr="00590031">
        <w:rPr>
          <w:rFonts w:cstheme="minorHAnsi"/>
          <w:sz w:val="24"/>
          <w:szCs w:val="24"/>
        </w:rPr>
        <w:t xml:space="preserve">(Table 5).   </w:t>
      </w:r>
    </w:p>
    <w:p w14:paraId="156C4711" w14:textId="77777777" w:rsidR="001A31A5" w:rsidRPr="00590031" w:rsidRDefault="001A31A5" w:rsidP="00590031">
      <w:pPr>
        <w:spacing w:line="480" w:lineRule="auto"/>
        <w:jc w:val="both"/>
        <w:rPr>
          <w:rFonts w:cstheme="minorHAnsi"/>
          <w:sz w:val="24"/>
          <w:szCs w:val="24"/>
        </w:rPr>
      </w:pPr>
    </w:p>
    <w:p w14:paraId="39A85572" w14:textId="59866F64" w:rsidR="00EC7430" w:rsidRPr="00590031" w:rsidRDefault="00061C5F" w:rsidP="00590031">
      <w:pPr>
        <w:spacing w:line="480" w:lineRule="auto"/>
        <w:jc w:val="both"/>
        <w:rPr>
          <w:rFonts w:cstheme="minorHAnsi"/>
          <w:sz w:val="24"/>
          <w:szCs w:val="24"/>
        </w:rPr>
      </w:pPr>
      <w:r w:rsidRPr="00590031">
        <w:rPr>
          <w:rFonts w:cstheme="minorHAnsi"/>
          <w:sz w:val="24"/>
          <w:szCs w:val="24"/>
        </w:rPr>
        <w:t xml:space="preserve">Table 5. </w:t>
      </w:r>
      <w:r w:rsidR="006E3CAE" w:rsidRPr="00590031">
        <w:rPr>
          <w:rFonts w:cstheme="minorHAnsi"/>
          <w:sz w:val="24"/>
          <w:szCs w:val="24"/>
        </w:rPr>
        <w:t>10%, 20% and 50% increments in PF ratio and survival</w:t>
      </w:r>
    </w:p>
    <w:p w14:paraId="2BF18CCE" w14:textId="77777777" w:rsidR="001A31A5" w:rsidRPr="00590031" w:rsidRDefault="001A31A5" w:rsidP="00590031">
      <w:pPr>
        <w:pStyle w:val="Heading2"/>
        <w:spacing w:line="480" w:lineRule="auto"/>
        <w:jc w:val="both"/>
        <w:rPr>
          <w:rFonts w:asciiTheme="minorHAnsi" w:hAnsiTheme="minorHAnsi" w:cstheme="minorHAnsi"/>
          <w:b/>
          <w:bCs/>
          <w:color w:val="000000" w:themeColor="text1"/>
          <w:sz w:val="24"/>
          <w:szCs w:val="24"/>
        </w:rPr>
      </w:pPr>
    </w:p>
    <w:p w14:paraId="09E2D01B" w14:textId="6054B005" w:rsidR="00741822" w:rsidRPr="00590031" w:rsidRDefault="00EC7430" w:rsidP="00590031">
      <w:pPr>
        <w:pStyle w:val="Heading2"/>
        <w:spacing w:line="480" w:lineRule="auto"/>
        <w:jc w:val="both"/>
        <w:rPr>
          <w:rFonts w:asciiTheme="minorHAnsi" w:hAnsiTheme="minorHAnsi" w:cstheme="minorHAnsi"/>
          <w:b/>
          <w:bCs/>
          <w:color w:val="000000" w:themeColor="text1"/>
          <w:sz w:val="24"/>
          <w:szCs w:val="24"/>
        </w:rPr>
      </w:pPr>
      <w:r w:rsidRPr="00590031">
        <w:rPr>
          <w:rFonts w:asciiTheme="minorHAnsi" w:hAnsiTheme="minorHAnsi" w:cstheme="minorHAnsi"/>
          <w:b/>
          <w:bCs/>
          <w:color w:val="000000" w:themeColor="text1"/>
          <w:sz w:val="24"/>
          <w:szCs w:val="24"/>
        </w:rPr>
        <w:t>Discussion</w:t>
      </w:r>
    </w:p>
    <w:p w14:paraId="1A5D5AA2" w14:textId="77777777" w:rsidR="001A31A5" w:rsidRPr="00590031" w:rsidRDefault="001A31A5" w:rsidP="00590031">
      <w:pPr>
        <w:spacing w:line="480" w:lineRule="auto"/>
        <w:jc w:val="both"/>
        <w:rPr>
          <w:rFonts w:cstheme="minorHAnsi"/>
          <w:sz w:val="24"/>
          <w:szCs w:val="24"/>
        </w:rPr>
      </w:pPr>
    </w:p>
    <w:p w14:paraId="5AC2924B" w14:textId="61E14693" w:rsidR="00B9595E" w:rsidRPr="00590031" w:rsidRDefault="00EC7430" w:rsidP="00590031">
      <w:pPr>
        <w:spacing w:line="480" w:lineRule="auto"/>
        <w:jc w:val="both"/>
        <w:rPr>
          <w:rFonts w:cstheme="minorHAnsi"/>
          <w:sz w:val="24"/>
          <w:szCs w:val="24"/>
        </w:rPr>
      </w:pPr>
      <w:r w:rsidRPr="00590031">
        <w:rPr>
          <w:rFonts w:cstheme="minorHAnsi"/>
          <w:sz w:val="24"/>
          <w:szCs w:val="24"/>
        </w:rPr>
        <w:t>In this retrospective</w:t>
      </w:r>
      <w:r w:rsidR="0044674A" w:rsidRPr="00590031">
        <w:rPr>
          <w:rFonts w:cstheme="minorHAnsi"/>
          <w:sz w:val="24"/>
          <w:szCs w:val="24"/>
        </w:rPr>
        <w:t>, observational</w:t>
      </w:r>
      <w:r w:rsidR="00F31526" w:rsidRPr="00590031">
        <w:rPr>
          <w:rFonts w:cstheme="minorHAnsi"/>
          <w:sz w:val="24"/>
          <w:szCs w:val="24"/>
        </w:rPr>
        <w:t xml:space="preserve"> </w:t>
      </w:r>
      <w:r w:rsidR="00B9595E" w:rsidRPr="00590031">
        <w:rPr>
          <w:rFonts w:cstheme="minorHAnsi"/>
          <w:sz w:val="24"/>
          <w:szCs w:val="24"/>
        </w:rPr>
        <w:t>study</w:t>
      </w:r>
      <w:r w:rsidR="007426C2" w:rsidRPr="00590031">
        <w:rPr>
          <w:rFonts w:cstheme="minorHAnsi"/>
          <w:sz w:val="24"/>
          <w:szCs w:val="24"/>
        </w:rPr>
        <w:t>,</w:t>
      </w:r>
      <w:r w:rsidR="00B9595E" w:rsidRPr="00590031">
        <w:rPr>
          <w:rFonts w:cstheme="minorHAnsi"/>
          <w:sz w:val="24"/>
          <w:szCs w:val="24"/>
        </w:rPr>
        <w:t xml:space="preserve"> we analysed the compassionate use of inhaled pulmonary vasodilators</w:t>
      </w:r>
      <w:r w:rsidRPr="00590031">
        <w:rPr>
          <w:rFonts w:cstheme="minorHAnsi"/>
          <w:sz w:val="24"/>
          <w:szCs w:val="24"/>
        </w:rPr>
        <w:t xml:space="preserve"> </w:t>
      </w:r>
      <w:r w:rsidR="007426C2" w:rsidRPr="00590031">
        <w:rPr>
          <w:rFonts w:cstheme="minorHAnsi"/>
          <w:sz w:val="24"/>
          <w:szCs w:val="24"/>
        </w:rPr>
        <w:t>(IPVD)</w:t>
      </w:r>
      <w:r w:rsidR="00513542" w:rsidRPr="00590031">
        <w:rPr>
          <w:rFonts w:cstheme="minorHAnsi"/>
          <w:sz w:val="24"/>
          <w:szCs w:val="24"/>
        </w:rPr>
        <w:t>;</w:t>
      </w:r>
      <w:r w:rsidR="007426C2" w:rsidRPr="00590031">
        <w:rPr>
          <w:rFonts w:cstheme="minorHAnsi"/>
          <w:sz w:val="24"/>
          <w:szCs w:val="24"/>
        </w:rPr>
        <w:t xml:space="preserve"> </w:t>
      </w:r>
      <w:r w:rsidR="00F31526" w:rsidRPr="00590031">
        <w:rPr>
          <w:rFonts w:cstheme="minorHAnsi"/>
          <w:sz w:val="24"/>
          <w:szCs w:val="24"/>
        </w:rPr>
        <w:t>nebulised nitric oxide (iNO)</w:t>
      </w:r>
      <w:r w:rsidR="00B57B04" w:rsidRPr="00590031">
        <w:rPr>
          <w:rFonts w:cstheme="minorHAnsi"/>
          <w:sz w:val="24"/>
          <w:szCs w:val="24"/>
        </w:rPr>
        <w:t xml:space="preserve"> in combination with</w:t>
      </w:r>
      <w:r w:rsidR="00F31526" w:rsidRPr="00590031">
        <w:rPr>
          <w:rFonts w:cstheme="minorHAnsi"/>
          <w:sz w:val="24"/>
          <w:szCs w:val="24"/>
        </w:rPr>
        <w:t xml:space="preserve"> </w:t>
      </w:r>
      <w:r w:rsidR="000803B3" w:rsidRPr="00590031">
        <w:rPr>
          <w:rFonts w:cstheme="minorHAnsi"/>
          <w:sz w:val="24"/>
          <w:szCs w:val="24"/>
        </w:rPr>
        <w:t>I</w:t>
      </w:r>
      <w:r w:rsidR="00F31526" w:rsidRPr="00590031">
        <w:rPr>
          <w:rFonts w:cstheme="minorHAnsi"/>
          <w:sz w:val="24"/>
          <w:szCs w:val="24"/>
        </w:rPr>
        <w:t xml:space="preserve">loprost </w:t>
      </w:r>
      <w:r w:rsidR="00057155" w:rsidRPr="00590031">
        <w:rPr>
          <w:rFonts w:cstheme="minorHAnsi"/>
          <w:sz w:val="24"/>
          <w:szCs w:val="24"/>
        </w:rPr>
        <w:t xml:space="preserve">in </w:t>
      </w:r>
      <w:r w:rsidRPr="00590031">
        <w:rPr>
          <w:rFonts w:cstheme="minorHAnsi"/>
          <w:sz w:val="24"/>
          <w:szCs w:val="24"/>
        </w:rPr>
        <w:t xml:space="preserve">patients with </w:t>
      </w:r>
      <w:r w:rsidR="00F31526" w:rsidRPr="00590031">
        <w:rPr>
          <w:rFonts w:cstheme="minorHAnsi"/>
          <w:sz w:val="24"/>
          <w:szCs w:val="24"/>
        </w:rPr>
        <w:t xml:space="preserve">severe hypoxic respiratory failure due to </w:t>
      </w:r>
      <w:r w:rsidR="00B9595E" w:rsidRPr="00590031">
        <w:rPr>
          <w:rFonts w:cstheme="minorHAnsi"/>
          <w:sz w:val="24"/>
          <w:szCs w:val="24"/>
        </w:rPr>
        <w:t xml:space="preserve">SARS-CoV-2 </w:t>
      </w:r>
      <w:r w:rsidR="00F31526" w:rsidRPr="00590031">
        <w:rPr>
          <w:rFonts w:cstheme="minorHAnsi"/>
          <w:sz w:val="24"/>
          <w:szCs w:val="24"/>
        </w:rPr>
        <w:t xml:space="preserve">infection. </w:t>
      </w:r>
      <w:r w:rsidR="00634C64" w:rsidRPr="00590031">
        <w:rPr>
          <w:rFonts w:cstheme="minorHAnsi"/>
          <w:sz w:val="24"/>
          <w:szCs w:val="24"/>
        </w:rPr>
        <w:t xml:space="preserve">In our </w:t>
      </w:r>
      <w:r w:rsidR="00F31526" w:rsidRPr="00590031">
        <w:rPr>
          <w:rFonts w:cstheme="minorHAnsi"/>
          <w:sz w:val="24"/>
          <w:szCs w:val="24"/>
        </w:rPr>
        <w:t xml:space="preserve">ICU </w:t>
      </w:r>
      <w:r w:rsidR="00634C64" w:rsidRPr="00590031">
        <w:rPr>
          <w:rFonts w:cstheme="minorHAnsi"/>
          <w:sz w:val="24"/>
          <w:szCs w:val="24"/>
        </w:rPr>
        <w:t>cohort 19% of patients received IPVD for more than 24 hours</w:t>
      </w:r>
      <w:r w:rsidR="00F31526" w:rsidRPr="00590031">
        <w:rPr>
          <w:rFonts w:cstheme="minorHAnsi"/>
          <w:sz w:val="24"/>
          <w:szCs w:val="24"/>
        </w:rPr>
        <w:t xml:space="preserve"> and were included in the analysis. </w:t>
      </w:r>
      <w:r w:rsidR="00B9595E" w:rsidRPr="00590031">
        <w:rPr>
          <w:rFonts w:cstheme="minorHAnsi"/>
          <w:sz w:val="24"/>
          <w:szCs w:val="24"/>
        </w:rPr>
        <w:t>Patients who received an IPVD had a higher fractional inspired FiO</w:t>
      </w:r>
      <w:r w:rsidR="00B9595E" w:rsidRPr="00590031">
        <w:rPr>
          <w:rFonts w:cstheme="minorHAnsi"/>
          <w:sz w:val="24"/>
          <w:szCs w:val="24"/>
          <w:vertAlign w:val="subscript"/>
        </w:rPr>
        <w:t>2</w:t>
      </w:r>
      <w:r w:rsidR="00B9595E" w:rsidRPr="00590031">
        <w:rPr>
          <w:rFonts w:cstheme="minorHAnsi"/>
          <w:sz w:val="24"/>
          <w:szCs w:val="24"/>
        </w:rPr>
        <w:t xml:space="preserve"> (0.7 vs. 0.6) and lower PF ratio (14.37 vs. 16.37kPa) at admiss</w:t>
      </w:r>
      <w:r w:rsidR="007426C2" w:rsidRPr="00590031">
        <w:rPr>
          <w:rFonts w:cstheme="minorHAnsi"/>
          <w:sz w:val="24"/>
          <w:szCs w:val="24"/>
        </w:rPr>
        <w:t>ion</w:t>
      </w:r>
      <w:r w:rsidR="00B9595E" w:rsidRPr="00590031">
        <w:rPr>
          <w:rFonts w:cstheme="minorHAnsi"/>
          <w:sz w:val="24"/>
          <w:szCs w:val="24"/>
        </w:rPr>
        <w:t xml:space="preserve">, compared to the patients not receiving an IPVD. </w:t>
      </w:r>
      <w:r w:rsidR="00B57B04" w:rsidRPr="00590031">
        <w:rPr>
          <w:rFonts w:cstheme="minorHAnsi"/>
          <w:sz w:val="24"/>
          <w:szCs w:val="24"/>
        </w:rPr>
        <w:t>The group</w:t>
      </w:r>
      <w:r w:rsidR="007426C2" w:rsidRPr="00590031">
        <w:rPr>
          <w:rFonts w:cstheme="minorHAnsi"/>
          <w:sz w:val="24"/>
          <w:szCs w:val="24"/>
        </w:rPr>
        <w:t xml:space="preserve"> </w:t>
      </w:r>
      <w:r w:rsidR="00B9595E" w:rsidRPr="00590031">
        <w:rPr>
          <w:rFonts w:cstheme="minorHAnsi"/>
          <w:sz w:val="24"/>
          <w:szCs w:val="24"/>
        </w:rPr>
        <w:t>receiv</w:t>
      </w:r>
      <w:r w:rsidR="00181812" w:rsidRPr="00590031">
        <w:rPr>
          <w:rFonts w:cstheme="minorHAnsi"/>
          <w:sz w:val="24"/>
          <w:szCs w:val="24"/>
        </w:rPr>
        <w:t>ing an</w:t>
      </w:r>
      <w:r w:rsidR="00B9595E" w:rsidRPr="00590031">
        <w:rPr>
          <w:rFonts w:cstheme="minorHAnsi"/>
          <w:sz w:val="24"/>
          <w:szCs w:val="24"/>
        </w:rPr>
        <w:t xml:space="preserve"> </w:t>
      </w:r>
      <w:r w:rsidR="007426C2" w:rsidRPr="00590031">
        <w:rPr>
          <w:rFonts w:cstheme="minorHAnsi"/>
          <w:sz w:val="24"/>
          <w:szCs w:val="24"/>
        </w:rPr>
        <w:t xml:space="preserve">IPVD were sicker </w:t>
      </w:r>
      <w:r w:rsidR="00B57B04" w:rsidRPr="00590031">
        <w:rPr>
          <w:rFonts w:cstheme="minorHAnsi"/>
          <w:sz w:val="24"/>
          <w:szCs w:val="24"/>
        </w:rPr>
        <w:t>(</w:t>
      </w:r>
      <w:r w:rsidR="007426C2" w:rsidRPr="00590031">
        <w:rPr>
          <w:rFonts w:cstheme="minorHAnsi"/>
          <w:sz w:val="24"/>
          <w:szCs w:val="24"/>
        </w:rPr>
        <w:t>APACHE-II score at presentation</w:t>
      </w:r>
      <w:r w:rsidR="00B9595E" w:rsidRPr="00590031">
        <w:rPr>
          <w:rFonts w:cstheme="minorHAnsi"/>
          <w:sz w:val="24"/>
          <w:szCs w:val="24"/>
        </w:rPr>
        <w:t xml:space="preserve"> 17 vs. 13) and were more likely to </w:t>
      </w:r>
      <w:r w:rsidR="00634C64" w:rsidRPr="00590031">
        <w:rPr>
          <w:rFonts w:cstheme="minorHAnsi"/>
          <w:sz w:val="24"/>
          <w:szCs w:val="24"/>
        </w:rPr>
        <w:t xml:space="preserve">have </w:t>
      </w:r>
      <w:r w:rsidR="00181812" w:rsidRPr="00590031">
        <w:rPr>
          <w:rFonts w:cstheme="minorHAnsi"/>
          <w:sz w:val="24"/>
          <w:szCs w:val="24"/>
        </w:rPr>
        <w:t>received renal</w:t>
      </w:r>
      <w:r w:rsidR="00B9595E" w:rsidRPr="00590031">
        <w:rPr>
          <w:rFonts w:cstheme="minorHAnsi"/>
          <w:sz w:val="24"/>
          <w:szCs w:val="24"/>
        </w:rPr>
        <w:t xml:space="preserve"> replacement therapy. At the point of initiation of </w:t>
      </w:r>
      <w:r w:rsidR="007426C2" w:rsidRPr="00590031">
        <w:rPr>
          <w:rFonts w:cstheme="minorHAnsi"/>
          <w:sz w:val="24"/>
          <w:szCs w:val="24"/>
        </w:rPr>
        <w:t>IPVD therapy,</w:t>
      </w:r>
      <w:r w:rsidR="00B9595E" w:rsidRPr="00590031">
        <w:rPr>
          <w:rFonts w:cstheme="minorHAnsi"/>
          <w:sz w:val="24"/>
          <w:szCs w:val="24"/>
        </w:rPr>
        <w:t xml:space="preserve"> the median PF ratio was 11.33kPa</w:t>
      </w:r>
      <w:r w:rsidR="007426C2" w:rsidRPr="00590031">
        <w:rPr>
          <w:rFonts w:cstheme="minorHAnsi"/>
          <w:sz w:val="24"/>
          <w:szCs w:val="24"/>
        </w:rPr>
        <w:t xml:space="preserve"> </w:t>
      </w:r>
      <w:r w:rsidR="00B57B04" w:rsidRPr="00590031">
        <w:rPr>
          <w:rFonts w:cstheme="minorHAnsi"/>
          <w:sz w:val="24"/>
          <w:szCs w:val="24"/>
        </w:rPr>
        <w:t>which demonstrates that this</w:t>
      </w:r>
      <w:r w:rsidR="007426C2" w:rsidRPr="00590031">
        <w:rPr>
          <w:rFonts w:cstheme="minorHAnsi"/>
          <w:sz w:val="24"/>
          <w:szCs w:val="24"/>
        </w:rPr>
        <w:t xml:space="preserve"> cohort </w:t>
      </w:r>
      <w:r w:rsidR="00B57B04" w:rsidRPr="00590031">
        <w:rPr>
          <w:rFonts w:cstheme="minorHAnsi"/>
          <w:sz w:val="24"/>
          <w:szCs w:val="24"/>
        </w:rPr>
        <w:t>had severe lung injury</w:t>
      </w:r>
      <w:r w:rsidR="007426C2" w:rsidRPr="00590031">
        <w:rPr>
          <w:rFonts w:cstheme="minorHAnsi"/>
          <w:sz w:val="24"/>
          <w:szCs w:val="24"/>
        </w:rPr>
        <w:t xml:space="preserve">. </w:t>
      </w:r>
      <w:r w:rsidR="00057155" w:rsidRPr="00590031">
        <w:rPr>
          <w:rFonts w:cstheme="minorHAnsi"/>
          <w:sz w:val="24"/>
          <w:szCs w:val="24"/>
        </w:rPr>
        <w:t xml:space="preserve">To our knowledge, this is the first study to report the combined use of iNO and inhaled </w:t>
      </w:r>
      <w:r w:rsidR="000803B3" w:rsidRPr="00590031">
        <w:rPr>
          <w:rFonts w:cstheme="minorHAnsi"/>
          <w:sz w:val="24"/>
          <w:szCs w:val="24"/>
        </w:rPr>
        <w:t>I</w:t>
      </w:r>
      <w:r w:rsidR="00057155" w:rsidRPr="00590031">
        <w:rPr>
          <w:rFonts w:cstheme="minorHAnsi"/>
          <w:sz w:val="24"/>
          <w:szCs w:val="24"/>
        </w:rPr>
        <w:t>loprost in COVID-19 ICU patients with severe AHRF.</w:t>
      </w:r>
    </w:p>
    <w:p w14:paraId="031B5C24" w14:textId="1C10551D" w:rsidR="0099382F" w:rsidRPr="00590031" w:rsidRDefault="00634C64" w:rsidP="00590031">
      <w:pPr>
        <w:spacing w:line="480" w:lineRule="auto"/>
        <w:jc w:val="both"/>
        <w:rPr>
          <w:rFonts w:cstheme="minorHAnsi"/>
          <w:sz w:val="24"/>
          <w:szCs w:val="24"/>
        </w:rPr>
      </w:pPr>
      <w:r w:rsidRPr="00590031">
        <w:rPr>
          <w:rFonts w:cstheme="minorHAnsi"/>
          <w:sz w:val="24"/>
          <w:szCs w:val="24"/>
        </w:rPr>
        <w:t xml:space="preserve">The median time from </w:t>
      </w:r>
      <w:r w:rsidR="006E513B" w:rsidRPr="00590031">
        <w:rPr>
          <w:rFonts w:cstheme="minorHAnsi"/>
          <w:sz w:val="24"/>
          <w:szCs w:val="24"/>
        </w:rPr>
        <w:t xml:space="preserve">illness onset and </w:t>
      </w:r>
      <w:r w:rsidRPr="00590031">
        <w:rPr>
          <w:rFonts w:cstheme="minorHAnsi"/>
          <w:sz w:val="24"/>
          <w:szCs w:val="24"/>
        </w:rPr>
        <w:t>ICU admission to IPVD therapy was</w:t>
      </w:r>
      <w:r w:rsidR="006F2273" w:rsidRPr="00590031">
        <w:rPr>
          <w:rFonts w:cstheme="minorHAnsi"/>
          <w:sz w:val="24"/>
          <w:szCs w:val="24"/>
        </w:rPr>
        <w:t xml:space="preserve"> </w:t>
      </w:r>
      <w:r w:rsidR="006E513B" w:rsidRPr="00590031">
        <w:rPr>
          <w:rFonts w:cstheme="minorHAnsi"/>
          <w:sz w:val="24"/>
          <w:szCs w:val="24"/>
        </w:rPr>
        <w:t>13</w:t>
      </w:r>
      <w:r w:rsidRPr="00590031">
        <w:rPr>
          <w:rFonts w:cstheme="minorHAnsi"/>
          <w:sz w:val="24"/>
          <w:szCs w:val="24"/>
        </w:rPr>
        <w:t xml:space="preserve"> days and </w:t>
      </w:r>
      <w:r w:rsidR="006E513B" w:rsidRPr="00590031">
        <w:rPr>
          <w:rFonts w:cstheme="minorHAnsi"/>
          <w:sz w:val="24"/>
          <w:szCs w:val="24"/>
        </w:rPr>
        <w:t xml:space="preserve">6 </w:t>
      </w:r>
      <w:r w:rsidRPr="00590031">
        <w:rPr>
          <w:rFonts w:cstheme="minorHAnsi"/>
          <w:sz w:val="24"/>
          <w:szCs w:val="24"/>
        </w:rPr>
        <w:t>days</w:t>
      </w:r>
      <w:r w:rsidR="006F2273" w:rsidRPr="00590031">
        <w:rPr>
          <w:rFonts w:cstheme="minorHAnsi"/>
          <w:sz w:val="24"/>
          <w:szCs w:val="24"/>
        </w:rPr>
        <w:t xml:space="preserve">, </w:t>
      </w:r>
      <w:r w:rsidR="006E513B" w:rsidRPr="00590031">
        <w:rPr>
          <w:rFonts w:cstheme="minorHAnsi"/>
          <w:sz w:val="24"/>
          <w:szCs w:val="24"/>
        </w:rPr>
        <w:t>respectively</w:t>
      </w:r>
      <w:r w:rsidRPr="00590031">
        <w:rPr>
          <w:rFonts w:cstheme="minorHAnsi"/>
          <w:sz w:val="24"/>
          <w:szCs w:val="24"/>
        </w:rPr>
        <w:t xml:space="preserve">. </w:t>
      </w:r>
      <w:r w:rsidR="006E513B" w:rsidRPr="00590031">
        <w:rPr>
          <w:rFonts w:cstheme="minorHAnsi"/>
          <w:sz w:val="24"/>
          <w:szCs w:val="24"/>
        </w:rPr>
        <w:t>T</w:t>
      </w:r>
      <w:r w:rsidR="007426C2" w:rsidRPr="00590031">
        <w:rPr>
          <w:rFonts w:cstheme="minorHAnsi"/>
          <w:sz w:val="24"/>
          <w:szCs w:val="24"/>
        </w:rPr>
        <w:t xml:space="preserve">here </w:t>
      </w:r>
      <w:r w:rsidR="006E513B" w:rsidRPr="00590031">
        <w:rPr>
          <w:rFonts w:cstheme="minorHAnsi"/>
          <w:sz w:val="24"/>
          <w:szCs w:val="24"/>
        </w:rPr>
        <w:t xml:space="preserve">was a </w:t>
      </w:r>
      <w:r w:rsidR="007426C2" w:rsidRPr="00590031">
        <w:rPr>
          <w:rFonts w:cstheme="minorHAnsi"/>
          <w:sz w:val="24"/>
          <w:szCs w:val="24"/>
        </w:rPr>
        <w:t xml:space="preserve">significant improvement in the PF ratio and A-a gradient following initiation of IPVD therapy. </w:t>
      </w:r>
      <w:r w:rsidR="000F0DC1" w:rsidRPr="00590031">
        <w:rPr>
          <w:rFonts w:cstheme="minorHAnsi"/>
          <w:sz w:val="24"/>
          <w:szCs w:val="24"/>
        </w:rPr>
        <w:t>The PF ratio increased by</w:t>
      </w:r>
      <w:r w:rsidR="00FE5D9A" w:rsidRPr="00590031">
        <w:rPr>
          <w:rFonts w:cstheme="minorHAnsi"/>
          <w:sz w:val="24"/>
          <w:szCs w:val="24"/>
        </w:rPr>
        <w:t xml:space="preserve"> 10% in 69% and by 50% in 44% of patients at 72 hours after the initiation of IPVD therapy. The PF response to IPVD therapy differed significantly between survivors and non-survivors.</w:t>
      </w:r>
      <w:r w:rsidR="007426C2" w:rsidRPr="00590031">
        <w:rPr>
          <w:rFonts w:cstheme="minorHAnsi"/>
          <w:sz w:val="24"/>
          <w:szCs w:val="24"/>
        </w:rPr>
        <w:t xml:space="preserve"> </w:t>
      </w:r>
      <w:r w:rsidR="00057155" w:rsidRPr="00590031">
        <w:rPr>
          <w:rFonts w:cstheme="minorHAnsi"/>
          <w:sz w:val="24"/>
          <w:szCs w:val="24"/>
        </w:rPr>
        <w:t xml:space="preserve">Although there was some improvement in the PF ratio and A-a gradient among the non-survivors, the effect size was much lower and not sustained.  </w:t>
      </w:r>
      <w:r w:rsidR="00892DF2" w:rsidRPr="00590031">
        <w:rPr>
          <w:rFonts w:cstheme="minorHAnsi"/>
          <w:sz w:val="24"/>
          <w:szCs w:val="24"/>
        </w:rPr>
        <w:t>At 72 hours the</w:t>
      </w:r>
      <w:r w:rsidR="007426C2" w:rsidRPr="00590031">
        <w:rPr>
          <w:rFonts w:cstheme="minorHAnsi"/>
          <w:sz w:val="24"/>
          <w:szCs w:val="24"/>
        </w:rPr>
        <w:t xml:space="preserve"> </w:t>
      </w:r>
      <w:r w:rsidR="00892DF2" w:rsidRPr="00590031">
        <w:rPr>
          <w:rFonts w:cstheme="minorHAnsi"/>
          <w:sz w:val="24"/>
          <w:szCs w:val="24"/>
        </w:rPr>
        <w:t xml:space="preserve">non-survivors </w:t>
      </w:r>
      <w:r w:rsidR="00181812" w:rsidRPr="00590031">
        <w:rPr>
          <w:rFonts w:cstheme="minorHAnsi"/>
          <w:sz w:val="24"/>
          <w:szCs w:val="24"/>
        </w:rPr>
        <w:t>had a</w:t>
      </w:r>
      <w:r w:rsidR="00057155" w:rsidRPr="00590031">
        <w:rPr>
          <w:rFonts w:cstheme="minorHAnsi"/>
          <w:sz w:val="24"/>
          <w:szCs w:val="24"/>
        </w:rPr>
        <w:t xml:space="preserve"> </w:t>
      </w:r>
      <w:r w:rsidR="00845D5F" w:rsidRPr="00590031">
        <w:rPr>
          <w:rFonts w:cstheme="minorHAnsi"/>
          <w:sz w:val="24"/>
          <w:szCs w:val="24"/>
        </w:rPr>
        <w:t xml:space="preserve">median decrease of 4.1% in </w:t>
      </w:r>
      <w:r w:rsidR="00743A01" w:rsidRPr="00590031">
        <w:rPr>
          <w:rFonts w:cstheme="minorHAnsi"/>
          <w:sz w:val="24"/>
          <w:szCs w:val="24"/>
        </w:rPr>
        <w:t xml:space="preserve">PF ratio </w:t>
      </w:r>
      <w:r w:rsidR="00057155" w:rsidRPr="00590031">
        <w:rPr>
          <w:rFonts w:cstheme="minorHAnsi"/>
          <w:sz w:val="24"/>
          <w:szCs w:val="24"/>
        </w:rPr>
        <w:t>from baseline</w:t>
      </w:r>
      <w:r w:rsidR="00743A01" w:rsidRPr="00590031">
        <w:rPr>
          <w:rFonts w:cstheme="minorHAnsi"/>
          <w:sz w:val="24"/>
          <w:szCs w:val="24"/>
        </w:rPr>
        <w:t xml:space="preserve"> </w:t>
      </w:r>
      <w:r w:rsidR="006E513B" w:rsidRPr="00590031">
        <w:rPr>
          <w:rFonts w:cstheme="minorHAnsi"/>
          <w:sz w:val="24"/>
          <w:szCs w:val="24"/>
        </w:rPr>
        <w:t xml:space="preserve">compared to </w:t>
      </w:r>
      <w:r w:rsidR="00892DF2" w:rsidRPr="00590031">
        <w:rPr>
          <w:rFonts w:cstheme="minorHAnsi"/>
          <w:sz w:val="24"/>
          <w:szCs w:val="24"/>
        </w:rPr>
        <w:t>the survivors</w:t>
      </w:r>
      <w:r w:rsidR="00D649FA" w:rsidRPr="00590031">
        <w:rPr>
          <w:rFonts w:cstheme="minorHAnsi"/>
          <w:sz w:val="24"/>
          <w:szCs w:val="24"/>
        </w:rPr>
        <w:t>, who had a median increase of</w:t>
      </w:r>
      <w:r w:rsidR="00845D5F" w:rsidRPr="00590031">
        <w:rPr>
          <w:rFonts w:cstheme="minorHAnsi"/>
          <w:sz w:val="24"/>
          <w:szCs w:val="24"/>
        </w:rPr>
        <w:t xml:space="preserve"> 70.8%</w:t>
      </w:r>
      <w:r w:rsidR="00D649FA" w:rsidRPr="00590031">
        <w:rPr>
          <w:rFonts w:cstheme="minorHAnsi"/>
          <w:sz w:val="24"/>
          <w:szCs w:val="24"/>
        </w:rPr>
        <w:t xml:space="preserve"> (p&lt;0.001)</w:t>
      </w:r>
      <w:r w:rsidR="00892DF2" w:rsidRPr="00590031">
        <w:rPr>
          <w:rFonts w:cstheme="minorHAnsi"/>
          <w:sz w:val="24"/>
          <w:szCs w:val="24"/>
        </w:rPr>
        <w:t>.</w:t>
      </w:r>
      <w:r w:rsidR="00B758F8" w:rsidRPr="00590031">
        <w:rPr>
          <w:rFonts w:cstheme="minorHAnsi"/>
          <w:sz w:val="24"/>
          <w:szCs w:val="24"/>
        </w:rPr>
        <w:t xml:space="preserve"> </w:t>
      </w:r>
      <w:r w:rsidR="007403F5" w:rsidRPr="00590031" w:rsidDel="007403F5">
        <w:rPr>
          <w:rFonts w:cstheme="minorHAnsi"/>
          <w:sz w:val="24"/>
          <w:szCs w:val="24"/>
        </w:rPr>
        <w:t xml:space="preserve"> </w:t>
      </w:r>
      <w:r w:rsidR="0053547F" w:rsidRPr="00590031">
        <w:rPr>
          <w:rFonts w:cstheme="minorHAnsi"/>
          <w:sz w:val="24"/>
          <w:szCs w:val="24"/>
        </w:rPr>
        <w:t>It is plausible that the</w:t>
      </w:r>
      <w:r w:rsidR="00D03E39" w:rsidRPr="00590031">
        <w:rPr>
          <w:rFonts w:cstheme="minorHAnsi"/>
          <w:sz w:val="24"/>
          <w:szCs w:val="24"/>
        </w:rPr>
        <w:t>se</w:t>
      </w:r>
      <w:r w:rsidR="0053547F" w:rsidRPr="00590031">
        <w:rPr>
          <w:rFonts w:cstheme="minorHAnsi"/>
          <w:sz w:val="24"/>
          <w:szCs w:val="24"/>
        </w:rPr>
        <w:t xml:space="preserve"> differences in response between survivors and non-</w:t>
      </w:r>
      <w:r w:rsidR="0053547F" w:rsidRPr="00590031">
        <w:rPr>
          <w:rFonts w:cstheme="minorHAnsi"/>
          <w:sz w:val="24"/>
          <w:szCs w:val="24"/>
        </w:rPr>
        <w:lastRenderedPageBreak/>
        <w:t>survivors were due to</w:t>
      </w:r>
      <w:r w:rsidR="007426C2" w:rsidRPr="00590031">
        <w:rPr>
          <w:rFonts w:cstheme="minorHAnsi"/>
          <w:sz w:val="24"/>
          <w:szCs w:val="24"/>
        </w:rPr>
        <w:t xml:space="preserve"> other </w:t>
      </w:r>
      <w:r w:rsidR="0055360E" w:rsidRPr="00590031">
        <w:rPr>
          <w:rFonts w:cstheme="minorHAnsi"/>
          <w:sz w:val="24"/>
          <w:szCs w:val="24"/>
        </w:rPr>
        <w:t>factors</w:t>
      </w:r>
      <w:r w:rsidR="0053547F" w:rsidRPr="00590031">
        <w:rPr>
          <w:rFonts w:cstheme="minorHAnsi"/>
          <w:sz w:val="24"/>
          <w:szCs w:val="24"/>
        </w:rPr>
        <w:t xml:space="preserve"> tha</w:t>
      </w:r>
      <w:r w:rsidR="0040507A" w:rsidRPr="00590031">
        <w:rPr>
          <w:rFonts w:cstheme="minorHAnsi"/>
          <w:sz w:val="24"/>
          <w:szCs w:val="24"/>
        </w:rPr>
        <w:t xml:space="preserve">t we were unable to </w:t>
      </w:r>
      <w:r w:rsidR="007426C2" w:rsidRPr="00590031">
        <w:rPr>
          <w:rFonts w:cstheme="minorHAnsi"/>
          <w:sz w:val="24"/>
          <w:szCs w:val="24"/>
        </w:rPr>
        <w:t>quantify</w:t>
      </w:r>
      <w:r w:rsidR="00562542" w:rsidRPr="00590031">
        <w:rPr>
          <w:rFonts w:cstheme="minorHAnsi"/>
          <w:sz w:val="24"/>
          <w:szCs w:val="24"/>
        </w:rPr>
        <w:t xml:space="preserve"> in</w:t>
      </w:r>
      <w:r w:rsidR="007426C2" w:rsidRPr="00590031">
        <w:rPr>
          <w:rFonts w:cstheme="minorHAnsi"/>
          <w:sz w:val="24"/>
          <w:szCs w:val="24"/>
        </w:rPr>
        <w:t xml:space="preserve"> this </w:t>
      </w:r>
      <w:r w:rsidR="0055360E" w:rsidRPr="00590031">
        <w:rPr>
          <w:rFonts w:cstheme="minorHAnsi"/>
          <w:sz w:val="24"/>
          <w:szCs w:val="24"/>
        </w:rPr>
        <w:t>pragmatic</w:t>
      </w:r>
      <w:r w:rsidR="007426C2" w:rsidRPr="00590031">
        <w:rPr>
          <w:rFonts w:cstheme="minorHAnsi"/>
          <w:sz w:val="24"/>
          <w:szCs w:val="24"/>
        </w:rPr>
        <w:t xml:space="preserve"> observation</w:t>
      </w:r>
      <w:r w:rsidR="0055360E" w:rsidRPr="00590031">
        <w:rPr>
          <w:rFonts w:cstheme="minorHAnsi"/>
          <w:sz w:val="24"/>
          <w:szCs w:val="24"/>
        </w:rPr>
        <w:t>al</w:t>
      </w:r>
      <w:r w:rsidR="007426C2" w:rsidRPr="00590031">
        <w:rPr>
          <w:rFonts w:cstheme="minorHAnsi"/>
          <w:sz w:val="24"/>
          <w:szCs w:val="24"/>
        </w:rPr>
        <w:t xml:space="preserve"> study. </w:t>
      </w:r>
      <w:r w:rsidR="0071718B" w:rsidRPr="00590031">
        <w:rPr>
          <w:rFonts w:cstheme="minorHAnsi"/>
          <w:sz w:val="24"/>
          <w:szCs w:val="24"/>
        </w:rPr>
        <w:t>The</w:t>
      </w:r>
      <w:r w:rsidR="00562542" w:rsidRPr="00590031">
        <w:rPr>
          <w:rFonts w:cstheme="minorHAnsi"/>
          <w:sz w:val="24"/>
          <w:szCs w:val="24"/>
        </w:rPr>
        <w:t xml:space="preserve"> </w:t>
      </w:r>
      <w:r w:rsidR="0071718B" w:rsidRPr="00590031">
        <w:rPr>
          <w:rFonts w:cstheme="minorHAnsi"/>
          <w:sz w:val="24"/>
          <w:szCs w:val="24"/>
        </w:rPr>
        <w:t>significant increase in PF ratio would allow a reduction in FiO2 to meet standard PaO2/SpO2 targets in patients with severe ARHF and thus might limit hyperoxic lung injury caused by exposure to high concentrations of oxygen and limit ventilator and clinician induced additional lung injury while recovery occurs</w:t>
      </w:r>
      <w:r w:rsidR="00562542" w:rsidRPr="00590031">
        <w:rPr>
          <w:rFonts w:cstheme="minorHAnsi"/>
          <w:sz w:val="24"/>
          <w:szCs w:val="24"/>
        </w:rPr>
        <w:t xml:space="preserve">. </w:t>
      </w:r>
    </w:p>
    <w:p w14:paraId="7707A403" w14:textId="5ABEA4C3" w:rsidR="00BB7028" w:rsidRPr="00590031" w:rsidRDefault="002361C1" w:rsidP="00590031">
      <w:pPr>
        <w:spacing w:line="480" w:lineRule="auto"/>
        <w:jc w:val="both"/>
        <w:rPr>
          <w:rFonts w:cstheme="minorHAnsi"/>
          <w:sz w:val="24"/>
          <w:szCs w:val="24"/>
        </w:rPr>
      </w:pPr>
      <w:r w:rsidRPr="00590031">
        <w:rPr>
          <w:rFonts w:cstheme="minorHAnsi"/>
          <w:sz w:val="24"/>
          <w:szCs w:val="24"/>
        </w:rPr>
        <w:t xml:space="preserve">The literature </w:t>
      </w:r>
      <w:r w:rsidR="0071718B" w:rsidRPr="00590031">
        <w:rPr>
          <w:rFonts w:cstheme="minorHAnsi"/>
          <w:sz w:val="24"/>
          <w:szCs w:val="24"/>
        </w:rPr>
        <w:t xml:space="preserve">describing the use of </w:t>
      </w:r>
      <w:r w:rsidR="00017B35" w:rsidRPr="00590031">
        <w:rPr>
          <w:rFonts w:cstheme="minorHAnsi"/>
          <w:sz w:val="24"/>
          <w:szCs w:val="24"/>
        </w:rPr>
        <w:t>IPVD therapy in C</w:t>
      </w:r>
      <w:r w:rsidR="0055360E" w:rsidRPr="00590031">
        <w:rPr>
          <w:rFonts w:cstheme="minorHAnsi"/>
          <w:sz w:val="24"/>
          <w:szCs w:val="24"/>
        </w:rPr>
        <w:t>OVID</w:t>
      </w:r>
      <w:r w:rsidR="00017B35" w:rsidRPr="00590031">
        <w:rPr>
          <w:rFonts w:cstheme="minorHAnsi"/>
          <w:sz w:val="24"/>
          <w:szCs w:val="24"/>
        </w:rPr>
        <w:t xml:space="preserve">-19 </w:t>
      </w:r>
      <w:r w:rsidR="00562542" w:rsidRPr="00590031">
        <w:rPr>
          <w:rFonts w:cstheme="minorHAnsi"/>
          <w:sz w:val="24"/>
          <w:szCs w:val="24"/>
        </w:rPr>
        <w:t>related</w:t>
      </w:r>
      <w:r w:rsidR="0055360E" w:rsidRPr="00590031">
        <w:rPr>
          <w:rFonts w:cstheme="minorHAnsi"/>
          <w:sz w:val="24"/>
          <w:szCs w:val="24"/>
        </w:rPr>
        <w:t xml:space="preserve"> AHRF </w:t>
      </w:r>
      <w:r w:rsidR="00017B35" w:rsidRPr="00590031">
        <w:rPr>
          <w:rFonts w:cstheme="minorHAnsi"/>
          <w:sz w:val="24"/>
          <w:szCs w:val="24"/>
        </w:rPr>
        <w:t xml:space="preserve">is </w:t>
      </w:r>
      <w:r w:rsidR="0099382F" w:rsidRPr="00590031">
        <w:rPr>
          <w:rFonts w:cstheme="minorHAnsi"/>
          <w:sz w:val="24"/>
          <w:szCs w:val="24"/>
        </w:rPr>
        <w:t>spar</w:t>
      </w:r>
      <w:r w:rsidR="0068304F" w:rsidRPr="00590031">
        <w:rPr>
          <w:rFonts w:cstheme="minorHAnsi"/>
          <w:sz w:val="24"/>
          <w:szCs w:val="24"/>
        </w:rPr>
        <w:t>s</w:t>
      </w:r>
      <w:r w:rsidR="0099382F" w:rsidRPr="00590031">
        <w:rPr>
          <w:rFonts w:cstheme="minorHAnsi"/>
          <w:sz w:val="24"/>
          <w:szCs w:val="24"/>
        </w:rPr>
        <w:t>e and limited to few observational studies.</w:t>
      </w:r>
      <w:r w:rsidR="00017B35" w:rsidRPr="00590031">
        <w:rPr>
          <w:rFonts w:cstheme="minorHAnsi"/>
          <w:sz w:val="24"/>
          <w:szCs w:val="24"/>
        </w:rPr>
        <w:t xml:space="preserve"> </w:t>
      </w:r>
      <w:r w:rsidR="0099382F" w:rsidRPr="00590031">
        <w:rPr>
          <w:rFonts w:cstheme="minorHAnsi"/>
          <w:sz w:val="24"/>
          <w:szCs w:val="24"/>
        </w:rPr>
        <w:t xml:space="preserve">As </w:t>
      </w:r>
      <w:r w:rsidR="0055360E" w:rsidRPr="00590031">
        <w:rPr>
          <w:rFonts w:cstheme="minorHAnsi"/>
          <w:sz w:val="24"/>
          <w:szCs w:val="24"/>
        </w:rPr>
        <w:t xml:space="preserve">far as we are </w:t>
      </w:r>
      <w:r w:rsidR="0099382F" w:rsidRPr="00590031">
        <w:rPr>
          <w:rFonts w:cstheme="minorHAnsi"/>
          <w:sz w:val="24"/>
          <w:szCs w:val="24"/>
        </w:rPr>
        <w:t>aware,</w:t>
      </w:r>
      <w:r w:rsidR="0055360E" w:rsidRPr="00590031">
        <w:rPr>
          <w:rFonts w:cstheme="minorHAnsi"/>
          <w:sz w:val="24"/>
          <w:szCs w:val="24"/>
        </w:rPr>
        <w:t xml:space="preserve"> </w:t>
      </w:r>
      <w:r w:rsidR="00017B35" w:rsidRPr="00590031">
        <w:rPr>
          <w:rFonts w:cstheme="minorHAnsi"/>
          <w:sz w:val="24"/>
          <w:szCs w:val="24"/>
        </w:rPr>
        <w:t xml:space="preserve">there are no </w:t>
      </w:r>
      <w:r w:rsidR="0099382F" w:rsidRPr="00590031">
        <w:rPr>
          <w:rFonts w:cstheme="minorHAnsi"/>
          <w:sz w:val="24"/>
          <w:szCs w:val="24"/>
        </w:rPr>
        <w:t>studies</w:t>
      </w:r>
      <w:r w:rsidR="00017B35" w:rsidRPr="00590031">
        <w:rPr>
          <w:rFonts w:cstheme="minorHAnsi"/>
          <w:sz w:val="24"/>
          <w:szCs w:val="24"/>
        </w:rPr>
        <w:t xml:space="preserve"> reporting the combined use of </w:t>
      </w:r>
      <w:r w:rsidR="0055360E" w:rsidRPr="00590031">
        <w:rPr>
          <w:rFonts w:cstheme="minorHAnsi"/>
          <w:sz w:val="24"/>
          <w:szCs w:val="24"/>
        </w:rPr>
        <w:t>i</w:t>
      </w:r>
      <w:r w:rsidR="00017B35" w:rsidRPr="00590031">
        <w:rPr>
          <w:rFonts w:cstheme="minorHAnsi"/>
          <w:sz w:val="24"/>
          <w:szCs w:val="24"/>
        </w:rPr>
        <w:t>NO and inhaled prostaglandins</w:t>
      </w:r>
      <w:r w:rsidR="0055360E" w:rsidRPr="00590031">
        <w:rPr>
          <w:rFonts w:cstheme="minorHAnsi"/>
          <w:sz w:val="24"/>
          <w:szCs w:val="24"/>
        </w:rPr>
        <w:t xml:space="preserve"> to date</w:t>
      </w:r>
      <w:r w:rsidR="00017B35" w:rsidRPr="00590031">
        <w:rPr>
          <w:rFonts w:cstheme="minorHAnsi"/>
          <w:sz w:val="24"/>
          <w:szCs w:val="24"/>
        </w:rPr>
        <w:t>.</w:t>
      </w:r>
      <w:r w:rsidR="007B6A8C" w:rsidRPr="00590031">
        <w:rPr>
          <w:rFonts w:cstheme="minorHAnsi"/>
          <w:sz w:val="24"/>
          <w:szCs w:val="24"/>
        </w:rPr>
        <w:t xml:space="preserve"> </w:t>
      </w:r>
      <w:r w:rsidR="0099382F" w:rsidRPr="00590031">
        <w:rPr>
          <w:rFonts w:cstheme="minorHAnsi"/>
          <w:sz w:val="24"/>
          <w:szCs w:val="24"/>
        </w:rPr>
        <w:t xml:space="preserve">We adopted a pragmatic approach for the use of IPVDs in severe refractory </w:t>
      </w:r>
      <w:r w:rsidR="004031FA" w:rsidRPr="00590031">
        <w:rPr>
          <w:rFonts w:cstheme="minorHAnsi"/>
          <w:sz w:val="24"/>
          <w:szCs w:val="24"/>
        </w:rPr>
        <w:t>hypoxaemia</w:t>
      </w:r>
      <w:r w:rsidR="0099382F" w:rsidRPr="00590031">
        <w:rPr>
          <w:rFonts w:cstheme="minorHAnsi"/>
          <w:sz w:val="24"/>
          <w:szCs w:val="24"/>
        </w:rPr>
        <w:t xml:space="preserve"> due to several reasons. First, there were </w:t>
      </w:r>
      <w:r w:rsidR="0071718B" w:rsidRPr="00590031">
        <w:rPr>
          <w:rFonts w:cstheme="minorHAnsi"/>
          <w:sz w:val="24"/>
          <w:szCs w:val="24"/>
        </w:rPr>
        <w:t xml:space="preserve">a </w:t>
      </w:r>
      <w:r w:rsidR="0099382F" w:rsidRPr="00590031">
        <w:rPr>
          <w:rFonts w:cstheme="minorHAnsi"/>
          <w:sz w:val="24"/>
          <w:szCs w:val="24"/>
        </w:rPr>
        <w:t xml:space="preserve">large number of patients with severe hypoxic respiratory failure with relatively few available iNO delivery systems. Second, nebulised </w:t>
      </w:r>
      <w:r w:rsidR="000803B3" w:rsidRPr="00590031">
        <w:rPr>
          <w:rFonts w:cstheme="minorHAnsi"/>
          <w:sz w:val="24"/>
          <w:szCs w:val="24"/>
        </w:rPr>
        <w:t>I</w:t>
      </w:r>
      <w:r w:rsidR="0099382F" w:rsidRPr="00590031">
        <w:rPr>
          <w:rFonts w:cstheme="minorHAnsi"/>
          <w:sz w:val="24"/>
          <w:szCs w:val="24"/>
        </w:rPr>
        <w:t xml:space="preserve">loprost is relatively safe and easy to deliver during </w:t>
      </w:r>
      <w:r w:rsidR="00BB7028" w:rsidRPr="00590031">
        <w:rPr>
          <w:rFonts w:cstheme="minorHAnsi"/>
          <w:sz w:val="24"/>
          <w:szCs w:val="24"/>
        </w:rPr>
        <w:t>a</w:t>
      </w:r>
      <w:r w:rsidR="0099382F" w:rsidRPr="00590031">
        <w:rPr>
          <w:rFonts w:cstheme="minorHAnsi"/>
          <w:sz w:val="24"/>
          <w:szCs w:val="24"/>
        </w:rPr>
        <w:t xml:space="preserve"> demanding pandemic setting. </w:t>
      </w:r>
      <w:r w:rsidR="00BB7028" w:rsidRPr="00590031">
        <w:rPr>
          <w:rFonts w:cstheme="minorHAnsi"/>
          <w:sz w:val="24"/>
          <w:szCs w:val="24"/>
        </w:rPr>
        <w:t>Consequently, we used</w:t>
      </w:r>
      <w:r w:rsidR="00113B5B" w:rsidRPr="00590031">
        <w:rPr>
          <w:rFonts w:cstheme="minorHAnsi"/>
          <w:sz w:val="24"/>
          <w:szCs w:val="24"/>
        </w:rPr>
        <w:t xml:space="preserve"> a</w:t>
      </w:r>
      <w:r w:rsidR="00BB7028" w:rsidRPr="00590031">
        <w:rPr>
          <w:rFonts w:cstheme="minorHAnsi"/>
          <w:sz w:val="24"/>
          <w:szCs w:val="24"/>
        </w:rPr>
        <w:t xml:space="preserve"> </w:t>
      </w:r>
      <w:r w:rsidR="00F8738C" w:rsidRPr="00590031">
        <w:rPr>
          <w:rFonts w:cstheme="minorHAnsi"/>
          <w:sz w:val="24"/>
          <w:szCs w:val="24"/>
        </w:rPr>
        <w:t xml:space="preserve">trial of </w:t>
      </w:r>
      <w:r w:rsidR="00BB7028" w:rsidRPr="00590031">
        <w:rPr>
          <w:rFonts w:cstheme="minorHAnsi"/>
          <w:sz w:val="24"/>
          <w:szCs w:val="24"/>
        </w:rPr>
        <w:t>iNO as the initial intervention followed by</w:t>
      </w:r>
      <w:r w:rsidR="0068304F" w:rsidRPr="00590031">
        <w:rPr>
          <w:rFonts w:cstheme="minorHAnsi"/>
          <w:sz w:val="24"/>
          <w:szCs w:val="24"/>
        </w:rPr>
        <w:t xml:space="preserve"> </w:t>
      </w:r>
      <w:r w:rsidR="009C0AAE" w:rsidRPr="00590031">
        <w:rPr>
          <w:rFonts w:cstheme="minorHAnsi"/>
          <w:sz w:val="24"/>
          <w:szCs w:val="24"/>
        </w:rPr>
        <w:t>Iloprost</w:t>
      </w:r>
      <w:r w:rsidR="00BB7028" w:rsidRPr="00590031">
        <w:rPr>
          <w:rFonts w:cstheme="minorHAnsi"/>
          <w:sz w:val="24"/>
          <w:szCs w:val="24"/>
        </w:rPr>
        <w:t xml:space="preserve"> nebulisation with subsequent weaning of iNO. </w:t>
      </w:r>
    </w:p>
    <w:p w14:paraId="61E7B65E" w14:textId="7A0504B5" w:rsidR="00F1752C" w:rsidRPr="00590031" w:rsidRDefault="00F8738C" w:rsidP="00590031">
      <w:pPr>
        <w:spacing w:line="480" w:lineRule="auto"/>
        <w:jc w:val="both"/>
        <w:rPr>
          <w:rFonts w:cstheme="minorHAnsi"/>
          <w:sz w:val="24"/>
          <w:szCs w:val="24"/>
        </w:rPr>
      </w:pPr>
      <w:r w:rsidRPr="00590031">
        <w:rPr>
          <w:rFonts w:cstheme="minorHAnsi"/>
          <w:sz w:val="24"/>
          <w:szCs w:val="24"/>
        </w:rPr>
        <w:t>Both iNO and nebulised Iloprost will cause selective vasodilatation of pulmonary arterioles supplying ventilated lung units thus improving the matching of ventilation and perfusion (V/Q) and arterial PaO</w:t>
      </w:r>
      <w:r w:rsidRPr="00590031">
        <w:rPr>
          <w:rFonts w:cstheme="minorHAnsi"/>
          <w:sz w:val="24"/>
          <w:szCs w:val="24"/>
          <w:vertAlign w:val="subscript"/>
        </w:rPr>
        <w:t>2</w:t>
      </w:r>
      <w:r w:rsidRPr="00590031">
        <w:rPr>
          <w:rFonts w:cstheme="minorHAnsi"/>
          <w:sz w:val="24"/>
          <w:szCs w:val="24"/>
        </w:rPr>
        <w:t>.  Both agents have other potentially beneficial effects in the context of the inflammation seen in COVID lung disease.</w:t>
      </w:r>
      <w:r w:rsidR="00017B35" w:rsidRPr="00590031">
        <w:rPr>
          <w:rFonts w:cstheme="minorHAnsi"/>
          <w:sz w:val="24"/>
          <w:szCs w:val="24"/>
        </w:rPr>
        <w:t xml:space="preserve"> </w:t>
      </w:r>
      <w:r w:rsidR="00562542" w:rsidRPr="00590031">
        <w:rPr>
          <w:rFonts w:cstheme="minorHAnsi"/>
          <w:sz w:val="24"/>
          <w:szCs w:val="24"/>
        </w:rPr>
        <w:t xml:space="preserve">Epoprostenol (prostacyclin) and the synthetic prostacyclin analogue </w:t>
      </w:r>
      <w:r w:rsidR="009C0AAE" w:rsidRPr="00590031">
        <w:rPr>
          <w:rFonts w:cstheme="minorHAnsi"/>
          <w:sz w:val="24"/>
          <w:szCs w:val="24"/>
        </w:rPr>
        <w:t>Iloprost</w:t>
      </w:r>
      <w:r w:rsidR="00562542" w:rsidRPr="00590031">
        <w:rPr>
          <w:rFonts w:cstheme="minorHAnsi"/>
          <w:sz w:val="24"/>
          <w:szCs w:val="24"/>
        </w:rPr>
        <w:t xml:space="preserve"> are prostaglandins (PGI</w:t>
      </w:r>
      <w:r w:rsidR="00562542" w:rsidRPr="00590031">
        <w:rPr>
          <w:rFonts w:cstheme="minorHAnsi"/>
          <w:sz w:val="24"/>
          <w:szCs w:val="24"/>
          <w:vertAlign w:val="subscript"/>
        </w:rPr>
        <w:t>2</w:t>
      </w:r>
      <w:r w:rsidR="00562542" w:rsidRPr="00590031">
        <w:rPr>
          <w:rFonts w:cstheme="minorHAnsi"/>
          <w:sz w:val="24"/>
          <w:szCs w:val="24"/>
        </w:rPr>
        <w:t xml:space="preserve">) which </w:t>
      </w:r>
      <w:r w:rsidR="00962CDA" w:rsidRPr="00590031">
        <w:rPr>
          <w:rFonts w:cstheme="minorHAnsi"/>
          <w:sz w:val="24"/>
          <w:szCs w:val="24"/>
        </w:rPr>
        <w:t>r</w:t>
      </w:r>
      <w:r w:rsidR="006712BA" w:rsidRPr="00590031">
        <w:rPr>
          <w:rFonts w:cstheme="minorHAnsi"/>
          <w:sz w:val="24"/>
          <w:szCs w:val="24"/>
        </w:rPr>
        <w:t>educe</w:t>
      </w:r>
      <w:r w:rsidR="00562542" w:rsidRPr="00590031">
        <w:rPr>
          <w:rFonts w:cstheme="minorHAnsi"/>
          <w:sz w:val="24"/>
          <w:szCs w:val="24"/>
        </w:rPr>
        <w:t xml:space="preserve"> platelet aggregation and </w:t>
      </w:r>
      <w:r w:rsidR="004031FA" w:rsidRPr="00590031">
        <w:rPr>
          <w:rFonts w:cstheme="minorHAnsi"/>
          <w:sz w:val="24"/>
          <w:szCs w:val="24"/>
        </w:rPr>
        <w:t>cause smooth muscle relaxation</w:t>
      </w:r>
      <w:r w:rsidR="008F7C59" w:rsidRPr="00590031">
        <w:rPr>
          <w:rFonts w:cstheme="minorHAnsi"/>
          <w:sz w:val="24"/>
          <w:szCs w:val="24"/>
        </w:rPr>
        <w:fldChar w:fldCharType="begin" w:fldLock="1"/>
      </w:r>
      <w:r w:rsidR="00DA75A6" w:rsidRPr="00590031">
        <w:rPr>
          <w:rFonts w:cstheme="minorHAnsi"/>
          <w:sz w:val="24"/>
          <w:szCs w:val="24"/>
        </w:rPr>
        <w:instrText>ADDIN CSL_CITATION {"citationItems":[{"id":"ITEM-1","itemData":{"DOI":"10.1002/ART.41536","ISSN":"2326-5205","PMID":"33001586","abstract":"Objective: Intravenous iloprost improves Raynaud’s phenomenon (RP) and promotes healing of digital ulcers in systemic sclerosis (SSc; scleroderma). Despite a short half-life, its clinical efficacy lasts weeks. Endothelial adherens junctions, which are formed by VE-cadherin clustering between endothelial cells (ECs), regulate endothelial properties including barrier function, endothelial-to-mesenchymal transition (EndoMT), and angiogenesis. We undertook this study to investigate the hypothesis that junctional disruption contributes to vascular dysfunction in SSc, and that the protective effect of iloprost is mediated by strengthening of those junctions. Methods: Dermal ECs from SSc patients and healthy controls were isolated. The effect of iloprost on ECs was examined using immunofluorescence, permeability assays, Matrigel tube formation, and quantitative polymerase chain reaction. Results: Adherens junctions in SSc were disrupted compared to normal ECs, as indicated by reduced levels of VE-cadherin and increased permeability in SSc ECs (P &lt; 0.05). Iloprost increased VE-cadherin clustering at junctions and restored junctional levels of VE-cadherin in SSc ECs (mean ± SD 37.3 ± 4.3 fluorescence units) compared to normal ECs (mean ± SD 29.7 ± 3.4 fluorescence units; P &lt; 0.05), after 2 hours of iloprost incubation. In addition, iloprost reduced permeability of monolayers, increased tubulogenesis, and blocked EndoMT in both normal and SSc ECs (n ≥ 3; P &lt; 0.05). The effects in normal ECs were inhibited by a function-blocking antibody that prevents junctional clustering of VE-cadherin. Conclusion: Our data suggest that the long-lasting effects of iloprost reflect its ability to stabilize adherens junctions, resulting in increased tubulogenesis and barrier function and reduced EndoMT. These findings provide a mechanistic basis for the use of iloprost in treating SSc patients with RP and digital ulcers.","author":[{"dropping-particle":"","family":"Tsou","given":"PS","non-dropping-particle":"","parse-names":false,"suffix":""},{"dropping-particle":"","family":"Palisoc","given":"PJ","non-dropping-particle":"","parse-names":false,"suffix":""},{"dropping-particle":"","family":"Flavahan","given":"NA","non-dropping-particle":"","parse-names":false,"suffix":""},{"dropping-particle":"","family":"Khanna","given":"D","non-dropping-particle":"","parse-names":false,"suffix":""}],"container-title":"Arthritis &amp; rheumatology (Hoboken, N.J.)","id":"ITEM-1","issue":"3","issued":{"date-parts":[["2021","3","1"]]},"page":"520-529","publisher":"Arthritis Rheumatol","title":"Dissecting the Cellular Mechanism of Prostacyclin Analog Iloprost in Reversing Vascular Dysfunction in Scleroderma","type":"article-journal","volume":"73"},"uris":["http://www.mendeley.com/documents/?uuid=67b048eb-892b-38db-b89f-db3581384046"]}],"mendeley":{"formattedCitation":"&lt;sup&gt;7&lt;/sup&gt;","plainTextFormattedCitation":"7","previouslyFormattedCitation":"[7]"},"properties":{"noteIndex":0},"schema":"https://github.com/citation-style-language/schema/raw/master/csl-citation.json"}</w:instrText>
      </w:r>
      <w:r w:rsidR="008F7C59" w:rsidRPr="00590031">
        <w:rPr>
          <w:rFonts w:cstheme="minorHAnsi"/>
          <w:sz w:val="24"/>
          <w:szCs w:val="24"/>
        </w:rPr>
        <w:fldChar w:fldCharType="separate"/>
      </w:r>
      <w:r w:rsidR="00DA75A6" w:rsidRPr="00590031">
        <w:rPr>
          <w:rFonts w:cstheme="minorHAnsi"/>
          <w:noProof/>
          <w:sz w:val="24"/>
          <w:szCs w:val="24"/>
          <w:vertAlign w:val="superscript"/>
        </w:rPr>
        <w:t>7</w:t>
      </w:r>
      <w:r w:rsidR="008F7C59" w:rsidRPr="00590031">
        <w:rPr>
          <w:rFonts w:cstheme="minorHAnsi"/>
          <w:sz w:val="24"/>
          <w:szCs w:val="24"/>
        </w:rPr>
        <w:fldChar w:fldCharType="end"/>
      </w:r>
      <w:r w:rsidR="004031FA" w:rsidRPr="00590031">
        <w:rPr>
          <w:rFonts w:cstheme="minorHAnsi"/>
          <w:sz w:val="24"/>
          <w:szCs w:val="24"/>
          <w:vertAlign w:val="superscript"/>
        </w:rPr>
        <w:t>,</w:t>
      </w:r>
      <w:r w:rsidR="008F7C59" w:rsidRPr="00590031">
        <w:rPr>
          <w:rFonts w:cstheme="minorHAnsi"/>
          <w:sz w:val="24"/>
          <w:szCs w:val="24"/>
        </w:rPr>
        <w:fldChar w:fldCharType="begin" w:fldLock="1"/>
      </w:r>
      <w:r w:rsidR="00DA75A6" w:rsidRPr="00590031">
        <w:rPr>
          <w:rFonts w:cstheme="minorHAnsi"/>
          <w:sz w:val="24"/>
          <w:szCs w:val="24"/>
        </w:rPr>
        <w:instrText>ADDIN CSL_CITATION {"citationItems":[{"id":"ITEM-1","itemData":{"DOI":"10.3390/JCM10051024","abstract":"(1) Background: Prostacyclin analogues (epoprostenol, treprostinil, and iloprost) induce vasodilation in pulmonary arterial hypertension (PAH) but also inhibit platelet function. (2) Objectives: We assessed platelet function in PAH patients treated with prostacyclin analogues and not receiving prostacyclin analogues. (3) Methods: Venous blood was collected from 42 patients treated with prostacyclin analogues (49.5 ± 15.9 years, 81% female) and 38 patients not receiving prostacyclin analogues (55.5 ± 15.6 years, 74% female). Platelet reactivity was analyzed by impedance aggregometry using arachidonic acid (AA; 0.5 mM), adenosine diphosphate (ADP; 6.5 µM), and thrombin receptor-activating peptide (TRAP; 32 µM) as agonists. In a subset of patients, concentrations of extracellular vesicles (EVs) from all platelets (CD61+), activated platelets (CD61+/CD62P+), leukocytes (CD45+), and endothelial cells (CD146+) were analyzed by flow cytometry. Platelet-rich thrombus formation was measured using a whole blood perfusion system. (4) Results: Compared to controls, PAH patients treated with prostacyclin analogues had lower platelet reactivity in response to AA and ADP (p = 0.01 for both), lower concentrations of platelet and leukocyte EVs (p ≤ 0.04), delayed thrombus formation (p ≤ 0.003), and decreased thrombus size (p = 0.008). Epoprostenol did not affect platelet reactivity but decreased the concentrations of platelet and leukocyte EVs (p ≤ 0.04). Treprostinil decreased platelet reactivity in response to AA and ADP (p ≤ 0.02) but had no effect on the concentrations of EVs. All prostacyclin analogues delayed thrombus formation and decreased thrombus size (p ≤ 0.04). (5) Conclusions: PAH patients treated with prostacyclin analogues had impaired platelet reactivity, EV release, and thrombus formation, compared to patients not receiving prostacyclin analogues.","author":[{"dropping-particle":"","family":"Gąsecka","given":"Aleksandra","non-dropping-particle":"","parse-names":false,"suffix":""},{"dropping-particle":"","family":"Banaszkiewicz","given":"Marta","non-dropping-particle":"","parse-names":false,"suffix":""},{"dropping-particle":"","family":"Nieuwland","given":"Rienk","non-dropping-particle":"","parse-names":false,"suffix":""},{"dropping-particle":"van der","family":"Pol","given":"Edwin","non-dropping-particle":"","parse-names":false,"suffix":""},{"dropping-particle":"","family":"Hajji","given":"Najat","non-dropping-particle":"","parse-names":false,"suffix":""},{"dropping-particle":"","family":"Mutwil","given":"Hubert","non-dropping-particle":"","parse-names":false,"suffix":""},{"dropping-particle":"","family":"Rogula","given":"Sylwester","non-dropping-particle":"","parse-names":false,"suffix":""},{"dropping-particle":"","family":"Rutkowska","given":"Wiktoria","non-dropping-particle":"","parse-names":false,"suffix":""},{"dropping-particle":"","family":"Pluta","given":"Kinga","non-dropping-particle":"","parse-names":false,"suffix":""},{"dropping-particle":"","family":"Eyileten","given":"Ceren","non-dropping-particle":"","parse-names":false,"suffix":""},{"dropping-particle":"","family":"Postuła","given":"Marek","non-dropping-particle":"","parse-names":false,"suffix":""},{"dropping-particle":"","family":"Darocha","given":"Szymon","non-dropping-particle":"","parse-names":false,"suffix":""},{"dropping-particle":"","family":"Huczek","given":"Zenon","non-dropping-particle":"","parse-names":false,"suffix":""},{"dropping-particle":"","family":"Opolski","given":"Grzegorz","non-dropping-particle":"","parse-names":false,"suffix":""},{"dropping-particle":"","family":"Filipiak","given":"Krzysztof J.","non-dropping-particle":"","parse-names":false,"suffix":""},{"dropping-particle":"","family":"Torbicki","given":"Adam","non-dropping-particle":"","parse-names":false,"suffix":""},{"dropping-particle":"","family":"Kurzyna","given":"Marcin","non-dropping-particle":"","parse-names":false,"suffix":""}],"container-title":"Journal of Clinical Medicine 2021, Vol. 10, Page 1024","id":"ITEM-1","issue":"5","issued":{"date-parts":[["2021","3","2"]]},"page":"1024","publisher":"Multidisciplinary Digital Publishing Institute","title":"Prostacyclin Analogues Inhibit Platelet Reactivity, Extracellular Vesicle Release and Thrombus Formation in Patients with Pulmonary Arterial Hypertension","type":"article-journal","volume":"10"},"uris":["http://www.mendeley.com/documents/?uuid=fad991d4-d3f0-3557-9cb7-f99e75349202"]}],"mendeley":{"formattedCitation":"&lt;sup&gt;8&lt;/sup&gt;","plainTextFormattedCitation":"8","previouslyFormattedCitation":"[8]"},"properties":{"noteIndex":0},"schema":"https://github.com/citation-style-language/schema/raw/master/csl-citation.json"}</w:instrText>
      </w:r>
      <w:r w:rsidR="008F7C59" w:rsidRPr="00590031">
        <w:rPr>
          <w:rFonts w:cstheme="minorHAnsi"/>
          <w:sz w:val="24"/>
          <w:szCs w:val="24"/>
        </w:rPr>
        <w:fldChar w:fldCharType="separate"/>
      </w:r>
      <w:r w:rsidR="00DA75A6" w:rsidRPr="00590031">
        <w:rPr>
          <w:rFonts w:cstheme="minorHAnsi"/>
          <w:noProof/>
          <w:sz w:val="24"/>
          <w:szCs w:val="24"/>
          <w:vertAlign w:val="superscript"/>
        </w:rPr>
        <w:t>8</w:t>
      </w:r>
      <w:r w:rsidR="008F7C59" w:rsidRPr="00590031">
        <w:rPr>
          <w:rFonts w:cstheme="minorHAnsi"/>
          <w:sz w:val="24"/>
          <w:szCs w:val="24"/>
        </w:rPr>
        <w:fldChar w:fldCharType="end"/>
      </w:r>
      <w:r w:rsidR="00562542" w:rsidRPr="00590031">
        <w:rPr>
          <w:rFonts w:cstheme="minorHAnsi"/>
          <w:sz w:val="24"/>
          <w:szCs w:val="24"/>
        </w:rPr>
        <w:t>.</w:t>
      </w:r>
      <w:r w:rsidR="00BC4070" w:rsidRPr="00590031">
        <w:rPr>
          <w:rFonts w:cstheme="minorHAnsi"/>
          <w:sz w:val="24"/>
          <w:szCs w:val="24"/>
        </w:rPr>
        <w:t xml:space="preserve"> </w:t>
      </w:r>
      <w:r w:rsidR="00562542" w:rsidRPr="00590031">
        <w:rPr>
          <w:rFonts w:cstheme="minorHAnsi"/>
          <w:sz w:val="24"/>
          <w:szCs w:val="24"/>
        </w:rPr>
        <w:t xml:space="preserve">They are </w:t>
      </w:r>
      <w:r w:rsidR="00113B5B" w:rsidRPr="00590031">
        <w:rPr>
          <w:rFonts w:cstheme="minorHAnsi"/>
          <w:sz w:val="24"/>
          <w:szCs w:val="24"/>
        </w:rPr>
        <w:t xml:space="preserve">normally </w:t>
      </w:r>
      <w:r w:rsidR="00562542" w:rsidRPr="00590031">
        <w:rPr>
          <w:rFonts w:cstheme="minorHAnsi"/>
          <w:sz w:val="24"/>
          <w:szCs w:val="24"/>
        </w:rPr>
        <w:t xml:space="preserve">indicated for use in scleroderma and </w:t>
      </w:r>
      <w:r w:rsidR="00BB7028" w:rsidRPr="00590031">
        <w:rPr>
          <w:rFonts w:cstheme="minorHAnsi"/>
          <w:sz w:val="24"/>
          <w:szCs w:val="24"/>
        </w:rPr>
        <w:t xml:space="preserve">idiopathic </w:t>
      </w:r>
      <w:r w:rsidR="00562542" w:rsidRPr="00590031">
        <w:rPr>
          <w:rFonts w:cstheme="minorHAnsi"/>
          <w:sz w:val="24"/>
          <w:szCs w:val="24"/>
        </w:rPr>
        <w:t xml:space="preserve">pulmonary </w:t>
      </w:r>
      <w:r w:rsidR="00BB7028" w:rsidRPr="00590031">
        <w:rPr>
          <w:rFonts w:cstheme="minorHAnsi"/>
          <w:sz w:val="24"/>
          <w:szCs w:val="24"/>
        </w:rPr>
        <w:t xml:space="preserve">arterial </w:t>
      </w:r>
      <w:r w:rsidR="00562542" w:rsidRPr="00590031">
        <w:rPr>
          <w:rFonts w:cstheme="minorHAnsi"/>
          <w:sz w:val="24"/>
          <w:szCs w:val="24"/>
        </w:rPr>
        <w:t xml:space="preserve">hypertension. The evidence supporting their use in AHRF </w:t>
      </w:r>
      <w:r w:rsidR="00BB7028" w:rsidRPr="00590031">
        <w:rPr>
          <w:rFonts w:cstheme="minorHAnsi"/>
          <w:sz w:val="24"/>
          <w:szCs w:val="24"/>
        </w:rPr>
        <w:t xml:space="preserve">and ARDS </w:t>
      </w:r>
      <w:r w:rsidR="00562542" w:rsidRPr="00590031">
        <w:rPr>
          <w:rFonts w:cstheme="minorHAnsi"/>
          <w:sz w:val="24"/>
          <w:szCs w:val="24"/>
        </w:rPr>
        <w:t xml:space="preserve">is limited. </w:t>
      </w:r>
      <w:r w:rsidR="009C0AAE" w:rsidRPr="00590031">
        <w:rPr>
          <w:rFonts w:cstheme="minorHAnsi"/>
          <w:sz w:val="24"/>
          <w:szCs w:val="24"/>
        </w:rPr>
        <w:t>Iloprost</w:t>
      </w:r>
      <w:r w:rsidR="00562542" w:rsidRPr="00590031">
        <w:rPr>
          <w:rFonts w:cstheme="minorHAnsi"/>
          <w:sz w:val="24"/>
          <w:szCs w:val="24"/>
        </w:rPr>
        <w:t xml:space="preserve"> has been shown in small studies to improve oxygenation in patients with refractory hypoxaemia</w:t>
      </w:r>
      <w:r w:rsidR="001F2855" w:rsidRPr="00590031">
        <w:rPr>
          <w:rFonts w:cstheme="minorHAnsi"/>
          <w:sz w:val="24"/>
          <w:szCs w:val="24"/>
        </w:rPr>
        <w:t xml:space="preserve"> </w:t>
      </w:r>
      <w:r w:rsidR="001F2855" w:rsidRPr="00590031">
        <w:rPr>
          <w:rFonts w:cstheme="minorHAnsi"/>
          <w:sz w:val="24"/>
          <w:szCs w:val="24"/>
        </w:rPr>
        <w:fldChar w:fldCharType="begin" w:fldLock="1"/>
      </w:r>
      <w:r w:rsidR="00DA75A6" w:rsidRPr="00590031">
        <w:rPr>
          <w:rFonts w:cstheme="minorHAnsi"/>
          <w:sz w:val="24"/>
          <w:szCs w:val="24"/>
        </w:rPr>
        <w:instrText>ADDIN CSL_CITATION {"citationItems":[{"id":"ITEM-1","itemData":{"DOI":"10.1002/14651858.CD007733.pub3","ISSN":"1469493X","PMID":"28806480","abstract":"Background: Acute respiratory distress syndrome (ARDS) is a critical condition that is associated with high mortality and morbidity. Aerosolized prostacyclin has been used to improve oxygenation despite the limited evidence available so far. This review was originally published in 2010 and updated in 2017. Objectives: To assess the benefits and harms of aerosolized prostacyclin in adults and children with ARDS. Search methods: In this update, we searched CENTRAL (2017, Issue 4); MEDLINE (OvidSP), Embase (OvidSP), ISI BIOSIS Previews, ISI Web of Science, LILACS, CINAHL (EBSCOhost), and three trials registers. We handsearched the reference lists of the latest reviews, randomized and non-randomized trials, and editorials, and cross-checked them with our search of MEDLINE. We contacted the main authors of included studies to request any missed, unreported or ongoing studies. The search was run from inception to 5 May 2017. Selection criteria: We included all randomized controlled trials (RCTs), irrespective of publication status, date of publication, blinding status, outcomes published or language. We contacted trial investigators and study authors to retrieve relevant and missing data. Data collection and analysis: Three authors independently abstracted data and resolved any disagreements by discussion. Our primary outcome measure was all-cause mortality. We planned to perform subgroup and sensitivity analyses to assess the effect of aerosolized prostacyclin in adults and children, and on various clinical and physiological outcomes. We assessed the risk of bias through assessment of methodological trial components and the risk of random error through trial sequential analysis. Main results: We included two RCTs with 81 participants. One RCT involved 14 critically ill children with ARDS (very low quality of evidence), and one RCT involved 67 critically ill adults (very low quality evidence). Only one RCT (paediatric trial) provided data on mortality and found no difference between intervention and control. However, this trial was eligible for meta-analysis due to a cross-over design. We assessed the benefits and harms of aerosolized prostacyclin. One RCT found no difference in improvement of partial pressure of oxygen in arterial blood/fraction of inspired oxygen (PaO 2 /FiO 2 ) ratio (mean difference (MD) -25.35, 95% confidence interval (CI) -60.48 to 9.78; P = 0.16; 67 participants, very low quality evidence). There were no adverse events such as bleeding…","author":[{"dropping-particle":"","family":"Afshari","given":"Arash","non-dropping-particle":"","parse-names":false,"suffix":""},{"dropping-particle":"","family":"Bastholm Bille","given":"Anders","non-dropping-particle":"","parse-names":false,"suffix":""},{"dropping-particle":"","family":"Allingstrup","given":"Mikkel","non-dropping-particle":"","parse-names":false,"suffix":""}],"container-title":"Cochrane Database of Systematic Reviews","id":"ITEM-1","issue":"7","issued":{"date-parts":[["2017","7","24"]]},"publisher":"Cochrane Database Syst Rev","title":"Aerosolized prostacyclins for acute respiratory distress syndrome (ARDS)","type":"article","volume":"2017"},"uris":["http://www.mendeley.com/documents/?uuid=51cef49c-a409-381b-95e0-27b988235688"]}],"mendeley":{"formattedCitation":"&lt;sup&gt;9&lt;/sup&gt;","plainTextFormattedCitation":"9","previouslyFormattedCitation":"[9]"},"properties":{"noteIndex":0},"schema":"https://github.com/citation-style-language/schema/raw/master/csl-citation.json"}</w:instrText>
      </w:r>
      <w:r w:rsidR="001F2855" w:rsidRPr="00590031">
        <w:rPr>
          <w:rFonts w:cstheme="minorHAnsi"/>
          <w:sz w:val="24"/>
          <w:szCs w:val="24"/>
        </w:rPr>
        <w:fldChar w:fldCharType="separate"/>
      </w:r>
      <w:r w:rsidR="00DA75A6" w:rsidRPr="00590031">
        <w:rPr>
          <w:rFonts w:cstheme="minorHAnsi"/>
          <w:noProof/>
          <w:sz w:val="24"/>
          <w:szCs w:val="24"/>
          <w:vertAlign w:val="superscript"/>
        </w:rPr>
        <w:t>9</w:t>
      </w:r>
      <w:r w:rsidR="001F2855" w:rsidRPr="00590031">
        <w:rPr>
          <w:rFonts w:cstheme="minorHAnsi"/>
          <w:sz w:val="24"/>
          <w:szCs w:val="24"/>
        </w:rPr>
        <w:fldChar w:fldCharType="end"/>
      </w:r>
      <w:r w:rsidR="005B4E58" w:rsidRPr="00590031">
        <w:rPr>
          <w:rFonts w:cstheme="minorHAnsi"/>
          <w:sz w:val="24"/>
          <w:szCs w:val="24"/>
          <w:vertAlign w:val="superscript"/>
        </w:rPr>
        <w:t>,</w:t>
      </w:r>
      <w:r w:rsidR="001F2855" w:rsidRPr="00590031">
        <w:rPr>
          <w:rFonts w:cstheme="minorHAnsi"/>
          <w:sz w:val="24"/>
          <w:szCs w:val="24"/>
        </w:rPr>
        <w:fldChar w:fldCharType="begin" w:fldLock="1"/>
      </w:r>
      <w:r w:rsidR="00DA75A6" w:rsidRPr="00590031">
        <w:rPr>
          <w:rFonts w:cstheme="minorHAnsi"/>
          <w:sz w:val="24"/>
          <w:szCs w:val="24"/>
        </w:rPr>
        <w:instrText>ADDIN CSL_CITATION {"citationItems":[{"id":"ITEM-1","itemData":{"DOI":"10.1016/j.jtcvs.2003.11.035","ISSN":"00225223","PMID":"15052203","abstract":"Background: The purpose of this study was to describe our institutional experience in using inhaled prostacyclin as a selective pulmonary vasodilator in patients with pulmonary hypertension, refractory hypoxemia, and right heart dysfunction after cardiothoracic surgery. Methods: Between February 2001 and March 2003, cardiothoracic surgical patients with pulmonary hypertension (mean pulmonary artery pressure &gt;30 mm Hg of systolic pulmonary artery pressure &gt;40 mm Hg), hypoxemia (Pao2/fraction of inspired oxygen &lt;150 mm Hg), of right heart dysfunction (central venous pressure &gt;16 mm Hg and cardiac index &lt;2.2 L · min-1 · m-2) were prospectively administered inhaled prostacyclin at an initial concentration of 20,000 ng/mL and then weaned per protocol. Hemodynamic variables were measured before the initiation of inhaled prostacyclin, 30 to 60 minutes after initiation, and again 4 to 6 hours later. Results: One hundred twenty-six patients were enrolled during the study period. At both time points, inhaled prostacyclin significantly decreased the mean pulmonary artery pressure without altering the mean arterial pressure. The average length of time on inhaled prostacyclin was 45.6 hours. There were no adverse events attributable to inhaled prostacyclin. The average cost for inhaled prostacyclin was $150 per day. Compared with nitric oxide, which costs $3000 per day, the potential cost savings over this period were $681.686. Conclusions: Inhaled prostacyclin seems to be a safe and effective pulmonary vasodilator for cardiothoracic surgical patients with pulmonary hypertension, refractory hypoxemia, or right heart dysfunction. Overall, inhaled prostacyclin significantly decreases mean pulmonary artery pressures without altering the mean arterial pressure. Compared with nitric oxide, there is no special equipment required for administration or toxicity monitoring, and the cost savings are substantial.","author":[{"dropping-particle":"","family":"Wet","given":"Charl J.","non-dropping-particle":"De","parse-names":false,"suffix":""},{"dropping-particle":"","family":"Affleck","given":"David G.","non-dropping-particle":"","parse-names":false,"suffix":""},{"dropping-particle":"","family":"Jacobsohn","given":"Eric","non-dropping-particle":"","parse-names":false,"suffix":""},{"dropping-particle":"","family":"Avidan","given":"Michael S.","non-dropping-particle":"","parse-names":false,"suffix":""},{"dropping-particle":"","family":"Tymkew","given":"Heidi","non-dropping-particle":"","parse-names":false,"suffix":""},{"dropping-particle":"","family":"Hill","given":"Laureen L.","non-dropping-particle":"","parse-names":false,"suffix":""},{"dropping-particle":"","family":"Zanaboni","given":"Paul B.","non-dropping-particle":"","parse-names":false,"suffix":""},{"dropping-particle":"","family":"Moazami","given":"Nader","non-dropping-particle":"","parse-names":false,"suffix":""},{"dropping-particle":"","family":"Smith","given":"Jennifer R.","non-dropping-particle":"","parse-names":false,"suffix":""},{"dropping-particle":"","family":"Fullerton","given":"David","non-dropping-particle":"","parse-names":false,"suffix":""}],"container-title":"Journal of Thoracic and Cardiovascular Surgery","id":"ITEM-1","issue":"4","issued":{"date-parts":[["2004"]]},"page":"1058-1067","publisher":"Mosby Inc.","title":"Inhaled prostacyclin is safe, effective, and affordable in patients with pulmonary hypertension, right heart dysfunction, and refractory hypoxemia after cardiothoracic surgery","type":"article-journal","volume":"127"},"uris":["http://www.mendeley.com/documents/?uuid=c31ac836-1cf7-3132-aa52-4bec86ffbe51"]}],"mendeley":{"formattedCitation":"&lt;sup&gt;10&lt;/sup&gt;","plainTextFormattedCitation":"10","previouslyFormattedCitation":"[10]"},"properties":{"noteIndex":0},"schema":"https://github.com/citation-style-language/schema/raw/master/csl-citation.json"}</w:instrText>
      </w:r>
      <w:r w:rsidR="001F2855" w:rsidRPr="00590031">
        <w:rPr>
          <w:rFonts w:cstheme="minorHAnsi"/>
          <w:sz w:val="24"/>
          <w:szCs w:val="24"/>
        </w:rPr>
        <w:fldChar w:fldCharType="separate"/>
      </w:r>
      <w:r w:rsidR="00DA75A6" w:rsidRPr="00590031">
        <w:rPr>
          <w:rFonts w:cstheme="minorHAnsi"/>
          <w:noProof/>
          <w:sz w:val="24"/>
          <w:szCs w:val="24"/>
          <w:vertAlign w:val="superscript"/>
        </w:rPr>
        <w:t>10</w:t>
      </w:r>
      <w:r w:rsidR="001F2855" w:rsidRPr="00590031">
        <w:rPr>
          <w:rFonts w:cstheme="minorHAnsi"/>
          <w:sz w:val="24"/>
          <w:szCs w:val="24"/>
        </w:rPr>
        <w:fldChar w:fldCharType="end"/>
      </w:r>
      <w:r w:rsidR="00562542" w:rsidRPr="00590031">
        <w:rPr>
          <w:rFonts w:cstheme="minorHAnsi"/>
          <w:sz w:val="24"/>
          <w:szCs w:val="24"/>
        </w:rPr>
        <w:t xml:space="preserve"> without effecting haemodynamic stability</w:t>
      </w:r>
      <w:r w:rsidR="001F2855" w:rsidRPr="00590031">
        <w:rPr>
          <w:rFonts w:cstheme="minorHAnsi"/>
          <w:sz w:val="24"/>
          <w:szCs w:val="24"/>
        </w:rPr>
        <w:fldChar w:fldCharType="begin" w:fldLock="1"/>
      </w:r>
      <w:r w:rsidR="00DA75A6" w:rsidRPr="00590031">
        <w:rPr>
          <w:rFonts w:cstheme="minorHAnsi"/>
          <w:sz w:val="24"/>
          <w:szCs w:val="24"/>
        </w:rPr>
        <w:instrText>ADDIN CSL_CITATION {"citationItems":[{"id":"ITEM-1","itemData":{"DOI":"10.1378/chest.12-2296","ISSN":"19313543","abstract":"Objective: We hypothesized that nebulized iloprost would improve ventilation-perfusion matching in patients with pulmonary hypertension and ARDS as reflected by an improved Pao2/FIO2 ratio and Pao 2 without adversely affecting lung mechanics or systemic hemodynamics. Methods: Patients with ARDS and pulmonary hypertension were enrolled. With constant ventilator settings, hemodynamics, airway pressures, and gas exchange measured at baseline were compared with values 30 min after administration of 10 μg nebulized iloprost, and again 30 min after a second, larger, 20 μg dose of iloprost, and then a final measurement 2 h after the second dose. The primary outcome variable was Pao2; secondary outcomes were Pao2/FIO2 ratio, mean arterial BP, and lung-compliance ventilatory equivalents for oxygen and CO2. Results: After informed consent was obtained, 20 patients (nine men, 11 women; median age, 59 years [interquartile range, 44-66 years]) with ARDS were enrolled. Baseline Pao2 improved from a mean (±SD) of 82 (13) mm Hg to 100 (25) mm Hg after both the first and second doses of iloprost, and the baseline mean (±SD) Pao2/FIO2 ratio of 177 (60) improved to 213 (67) and 212 (70) (all P &lt; .01). Paco2, peak and plateau airway pressures, systemic BP, and heart rate were not significantly changed after iloprost. Conclusions: The improvement in gas exchange without any detrimental effects on pulmonary mechanics or systemic hemodynamics suggests nebulized iloprost may be a useful therapeutic agent to improve oxygenation in patients with ARDS. © 2013 American College of Chest Physicians.","author":[{"dropping-particle":"","family":"Sawheny","given":"Eva","non-dropping-particle":"","parse-names":false,"suffix":""},{"dropping-particle":"","family":"Ellis","given":"Ashley L.","non-dropping-particle":"","parse-names":false,"suffix":""},{"dropping-particle":"","family":"Kinasewitz","given":"Gary T.","non-dropping-particle":"","parse-names":false,"suffix":""}],"container-title":"Chest","id":"ITEM-1","issue":"1","issued":{"date-parts":[["2013","7","1"]]},"page":"55-62","publisher":"Elsevier","title":"Iloprost improves gas exchange in patients with pulmonary hypertension and ARDS","type":"article-journal","volume":"144"},"uris":["http://www.mendeley.com/documents/?uuid=27c31520-0b9c-3013-b30a-e4d205da97d5"]}],"mendeley":{"formattedCitation":"&lt;sup&gt;11&lt;/sup&gt;","plainTextFormattedCitation":"11","previouslyFormattedCitation":"[11]"},"properties":{"noteIndex":0},"schema":"https://github.com/citation-style-language/schema/raw/master/csl-citation.json"}</w:instrText>
      </w:r>
      <w:r w:rsidR="001F2855" w:rsidRPr="00590031">
        <w:rPr>
          <w:rFonts w:cstheme="minorHAnsi"/>
          <w:sz w:val="24"/>
          <w:szCs w:val="24"/>
        </w:rPr>
        <w:fldChar w:fldCharType="separate"/>
      </w:r>
      <w:r w:rsidR="00DA75A6" w:rsidRPr="00590031">
        <w:rPr>
          <w:rFonts w:cstheme="minorHAnsi"/>
          <w:noProof/>
          <w:sz w:val="24"/>
          <w:szCs w:val="24"/>
          <w:vertAlign w:val="superscript"/>
        </w:rPr>
        <w:t>11</w:t>
      </w:r>
      <w:r w:rsidR="001F2855" w:rsidRPr="00590031">
        <w:rPr>
          <w:rFonts w:cstheme="minorHAnsi"/>
          <w:sz w:val="24"/>
          <w:szCs w:val="24"/>
        </w:rPr>
        <w:fldChar w:fldCharType="end"/>
      </w:r>
      <w:r w:rsidR="0068304F" w:rsidRPr="00590031">
        <w:rPr>
          <w:rFonts w:cstheme="minorHAnsi"/>
          <w:sz w:val="24"/>
          <w:szCs w:val="24"/>
        </w:rPr>
        <w:t xml:space="preserve"> and</w:t>
      </w:r>
      <w:r w:rsidR="00017B35" w:rsidRPr="00590031">
        <w:rPr>
          <w:rFonts w:cstheme="minorHAnsi"/>
          <w:sz w:val="24"/>
          <w:szCs w:val="24"/>
        </w:rPr>
        <w:t xml:space="preserve"> is more potent in the pulmonary circulation compared to </w:t>
      </w:r>
      <w:proofErr w:type="spellStart"/>
      <w:r w:rsidR="00F1752C" w:rsidRPr="00590031">
        <w:rPr>
          <w:rFonts w:cstheme="minorHAnsi"/>
          <w:sz w:val="24"/>
          <w:szCs w:val="24"/>
        </w:rPr>
        <w:t>iNO</w:t>
      </w:r>
      <w:proofErr w:type="spellEnd"/>
      <w:r w:rsidR="00017B35" w:rsidRPr="00590031">
        <w:rPr>
          <w:rFonts w:cstheme="minorHAnsi"/>
          <w:sz w:val="24"/>
          <w:szCs w:val="24"/>
        </w:rPr>
        <w:t xml:space="preserve"> </w:t>
      </w:r>
      <w:r w:rsidR="006A4814" w:rsidRPr="00590031">
        <w:rPr>
          <w:rFonts w:cstheme="minorHAnsi"/>
          <w:sz w:val="24"/>
          <w:szCs w:val="24"/>
        </w:rPr>
        <w:fldChar w:fldCharType="begin" w:fldLock="1"/>
      </w:r>
      <w:r w:rsidR="00DA75A6" w:rsidRPr="00590031">
        <w:rPr>
          <w:rFonts w:cstheme="minorHAnsi"/>
          <w:sz w:val="24"/>
          <w:szCs w:val="24"/>
        </w:rPr>
        <w:instrText>ADDIN CSL_CITATION {"citationItems":[{"id":"ITEM-1","itemData":{"DOI":"10.1016/S0735-1097(99)00494-5","ISSN":"07351097","PMID":"10636277","abstract":"OBJECTIVE: We sought to compare the acute hemodynamic effects of inhaled nitric oxide (NO) and aerosolized iloprost in primary pulmonary hypertension (PPH). BACKGROUND: Inhalation of the stable prostacyclin analogue iloprost has recently been described as a novel therapeutic strategy for PPH and may offer an alternative to continuous intravenous infusion of prostacyclin or inhalation of NO. METHODS: During right heart catheterization, 35 patients with PPH sequentially inhaled 40 ppm of NO and 14 to 17 μg of iloprost, and the effects on hemodynamics and blood gases were monitored. RESULTS: Both NO and iloprost caused significant increases in cardiac output, mixed-venous oxygen saturation and stroke volume as well as significant decreases in pulmonary artery pressure and pulmonary vascular resistance, whereas only inhaled iloprost significantly increased the arterial PO2 (p = 0.01). Compared with inhaled NO, aerosolized iloprost was more effective in reducing pulmonary artery pressure (-8.3 ± 7.5 mm Hg vs. -4.3 ± 8.8 mm Hg; p = 0.0001) and the pulmonary vascular resistance (-447 ± 340 dynes · s · cm-5 vs. -183 ± 305 dyne · s · cm-5; p &lt; 0.0001). Furthermore, aerosolized iloprost caused a significantly greater increase of the cardiac output compared with NO (+0.7 ± 0.6 liter/min vs. +0.3 ± 0.4 liter/min; p = 0.0002) and had a more pronounced effect on the mixed-venous oxygen saturation (p = 0.003). CONCLUSIONS: During acute drug testing, aerosolized iloprost was more potent than inhaled NO as a pulmonary vasodilator in PPH at the doses used in this study.","author":[{"dropping-particle":"","family":"Hoeper","given":"Marius M.","non-dropping-particle":"","parse-names":false,"suffix":""},{"dropping-particle":"","family":"Olschewski","given":"Horst","non-dropping-particle":"","parse-names":false,"suffix":""},{"dropping-particle":"","family":"Ghofrani","given":"Hossein A.","non-dropping-particle":"","parse-names":false,"suffix":""},{"dropping-particle":"","family":"Wilkens","given":"Heinrike","non-dropping-particle":"","parse-names":false,"suffix":""},{"dropping-particle":"","family":"Winkler","given":"Joerg","non-dropping-particle":"","parse-names":false,"suffix":""},{"dropping-particle":"","family":"Borst","given":"Mathias M.","non-dropping-particle":"","parse-names":false,"suffix":""},{"dropping-particle":"","family":"Niedermeyer","given":"Jost","non-dropping-particle":"","parse-names":false,"suffix":""},{"dropping-particle":"","family":"Fabel","given":"Helmut","non-dropping-particle":"","parse-names":false,"suffix":""},{"dropping-particle":"","family":"Seeger","given":"Werner","non-dropping-particle":"","parse-names":false,"suffix":""}],"container-title":"Journal of the American College of Cardiology","id":"ITEM-1","issue":"1","issued":{"date-parts":[["2000","1","1"]]},"page":"176-182","publisher":"Elsevier","title":"A comparison of the acute hemodynamic effects of inhaled nitric oxide and aerosolized iloprost in primary pulmonary hypertension","type":"article-journal","volume":"35"},"uris":["http://www.mendeley.com/documents/?uuid=64476ba8-dff4-3ba2-ac42-d360e4817176"]}],"mendeley":{"formattedCitation":"&lt;sup&gt;12&lt;/sup&gt;","plainTextFormattedCitation":"12","previouslyFormattedCitation":"[12]"},"properties":{"noteIndex":0},"schema":"https://github.com/citation-style-language/schema/raw/master/csl-citation.json"}</w:instrText>
      </w:r>
      <w:r w:rsidR="006A4814" w:rsidRPr="00590031">
        <w:rPr>
          <w:rFonts w:cstheme="minorHAnsi"/>
          <w:sz w:val="24"/>
          <w:szCs w:val="24"/>
        </w:rPr>
        <w:fldChar w:fldCharType="separate"/>
      </w:r>
      <w:r w:rsidR="00DA75A6" w:rsidRPr="00590031">
        <w:rPr>
          <w:rFonts w:cstheme="minorHAnsi"/>
          <w:noProof/>
          <w:sz w:val="24"/>
          <w:szCs w:val="24"/>
          <w:vertAlign w:val="superscript"/>
        </w:rPr>
        <w:t>12</w:t>
      </w:r>
      <w:r w:rsidR="006A4814" w:rsidRPr="00590031">
        <w:rPr>
          <w:rFonts w:cstheme="minorHAnsi"/>
          <w:sz w:val="24"/>
          <w:szCs w:val="24"/>
        </w:rPr>
        <w:fldChar w:fldCharType="end"/>
      </w:r>
      <w:r w:rsidR="005B4E58" w:rsidRPr="00590031">
        <w:rPr>
          <w:rFonts w:cstheme="minorHAnsi"/>
          <w:sz w:val="24"/>
          <w:szCs w:val="24"/>
          <w:vertAlign w:val="superscript"/>
        </w:rPr>
        <w:t>,</w:t>
      </w:r>
      <w:r w:rsidR="006A4814" w:rsidRPr="00590031">
        <w:rPr>
          <w:rFonts w:cstheme="minorHAnsi"/>
          <w:sz w:val="24"/>
          <w:szCs w:val="24"/>
          <w:vertAlign w:val="superscript"/>
        </w:rPr>
        <w:fldChar w:fldCharType="begin" w:fldLock="1"/>
      </w:r>
      <w:r w:rsidR="00DA75A6" w:rsidRPr="00590031">
        <w:rPr>
          <w:rFonts w:cstheme="minorHAnsi"/>
          <w:sz w:val="24"/>
          <w:szCs w:val="24"/>
          <w:vertAlign w:val="superscript"/>
        </w:rPr>
        <w:instrText>ADDIN CSL_CITATION {"citationItems":[{"id":"ITEM-1","itemData":{"DOI":"10.1164/ajrccm.153.3.8630585","ISSN":"1073449X","PMID":"8630585","abstract":"Inhalation of NO and aerosolization of PGI2 have been suggested to achieve selective pulmonary vasodilation and improvement of arterial oxygenation in patients with ARDS. We directly compared these two modes of transbronchial vasodilator therapy in 16 ARDS patients mechanically ventilated (mean lung injury score [1] 2.75 ± 0.05). Patients were randomized to receive either first NO and then PGI2, or vice versa. Each drug was individually titrated to find the maximum improvement of arterial oxygenation. Gas exchange variables, including data from the multiple inert gas elimination technique (MIGET), and hemodynamics under application of NO/PGI2 were compared with pre- and post-challenge values. NO (17.8 ± 2.7 ppm) increased Pa(O2)/FI(O2) from 115 ± 12 to 144 ± 15 mm Hg (p &lt; 0.01) and reduced the shunt-flow from 33.1 ± 3.6 to 26.6 ± 4.5% (p &lt; 0.05). Aerosolized PGI2 (7.5 ± 2.5 ng/kg min) augmented Pa(O2)/FI(O2) from 114 ± 12 to 135 ± 12 mm Hg (p &lt; 0.01), and decreased shunt from 33.5 ± 3.8 to 26.0 ± 3.9% (p &lt; 0.05). In 10 patients, both NO and PGI2 caused an increase in Pa(O2)/Fi(O2) by at least 10 mm Hg. Two further patients displayed an improvement of arterial oxygenation in response to either NO or PGI2. NO decreased mean pulmonary artery pressure from 34.8 ± 2.2 to 33.0 ± 1.8 mm Hg, and PGI2 from 35.0 ± 2.2 to 31.9 ± 1.7 mm Hg (p &lt; 0.05). We conclude that individually titrated doses of inhaled NO and aerosolized PGI2 effect selective pulmonary vasodilation and redistribute blood-flow from shunt- areas to well-ventilated regions with nearly identical efficacy profiles.","author":[{"dropping-particle":"","family":"Walmrath","given":"Dieter","non-dropping-particle":"","parse-names":false,"suffix":""},{"dropping-particle":"","family":"Schneider","given":"Thomas","non-dropping-particle":"","parse-names":false,"suffix":""},{"dropping-particle":"","family":"Schermuly","given":"Ralph","non-dropping-particle":"","parse-names":false,"suffix":""},{"dropping-particle":"","family":"Olschewski","given":"Horst","non-dropping-particle":"","parse-names":false,"suffix":""},{"dropping-particle":"","family":"Grimminger","given":"Friedrich","non-dropping-particle":"","parse-names":false,"suffix":""},{"dropping-particle":"","family":"Seeger","given":"Werner","non-dropping-particle":"","parse-names":false,"suffix":""}],"container-title":"American Journal of Respiratory and Critical Care Medicine","id":"ITEM-1","issue":"3","issued":{"date-parts":[["1996","12","20"]]},"page":"991-996","publisher":"American Public Health Association","title":"Direct comparison of inhaled nitric oxide and aerosolized prostacyclin in acute respiratory distress syndrome","type":"article-journal","volume":"153"},"uris":["http://www.mendeley.com/documents/?uuid=f386fbd3-c8f3-3990-92c5-8eeb551fa412"]}],"mendeley":{"formattedCitation":"&lt;sup&gt;13&lt;/sup&gt;","plainTextFormattedCitation":"13","previouslyFormattedCitation":"[13]"},"properties":{"noteIndex":0},"schema":"https://github.com/citation-style-language/schema/raw/master/csl-citation.json"}</w:instrText>
      </w:r>
      <w:r w:rsidR="006A4814" w:rsidRPr="00590031">
        <w:rPr>
          <w:rFonts w:cstheme="minorHAnsi"/>
          <w:sz w:val="24"/>
          <w:szCs w:val="24"/>
          <w:vertAlign w:val="superscript"/>
        </w:rPr>
        <w:fldChar w:fldCharType="separate"/>
      </w:r>
      <w:r w:rsidR="00DA75A6" w:rsidRPr="00590031">
        <w:rPr>
          <w:rFonts w:cstheme="minorHAnsi"/>
          <w:noProof/>
          <w:sz w:val="24"/>
          <w:szCs w:val="24"/>
          <w:vertAlign w:val="superscript"/>
        </w:rPr>
        <w:t>13</w:t>
      </w:r>
      <w:r w:rsidR="006A4814" w:rsidRPr="00590031">
        <w:rPr>
          <w:rFonts w:cstheme="minorHAnsi"/>
          <w:sz w:val="24"/>
          <w:szCs w:val="24"/>
          <w:vertAlign w:val="superscript"/>
        </w:rPr>
        <w:fldChar w:fldCharType="end"/>
      </w:r>
      <w:r w:rsidR="005B4E58" w:rsidRPr="00590031">
        <w:rPr>
          <w:rFonts w:cstheme="minorHAnsi"/>
          <w:sz w:val="24"/>
          <w:szCs w:val="24"/>
          <w:vertAlign w:val="superscript"/>
        </w:rPr>
        <w:t>,</w:t>
      </w:r>
      <w:r w:rsidR="006A4814" w:rsidRPr="00590031">
        <w:rPr>
          <w:rFonts w:cstheme="minorHAnsi"/>
          <w:sz w:val="24"/>
          <w:szCs w:val="24"/>
        </w:rPr>
        <w:fldChar w:fldCharType="begin" w:fldLock="1"/>
      </w:r>
      <w:r w:rsidR="00DA75A6" w:rsidRPr="00590031">
        <w:rPr>
          <w:rFonts w:cstheme="minorHAnsi"/>
          <w:sz w:val="24"/>
          <w:szCs w:val="24"/>
        </w:rPr>
        <w:instrText>ADDIN CSL_CITATION {"citationItems":[{"id":"ITEM-1","itemData":{"DOI":"10.1016/0140-6736(93)92004-D","ISSN":"01406736","PMID":"8105216","abstract":"We studied the effects of aerosolised prostacyclin (PGI2) in three patients with acute severe adult respiratory distress syndrome. 17-50 ng/kg per min, nebulised into the afferent limb of the ventilator circuit, decreased mean pulmonary artery pressure (SEM) from 40·3 (13·5) to 32·0 (3·8) mm hg (pulmonary vascular resistance fell by 30%); systemic arterial pressure decreased slightly from 76·8 (2·2) to 74·5 (6·1) mm hg. Concomitantly, the ratio of arterial oxygen partial pressure to the fraction of inspired oxygen increased from 120 (19) to 173 (18), mainly due to redistribution of blood flow from shunt areas to regions of normal ventilation-perfusion. All effects were reversed on drug withdrawal. Lancet 1993; 342: 961-62. © 1993.","author":[{"dropping-particle":"","family":"Walmrath","given":"D.","non-dropping-particle":"","parse-names":false,"suffix":""},{"dropping-particle":"","family":"Schneider","given":"T.","non-dropping-particle":"","parse-names":false,"suffix":""},{"dropping-particle":"","family":"Pilch","given":"J.","non-dropping-particle":"","parse-names":false,"suffix":""},{"dropping-particle":"","family":"Grimminger","given":"F.","non-dropping-particle":"","parse-names":false,"suffix":""},{"dropping-particle":"","family":"Seeger","given":"W.","non-dropping-particle":"","parse-names":false,"suffix":""}],"container-title":"The Lancet","id":"ITEM-1","issue":"8877","issued":{"date-parts":[["1993","10","16"]]},"page":"961-962","publisher":"Elsevier","title":"Aerosolised prostacyclin in adult respiratory distress syndrome","type":"article-journal","volume":"342"},"uris":["http://www.mendeley.com/documents/?uuid=36583c4e-7064-3716-ab2a-69ceae4da49a"]}],"mendeley":{"formattedCitation":"&lt;sup&gt;14&lt;/sup&gt;","plainTextFormattedCitation":"14","previouslyFormattedCitation":"[14]"},"properties":{"noteIndex":0},"schema":"https://github.com/citation-style-language/schema/raw/master/csl-citation.json"}</w:instrText>
      </w:r>
      <w:r w:rsidR="006A4814" w:rsidRPr="00590031">
        <w:rPr>
          <w:rFonts w:cstheme="minorHAnsi"/>
          <w:sz w:val="24"/>
          <w:szCs w:val="24"/>
        </w:rPr>
        <w:fldChar w:fldCharType="separate"/>
      </w:r>
      <w:r w:rsidR="00DA75A6" w:rsidRPr="00590031">
        <w:rPr>
          <w:rFonts w:cstheme="minorHAnsi"/>
          <w:noProof/>
          <w:sz w:val="24"/>
          <w:szCs w:val="24"/>
          <w:vertAlign w:val="superscript"/>
        </w:rPr>
        <w:t>14</w:t>
      </w:r>
      <w:r w:rsidR="006A4814" w:rsidRPr="00590031">
        <w:rPr>
          <w:rFonts w:cstheme="minorHAnsi"/>
          <w:sz w:val="24"/>
          <w:szCs w:val="24"/>
        </w:rPr>
        <w:fldChar w:fldCharType="end"/>
      </w:r>
      <w:r w:rsidR="00017B35" w:rsidRPr="00590031">
        <w:rPr>
          <w:rFonts w:cstheme="minorHAnsi"/>
          <w:sz w:val="24"/>
          <w:szCs w:val="24"/>
        </w:rPr>
        <w:t>.</w:t>
      </w:r>
      <w:r w:rsidR="00BB7028" w:rsidRPr="00590031">
        <w:rPr>
          <w:rFonts w:cstheme="minorHAnsi"/>
          <w:sz w:val="24"/>
          <w:szCs w:val="24"/>
        </w:rPr>
        <w:t xml:space="preserve"> In animal models it has </w:t>
      </w:r>
      <w:r w:rsidR="00BB7028" w:rsidRPr="00590031">
        <w:rPr>
          <w:rFonts w:cstheme="minorHAnsi"/>
          <w:sz w:val="24"/>
          <w:szCs w:val="24"/>
        </w:rPr>
        <w:lastRenderedPageBreak/>
        <w:t xml:space="preserve">been shown to reduce </w:t>
      </w:r>
      <w:r w:rsidR="00017B35" w:rsidRPr="00590031">
        <w:rPr>
          <w:rFonts w:cstheme="minorHAnsi"/>
          <w:sz w:val="24"/>
          <w:szCs w:val="24"/>
        </w:rPr>
        <w:t xml:space="preserve">platelet </w:t>
      </w:r>
      <w:r w:rsidR="00D530C5" w:rsidRPr="00590031">
        <w:rPr>
          <w:rFonts w:cstheme="minorHAnsi"/>
          <w:sz w:val="24"/>
          <w:szCs w:val="24"/>
        </w:rPr>
        <w:t>aggregation</w:t>
      </w:r>
      <w:r w:rsidR="006A4814" w:rsidRPr="00590031">
        <w:rPr>
          <w:rFonts w:cstheme="minorHAnsi"/>
          <w:sz w:val="24"/>
          <w:szCs w:val="24"/>
        </w:rPr>
        <w:t xml:space="preserve"> </w:t>
      </w:r>
      <w:r w:rsidR="00BB7028" w:rsidRPr="00590031">
        <w:rPr>
          <w:rFonts w:cstheme="minorHAnsi"/>
          <w:sz w:val="24"/>
          <w:szCs w:val="24"/>
        </w:rPr>
        <w:t xml:space="preserve">and </w:t>
      </w:r>
      <w:r w:rsidR="00017B35" w:rsidRPr="00590031">
        <w:rPr>
          <w:rFonts w:cstheme="minorHAnsi"/>
          <w:sz w:val="24"/>
          <w:szCs w:val="24"/>
        </w:rPr>
        <w:t xml:space="preserve">thrombus </w:t>
      </w:r>
      <w:r w:rsidR="00BB7028" w:rsidRPr="00590031">
        <w:rPr>
          <w:rFonts w:cstheme="minorHAnsi"/>
          <w:sz w:val="24"/>
          <w:szCs w:val="24"/>
        </w:rPr>
        <w:t>in the pulmonary circulation</w:t>
      </w:r>
      <w:r w:rsidR="00724E78" w:rsidRPr="00590031">
        <w:rPr>
          <w:rFonts w:cstheme="minorHAnsi"/>
          <w:sz w:val="24"/>
          <w:szCs w:val="24"/>
        </w:rPr>
        <w:fldChar w:fldCharType="begin" w:fldLock="1"/>
      </w:r>
      <w:r w:rsidR="00DA75A6" w:rsidRPr="00590031">
        <w:rPr>
          <w:rFonts w:cstheme="minorHAnsi"/>
          <w:sz w:val="24"/>
          <w:szCs w:val="24"/>
        </w:rPr>
        <w:instrText>ADDIN CSL_CITATION {"citationItems":[{"id":"ITEM-1","itemData":{"DOI":"10.3390/jcm10051024","ISSN":"2077-0383","abstract":"(1) Background: Prostacyclin analogues (epoprostenol, treprostinil, and iloprost) induce vasodilation in pulmonary arterial hypertension (PAH) but also inhibit platelet function. (2) Objectives: We assessed platelet function in PAH patients treated with prostacyclin analogues and not receiving prostacyclin analogues. (3) Methods: Venous blood was collected from 42 patients treated with prostacyclin analogues (49.5 ± 15.9 years, 81% female) and 38 patients not receiving prostacyclin analogues (55.5 ± 15.6 years, 74% female). Platelet reactivity was analyzed by impedance aggregometry using arachidonic acid (AA; 0.5 mM), adenosine diphosphate (ADP; 6.5 µM), and thrombin receptor-activating peptide (TRAP; 32 µM) as agonists. In a subset of patients, concentrations of extracellular vesicles (EVs) from all platelets (CD61+), activated platelets (CD61+/CD62P+), leukocytes (CD45+), and endothelial cells (CD146+) were analyzed by flow cytometry. Platelet-rich thrombus formation was measured using a whole blood perfusion system. (4) Results: Compared to controls, PAH patients treated with prostacyclin analogues had lower platelet reactivity in response to AA and ADP (p = 0.01 for both), lower concentrations of platelet and leukocyte EVs (p ≤ 0.04), delayed thrombus formation (p ≤ 0.003), and decreased thrombus size (p = 0.008). Epoprostenol did not affect platelet reactivity but decreased the concentrations of platelet and leukocyte EVs (p ≤ 0.04). Treprostinil decreased platelet reactivity in response to AA and ADP (p ≤ 0.02) but had no effect on the concentrations of EVs. All prostacyclin analogues delayed thrombus formation and decreased thrombus size (p ≤ 0.04). (5) Conclusions: PAH patients treated with prostacyclin analogues had impaired platelet reactivity, EV release, and thrombus formation, compared to patients not receiving prostacyclin analogues.","author":[{"dropping-particle":"","family":"Gąsecka","given":"Aleksandra","non-dropping-particle":"","parse-names":false,"suffix":""},{"dropping-particle":"","family":"Banaszkiewicz","given":"Marta","non-dropping-particle":"","parse-names":false,"suffix":""},{"dropping-particle":"","family":"Nieuwland","given":"Rienk","non-dropping-particle":"","parse-names":false,"suffix":""},{"dropping-particle":"","family":"Pol","given":"Edwin","non-dropping-particle":"van der","parse-names":false,"suffix":""},{"dropping-particle":"","family":"Hajji","given":"Najat","non-dropping-particle":"","parse-names":false,"suffix":""},{"dropping-particle":"","family":"Mutwil","given":"Hubert","non-dropping-particle":"","parse-names":false,"suffix":""},{"dropping-particle":"","family":"Rogula","given":"Sylwester","non-dropping-particle":"","parse-names":false,"suffix":""},{"dropping-particle":"","family":"Rutkowska","given":"Wiktoria","non-dropping-particle":"","parse-names":false,"suffix":""},{"dropping-particle":"","family":"Pluta","given":"Kinga","non-dropping-particle":"","parse-names":false,"suffix":""},{"dropping-particle":"","family":"Eyileten","given":"Ceren","non-dropping-particle":"","parse-names":false,"suffix":""},{"dropping-particle":"","family":"Postuła","given":"Marek","non-dropping-particle":"","parse-names":false,"suffix":""},{"dropping-particle":"","family":"Darocha","given":"Szymon","non-dropping-particle":"","parse-names":false,"suffix":""},{"dropping-particle":"","family":"Huczek","given":"Zenon","non-dropping-particle":"","parse-names":false,"suffix":""},{"dropping-particle":"","family":"Opolski","given":"Grzegorz","non-dropping-particle":"","parse-names":false,"suffix":""},{"dropping-particle":"","family":"Filipiak","given":"Krzysztof J","non-dropping-particle":"","parse-names":false,"suffix":""},{"dropping-particle":"","family":"Torbicki","given":"Adam","non-dropping-particle":"","parse-names":false,"suffix":""},{"dropping-particle":"","family":"Kurzyna","given":"Marcin","non-dropping-particle":"","parse-names":false,"suffix":""}],"container-title":"Journal of Clinical Medicine","id":"ITEM-1","issue":"5","issued":{"date-parts":[["2021"]]},"page":"1024","title":"Prostacyclin Analogues Inhibit Platelet Reactivity, Extracellular Vesicle Release and Thrombus Formation in Patients with Pulmonary Arterial Hypertension","type":"article-journal","volume":"10"},"uris":["http://www.mendeley.com/documents/?uuid=a2a5443a-8423-314b-b0fa-319b7134f9b9"]}],"mendeley":{"formattedCitation":"&lt;sup&gt;15&lt;/sup&gt;","plainTextFormattedCitation":"15","previouslyFormattedCitation":"[15]"},"properties":{"noteIndex":0},"schema":"https://github.com/citation-style-language/schema/raw/master/csl-citation.json"}</w:instrText>
      </w:r>
      <w:r w:rsidR="00724E78" w:rsidRPr="00590031">
        <w:rPr>
          <w:rFonts w:cstheme="minorHAnsi"/>
          <w:sz w:val="24"/>
          <w:szCs w:val="24"/>
        </w:rPr>
        <w:fldChar w:fldCharType="separate"/>
      </w:r>
      <w:r w:rsidR="00DA75A6" w:rsidRPr="00590031">
        <w:rPr>
          <w:rFonts w:cstheme="minorHAnsi"/>
          <w:noProof/>
          <w:sz w:val="24"/>
          <w:szCs w:val="24"/>
          <w:vertAlign w:val="superscript"/>
        </w:rPr>
        <w:t>15</w:t>
      </w:r>
      <w:r w:rsidR="00724E78" w:rsidRPr="00590031">
        <w:rPr>
          <w:rFonts w:cstheme="minorHAnsi"/>
          <w:sz w:val="24"/>
          <w:szCs w:val="24"/>
        </w:rPr>
        <w:fldChar w:fldCharType="end"/>
      </w:r>
      <w:r w:rsidR="005B4E58" w:rsidRPr="00590031">
        <w:rPr>
          <w:rFonts w:cstheme="minorHAnsi"/>
          <w:sz w:val="24"/>
          <w:szCs w:val="24"/>
          <w:vertAlign w:val="superscript"/>
        </w:rPr>
        <w:t>,</w:t>
      </w:r>
      <w:r w:rsidR="006A4814" w:rsidRPr="00590031">
        <w:rPr>
          <w:rFonts w:cstheme="minorHAnsi"/>
          <w:sz w:val="24"/>
          <w:szCs w:val="24"/>
          <w:vertAlign w:val="superscript"/>
        </w:rPr>
        <w:fldChar w:fldCharType="begin" w:fldLock="1"/>
      </w:r>
      <w:r w:rsidR="00DA75A6" w:rsidRPr="00590031">
        <w:rPr>
          <w:rFonts w:cstheme="minorHAnsi"/>
          <w:sz w:val="24"/>
          <w:szCs w:val="24"/>
          <w:vertAlign w:val="superscript"/>
        </w:rPr>
        <w:instrText>ADDIN CSL_CITATION {"citationItems":[{"id":"ITEM-1","itemData":{"ISSN":"00097322","author":[{"dropping-particle":"","family":"Weiss","given":"Harvey J","non-dropping-particle":"","parse-names":false,"suffix":""},{"dropping-particle":"","family":"Turitto","given":"Vincent T","non-dropping-particle":"","parse-names":false,"suffix":""}],"container-title":"Blood","id":"ITEM-1","issue":"2","issued":{"date-parts":[["1979"]]},"page":"244-350","title":"Prostaglandin I2 (prostacyclin) inhibits platelet adhesion and thrombus formation on subendothelium","type":"article-journal","volume":"53"},"uris":["http://www.mendeley.com/documents/?uuid=3fa8d5dc-a589-36aa-8904-fe16eeb6e0dc"]}],"mendeley":{"formattedCitation":"&lt;sup&gt;16&lt;/sup&gt;","plainTextFormattedCitation":"16","previouslyFormattedCitation":"[16]"},"properties":{"noteIndex":0},"schema":"https://github.com/citation-style-language/schema/raw/master/csl-citation.json"}</w:instrText>
      </w:r>
      <w:r w:rsidR="006A4814" w:rsidRPr="00590031">
        <w:rPr>
          <w:rFonts w:cstheme="minorHAnsi"/>
          <w:sz w:val="24"/>
          <w:szCs w:val="24"/>
          <w:vertAlign w:val="superscript"/>
        </w:rPr>
        <w:fldChar w:fldCharType="separate"/>
      </w:r>
      <w:r w:rsidR="00DA75A6" w:rsidRPr="00590031">
        <w:rPr>
          <w:rFonts w:cstheme="minorHAnsi"/>
          <w:noProof/>
          <w:sz w:val="24"/>
          <w:szCs w:val="24"/>
          <w:vertAlign w:val="superscript"/>
        </w:rPr>
        <w:t>16</w:t>
      </w:r>
      <w:r w:rsidR="006A4814" w:rsidRPr="00590031">
        <w:rPr>
          <w:rFonts w:cstheme="minorHAnsi"/>
          <w:sz w:val="24"/>
          <w:szCs w:val="24"/>
          <w:vertAlign w:val="superscript"/>
        </w:rPr>
        <w:fldChar w:fldCharType="end"/>
      </w:r>
      <w:r w:rsidR="005B4E58" w:rsidRPr="00590031">
        <w:rPr>
          <w:rFonts w:cstheme="minorHAnsi"/>
          <w:sz w:val="24"/>
          <w:szCs w:val="24"/>
          <w:vertAlign w:val="superscript"/>
        </w:rPr>
        <w:t>,</w:t>
      </w:r>
      <w:r w:rsidR="006A4814" w:rsidRPr="00590031">
        <w:rPr>
          <w:rFonts w:cstheme="minorHAnsi"/>
          <w:sz w:val="24"/>
          <w:szCs w:val="24"/>
        </w:rPr>
        <w:fldChar w:fldCharType="begin" w:fldLock="1"/>
      </w:r>
      <w:r w:rsidR="00DA75A6" w:rsidRPr="00590031">
        <w:rPr>
          <w:rFonts w:cstheme="minorHAnsi"/>
          <w:sz w:val="24"/>
          <w:szCs w:val="24"/>
        </w:rPr>
        <w:instrText>ADDIN CSL_CITATION {"citationItems":[{"id":"ITEM-1","itemData":{"DOI":"10.1111/j.1476-5381.1978.tb07809.x","ISSN":"14765381","PMID":"352466","abstract":"Isolated rings of hamster aorta produced an unstable substance which inhibited platelet aggregation in vitro and had the same characteristics as prostacyclin. Prostacyclin inhibited adenosine diphosphate (ADP)‐induced aggregation of hamster platelets in vitro. The effects of prostacyclin on ADP‐induced platelet thrombi in the microcirculation of the hamster cheek pouch were studied with a television microscope. Prostacyclin caused a dose‐dependent increase in the time of iontophoretic application of ADP which was required to induce platelet thrombi formation and embolization in venules (30 to 40 um diameter). Prostacyclin caused a dose‐dependent reduction in the total time during which ADP‐induced thrombi were observed following local electrical damage to arterioles (40 to 80 um diameter). Thrombus formation in venules and arterioles was abolished by 500 ng/ml prostacyclin in the Krebs solution superfusing the hamster cheek pouch. Prostacyclin was approximately twenty times more potent than prostaglandin Ei in preventing thrombus formation in the microcirculation. 1978 British Pharmacological Society","author":[{"dropping-particle":"","family":"Higgs","given":"E. A.","non-dropping-particle":"","parse-names":false,"suffix":""},{"dropping-particle":"","family":"Higgs","given":"G. A.","non-dropping-particle":"","parse-names":false,"suffix":""},{"dropping-particle":"","family":"Moncada","given":"S.","non-dropping-particle":"","parse-names":false,"suffix":""},{"dropping-particle":"","family":"Vane","given":"J. R.","non-dropping-particle":"","parse-names":false,"suffix":""}],"container-title":"British Journal of Pharmacology","id":"ITEM-1","issue":"3","issued":{"date-parts":[["1978"]]},"page":"535-539","title":"Prostacyclin(PGI2) inibits the formation of platelet thrombi in arterioles and venules of the hamster cheek pouch","type":"article-journal","volume":"63"},"uris":["http://www.mendeley.com/documents/?uuid=8d88039b-09bf-358b-ad7b-5ddfff55db1d"]}],"mendeley":{"formattedCitation":"&lt;sup&gt;17&lt;/sup&gt;","plainTextFormattedCitation":"17","previouslyFormattedCitation":"[17]"},"properties":{"noteIndex":0},"schema":"https://github.com/citation-style-language/schema/raw/master/csl-citation.json"}</w:instrText>
      </w:r>
      <w:r w:rsidR="006A4814" w:rsidRPr="00590031">
        <w:rPr>
          <w:rFonts w:cstheme="minorHAnsi"/>
          <w:sz w:val="24"/>
          <w:szCs w:val="24"/>
        </w:rPr>
        <w:fldChar w:fldCharType="separate"/>
      </w:r>
      <w:r w:rsidR="00DA75A6" w:rsidRPr="00590031">
        <w:rPr>
          <w:rFonts w:cstheme="minorHAnsi"/>
          <w:noProof/>
          <w:sz w:val="24"/>
          <w:szCs w:val="24"/>
          <w:vertAlign w:val="superscript"/>
        </w:rPr>
        <w:t>17</w:t>
      </w:r>
      <w:r w:rsidR="006A4814" w:rsidRPr="00590031">
        <w:rPr>
          <w:rFonts w:cstheme="minorHAnsi"/>
          <w:sz w:val="24"/>
          <w:szCs w:val="24"/>
        </w:rPr>
        <w:fldChar w:fldCharType="end"/>
      </w:r>
      <w:r w:rsidR="00BB7028" w:rsidRPr="00590031">
        <w:rPr>
          <w:rFonts w:cstheme="minorHAnsi"/>
          <w:sz w:val="24"/>
          <w:szCs w:val="24"/>
        </w:rPr>
        <w:t xml:space="preserve">. </w:t>
      </w:r>
      <w:r w:rsidR="00113B5B" w:rsidRPr="00590031">
        <w:rPr>
          <w:rFonts w:cstheme="minorHAnsi"/>
          <w:sz w:val="24"/>
          <w:szCs w:val="24"/>
        </w:rPr>
        <w:t xml:space="preserve">Given that </w:t>
      </w:r>
      <w:r w:rsidR="00BB7028" w:rsidRPr="00590031">
        <w:rPr>
          <w:rFonts w:cstheme="minorHAnsi"/>
          <w:sz w:val="24"/>
          <w:szCs w:val="24"/>
        </w:rPr>
        <w:t xml:space="preserve">COVID-19 is characterised by coagulopathy, endothelial </w:t>
      </w:r>
      <w:r w:rsidR="00310D6A" w:rsidRPr="00590031">
        <w:rPr>
          <w:rFonts w:cstheme="minorHAnsi"/>
          <w:sz w:val="24"/>
          <w:szCs w:val="24"/>
        </w:rPr>
        <w:t>disruption</w:t>
      </w:r>
      <w:r w:rsidR="00BB7028" w:rsidRPr="00590031">
        <w:rPr>
          <w:rFonts w:cstheme="minorHAnsi"/>
          <w:sz w:val="24"/>
          <w:szCs w:val="24"/>
        </w:rPr>
        <w:t xml:space="preserve">, </w:t>
      </w:r>
      <w:r w:rsidR="00310D6A" w:rsidRPr="00590031">
        <w:rPr>
          <w:rFonts w:cstheme="minorHAnsi"/>
          <w:sz w:val="24"/>
          <w:szCs w:val="24"/>
        </w:rPr>
        <w:t xml:space="preserve">microangiopathy and </w:t>
      </w:r>
      <w:r w:rsidR="00BB7028" w:rsidRPr="00590031">
        <w:rPr>
          <w:rFonts w:cstheme="minorHAnsi"/>
          <w:sz w:val="24"/>
          <w:szCs w:val="24"/>
        </w:rPr>
        <w:t>microthrombi formation</w:t>
      </w:r>
      <w:r w:rsidR="006A4814" w:rsidRPr="00590031">
        <w:rPr>
          <w:rFonts w:cstheme="minorHAnsi"/>
          <w:sz w:val="24"/>
          <w:szCs w:val="24"/>
        </w:rPr>
        <w:t xml:space="preserve"> </w:t>
      </w:r>
      <w:r w:rsidR="006A4814" w:rsidRPr="00590031">
        <w:rPr>
          <w:rFonts w:cstheme="minorHAnsi"/>
          <w:sz w:val="24"/>
          <w:szCs w:val="24"/>
        </w:rPr>
        <w:fldChar w:fldCharType="begin" w:fldLock="1"/>
      </w:r>
      <w:r w:rsidR="00DA75A6" w:rsidRPr="00590031">
        <w:rPr>
          <w:rFonts w:cstheme="minorHAnsi"/>
          <w:sz w:val="24"/>
          <w:szCs w:val="24"/>
        </w:rPr>
        <w:instrText>ADDIN CSL_CITATION {"citationItems":[{"id":"ITEM-1","itemData":{"DOI":"10.1056/nejmoa2015432","ISSN":"0028-4793","PMID":"32437596","abstract":"BACKGROUND Progressive respiratory failure is the primary cause of death in the coronavirus disease 2019 (Covid-19) pandemic. Despite widespread interest in the pathophysiology of the disease, relatively little is known about the associated morphologic and molecular changes in the peripheral lung of patients who die from Covid-19. METHODS We examined 7 lungs obtained during autopsy from patients who died from Covid-19 and compared them with 7 lungs obtained during autopsy from patients who died from acute respiratory distress syndrome (ARDS) secondary to influenza A(H1N1) infection and 10 age-matched, uninfected control lungs. The lungs were studied with the use of seven-color immunohistochemical analysis, micro-computed tomographic imaging, scanning electron microscopy, corrosion casting, and direct multiplexed measurement of gene expression. RESULTS In patients who died from Covid-19-associated or influenza-associated respiratory failure, the histologic pattern in the peripheral lung was diffuse alveolar damage with perivascular T-cell infiltration. The lungs from patients with Covid-19 also showed distinctive vascular features, consisting of severe endothelial injury associated with the presence of intracellular virus and disrupted cell membranes. Histologic analysis of pulmonary vessels in patients with Covid-19 showed widespread thrombosis with microangiopathy. Alveolar capillary microthrombi were 9 times as prevalent in patients with Covid-19 as in patients with influenza (P&lt;0.001). In lungs from patients with Covid-19, the amount of new vessel growth - predominantly through a mechanism of intussusceptive angiogenesis - was 2.7 times as high as that in the lungs from patients with influenza (P&lt;0.001). CONCLUSIONS In our small series, vascular angiogenesis distinguished the pulmonary pathobiology of Covid-19 from that of equally severe influenza virus infection. The universality and clinical implications of our observations require further research to define. (Funded by the National Institutes of Health and others.).","author":[{"dropping-particle":"","family":"Ackermann","given":"Maximilian","non-dropping-particle":"","parse-names":false,"suffix":""},{"dropping-particle":"","family":"Verleden","given":"Stijn E.","non-dropping-particle":"","parse-names":false,"suffix":""},{"dropping-particle":"","family":"Kuehnel","given":"Mark","non-dropping-particle":"","parse-names":false,"suffix":""},{"dropping-particle":"","family":"Haverich","given":"Axel","non-dropping-particle":"","parse-names":false,"suffix":""},{"dropping-particle":"","family":"Welte","given":"Tobias","non-dropping-particle":"","parse-names":false,"suffix":""},{"dropping-particle":"","family":"Laenger","given":"Florian","non-dropping-particle":"","parse-names":false,"suffix":""},{"dropping-particle":"","family":"Vanstapel","given":"Arno","non-dropping-particle":"","parse-names":false,"suffix":""},{"dropping-particle":"","family":"Werlein","given":"Christopher","non-dropping-particle":"","parse-names":false,"suffix":""},{"dropping-particle":"","family":"Stark","given":"Helge","non-dropping-particle":"","parse-names":false,"suffix":""},{"dropping-particle":"","family":"Tzankov","given":"Alexandar","non-dropping-particle":"","parse-names":false,"suffix":""},{"dropping-particle":"","family":"Li","given":"William W.","non-dropping-particle":"","parse-names":false,"suffix":""},{"dropping-particle":"","family":"Li","given":"Vincent W.","non-dropping-particle":"","parse-names":false,"suffix":""},{"dropping-particle":"","family":"Mentzer","given":"Steven J.","non-dropping-particle":"","parse-names":false,"suffix":""},{"dropping-particle":"","family":"Jonigk","given":"Danny","non-dropping-particle":"","parse-names":false,"suffix":""}],"container-title":"New England Journal of Medicine","id":"ITEM-1","issue":"2","issued":{"date-parts":[["2020","5","21"]]},"page":"120-128","publisher":"Massachusetts Medical Society","title":"Pulmonary Vascular Endothelialitis, Thrombosis, and Angiogenesis in Covid-19","type":"article-journal","volume":"383"},"uris":["http://www.mendeley.com/documents/?uuid=24e94975-3f35-349f-8549-10058310ed68"]}],"mendeley":{"formattedCitation":"&lt;sup&gt;18&lt;/sup&gt;","plainTextFormattedCitation":"18","previouslyFormattedCitation":"[18]"},"properties":{"noteIndex":0},"schema":"https://github.com/citation-style-language/schema/raw/master/csl-citation.json"}</w:instrText>
      </w:r>
      <w:r w:rsidR="006A4814" w:rsidRPr="00590031">
        <w:rPr>
          <w:rFonts w:cstheme="minorHAnsi"/>
          <w:sz w:val="24"/>
          <w:szCs w:val="24"/>
        </w:rPr>
        <w:fldChar w:fldCharType="separate"/>
      </w:r>
      <w:r w:rsidR="00DA75A6" w:rsidRPr="00590031">
        <w:rPr>
          <w:rFonts w:cstheme="minorHAnsi"/>
          <w:noProof/>
          <w:sz w:val="24"/>
          <w:szCs w:val="24"/>
          <w:vertAlign w:val="superscript"/>
        </w:rPr>
        <w:t>18</w:t>
      </w:r>
      <w:r w:rsidR="006A4814" w:rsidRPr="00590031">
        <w:rPr>
          <w:rFonts w:cstheme="minorHAnsi"/>
          <w:sz w:val="24"/>
          <w:szCs w:val="24"/>
        </w:rPr>
        <w:fldChar w:fldCharType="end"/>
      </w:r>
      <w:r w:rsidR="0068304F" w:rsidRPr="00590031">
        <w:rPr>
          <w:rFonts w:cstheme="minorHAnsi"/>
          <w:sz w:val="24"/>
          <w:szCs w:val="24"/>
        </w:rPr>
        <w:t xml:space="preserve"> </w:t>
      </w:r>
      <w:r w:rsidR="00113B5B" w:rsidRPr="00590031">
        <w:rPr>
          <w:rFonts w:cstheme="minorHAnsi"/>
          <w:sz w:val="24"/>
          <w:szCs w:val="24"/>
        </w:rPr>
        <w:t>i</w:t>
      </w:r>
      <w:r w:rsidR="00017B35" w:rsidRPr="00590031">
        <w:rPr>
          <w:rFonts w:cstheme="minorHAnsi"/>
          <w:sz w:val="24"/>
          <w:szCs w:val="24"/>
        </w:rPr>
        <w:t xml:space="preserve">t is </w:t>
      </w:r>
      <w:r w:rsidR="00310D6A" w:rsidRPr="00590031">
        <w:rPr>
          <w:rFonts w:cstheme="minorHAnsi"/>
          <w:sz w:val="24"/>
          <w:szCs w:val="24"/>
        </w:rPr>
        <w:t xml:space="preserve">plausible </w:t>
      </w:r>
      <w:r w:rsidR="00017B35" w:rsidRPr="00590031">
        <w:rPr>
          <w:rFonts w:cstheme="minorHAnsi"/>
          <w:sz w:val="24"/>
          <w:szCs w:val="24"/>
        </w:rPr>
        <w:t xml:space="preserve">that </w:t>
      </w:r>
      <w:r w:rsidR="00310D6A" w:rsidRPr="00590031">
        <w:rPr>
          <w:rFonts w:cstheme="minorHAnsi"/>
          <w:sz w:val="24"/>
          <w:szCs w:val="24"/>
        </w:rPr>
        <w:t xml:space="preserve">the improvements in oxygenation seen could have been due to the effects of </w:t>
      </w:r>
      <w:r w:rsidR="009C0AAE" w:rsidRPr="00590031">
        <w:rPr>
          <w:rFonts w:cstheme="minorHAnsi"/>
          <w:sz w:val="24"/>
          <w:szCs w:val="24"/>
        </w:rPr>
        <w:t>Iloprost</w:t>
      </w:r>
      <w:r w:rsidR="00310D6A" w:rsidRPr="00590031">
        <w:rPr>
          <w:rFonts w:cstheme="minorHAnsi"/>
          <w:sz w:val="24"/>
          <w:szCs w:val="24"/>
        </w:rPr>
        <w:t xml:space="preserve"> on endotheliopathy and microangiopathy </w:t>
      </w:r>
      <w:r w:rsidR="0068304F" w:rsidRPr="00590031">
        <w:rPr>
          <w:rFonts w:cstheme="minorHAnsi"/>
          <w:sz w:val="24"/>
          <w:szCs w:val="24"/>
        </w:rPr>
        <w:t xml:space="preserve">rather </w:t>
      </w:r>
      <w:r w:rsidR="00310D6A" w:rsidRPr="00590031">
        <w:rPr>
          <w:rFonts w:cstheme="minorHAnsi"/>
          <w:sz w:val="24"/>
          <w:szCs w:val="24"/>
        </w:rPr>
        <w:t xml:space="preserve">than direct pulmonary vasodilation. </w:t>
      </w:r>
      <w:r w:rsidR="00017B35" w:rsidRPr="00590031">
        <w:rPr>
          <w:rFonts w:cstheme="minorHAnsi"/>
          <w:sz w:val="24"/>
          <w:szCs w:val="24"/>
        </w:rPr>
        <w:t>In keeping with our findings</w:t>
      </w:r>
      <w:r w:rsidR="007B6A8C" w:rsidRPr="00590031">
        <w:rPr>
          <w:rFonts w:cstheme="minorHAnsi"/>
          <w:sz w:val="24"/>
          <w:szCs w:val="24"/>
        </w:rPr>
        <w:t xml:space="preserve">, others have </w:t>
      </w:r>
      <w:r w:rsidR="00310D6A" w:rsidRPr="00590031">
        <w:rPr>
          <w:rFonts w:cstheme="minorHAnsi"/>
          <w:sz w:val="24"/>
          <w:szCs w:val="24"/>
        </w:rPr>
        <w:t xml:space="preserve">also </w:t>
      </w:r>
      <w:r w:rsidR="007B6A8C" w:rsidRPr="00590031">
        <w:rPr>
          <w:rFonts w:cstheme="minorHAnsi"/>
          <w:sz w:val="24"/>
          <w:szCs w:val="24"/>
        </w:rPr>
        <w:t>reported</w:t>
      </w:r>
      <w:r w:rsidR="00017B35" w:rsidRPr="00590031">
        <w:rPr>
          <w:rFonts w:cstheme="minorHAnsi"/>
          <w:sz w:val="24"/>
          <w:szCs w:val="24"/>
        </w:rPr>
        <w:t xml:space="preserve"> </w:t>
      </w:r>
      <w:r w:rsidR="002361C1" w:rsidRPr="00590031">
        <w:rPr>
          <w:rFonts w:cstheme="minorHAnsi"/>
          <w:sz w:val="24"/>
          <w:szCs w:val="24"/>
        </w:rPr>
        <w:t xml:space="preserve">improvements in oxygenation when </w:t>
      </w:r>
      <w:r w:rsidR="00562542" w:rsidRPr="00590031">
        <w:rPr>
          <w:rFonts w:cstheme="minorHAnsi"/>
          <w:sz w:val="24"/>
          <w:szCs w:val="24"/>
        </w:rPr>
        <w:t>prostaglandins</w:t>
      </w:r>
      <w:r w:rsidR="00017B35" w:rsidRPr="00590031">
        <w:rPr>
          <w:rFonts w:cstheme="minorHAnsi"/>
          <w:sz w:val="24"/>
          <w:szCs w:val="24"/>
        </w:rPr>
        <w:t xml:space="preserve"> </w:t>
      </w:r>
      <w:r w:rsidR="00562542" w:rsidRPr="00590031">
        <w:rPr>
          <w:rFonts w:cstheme="minorHAnsi"/>
          <w:sz w:val="24"/>
          <w:szCs w:val="24"/>
        </w:rPr>
        <w:t>were</w:t>
      </w:r>
      <w:r w:rsidR="00017B35" w:rsidRPr="00590031">
        <w:rPr>
          <w:rFonts w:cstheme="minorHAnsi"/>
          <w:sz w:val="24"/>
          <w:szCs w:val="24"/>
        </w:rPr>
        <w:t xml:space="preserve"> given either </w:t>
      </w:r>
      <w:r w:rsidR="007B6A8C" w:rsidRPr="00590031">
        <w:rPr>
          <w:rFonts w:cstheme="minorHAnsi"/>
          <w:sz w:val="24"/>
          <w:szCs w:val="24"/>
        </w:rPr>
        <w:t>by inhalation or intravenously</w:t>
      </w:r>
      <w:r w:rsidR="00017B35" w:rsidRPr="00590031">
        <w:rPr>
          <w:rFonts w:cstheme="minorHAnsi"/>
          <w:sz w:val="24"/>
          <w:szCs w:val="24"/>
        </w:rPr>
        <w:t xml:space="preserve"> for C</w:t>
      </w:r>
      <w:r w:rsidR="00A170AC" w:rsidRPr="00590031">
        <w:rPr>
          <w:rFonts w:cstheme="minorHAnsi"/>
          <w:sz w:val="24"/>
          <w:szCs w:val="24"/>
        </w:rPr>
        <w:t>OVID-19</w:t>
      </w:r>
      <w:r w:rsidR="001F2855" w:rsidRPr="00590031">
        <w:rPr>
          <w:rFonts w:cstheme="minorHAnsi"/>
          <w:sz w:val="24"/>
          <w:szCs w:val="24"/>
        </w:rPr>
        <w:fldChar w:fldCharType="begin" w:fldLock="1"/>
      </w:r>
      <w:r w:rsidR="00DA75A6" w:rsidRPr="00590031">
        <w:rPr>
          <w:rFonts w:cstheme="minorHAnsi"/>
          <w:sz w:val="24"/>
          <w:szCs w:val="24"/>
        </w:rPr>
        <w:instrText>ADDIN CSL_CITATION {"citationItems":[{"id":"ITEM-1","itemData":{"DOI":"10.1016/S2665-9913(20)30232-0","ISSN":"26659913","PMID":"32838311","author":[{"dropping-particle":"","family":"Moezinia","given":"Carine J","non-dropping-particle":"","parse-names":false,"suffix":""},{"dropping-particle":"","family":"Ji-Xu","given":"Antonio","non-dropping-particle":"","parse-names":false,"suffix":""},{"dropping-particle":"","family":"Azari","given":"Arianna","non-dropping-particle":"","parse-names":false,"suffix":""},{"dropping-particle":"","family":"Horlick","given":"Serena","non-dropping-particle":"","parse-names":false,"suffix":""},{"dropping-particle":"","family":"Denton","given":"Christopher","non-dropping-particle":"","parse-names":false,"suffix":""},{"dropping-particle":"","family":"Stratton","given":"Richard","non-dropping-particle":"","parse-names":false,"suffix":""}],"container-title":"The Lancet Rheumatology","id":"ITEM-1","issue":"10","issued":{"date-parts":[["2020","10","1"]]},"page":"e582-e583","publisher":"Elsevier","title":"Iloprost for COVID-19-related vasculopathy","type":"article","volume":"2"},"uris":["http://www.mendeley.com/documents/?uuid=96745535-3216-3f47-a0a4-a01c5cde2cd2"]}],"mendeley":{"formattedCitation":"&lt;sup&gt;19&lt;/sup&gt;","plainTextFormattedCitation":"19","previouslyFormattedCitation":"[19]"},"properties":{"noteIndex":0},"schema":"https://github.com/citation-style-language/schema/raw/master/csl-citation.json"}</w:instrText>
      </w:r>
      <w:r w:rsidR="001F2855" w:rsidRPr="00590031">
        <w:rPr>
          <w:rFonts w:cstheme="minorHAnsi"/>
          <w:sz w:val="24"/>
          <w:szCs w:val="24"/>
        </w:rPr>
        <w:fldChar w:fldCharType="separate"/>
      </w:r>
      <w:r w:rsidR="00DA75A6" w:rsidRPr="00590031">
        <w:rPr>
          <w:rFonts w:cstheme="minorHAnsi"/>
          <w:noProof/>
          <w:sz w:val="24"/>
          <w:szCs w:val="24"/>
          <w:vertAlign w:val="superscript"/>
        </w:rPr>
        <w:t>19</w:t>
      </w:r>
      <w:r w:rsidR="001F2855" w:rsidRPr="00590031">
        <w:rPr>
          <w:rFonts w:cstheme="minorHAnsi"/>
          <w:sz w:val="24"/>
          <w:szCs w:val="24"/>
        </w:rPr>
        <w:fldChar w:fldCharType="end"/>
      </w:r>
      <w:r w:rsidR="005B4E58" w:rsidRPr="00590031">
        <w:rPr>
          <w:rFonts w:cstheme="minorHAnsi"/>
          <w:sz w:val="24"/>
          <w:szCs w:val="24"/>
          <w:vertAlign w:val="superscript"/>
        </w:rPr>
        <w:t>,</w:t>
      </w:r>
      <w:r w:rsidR="000D2789" w:rsidRPr="00590031">
        <w:rPr>
          <w:rFonts w:cstheme="minorHAnsi"/>
          <w:sz w:val="24"/>
          <w:szCs w:val="24"/>
        </w:rPr>
        <w:fldChar w:fldCharType="begin" w:fldLock="1"/>
      </w:r>
      <w:r w:rsidR="00DA75A6" w:rsidRPr="00590031">
        <w:rPr>
          <w:rFonts w:cstheme="minorHAnsi"/>
          <w:sz w:val="24"/>
          <w:szCs w:val="24"/>
        </w:rPr>
        <w:instrText>ADDIN CSL_CITATION {"citationItems":[{"id":"ITEM-1","itemData":{"DOI":"10.1186/s13054-021-03690-7","ISSN":"1466609X","author":[{"dropping-particle":"","family":"Tsareva","given":"Natalia A.","non-dropping-particle":"","parse-names":false,"suffix":""},{"dropping-particle":"","family":"Avdeev","given":"Sergey N.","non-dropping-particle":"","parse-names":false,"suffix":""},{"dropping-particle":"","family":"Kosanovic","given":"Djuro","non-dropping-particle":"","parse-names":false,"suffix":""},{"dropping-particle":"","family":"Schermuly","given":"Ralph Theo","non-dropping-particle":"","parse-names":false,"suffix":""},{"dropping-particle":"V.","family":"Trushenko","given":"Natalia","non-dropping-particle":"","parse-names":false,"suffix":""},{"dropping-particle":"V.","family":"Nekludova","given":"Galina","non-dropping-particle":"","parse-names":false,"suffix":""}],"container-title":"Critical Care","id":"ITEM-1","issue":"1","issued":{"date-parts":[["2021","7","21"]]},"page":"1-3","publisher":"BioMed Central","title":"Inhaled iloprost improves gas exchange in patients with COVID-19 and acute respiratory distress syndrome","type":"article-journal","volume":"25"},"uris":["http://www.mendeley.com/documents/?uuid=a9b6a77d-4fc9-3588-b986-89de0eff5b69"]}],"mendeley":{"formattedCitation":"&lt;sup&gt;20&lt;/sup&gt;","plainTextFormattedCitation":"20","previouslyFormattedCitation":"[20]"},"properties":{"noteIndex":0},"schema":"https://github.com/citation-style-language/schema/raw/master/csl-citation.json"}</w:instrText>
      </w:r>
      <w:r w:rsidR="000D2789" w:rsidRPr="00590031">
        <w:rPr>
          <w:rFonts w:cstheme="minorHAnsi"/>
          <w:sz w:val="24"/>
          <w:szCs w:val="24"/>
        </w:rPr>
        <w:fldChar w:fldCharType="separate"/>
      </w:r>
      <w:r w:rsidR="00DA75A6" w:rsidRPr="00590031">
        <w:rPr>
          <w:rFonts w:cstheme="minorHAnsi"/>
          <w:noProof/>
          <w:sz w:val="24"/>
          <w:szCs w:val="24"/>
          <w:vertAlign w:val="superscript"/>
        </w:rPr>
        <w:t>20</w:t>
      </w:r>
      <w:r w:rsidR="000D2789" w:rsidRPr="00590031">
        <w:rPr>
          <w:rFonts w:cstheme="minorHAnsi"/>
          <w:sz w:val="24"/>
          <w:szCs w:val="24"/>
        </w:rPr>
        <w:fldChar w:fldCharType="end"/>
      </w:r>
      <w:r w:rsidR="002361C1" w:rsidRPr="00590031">
        <w:rPr>
          <w:rFonts w:cstheme="minorHAnsi"/>
          <w:sz w:val="24"/>
          <w:szCs w:val="24"/>
        </w:rPr>
        <w:t>.</w:t>
      </w:r>
    </w:p>
    <w:p w14:paraId="11A7F75F" w14:textId="442A6036" w:rsidR="007D5B64" w:rsidRPr="00590031" w:rsidRDefault="00562542" w:rsidP="00590031">
      <w:pPr>
        <w:spacing w:line="480" w:lineRule="auto"/>
        <w:jc w:val="both"/>
        <w:rPr>
          <w:rFonts w:cstheme="minorHAnsi"/>
          <w:sz w:val="24"/>
          <w:szCs w:val="24"/>
        </w:rPr>
      </w:pPr>
      <w:r w:rsidRPr="00590031">
        <w:rPr>
          <w:rFonts w:cstheme="minorHAnsi"/>
          <w:sz w:val="24"/>
          <w:szCs w:val="24"/>
        </w:rPr>
        <w:t xml:space="preserve">Nitric oxide is a selective pulmonary vasodilator which activates guanylyl cyclase resulting in increased cyclic GMP and smooth muscle relaxation. This causes reduced pulmonary vascular resistance, reduced pulmonary arterial pressure and improve V/Q matching. It is indicated in pulmonary hypertension in neonates and adults, post cardiac surgery </w:t>
      </w:r>
      <w:r w:rsidR="00F8738C" w:rsidRPr="00590031">
        <w:rPr>
          <w:rFonts w:cstheme="minorHAnsi"/>
          <w:sz w:val="24"/>
          <w:szCs w:val="24"/>
        </w:rPr>
        <w:t xml:space="preserve">but </w:t>
      </w:r>
      <w:r w:rsidRPr="00590031">
        <w:rPr>
          <w:rFonts w:cstheme="minorHAnsi"/>
          <w:sz w:val="24"/>
          <w:szCs w:val="24"/>
        </w:rPr>
        <w:t>has a controversial role in ARDS with some studies showing improvement in oxygenation but not mortality</w:t>
      </w:r>
      <w:r w:rsidR="008C0D90" w:rsidRPr="00590031">
        <w:rPr>
          <w:rFonts w:cstheme="minorHAnsi"/>
          <w:sz w:val="24"/>
          <w:szCs w:val="24"/>
        </w:rPr>
        <w:fldChar w:fldCharType="begin" w:fldLock="1"/>
      </w:r>
      <w:r w:rsidR="00DA75A6" w:rsidRPr="00590031">
        <w:rPr>
          <w:rFonts w:cstheme="minorHAnsi"/>
          <w:sz w:val="24"/>
          <w:szCs w:val="24"/>
        </w:rPr>
        <w:instrText>ADDIN CSL_CITATION {"citationItems":[{"id":"ITEM-1","itemData":{"DOI":"10.1097/CCM.0b013e3182a27909","ISSN":"00903493","PMID":"24132038","abstract":"OBJECTIVE:: Treatment with inhaled nitric oxide improves oxygenation but not survival in mechanically ventilated patients with acute respiratory distress syndrome, but the effect may depend on the severity of hypoxemia. Our objective was to determine whether nitric oxide reduces hospital mortality in patients with severe acute respiratory distress syndrome (PaO2/FIO2 ≤ 100 mm Hg) but not in patients with mild-moderate acute respiratory distress syndrome (100 &lt; PaO2/FIO2 ≤ 300 mm Hg) at the time of randomization. DATA SOURCES:: Data were collected from Medline, Embase, and Cochrane CENTRAL electronic databases (inception to May 2013); proceedings from five conferences (to May 2013); and trial registries (http://www.clinicaltrials.gov and http://www.controlled- trials.com). No language restrictions were applied. STUDY SELECTION:: Two authors independently selected parallel-group randomized controlled trials comparing nitric oxide with control (placebo or no gas) in mechanically ventilated adults or postneonatal children with acute respiratory distress syndrome. DATA EXTRACTION:: Two authors independently extracted data from included trials. Trial investigators provided subgroup data. Meta-analyses used within-trial subgroups and random-effects models. DATA SYNTHESIS:: Nine trials (n = 1,142 patients) met inclusion criteria. Overall methodological quality was good. Nitric oxide did not reduce mortality in patients with severe acute respiratory distress syndrome (risk ratio, 1.01 [95% CI, 0.78-1.32]; p = 0.93; n = 329, six trials) or mild-moderate acute respiratory distress syndrome (risk ratio, 1.12 [95% CI, 0.89-1.42]; p = 0.33; n = 740, seven trials). Risk ratios were similar between subgroups (interaction p = 0.53). There was no between-trial heterogeneity in any analysis (I = 0%). Varying the PaO2/FIO2 threshold between 70 and 200 mm Hg, in increments of 10 mm Hg, did not identify any threshold at which the nitric oxide-treated patients had lower mortality relative to controls. CONCLUSIONS:: Nitric oxide does not reduce mortality in adults or children with acute respiratory distress syndrome, regardless of the degree of hypoxemia. Given the lack of related ongoing or recently completed randomized trials, new data addressing the effectiveness of nitric oxide in patients with acute respiratory distress syndrome and severe hypoxemia will not be available for the foreseeable future. © 2013 by the Society of Critical Care Medicine and Lippincott.","author":[{"dropping-particle":"","family":"Adhikari","given":"Neill K.J.","non-dropping-particle":"","parse-names":false,"suffix":""},{"dropping-particle":"","family":"Dellinger","given":"R. Phillip","non-dropping-particle":"","parse-names":false,"suffix":""},{"dropping-particle":"","family":"Lundin","given":"Stefan","non-dropping-particle":"","parse-names":false,"suffix":""},{"dropping-particle":"","family":"Payen","given":"Didier","non-dropping-particle":"","parse-names":false,"suffix":""},{"dropping-particle":"","family":"Vallet","given":"Benoit","non-dropping-particle":"","parse-names":false,"suffix":""},{"dropping-particle":"","family":"Gerlach","given":"Herwig","non-dropping-particle":"","parse-names":false,"suffix":""},{"dropping-particle":"","family":"Park","given":"Kwang Joo","non-dropping-particle":"","parse-names":false,"suffix":""},{"dropping-particle":"","family":"Mehta","given":"Sangeeta","non-dropping-particle":"","parse-names":false,"suffix":""},{"dropping-particle":"","family":"Slutsky","given":"Arthur S.","non-dropping-particle":"","parse-names":false,"suffix":""},{"dropping-particle":"","family":"Friedrich","given":"Jan O.","non-dropping-particle":"","parse-names":false,"suffix":""}],"container-title":"Critical Care Medicine","id":"ITEM-1","issue":"2","issued":{"date-parts":[["2014","2"]]},"page":"404-412","publisher":"Crit Care Med","title":"Inhaled nitric oxide does not reduce mortality in patients with acute respiratory distress syndrome regardless of severity: Systematic review and meta-analysis","type":"article","volume":"42"},"uris":["http://www.mendeley.com/documents/?uuid=7ffa8be2-c4af-3eaf-842d-ab8a449d30da"]}],"mendeley":{"formattedCitation":"&lt;sup&gt;21&lt;/sup&gt;","plainTextFormattedCitation":"21","previouslyFormattedCitation":"[21]"},"properties":{"noteIndex":0},"schema":"https://github.com/citation-style-language/schema/raw/master/csl-citation.json"}</w:instrText>
      </w:r>
      <w:r w:rsidR="008C0D90" w:rsidRPr="00590031">
        <w:rPr>
          <w:rFonts w:cstheme="minorHAnsi"/>
          <w:sz w:val="24"/>
          <w:szCs w:val="24"/>
        </w:rPr>
        <w:fldChar w:fldCharType="separate"/>
      </w:r>
      <w:r w:rsidR="00DA75A6" w:rsidRPr="00590031">
        <w:rPr>
          <w:rFonts w:cstheme="minorHAnsi"/>
          <w:noProof/>
          <w:sz w:val="24"/>
          <w:szCs w:val="24"/>
          <w:vertAlign w:val="superscript"/>
        </w:rPr>
        <w:t>21</w:t>
      </w:r>
      <w:r w:rsidR="008C0D90" w:rsidRPr="00590031">
        <w:rPr>
          <w:rFonts w:cstheme="minorHAnsi"/>
          <w:sz w:val="24"/>
          <w:szCs w:val="24"/>
        </w:rPr>
        <w:fldChar w:fldCharType="end"/>
      </w:r>
      <w:r w:rsidRPr="00590031">
        <w:rPr>
          <w:rFonts w:cstheme="minorHAnsi"/>
          <w:sz w:val="24"/>
          <w:szCs w:val="24"/>
        </w:rPr>
        <w:t xml:space="preserve">. </w:t>
      </w:r>
      <w:r w:rsidR="00993DCA" w:rsidRPr="00590031">
        <w:rPr>
          <w:rFonts w:cstheme="minorHAnsi"/>
          <w:sz w:val="24"/>
          <w:szCs w:val="24"/>
        </w:rPr>
        <w:t xml:space="preserve">The proposed mechanisms for the potential benefits of </w:t>
      </w:r>
      <w:r w:rsidRPr="00590031">
        <w:rPr>
          <w:rFonts w:cstheme="minorHAnsi"/>
          <w:sz w:val="24"/>
          <w:szCs w:val="24"/>
        </w:rPr>
        <w:t>i</w:t>
      </w:r>
      <w:r w:rsidR="00993DCA" w:rsidRPr="00590031">
        <w:rPr>
          <w:rFonts w:cstheme="minorHAnsi"/>
          <w:sz w:val="24"/>
          <w:szCs w:val="24"/>
        </w:rPr>
        <w:t>NO in C</w:t>
      </w:r>
      <w:r w:rsidRPr="00590031">
        <w:rPr>
          <w:rFonts w:cstheme="minorHAnsi"/>
          <w:sz w:val="24"/>
          <w:szCs w:val="24"/>
        </w:rPr>
        <w:t>OVID</w:t>
      </w:r>
      <w:r w:rsidR="00993DCA" w:rsidRPr="00590031">
        <w:rPr>
          <w:rFonts w:cstheme="minorHAnsi"/>
          <w:sz w:val="24"/>
          <w:szCs w:val="24"/>
        </w:rPr>
        <w:t>-19 are not only as a pulmonary vasodilator</w:t>
      </w:r>
      <w:r w:rsidR="00EE1DEC" w:rsidRPr="00590031">
        <w:rPr>
          <w:rFonts w:cstheme="minorHAnsi"/>
          <w:sz w:val="24"/>
          <w:szCs w:val="24"/>
        </w:rPr>
        <w:t>,</w:t>
      </w:r>
      <w:r w:rsidR="00993DCA" w:rsidRPr="00590031">
        <w:rPr>
          <w:rFonts w:cstheme="minorHAnsi"/>
          <w:sz w:val="24"/>
          <w:szCs w:val="24"/>
        </w:rPr>
        <w:t xml:space="preserve"> but also as a direct anti-viral</w:t>
      </w:r>
      <w:r w:rsidR="007B6A8C" w:rsidRPr="00590031">
        <w:rPr>
          <w:rFonts w:cstheme="minorHAnsi"/>
          <w:sz w:val="24"/>
          <w:szCs w:val="24"/>
        </w:rPr>
        <w:t xml:space="preserve"> agent </w:t>
      </w:r>
      <w:r w:rsidR="00AD4670" w:rsidRPr="00590031">
        <w:rPr>
          <w:rFonts w:cstheme="minorHAnsi"/>
          <w:sz w:val="24"/>
          <w:szCs w:val="24"/>
        </w:rPr>
        <w:t xml:space="preserve">through </w:t>
      </w:r>
      <w:r w:rsidR="00585186" w:rsidRPr="00590031">
        <w:rPr>
          <w:rFonts w:cstheme="minorHAnsi"/>
          <w:sz w:val="24"/>
          <w:szCs w:val="24"/>
        </w:rPr>
        <w:t>cytotoxic</w:t>
      </w:r>
      <w:r w:rsidR="00AD4670" w:rsidRPr="00590031">
        <w:rPr>
          <w:rFonts w:cstheme="minorHAnsi"/>
          <w:sz w:val="24"/>
          <w:szCs w:val="24"/>
        </w:rPr>
        <w:t xml:space="preserve"> intermediaries</w:t>
      </w:r>
      <w:r w:rsidR="006A4814" w:rsidRPr="00590031">
        <w:rPr>
          <w:rFonts w:cstheme="minorHAnsi"/>
          <w:sz w:val="24"/>
          <w:szCs w:val="24"/>
        </w:rPr>
        <w:fldChar w:fldCharType="begin" w:fldLock="1"/>
      </w:r>
      <w:r w:rsidR="00DA75A6" w:rsidRPr="00590031">
        <w:rPr>
          <w:rFonts w:cstheme="minorHAnsi"/>
          <w:sz w:val="24"/>
          <w:szCs w:val="24"/>
        </w:rPr>
        <w:instrText>ADDIN CSL_CITATION {"citationItems":[{"id":"ITEM-1","itemData":{"DOI":"10.1016/j.bja.2020.11.006","ISSN":"14716771","PMID":"33288208","author":[{"dropping-particle":"","family":"Garfield","given":"Benjamin","non-dropping-particle":"","parse-names":false,"suffix":""},{"dropping-particle":"","family":"McFadyen","given":"Charles","non-dropping-particle":"","parse-names":false,"suffix":""},{"dropping-particle":"","family":"Briar","given":"Charlotte","non-dropping-particle":"","parse-names":false,"suffix":""},{"dropping-particle":"","family":"Bleakley","given":"Caroline","non-dropping-particle":"","parse-names":false,"suffix":""},{"dropping-particle":"","family":"Vlachou","given":"Aikaterini","non-dropping-particle":"","parse-names":false,"suffix":""},{"dropping-particle":"","family":"Baldwin","given":"Melissa","non-dropping-particle":"","parse-names":false,"suffix":""},{"dropping-particle":"","family":"Lees","given":"Nick","non-dropping-particle":"","parse-names":false,"suffix":""},{"dropping-particle":"","family":"Price","given":"Susanna","non-dropping-particle":"","parse-names":false,"suffix":""},{"dropping-particle":"","family":"Ledot","given":"Stephane","non-dropping-particle":"","parse-names":false,"suffix":""},{"dropping-particle":"","family":"McCabe","given":"Colm","non-dropping-particle":"","parse-names":false,"suffix":""},{"dropping-particle":"","family":"Wort","given":"S. John","non-dropping-particle":"","parse-names":false,"suffix":""},{"dropping-particle":"V.","family":"Patel","given":"Brijesh","non-dropping-particle":"","parse-names":false,"suffix":""},{"dropping-particle":"","family":"Price","given":"Laura C.","non-dropping-particle":"","parse-names":false,"suffix":""}],"container-title":"British Journal of Anaesthesia","id":"ITEM-1","issue":"2","issued":{"date-parts":[["2021","2","1"]]},"page":"e72-e75","publisher":"Elsevier","title":"Potential for personalised application of inhaled nitric oxide in COVID-19 pneumonia","type":"article","volume":"126"},"uris":["http://www.mendeley.com/documents/?uuid=54b33186-28df-38d2-8f10-d52a175a36bd"]}],"mendeley":{"formattedCitation":"&lt;sup&gt;22&lt;/sup&gt;","plainTextFormattedCitation":"22","previouslyFormattedCitation":"[22]"},"properties":{"noteIndex":0},"schema":"https://github.com/citation-style-language/schema/raw/master/csl-citation.json"}</w:instrText>
      </w:r>
      <w:r w:rsidR="006A4814" w:rsidRPr="00590031">
        <w:rPr>
          <w:rFonts w:cstheme="minorHAnsi"/>
          <w:sz w:val="24"/>
          <w:szCs w:val="24"/>
        </w:rPr>
        <w:fldChar w:fldCharType="separate"/>
      </w:r>
      <w:r w:rsidR="00DA75A6" w:rsidRPr="00590031">
        <w:rPr>
          <w:rFonts w:cstheme="minorHAnsi"/>
          <w:noProof/>
          <w:sz w:val="24"/>
          <w:szCs w:val="24"/>
          <w:vertAlign w:val="superscript"/>
        </w:rPr>
        <w:t>22</w:t>
      </w:r>
      <w:r w:rsidR="006A4814" w:rsidRPr="00590031">
        <w:rPr>
          <w:rFonts w:cstheme="minorHAnsi"/>
          <w:sz w:val="24"/>
          <w:szCs w:val="24"/>
        </w:rPr>
        <w:fldChar w:fldCharType="end"/>
      </w:r>
      <w:r w:rsidR="00414656" w:rsidRPr="00590031">
        <w:rPr>
          <w:rFonts w:cstheme="minorHAnsi"/>
          <w:sz w:val="24"/>
          <w:szCs w:val="24"/>
          <w:vertAlign w:val="superscript"/>
        </w:rPr>
        <w:t>,</w:t>
      </w:r>
      <w:r w:rsidR="006A4814" w:rsidRPr="00590031">
        <w:rPr>
          <w:rFonts w:cstheme="minorHAnsi"/>
          <w:sz w:val="24"/>
          <w:szCs w:val="24"/>
        </w:rPr>
        <w:fldChar w:fldCharType="begin" w:fldLock="1"/>
      </w:r>
      <w:r w:rsidR="00DA75A6" w:rsidRPr="00590031">
        <w:rPr>
          <w:rFonts w:cstheme="minorHAnsi"/>
          <w:sz w:val="24"/>
          <w:szCs w:val="24"/>
        </w:rPr>
        <w:instrText>ADDIN CSL_CITATION {"citationItems":[{"id":"ITEM-1","itemData":{"DOI":"10.1056/nejm199312303292706","ISSN":"0028-4793","PMID":"7504210","abstract":"Nitric oxide (NO) is synthesized from l-arginine by an enzyme called the NO synthase. NO production by vascular endothelial cells accounts for the biological properties of endothelium-derived relaxing factor and maintains a vasodilator tone. Platelets also produce NO, which modulates their aggregability. In the central nervous system NO mediates the effects of excitatory amino acids. In all these tissues the l-arginine:NO pathway acts as a transduction mechanism for the soluble guanylate cyclase, for which NO is the endogenous stimulator. NO is also released after immunological stimulation in macrophages, neutrophils, and other cells. NO thus released acts as part of the host defense mechanism, for it is cytotoxic or cytostatic for tumor cells and invasive organisms and may mediate other aspects of the immunological response. Discovery of the l-arginine:NO pathway has far reaching implications for the understanding of several areas in biology and indicates potential novel therapies for a number of diseases.","author":[{"dropping-particle":"","family":"Epstein","given":"Franklin H.","non-dropping-particle":"","parse-names":false,"suffix":""},{"dropping-particle":"","family":"Moncada","given":"Salvador","non-dropping-particle":"","parse-names":false,"suffix":""},{"dropping-particle":"","family":"Higgs","given":"Annie","non-dropping-particle":"","parse-names":false,"suffix":""}],"container-title":"New England Journal of Medicine","id":"ITEM-1","issue":"27","issued":{"date-parts":[["1993","1","15"]]},"page":"2002-2012","publisher":"Massachusetts Medical Society","title":"The L-Arginine-Nitric Oxide Pathway","type":"article-journal","volume":"329"},"uris":["http://www.mendeley.com/documents/?uuid=8d3353d8-72b5-3e6e-90e7-e2550be32f65"]}],"mendeley":{"formattedCitation":"&lt;sup&gt;23&lt;/sup&gt;","plainTextFormattedCitation":"23","previouslyFormattedCitation":"[23]"},"properties":{"noteIndex":0},"schema":"https://github.com/citation-style-language/schema/raw/master/csl-citation.json"}</w:instrText>
      </w:r>
      <w:r w:rsidR="006A4814" w:rsidRPr="00590031">
        <w:rPr>
          <w:rFonts w:cstheme="minorHAnsi"/>
          <w:sz w:val="24"/>
          <w:szCs w:val="24"/>
        </w:rPr>
        <w:fldChar w:fldCharType="separate"/>
      </w:r>
      <w:r w:rsidR="00DA75A6" w:rsidRPr="00590031">
        <w:rPr>
          <w:rFonts w:cstheme="minorHAnsi"/>
          <w:noProof/>
          <w:sz w:val="24"/>
          <w:szCs w:val="24"/>
          <w:vertAlign w:val="superscript"/>
        </w:rPr>
        <w:t>23</w:t>
      </w:r>
      <w:r w:rsidR="006A4814" w:rsidRPr="00590031">
        <w:rPr>
          <w:rFonts w:cstheme="minorHAnsi"/>
          <w:sz w:val="24"/>
          <w:szCs w:val="24"/>
        </w:rPr>
        <w:fldChar w:fldCharType="end"/>
      </w:r>
      <w:r w:rsidR="00993DCA" w:rsidRPr="00590031">
        <w:rPr>
          <w:rFonts w:cstheme="minorHAnsi"/>
          <w:sz w:val="24"/>
          <w:szCs w:val="24"/>
        </w:rPr>
        <w:t xml:space="preserve">. </w:t>
      </w:r>
      <w:r w:rsidR="00EB201D" w:rsidRPr="00590031">
        <w:rPr>
          <w:rFonts w:cstheme="minorHAnsi"/>
          <w:sz w:val="24"/>
          <w:szCs w:val="24"/>
        </w:rPr>
        <w:t>In health NO is produced from arginine by endothelial, neuronal and inducible NO synthases; all three of which are expressed in the airways</w:t>
      </w:r>
      <w:r w:rsidR="008C0D90" w:rsidRPr="00590031">
        <w:rPr>
          <w:rFonts w:cstheme="minorHAnsi"/>
          <w:sz w:val="24"/>
          <w:szCs w:val="24"/>
        </w:rPr>
        <w:t xml:space="preserve">. </w:t>
      </w:r>
      <w:r w:rsidR="00F8738C" w:rsidRPr="00590031">
        <w:rPr>
          <w:rFonts w:cstheme="minorHAnsi"/>
          <w:sz w:val="24"/>
          <w:szCs w:val="24"/>
        </w:rPr>
        <w:t>The</w:t>
      </w:r>
      <w:r w:rsidR="00AD4670" w:rsidRPr="00590031">
        <w:rPr>
          <w:rFonts w:cstheme="minorHAnsi"/>
          <w:sz w:val="24"/>
          <w:szCs w:val="24"/>
        </w:rPr>
        <w:t xml:space="preserve"> balance between NO and reactive oxygen species (ROS) are crucial for normal pulmonary vascular reactivity</w:t>
      </w:r>
      <w:r w:rsidR="00197BFD" w:rsidRPr="00590031">
        <w:rPr>
          <w:rFonts w:cstheme="minorHAnsi"/>
          <w:sz w:val="24"/>
          <w:szCs w:val="24"/>
        </w:rPr>
        <w:fldChar w:fldCharType="begin" w:fldLock="1"/>
      </w:r>
      <w:r w:rsidR="00DA75A6" w:rsidRPr="00590031">
        <w:rPr>
          <w:rFonts w:cstheme="minorHAnsi"/>
          <w:sz w:val="24"/>
          <w:szCs w:val="24"/>
        </w:rPr>
        <w:instrText>ADDIN CSL_CITATION {"citationItems":[{"id":"ITEM-1","itemData":{"DOI":"10.1056/nejm199312303292706","ISSN":"0028-4793","PMID":"7504210","abstract":"Nitric oxide (NO) is synthesized from l-arginine by an enzyme called the NO synthase. NO production by vascular endothelial cells accounts for the biological properties of endothelium-derived relaxing factor and maintains a vasodilator tone. Platelets also produce NO, which modulates their aggregability. In the central nervous system NO mediates the effects of excitatory amino acids. In all these tissues the l-arginine:NO pathway acts as a transduction mechanism for the soluble guanylate cyclase, for which NO is the endogenous stimulator. NO is also released after immunological stimulation in macrophages, neutrophils, and other cells. NO thus released acts as part of the host defense mechanism, for it is cytotoxic or cytostatic for tumor cells and invasive organisms and may mediate other aspects of the immunological response. Discovery of the l-arginine:NO pathway has far reaching implications for the understanding of several areas in biology and indicates potential novel therapies for a number of diseases.","author":[{"dropping-particle":"","family":"Epstein","given":"Franklin H.","non-dropping-particle":"","parse-names":false,"suffix":""},{"dropping-particle":"","family":"Moncada","given":"Salvador","non-dropping-particle":"","parse-names":false,"suffix":""},{"dropping-particle":"","family":"Higgs","given":"Annie","non-dropping-particle":"","parse-names":false,"suffix":""}],"container-title":"New England Journal of Medicine","id":"ITEM-1","issue":"27","issued":{"date-parts":[["1993","1","15"]]},"page":"2002-2012","publisher":"Massachusetts Medical Society","title":"The L-Arginine-Nitric Oxide Pathway","type":"article-journal","volume":"329"},"uris":["http://www.mendeley.com/documents/?uuid=8d3353d8-72b5-3e6e-90e7-e2550be32f65"]}],"mendeley":{"formattedCitation":"&lt;sup&gt;23&lt;/sup&gt;","plainTextFormattedCitation":"23","previouslyFormattedCitation":"[23]"},"properties":{"noteIndex":0},"schema":"https://github.com/citation-style-language/schema/raw/master/csl-citation.json"}</w:instrText>
      </w:r>
      <w:r w:rsidR="00197BFD" w:rsidRPr="00590031">
        <w:rPr>
          <w:rFonts w:cstheme="minorHAnsi"/>
          <w:sz w:val="24"/>
          <w:szCs w:val="24"/>
        </w:rPr>
        <w:fldChar w:fldCharType="separate"/>
      </w:r>
      <w:r w:rsidR="00DA75A6" w:rsidRPr="00590031">
        <w:rPr>
          <w:rFonts w:cstheme="minorHAnsi"/>
          <w:noProof/>
          <w:sz w:val="24"/>
          <w:szCs w:val="24"/>
          <w:vertAlign w:val="superscript"/>
        </w:rPr>
        <w:t>23</w:t>
      </w:r>
      <w:r w:rsidR="00197BFD" w:rsidRPr="00590031">
        <w:rPr>
          <w:rFonts w:cstheme="minorHAnsi"/>
          <w:sz w:val="24"/>
          <w:szCs w:val="24"/>
        </w:rPr>
        <w:fldChar w:fldCharType="end"/>
      </w:r>
      <w:r w:rsidR="00414656" w:rsidRPr="00590031">
        <w:rPr>
          <w:rFonts w:cstheme="minorHAnsi"/>
          <w:sz w:val="24"/>
          <w:szCs w:val="24"/>
          <w:vertAlign w:val="superscript"/>
        </w:rPr>
        <w:t>,</w:t>
      </w:r>
      <w:r w:rsidR="00197BFD" w:rsidRPr="00590031">
        <w:rPr>
          <w:rFonts w:cstheme="minorHAnsi"/>
          <w:sz w:val="24"/>
          <w:szCs w:val="24"/>
        </w:rPr>
        <w:fldChar w:fldCharType="begin" w:fldLock="1"/>
      </w:r>
      <w:r w:rsidR="00DA75A6" w:rsidRPr="00590031">
        <w:rPr>
          <w:rFonts w:cstheme="minorHAnsi"/>
          <w:sz w:val="24"/>
          <w:szCs w:val="24"/>
        </w:rPr>
        <w:instrText>ADDIN CSL_CITATION {"citationItems":[{"id":"ITEM-1","itemData":{"author":[{"dropping-particle":"","family":"Ignarro","given":"LJ","non-dropping-particle":"","parse-names":false,"suffix":""}],"id":"ITEM-1","issued":{"date-parts":[["2000"]]},"title":"Nitric oxide: biology and pathobiology","type":"book"},"uris":["http://www.mendeley.com/documents/?uuid=9776acdb-cef2-3f40-b2b0-93f1c8b03241"]}],"mendeley":{"formattedCitation":"&lt;sup&gt;24&lt;/sup&gt;","plainTextFormattedCitation":"24","previouslyFormattedCitation":"[24]"},"properties":{"noteIndex":0},"schema":"https://github.com/citation-style-language/schema/raw/master/csl-citation.json"}</w:instrText>
      </w:r>
      <w:r w:rsidR="00197BFD" w:rsidRPr="00590031">
        <w:rPr>
          <w:rFonts w:cstheme="minorHAnsi"/>
          <w:sz w:val="24"/>
          <w:szCs w:val="24"/>
        </w:rPr>
        <w:fldChar w:fldCharType="separate"/>
      </w:r>
      <w:r w:rsidR="00DA75A6" w:rsidRPr="00590031">
        <w:rPr>
          <w:rFonts w:cstheme="minorHAnsi"/>
          <w:noProof/>
          <w:sz w:val="24"/>
          <w:szCs w:val="24"/>
          <w:vertAlign w:val="superscript"/>
        </w:rPr>
        <w:t>24</w:t>
      </w:r>
      <w:r w:rsidR="00197BFD" w:rsidRPr="00590031">
        <w:rPr>
          <w:rFonts w:cstheme="minorHAnsi"/>
          <w:sz w:val="24"/>
          <w:szCs w:val="24"/>
        </w:rPr>
        <w:fldChar w:fldCharType="end"/>
      </w:r>
      <w:r w:rsidR="00CA0B4C" w:rsidRPr="00590031">
        <w:rPr>
          <w:rFonts w:cstheme="minorHAnsi"/>
          <w:sz w:val="24"/>
          <w:szCs w:val="24"/>
        </w:rPr>
        <w:t>.</w:t>
      </w:r>
      <w:r w:rsidR="00F8738C" w:rsidRPr="00590031">
        <w:rPr>
          <w:rFonts w:cstheme="minorHAnsi"/>
          <w:sz w:val="24"/>
          <w:szCs w:val="24"/>
        </w:rPr>
        <w:t xml:space="preserve"> Data is emerging to suggest that SARS-Co</w:t>
      </w:r>
      <w:r w:rsidR="00CA0B4C" w:rsidRPr="00590031">
        <w:rPr>
          <w:rFonts w:cstheme="minorHAnsi"/>
          <w:sz w:val="24"/>
          <w:szCs w:val="24"/>
        </w:rPr>
        <w:t>v</w:t>
      </w:r>
      <w:r w:rsidR="00F8738C" w:rsidRPr="00590031">
        <w:rPr>
          <w:rFonts w:cstheme="minorHAnsi"/>
          <w:sz w:val="24"/>
          <w:szCs w:val="24"/>
        </w:rPr>
        <w:t>-2 may</w:t>
      </w:r>
      <w:r w:rsidR="00962CDA" w:rsidRPr="00590031">
        <w:rPr>
          <w:rFonts w:cstheme="minorHAnsi"/>
          <w:sz w:val="24"/>
          <w:szCs w:val="24"/>
        </w:rPr>
        <w:t>,</w:t>
      </w:r>
      <w:r w:rsidR="00F8738C" w:rsidRPr="00590031">
        <w:rPr>
          <w:rFonts w:cstheme="minorHAnsi"/>
          <w:sz w:val="24"/>
          <w:szCs w:val="24"/>
        </w:rPr>
        <w:t xml:space="preserve"> by inducing e</w:t>
      </w:r>
      <w:r w:rsidR="00AD4670" w:rsidRPr="00590031">
        <w:rPr>
          <w:rFonts w:cstheme="minorHAnsi"/>
          <w:sz w:val="24"/>
          <w:szCs w:val="24"/>
        </w:rPr>
        <w:t xml:space="preserve">ndothelial cell apoptosis, </w:t>
      </w:r>
      <w:r w:rsidR="00F8738C" w:rsidRPr="00590031">
        <w:rPr>
          <w:rFonts w:cstheme="minorHAnsi"/>
          <w:sz w:val="24"/>
          <w:szCs w:val="24"/>
        </w:rPr>
        <w:t xml:space="preserve">reducing local concentrations of </w:t>
      </w:r>
      <w:r w:rsidR="00AD4670" w:rsidRPr="00590031">
        <w:rPr>
          <w:rFonts w:cstheme="minorHAnsi"/>
          <w:sz w:val="24"/>
          <w:szCs w:val="24"/>
        </w:rPr>
        <w:t xml:space="preserve">Angiotensin II and </w:t>
      </w:r>
      <w:r w:rsidR="00F8738C" w:rsidRPr="00590031">
        <w:rPr>
          <w:rFonts w:cstheme="minorHAnsi"/>
          <w:sz w:val="24"/>
          <w:szCs w:val="24"/>
        </w:rPr>
        <w:t xml:space="preserve">affecting </w:t>
      </w:r>
      <w:r w:rsidR="00AD4670" w:rsidRPr="00590031">
        <w:rPr>
          <w:rFonts w:cstheme="minorHAnsi"/>
          <w:sz w:val="24"/>
          <w:szCs w:val="24"/>
        </w:rPr>
        <w:t xml:space="preserve">mitochondrial </w:t>
      </w:r>
      <w:r w:rsidR="00F8738C" w:rsidRPr="00590031">
        <w:rPr>
          <w:rFonts w:cstheme="minorHAnsi"/>
          <w:sz w:val="24"/>
          <w:szCs w:val="24"/>
        </w:rPr>
        <w:t>electron transport</w:t>
      </w:r>
      <w:r w:rsidR="00CA0B4C" w:rsidRPr="00590031">
        <w:rPr>
          <w:rFonts w:cstheme="minorHAnsi"/>
          <w:sz w:val="24"/>
          <w:szCs w:val="24"/>
        </w:rPr>
        <w:t xml:space="preserve">, </w:t>
      </w:r>
      <w:r w:rsidR="00AD4670" w:rsidRPr="00590031">
        <w:rPr>
          <w:rFonts w:cstheme="minorHAnsi"/>
          <w:sz w:val="24"/>
          <w:szCs w:val="24"/>
        </w:rPr>
        <w:t>reduce endothelial NO production</w:t>
      </w:r>
      <w:r w:rsidR="00F8738C" w:rsidRPr="00590031">
        <w:rPr>
          <w:rFonts w:cstheme="minorHAnsi"/>
          <w:sz w:val="24"/>
          <w:szCs w:val="24"/>
        </w:rPr>
        <w:t xml:space="preserve"> a</w:t>
      </w:r>
      <w:r w:rsidR="00072446" w:rsidRPr="00590031">
        <w:rPr>
          <w:rFonts w:cstheme="minorHAnsi"/>
          <w:sz w:val="24"/>
          <w:szCs w:val="24"/>
        </w:rPr>
        <w:t>n</w:t>
      </w:r>
      <w:r w:rsidR="00F8738C" w:rsidRPr="00590031">
        <w:rPr>
          <w:rFonts w:cstheme="minorHAnsi"/>
          <w:sz w:val="24"/>
          <w:szCs w:val="24"/>
        </w:rPr>
        <w:t>d increase the production of ROS which in turn will reduce</w:t>
      </w:r>
      <w:r w:rsidR="00F15955" w:rsidRPr="00590031">
        <w:rPr>
          <w:rFonts w:cstheme="minorHAnsi"/>
          <w:sz w:val="24"/>
          <w:szCs w:val="24"/>
        </w:rPr>
        <w:t xml:space="preserve"> </w:t>
      </w:r>
      <w:r w:rsidR="00AD4670" w:rsidRPr="00590031">
        <w:rPr>
          <w:rFonts w:cstheme="minorHAnsi"/>
          <w:sz w:val="24"/>
          <w:szCs w:val="24"/>
        </w:rPr>
        <w:t>NO bioavailability</w:t>
      </w:r>
      <w:r w:rsidR="00197BFD" w:rsidRPr="00590031">
        <w:rPr>
          <w:rFonts w:cstheme="minorHAnsi"/>
          <w:sz w:val="24"/>
          <w:szCs w:val="24"/>
        </w:rPr>
        <w:fldChar w:fldCharType="begin" w:fldLock="1"/>
      </w:r>
      <w:r w:rsidR="00DA75A6" w:rsidRPr="00590031">
        <w:rPr>
          <w:rFonts w:cstheme="minorHAnsi"/>
          <w:sz w:val="24"/>
          <w:szCs w:val="24"/>
        </w:rPr>
        <w:instrText>ADDIN CSL_CITATION {"citationItems":[{"id":"ITEM-1","itemData":{"DOI":"10.1016/j.freeradbiomed.2020.12.008","ISSN":"18734596","PMID":"33347987","abstract":"Nitric oxide (NO) is a free radical playing an important pathophysiological role in cardiovascular and immune systems. Recent studies reported that NO levels were significantly lower in patients with COVID-19, which was suggested to be closely related to vascular dysfunction and immune inflammation among them. In this review, we examine the potential role of NO during SARS-CoV-2 infection from the perspective of the unique physical, chemical and biological properties and potential mechanisms of NO in COVID-19, as well as possible therapeutic strategies using inhaled NO. We also discuss the limits of NO treatment, and the future application of this approach in prevention and therapy of COVID-19.","author":[{"dropping-particle":"","family":"Fang","given":"Wanyi","non-dropping-particle":"","parse-names":false,"suffix":""},{"dropping-particle":"","family":"Jiang","given":"Jingrui","non-dropping-particle":"","parse-names":false,"suffix":""},{"dropping-particle":"","family":"Su","given":"Lei","non-dropping-particle":"","parse-names":false,"suffix":""},{"dropping-particle":"","family":"Shu","given":"Tong","non-dropping-particle":"","parse-names":false,"suffix":""},{"dropping-particle":"","family":"Liu","given":"Huan","non-dropping-particle":"","parse-names":false,"suffix":""},{"dropping-particle":"","family":"Lai","given":"Shenghan","non-dropping-particle":"","parse-names":false,"suffix":""},{"dropping-particle":"","family":"Ghiladi","given":"Reza A.","non-dropping-particle":"","parse-names":false,"suffix":""},{"dropping-particle":"","family":"Wang","given":"Jun","non-dropping-particle":"","parse-names":false,"suffix":""}],"container-title":"Free Radical Biology and Medicine","id":"ITEM-1","issued":{"date-parts":[["2021","2","1"]]},"page":"153-162","publisher":"Pergamon","title":"The role of NO in COVID-19 and potential therapeutic strategies","type":"article","volume":"163"},"uris":["http://www.mendeley.com/documents/?uuid=e39b660d-3fcc-33e8-a91a-09b57416c383"]}],"mendeley":{"formattedCitation":"&lt;sup&gt;25&lt;/sup&gt;","plainTextFormattedCitation":"25","previouslyFormattedCitation":"[25]"},"properties":{"noteIndex":0},"schema":"https://github.com/citation-style-language/schema/raw/master/csl-citation.json"}</w:instrText>
      </w:r>
      <w:r w:rsidR="00197BFD" w:rsidRPr="00590031">
        <w:rPr>
          <w:rFonts w:cstheme="minorHAnsi"/>
          <w:sz w:val="24"/>
          <w:szCs w:val="24"/>
        </w:rPr>
        <w:fldChar w:fldCharType="separate"/>
      </w:r>
      <w:r w:rsidR="00DA75A6" w:rsidRPr="00590031">
        <w:rPr>
          <w:rFonts w:cstheme="minorHAnsi"/>
          <w:noProof/>
          <w:sz w:val="24"/>
          <w:szCs w:val="24"/>
          <w:vertAlign w:val="superscript"/>
        </w:rPr>
        <w:t>25</w:t>
      </w:r>
      <w:r w:rsidR="00197BFD" w:rsidRPr="00590031">
        <w:rPr>
          <w:rFonts w:cstheme="minorHAnsi"/>
          <w:sz w:val="24"/>
          <w:szCs w:val="24"/>
        </w:rPr>
        <w:fldChar w:fldCharType="end"/>
      </w:r>
      <w:r w:rsidR="00AD4670" w:rsidRPr="00590031">
        <w:rPr>
          <w:rFonts w:cstheme="minorHAnsi"/>
          <w:sz w:val="24"/>
          <w:szCs w:val="24"/>
        </w:rPr>
        <w:t xml:space="preserve">. </w:t>
      </w:r>
      <w:r w:rsidR="00CA0B4C" w:rsidRPr="00590031">
        <w:rPr>
          <w:rFonts w:cstheme="minorHAnsi"/>
          <w:sz w:val="24"/>
          <w:szCs w:val="24"/>
        </w:rPr>
        <w:t>T</w:t>
      </w:r>
      <w:r w:rsidR="00394237" w:rsidRPr="00590031">
        <w:rPr>
          <w:rFonts w:cstheme="minorHAnsi"/>
          <w:sz w:val="24"/>
          <w:szCs w:val="24"/>
        </w:rPr>
        <w:t>he use of</w:t>
      </w:r>
      <w:r w:rsidR="00585186" w:rsidRPr="00590031">
        <w:rPr>
          <w:rFonts w:cstheme="minorHAnsi"/>
          <w:sz w:val="24"/>
          <w:szCs w:val="24"/>
        </w:rPr>
        <w:t xml:space="preserve"> </w:t>
      </w:r>
      <w:r w:rsidR="00394237" w:rsidRPr="00590031">
        <w:rPr>
          <w:rFonts w:cstheme="minorHAnsi"/>
          <w:sz w:val="24"/>
          <w:szCs w:val="24"/>
        </w:rPr>
        <w:t>i</w:t>
      </w:r>
      <w:r w:rsidR="00585186" w:rsidRPr="00590031">
        <w:rPr>
          <w:rFonts w:cstheme="minorHAnsi"/>
          <w:sz w:val="24"/>
          <w:szCs w:val="24"/>
        </w:rPr>
        <w:t xml:space="preserve">NO during </w:t>
      </w:r>
      <w:r w:rsidR="00CA0B4C" w:rsidRPr="00590031">
        <w:rPr>
          <w:rFonts w:cstheme="minorHAnsi"/>
          <w:sz w:val="24"/>
          <w:szCs w:val="24"/>
        </w:rPr>
        <w:t xml:space="preserve">SARS-Cov-2 infection </w:t>
      </w:r>
      <w:r w:rsidR="00394237" w:rsidRPr="00590031">
        <w:rPr>
          <w:rFonts w:cstheme="minorHAnsi"/>
          <w:sz w:val="24"/>
          <w:szCs w:val="24"/>
        </w:rPr>
        <w:t>may redress this imbalance</w:t>
      </w:r>
      <w:r w:rsidR="00585186" w:rsidRPr="00590031">
        <w:rPr>
          <w:rFonts w:cstheme="minorHAnsi"/>
          <w:sz w:val="24"/>
          <w:szCs w:val="24"/>
        </w:rPr>
        <w:t>.</w:t>
      </w:r>
      <w:r w:rsidR="007B6A8C" w:rsidRPr="00590031">
        <w:rPr>
          <w:rFonts w:cstheme="minorHAnsi"/>
          <w:sz w:val="24"/>
          <w:szCs w:val="24"/>
        </w:rPr>
        <w:t xml:space="preserve"> </w:t>
      </w:r>
      <w:r w:rsidR="007D5B64" w:rsidRPr="00590031">
        <w:rPr>
          <w:rFonts w:cstheme="minorHAnsi"/>
          <w:sz w:val="24"/>
          <w:szCs w:val="24"/>
        </w:rPr>
        <w:t xml:space="preserve">The </w:t>
      </w:r>
      <w:r w:rsidR="00394237" w:rsidRPr="00590031">
        <w:rPr>
          <w:rFonts w:cstheme="minorHAnsi"/>
          <w:sz w:val="24"/>
          <w:szCs w:val="24"/>
        </w:rPr>
        <w:t xml:space="preserve">evidence supporting the </w:t>
      </w:r>
      <w:r w:rsidR="00CA0B4C" w:rsidRPr="00590031">
        <w:rPr>
          <w:rFonts w:cstheme="minorHAnsi"/>
          <w:sz w:val="24"/>
          <w:szCs w:val="24"/>
        </w:rPr>
        <w:t>efficacy of iNO</w:t>
      </w:r>
      <w:r w:rsidR="00394237" w:rsidRPr="00590031">
        <w:rPr>
          <w:rFonts w:cstheme="minorHAnsi"/>
          <w:sz w:val="24"/>
          <w:szCs w:val="24"/>
        </w:rPr>
        <w:t xml:space="preserve"> therapy</w:t>
      </w:r>
      <w:r w:rsidR="007D5B64" w:rsidRPr="00590031">
        <w:rPr>
          <w:rFonts w:cstheme="minorHAnsi"/>
          <w:sz w:val="24"/>
          <w:szCs w:val="24"/>
        </w:rPr>
        <w:t xml:space="preserve"> in C</w:t>
      </w:r>
      <w:r w:rsidR="00F1752C" w:rsidRPr="00590031">
        <w:rPr>
          <w:rFonts w:cstheme="minorHAnsi"/>
          <w:sz w:val="24"/>
          <w:szCs w:val="24"/>
        </w:rPr>
        <w:t>OVID</w:t>
      </w:r>
      <w:r w:rsidR="007D5B64" w:rsidRPr="00590031">
        <w:rPr>
          <w:rFonts w:cstheme="minorHAnsi"/>
          <w:sz w:val="24"/>
          <w:szCs w:val="24"/>
        </w:rPr>
        <w:t xml:space="preserve">-19 </w:t>
      </w:r>
      <w:r w:rsidR="007B6A8C" w:rsidRPr="00590031">
        <w:rPr>
          <w:rFonts w:cstheme="minorHAnsi"/>
          <w:sz w:val="24"/>
          <w:szCs w:val="24"/>
        </w:rPr>
        <w:t xml:space="preserve">is limited and </w:t>
      </w:r>
      <w:r w:rsidR="00310D6A" w:rsidRPr="00590031">
        <w:rPr>
          <w:rFonts w:cstheme="minorHAnsi"/>
          <w:sz w:val="24"/>
          <w:szCs w:val="24"/>
        </w:rPr>
        <w:t>primarily focuse</w:t>
      </w:r>
      <w:r w:rsidR="00394237" w:rsidRPr="00590031">
        <w:rPr>
          <w:rFonts w:cstheme="minorHAnsi"/>
          <w:sz w:val="24"/>
          <w:szCs w:val="24"/>
        </w:rPr>
        <w:t>s</w:t>
      </w:r>
      <w:r w:rsidR="00310D6A" w:rsidRPr="00590031">
        <w:rPr>
          <w:rFonts w:cstheme="minorHAnsi"/>
          <w:sz w:val="24"/>
          <w:szCs w:val="24"/>
        </w:rPr>
        <w:t xml:space="preserve"> on</w:t>
      </w:r>
      <w:r w:rsidR="007B6A8C" w:rsidRPr="00590031">
        <w:rPr>
          <w:rFonts w:cstheme="minorHAnsi"/>
          <w:sz w:val="24"/>
          <w:szCs w:val="24"/>
        </w:rPr>
        <w:t xml:space="preserve"> improvements in oxygenation</w:t>
      </w:r>
      <w:r w:rsidR="007B4D9B" w:rsidRPr="00590031">
        <w:rPr>
          <w:rFonts w:cstheme="minorHAnsi"/>
          <w:sz w:val="24"/>
          <w:szCs w:val="24"/>
        </w:rPr>
        <w:t>. Tavazzi et al.</w:t>
      </w:r>
      <w:r w:rsidR="0064036B" w:rsidRPr="00590031">
        <w:rPr>
          <w:rFonts w:cstheme="minorHAnsi"/>
          <w:sz w:val="24"/>
          <w:szCs w:val="24"/>
        </w:rPr>
        <w:t xml:space="preserve"> </w:t>
      </w:r>
      <w:r w:rsidR="007B4D9B" w:rsidRPr="00590031">
        <w:rPr>
          <w:rFonts w:cstheme="minorHAnsi"/>
          <w:sz w:val="24"/>
          <w:szCs w:val="24"/>
        </w:rPr>
        <w:t xml:space="preserve">reported no improvement </w:t>
      </w:r>
      <w:r w:rsidR="00155180" w:rsidRPr="00590031">
        <w:rPr>
          <w:rFonts w:cstheme="minorHAnsi"/>
          <w:sz w:val="24"/>
          <w:szCs w:val="24"/>
        </w:rPr>
        <w:t>(defined as</w:t>
      </w:r>
      <w:r w:rsidR="008C0D90" w:rsidRPr="00590031">
        <w:rPr>
          <w:rFonts w:cstheme="minorHAnsi"/>
          <w:sz w:val="24"/>
          <w:szCs w:val="24"/>
        </w:rPr>
        <w:t xml:space="preserve"> a </w:t>
      </w:r>
      <w:r w:rsidR="00155180" w:rsidRPr="00590031">
        <w:rPr>
          <w:rFonts w:cstheme="minorHAnsi"/>
          <w:sz w:val="24"/>
          <w:szCs w:val="24"/>
        </w:rPr>
        <w:t xml:space="preserve">20% increase in PF ratio) </w:t>
      </w:r>
      <w:r w:rsidR="007B4D9B" w:rsidRPr="00590031">
        <w:rPr>
          <w:rFonts w:cstheme="minorHAnsi"/>
          <w:sz w:val="24"/>
          <w:szCs w:val="24"/>
        </w:rPr>
        <w:t xml:space="preserve">in 16 patients at 30 minutes after starting </w:t>
      </w:r>
      <w:r w:rsidR="007B4D9B" w:rsidRPr="00590031">
        <w:rPr>
          <w:rFonts w:cstheme="minorHAnsi"/>
          <w:sz w:val="24"/>
          <w:szCs w:val="24"/>
        </w:rPr>
        <w:lastRenderedPageBreak/>
        <w:t xml:space="preserve">therapy, though there was a trend towards improvement in </w:t>
      </w:r>
      <w:r w:rsidR="00155180" w:rsidRPr="00590031">
        <w:rPr>
          <w:rFonts w:cstheme="minorHAnsi"/>
          <w:sz w:val="24"/>
          <w:szCs w:val="24"/>
        </w:rPr>
        <w:t>those with RV dysfunction</w:t>
      </w:r>
      <w:r w:rsidR="00197BFD" w:rsidRPr="00590031">
        <w:rPr>
          <w:rFonts w:cstheme="minorHAnsi"/>
          <w:sz w:val="24"/>
          <w:szCs w:val="24"/>
        </w:rPr>
        <w:fldChar w:fldCharType="begin" w:fldLock="1"/>
      </w:r>
      <w:r w:rsidR="00DA75A6" w:rsidRPr="00590031">
        <w:rPr>
          <w:rFonts w:cstheme="minorHAnsi"/>
          <w:sz w:val="24"/>
          <w:szCs w:val="24"/>
        </w:rPr>
        <w:instrText>ADDIN CSL_CITATION {"citationItems":[{"id":"ITEM-1","itemData":{"DOI":"10.1186/s13054-020-03222-9","ISSN":"1466609X","PMID":"32807220","author":[{"dropping-particle":"","family":"Tavazzi","given":"Guido","non-dropping-particle":"","parse-names":false,"suffix":""},{"dropping-particle":"","family":"Marco","given":"Pozzi","non-dropping-particle":"","parse-names":false,"suffix":""},{"dropping-particle":"","family":"Mongodi","given":"Silvia","non-dropping-particle":"","parse-names":false,"suffix":""},{"dropping-particle":"","family":"Dammassa","given":"Valentino","non-dropping-particle":"","parse-names":false,"suffix":""},{"dropping-particle":"","family":"Romito","given":"Giovanni","non-dropping-particle":"","parse-names":false,"suffix":""},{"dropping-particle":"","family":"Mojoli","given":"Francesco","non-dropping-particle":"","parse-names":false,"suffix":""}],"container-title":"Critical Care","id":"ITEM-1","issue":"1","issued":{"date-parts":[["2020","8","17"]]},"page":"1-2","publisher":"BioMed Central","title":"Inhaled nitric oxide in patients admitted to intensive care unit with COVID-19 pneumonia","type":"article","volume":"24"},"uris":["http://www.mendeley.com/documents/?uuid=7637fb95-6de8-34be-a436-b1a71daeb7ad"]}],"mendeley":{"formattedCitation":"&lt;sup&gt;26&lt;/sup&gt;","plainTextFormattedCitation":"26","previouslyFormattedCitation":"[26]"},"properties":{"noteIndex":0},"schema":"https://github.com/citation-style-language/schema/raw/master/csl-citation.json"}</w:instrText>
      </w:r>
      <w:r w:rsidR="00197BFD" w:rsidRPr="00590031">
        <w:rPr>
          <w:rFonts w:cstheme="minorHAnsi"/>
          <w:sz w:val="24"/>
          <w:szCs w:val="24"/>
        </w:rPr>
        <w:fldChar w:fldCharType="separate"/>
      </w:r>
      <w:r w:rsidR="00DA75A6" w:rsidRPr="00590031">
        <w:rPr>
          <w:rFonts w:cstheme="minorHAnsi"/>
          <w:noProof/>
          <w:sz w:val="24"/>
          <w:szCs w:val="24"/>
          <w:vertAlign w:val="superscript"/>
        </w:rPr>
        <w:t>26</w:t>
      </w:r>
      <w:r w:rsidR="00197BFD" w:rsidRPr="00590031">
        <w:rPr>
          <w:rFonts w:cstheme="minorHAnsi"/>
          <w:sz w:val="24"/>
          <w:szCs w:val="24"/>
        </w:rPr>
        <w:fldChar w:fldCharType="end"/>
      </w:r>
      <w:r w:rsidR="00155180" w:rsidRPr="00590031">
        <w:rPr>
          <w:rFonts w:cstheme="minorHAnsi"/>
          <w:sz w:val="24"/>
          <w:szCs w:val="24"/>
        </w:rPr>
        <w:t>. Abou</w:t>
      </w:r>
      <w:r w:rsidR="007B4D9B" w:rsidRPr="00590031">
        <w:rPr>
          <w:rFonts w:cstheme="minorHAnsi"/>
          <w:sz w:val="24"/>
          <w:szCs w:val="24"/>
        </w:rPr>
        <w:t xml:space="preserve">-arab et al. </w:t>
      </w:r>
      <w:r w:rsidR="007B6A8C" w:rsidRPr="00590031">
        <w:rPr>
          <w:rFonts w:cstheme="minorHAnsi"/>
          <w:sz w:val="24"/>
          <w:szCs w:val="24"/>
        </w:rPr>
        <w:t>reported</w:t>
      </w:r>
      <w:r w:rsidR="007B4D9B" w:rsidRPr="00590031">
        <w:rPr>
          <w:rFonts w:cstheme="minorHAnsi"/>
          <w:sz w:val="24"/>
          <w:szCs w:val="24"/>
        </w:rPr>
        <w:t xml:space="preserve"> a response </w:t>
      </w:r>
      <w:r w:rsidR="00155180" w:rsidRPr="00590031">
        <w:rPr>
          <w:rFonts w:cstheme="minorHAnsi"/>
          <w:sz w:val="24"/>
          <w:szCs w:val="24"/>
        </w:rPr>
        <w:t xml:space="preserve">(20% increase in PF ratio) </w:t>
      </w:r>
      <w:r w:rsidR="007B6A8C" w:rsidRPr="00590031">
        <w:rPr>
          <w:rFonts w:cstheme="minorHAnsi"/>
          <w:sz w:val="24"/>
          <w:szCs w:val="24"/>
        </w:rPr>
        <w:t xml:space="preserve">in 22 out of 34 </w:t>
      </w:r>
      <w:r w:rsidR="007B4D9B" w:rsidRPr="00590031">
        <w:rPr>
          <w:rFonts w:cstheme="minorHAnsi"/>
          <w:sz w:val="24"/>
          <w:szCs w:val="24"/>
        </w:rPr>
        <w:t>patients at 30 minutes</w:t>
      </w:r>
      <w:r w:rsidR="007B6A8C" w:rsidRPr="00590031">
        <w:rPr>
          <w:rFonts w:cstheme="minorHAnsi"/>
          <w:sz w:val="24"/>
          <w:szCs w:val="24"/>
        </w:rPr>
        <w:t xml:space="preserve"> following initiation of </w:t>
      </w:r>
      <w:r w:rsidR="00F1752C" w:rsidRPr="00590031">
        <w:rPr>
          <w:rFonts w:cstheme="minorHAnsi"/>
          <w:sz w:val="24"/>
          <w:szCs w:val="24"/>
        </w:rPr>
        <w:t>i</w:t>
      </w:r>
      <w:r w:rsidR="007B6A8C" w:rsidRPr="00590031">
        <w:rPr>
          <w:rFonts w:cstheme="minorHAnsi"/>
          <w:sz w:val="24"/>
          <w:szCs w:val="24"/>
        </w:rPr>
        <w:t>NO</w:t>
      </w:r>
      <w:r w:rsidR="0064036B" w:rsidRPr="00590031">
        <w:rPr>
          <w:rFonts w:cstheme="minorHAnsi"/>
          <w:sz w:val="24"/>
          <w:szCs w:val="24"/>
        </w:rPr>
        <w:fldChar w:fldCharType="begin" w:fldLock="1"/>
      </w:r>
      <w:r w:rsidR="00DA75A6" w:rsidRPr="00590031">
        <w:rPr>
          <w:rFonts w:cstheme="minorHAnsi"/>
          <w:sz w:val="24"/>
          <w:szCs w:val="24"/>
        </w:rPr>
        <w:instrText>ADDIN CSL_CITATION {"citationItems":[{"id":"ITEM-1","itemData":{"DOI":"10.1186/s13054-020-03371-x","ISSN":"1466609X","PMID":"33183348","author":[{"dropping-particle":"","family":"Abou-Arab","given":"Osama","non-dropping-particle":"","parse-names":false,"suffix":""},{"dropping-particle":"","family":"Huette","given":"Pierre","non-dropping-particle":"","parse-names":false,"suffix":""},{"dropping-particle":"","family":"Debouvries","given":"Fanny","non-dropping-particle":"","parse-names":false,"suffix":""},{"dropping-particle":"","family":"Dupont","given":"Hervé","non-dropping-particle":"","parse-names":false,"suffix":""},{"dropping-particle":"","family":"Jounieaux","given":"Vincent","non-dropping-particle":"","parse-names":false,"suffix":""},{"dropping-particle":"","family":"Mahjoub","given":"Yazine","non-dropping-particle":"","parse-names":false,"suffix":""}],"container-title":"Critical Care","id":"ITEM-1","issue":"1","issued":{"date-parts":[["2020","11","12"]]},"page":"1-3","publisher":"BioMed Central","title":"Inhaled nitric oxide for critically ill Covid-19 patients: a prospective study","type":"article","volume":"24"},"uris":["http://www.mendeley.com/documents/?uuid=dd99fbe0-72b8-3349-a908-d1f71a308a54"]}],"mendeley":{"formattedCitation":"&lt;sup&gt;27&lt;/sup&gt;","plainTextFormattedCitation":"27","previouslyFormattedCitation":"[27]"},"properties":{"noteIndex":0},"schema":"https://github.com/citation-style-language/schema/raw/master/csl-citation.json"}</w:instrText>
      </w:r>
      <w:r w:rsidR="0064036B" w:rsidRPr="00590031">
        <w:rPr>
          <w:rFonts w:cstheme="minorHAnsi"/>
          <w:sz w:val="24"/>
          <w:szCs w:val="24"/>
        </w:rPr>
        <w:fldChar w:fldCharType="separate"/>
      </w:r>
      <w:r w:rsidR="00DA75A6" w:rsidRPr="00590031">
        <w:rPr>
          <w:rFonts w:cstheme="minorHAnsi"/>
          <w:noProof/>
          <w:sz w:val="24"/>
          <w:szCs w:val="24"/>
          <w:vertAlign w:val="superscript"/>
        </w:rPr>
        <w:t>27</w:t>
      </w:r>
      <w:r w:rsidR="0064036B" w:rsidRPr="00590031">
        <w:rPr>
          <w:rFonts w:cstheme="minorHAnsi"/>
          <w:sz w:val="24"/>
          <w:szCs w:val="24"/>
        </w:rPr>
        <w:fldChar w:fldCharType="end"/>
      </w:r>
      <w:r w:rsidR="00155180" w:rsidRPr="00590031">
        <w:rPr>
          <w:rFonts w:cstheme="minorHAnsi"/>
          <w:sz w:val="24"/>
          <w:szCs w:val="24"/>
        </w:rPr>
        <w:t xml:space="preserve">. </w:t>
      </w:r>
      <w:r w:rsidR="00D530C5" w:rsidRPr="00590031">
        <w:rPr>
          <w:rFonts w:cstheme="minorHAnsi"/>
          <w:sz w:val="24"/>
          <w:szCs w:val="24"/>
        </w:rPr>
        <w:t xml:space="preserve">While </w:t>
      </w:r>
      <w:r w:rsidR="00155180" w:rsidRPr="00590031">
        <w:rPr>
          <w:rFonts w:cstheme="minorHAnsi"/>
          <w:sz w:val="24"/>
          <w:szCs w:val="24"/>
        </w:rPr>
        <w:t xml:space="preserve">Longobardo et al found the response to </w:t>
      </w:r>
      <w:r w:rsidR="00F1752C" w:rsidRPr="00590031">
        <w:rPr>
          <w:rFonts w:cstheme="minorHAnsi"/>
          <w:sz w:val="24"/>
          <w:szCs w:val="24"/>
        </w:rPr>
        <w:t>i</w:t>
      </w:r>
      <w:r w:rsidR="00155180" w:rsidRPr="00590031">
        <w:rPr>
          <w:rFonts w:cstheme="minorHAnsi"/>
          <w:sz w:val="24"/>
          <w:szCs w:val="24"/>
        </w:rPr>
        <w:t xml:space="preserve">NO (10% increase in PF </w:t>
      </w:r>
      <w:r w:rsidR="00ED6C25">
        <w:rPr>
          <w:rFonts w:cstheme="minorHAnsi"/>
          <w:sz w:val="24"/>
          <w:szCs w:val="24"/>
        </w:rPr>
        <w:t>ratio) in 24 patients with COVID</w:t>
      </w:r>
      <w:r w:rsidR="00155180" w:rsidRPr="00590031">
        <w:rPr>
          <w:rFonts w:cstheme="minorHAnsi"/>
          <w:sz w:val="24"/>
          <w:szCs w:val="24"/>
        </w:rPr>
        <w:t>-19 to be worse than a historical cohort of patients with ARDS (40% vs. 77% response)</w:t>
      </w:r>
      <w:r w:rsidR="00197BFD" w:rsidRPr="00590031">
        <w:rPr>
          <w:rFonts w:cstheme="minorHAnsi"/>
          <w:sz w:val="24"/>
          <w:szCs w:val="24"/>
        </w:rPr>
        <w:fldChar w:fldCharType="begin" w:fldLock="1"/>
      </w:r>
      <w:r w:rsidR="00DA75A6" w:rsidRPr="00590031">
        <w:rPr>
          <w:rFonts w:cstheme="minorHAnsi"/>
          <w:sz w:val="24"/>
          <w:szCs w:val="24"/>
        </w:rPr>
        <w:instrText>ADDIN CSL_CITATION {"citationItems":[{"id":"ITEM-1","itemData":{"DOI":"10.1016/j.bja.2020.10.011","ISSN":"14716771","PMID":"33138964","author":[{"dropping-particle":"","family":"Longobardo","given":"Alessia","non-dropping-particle":"","parse-names":false,"suffix":""},{"dropping-particle":"","family":"Montanari","given":"Cecilia","non-dropping-particle":"","parse-names":false,"suffix":""},{"dropping-particle":"","family":"Shulman","given":"Robert","non-dropping-particle":"","parse-names":false,"suffix":""},{"dropping-particle":"","family":"Benhalim","given":"Suzanne","non-dropping-particle":"","parse-names":false,"suffix":""},{"dropping-particle":"","family":"Singer","given":"Mervyn","non-dropping-particle":"","parse-names":false,"suffix":""},{"dropping-particle":"","family":"Arulkumaran","given":"Nishkantha","non-dropping-particle":"","parse-names":false,"suffix":""}],"container-title":"British Journal of Anaesthesia","id":"ITEM-1","issue":"1","issued":{"date-parts":[["2021","1","1"]]},"page":"e44-e46","publisher":"Br J Anaesth","title":"Inhaled nitric oxide minimally improves oxygenation in COVID-19 related acute respiratory distress syndrome","type":"article","volume":"126"},"uris":["http://www.mendeley.com/documents/?uuid=4cc09147-4753-389e-afb7-a9fbb1ddfa08"]}],"mendeley":{"formattedCitation":"&lt;sup&gt;28&lt;/sup&gt;","plainTextFormattedCitation":"28","previouslyFormattedCitation":"[28]"},"properties":{"noteIndex":0},"schema":"https://github.com/citation-style-language/schema/raw/master/csl-citation.json"}</w:instrText>
      </w:r>
      <w:r w:rsidR="00197BFD" w:rsidRPr="00590031">
        <w:rPr>
          <w:rFonts w:cstheme="minorHAnsi"/>
          <w:sz w:val="24"/>
          <w:szCs w:val="24"/>
        </w:rPr>
        <w:fldChar w:fldCharType="separate"/>
      </w:r>
      <w:r w:rsidR="00DA75A6" w:rsidRPr="00590031">
        <w:rPr>
          <w:rFonts w:cstheme="minorHAnsi"/>
          <w:noProof/>
          <w:sz w:val="24"/>
          <w:szCs w:val="24"/>
          <w:vertAlign w:val="superscript"/>
        </w:rPr>
        <w:t>28</w:t>
      </w:r>
      <w:r w:rsidR="00197BFD" w:rsidRPr="00590031">
        <w:rPr>
          <w:rFonts w:cstheme="minorHAnsi"/>
          <w:sz w:val="24"/>
          <w:szCs w:val="24"/>
        </w:rPr>
        <w:fldChar w:fldCharType="end"/>
      </w:r>
      <w:r w:rsidR="00155180" w:rsidRPr="00590031">
        <w:rPr>
          <w:rFonts w:cstheme="minorHAnsi"/>
          <w:sz w:val="24"/>
          <w:szCs w:val="24"/>
        </w:rPr>
        <w:t>.</w:t>
      </w:r>
      <w:r w:rsidR="007B6A8C" w:rsidRPr="00590031">
        <w:rPr>
          <w:rFonts w:cstheme="minorHAnsi"/>
          <w:sz w:val="24"/>
          <w:szCs w:val="24"/>
        </w:rPr>
        <w:t xml:space="preserve"> Our studies </w:t>
      </w:r>
      <w:r w:rsidR="00F1752C" w:rsidRPr="00590031">
        <w:rPr>
          <w:rFonts w:cstheme="minorHAnsi"/>
          <w:sz w:val="24"/>
          <w:szCs w:val="24"/>
        </w:rPr>
        <w:t>differ</w:t>
      </w:r>
      <w:r w:rsidR="007B6A8C" w:rsidRPr="00590031">
        <w:rPr>
          <w:rFonts w:cstheme="minorHAnsi"/>
          <w:sz w:val="24"/>
          <w:szCs w:val="24"/>
        </w:rPr>
        <w:t xml:space="preserve"> from these in both the earlier introduction of </w:t>
      </w:r>
      <w:r w:rsidR="00D530C5" w:rsidRPr="00590031">
        <w:rPr>
          <w:rFonts w:cstheme="minorHAnsi"/>
          <w:sz w:val="24"/>
          <w:szCs w:val="24"/>
        </w:rPr>
        <w:t>i</w:t>
      </w:r>
      <w:r w:rsidR="007B6A8C" w:rsidRPr="00590031">
        <w:rPr>
          <w:rFonts w:cstheme="minorHAnsi"/>
          <w:sz w:val="24"/>
          <w:szCs w:val="24"/>
        </w:rPr>
        <w:t xml:space="preserve">NO (6 days vs. 12 days in the Longobardo study) and the combined use of </w:t>
      </w:r>
      <w:r w:rsidR="009C0AAE" w:rsidRPr="00590031">
        <w:rPr>
          <w:rFonts w:cstheme="minorHAnsi"/>
          <w:sz w:val="24"/>
          <w:szCs w:val="24"/>
        </w:rPr>
        <w:t>Iloprost</w:t>
      </w:r>
      <w:r w:rsidR="007B6A8C" w:rsidRPr="00590031">
        <w:rPr>
          <w:rFonts w:cstheme="minorHAnsi"/>
          <w:sz w:val="24"/>
          <w:szCs w:val="24"/>
        </w:rPr>
        <w:t>.</w:t>
      </w:r>
      <w:r w:rsidR="009045EC" w:rsidRPr="00590031">
        <w:rPr>
          <w:rFonts w:cstheme="minorHAnsi"/>
          <w:sz w:val="24"/>
          <w:szCs w:val="24"/>
        </w:rPr>
        <w:t xml:space="preserve"> As anticipated</w:t>
      </w:r>
      <w:r w:rsidR="005B27F2" w:rsidRPr="00590031">
        <w:rPr>
          <w:rFonts w:cstheme="minorHAnsi"/>
          <w:sz w:val="24"/>
          <w:szCs w:val="24"/>
        </w:rPr>
        <w:t>,</w:t>
      </w:r>
      <w:r w:rsidR="009045EC" w:rsidRPr="00590031">
        <w:rPr>
          <w:rFonts w:cstheme="minorHAnsi"/>
          <w:sz w:val="24"/>
          <w:szCs w:val="24"/>
        </w:rPr>
        <w:t xml:space="preserve"> the mortality for this group is very high </w:t>
      </w:r>
      <w:r w:rsidR="005B27F2" w:rsidRPr="00590031">
        <w:rPr>
          <w:rFonts w:cstheme="minorHAnsi"/>
          <w:sz w:val="24"/>
          <w:szCs w:val="24"/>
        </w:rPr>
        <w:t>at 44% compared with the</w:t>
      </w:r>
      <w:r w:rsidR="009045EC" w:rsidRPr="00590031">
        <w:rPr>
          <w:rFonts w:cstheme="minorHAnsi"/>
          <w:sz w:val="24"/>
          <w:szCs w:val="24"/>
        </w:rPr>
        <w:t xml:space="preserve"> non IPVD group</w:t>
      </w:r>
      <w:r w:rsidR="005B27F2" w:rsidRPr="00590031">
        <w:rPr>
          <w:rFonts w:cstheme="minorHAnsi"/>
          <w:sz w:val="24"/>
          <w:szCs w:val="24"/>
        </w:rPr>
        <w:t xml:space="preserve"> (18.1%)</w:t>
      </w:r>
      <w:r w:rsidR="009045EC" w:rsidRPr="00590031">
        <w:rPr>
          <w:rFonts w:cstheme="minorHAnsi"/>
          <w:sz w:val="24"/>
          <w:szCs w:val="24"/>
        </w:rPr>
        <w:t xml:space="preserve">. </w:t>
      </w:r>
      <w:r w:rsidR="005B27F2" w:rsidRPr="00590031">
        <w:rPr>
          <w:rFonts w:cstheme="minorHAnsi"/>
          <w:sz w:val="24"/>
          <w:szCs w:val="24"/>
        </w:rPr>
        <w:t xml:space="preserve">Our mortality for this severe hypoxic respiratory failure group is comparable to other </w:t>
      </w:r>
      <w:r w:rsidR="004375CB" w:rsidRPr="00590031">
        <w:rPr>
          <w:rFonts w:cstheme="minorHAnsi"/>
          <w:sz w:val="24"/>
          <w:szCs w:val="24"/>
        </w:rPr>
        <w:t>published series</w:t>
      </w:r>
      <w:r w:rsidR="007348C1" w:rsidRPr="00590031">
        <w:rPr>
          <w:rFonts w:cstheme="minorHAnsi"/>
          <w:sz w:val="24"/>
          <w:szCs w:val="24"/>
        </w:rPr>
        <w:fldChar w:fldCharType="begin" w:fldLock="1"/>
      </w:r>
      <w:r w:rsidR="00DA75A6" w:rsidRPr="00590031">
        <w:rPr>
          <w:rFonts w:cstheme="minorHAnsi"/>
          <w:sz w:val="24"/>
          <w:szCs w:val="24"/>
        </w:rPr>
        <w:instrText>ADDIN CSL_CITATION {"citationItems":[{"id":"ITEM-1","itemData":{"DOI":"10.1016/j.bja.2020.11.006","ISSN":"14716771","PMID":"33288208","author":[{"dropping-particle":"","family":"Garfield","given":"Benjamin","non-dropping-particle":"","parse-names":false,"suffix":""},{"dropping-particle":"","family":"McFadyen","given":"Charles","non-dropping-particle":"","parse-names":false,"suffix":""},{"dropping-particle":"","family":"Briar","given":"Charlotte","non-dropping-particle":"","parse-names":false,"suffix":""},{"dropping-particle":"","family":"Bleakley","given":"Caroline","non-dropping-particle":"","parse-names":false,"suffix":""},{"dropping-particle":"","family":"Vlachou","given":"Aikaterini","non-dropping-particle":"","parse-names":false,"suffix":""},{"dropping-particle":"","family":"Baldwin","given":"Melissa","non-dropping-particle":"","parse-names":false,"suffix":""},{"dropping-particle":"","family":"Lees","given":"Nick","non-dropping-particle":"","parse-names":false,"suffix":""},{"dropping-particle":"","family":"Price","given":"Susanna","non-dropping-particle":"","parse-names":false,"suffix":""},{"dropping-particle":"","family":"Ledot","given":"Stephane","non-dropping-particle":"","parse-names":false,"suffix":""},{"dropping-particle":"","family":"McCabe","given":"Colm","non-dropping-particle":"","parse-names":false,"suffix":""},{"dropping-particle":"","family":"Wort","given":"S. John","non-dropping-particle":"","parse-names":false,"suffix":""},{"dropping-particle":"V.","family":"Patel","given":"Brijesh","non-dropping-particle":"","parse-names":false,"suffix":""},{"dropping-particle":"","family":"Price","given":"Laura C.","non-dropping-particle":"","parse-names":false,"suffix":""}],"container-title":"British Journal of Anaesthesia","id":"ITEM-1","issue":"2","issued":{"date-parts":[["2021","2","1"]]},"page":"e72-e75","publisher":"Elsevier","title":"Potential for personalised application of inhaled nitric oxide in COVID-19 pneumonia","type":"article","volume":"126"},"uris":["http://www.mendeley.com/documents/?uuid=54b33186-28df-38d2-8f10-d52a175a36bd"]}],"mendeley":{"formattedCitation":"&lt;sup&gt;22&lt;/sup&gt;","plainTextFormattedCitation":"22","previouslyFormattedCitation":"[22]"},"properties":{"noteIndex":0},"schema":"https://github.com/citation-style-language/schema/raw/master/csl-citation.json"}</w:instrText>
      </w:r>
      <w:r w:rsidR="007348C1" w:rsidRPr="00590031">
        <w:rPr>
          <w:rFonts w:cstheme="minorHAnsi"/>
          <w:sz w:val="24"/>
          <w:szCs w:val="24"/>
        </w:rPr>
        <w:fldChar w:fldCharType="separate"/>
      </w:r>
      <w:r w:rsidR="00DA75A6" w:rsidRPr="00590031">
        <w:rPr>
          <w:rFonts w:cstheme="minorHAnsi"/>
          <w:noProof/>
          <w:sz w:val="24"/>
          <w:szCs w:val="24"/>
          <w:vertAlign w:val="superscript"/>
        </w:rPr>
        <w:t>22</w:t>
      </w:r>
      <w:r w:rsidR="007348C1" w:rsidRPr="00590031">
        <w:rPr>
          <w:rFonts w:cstheme="minorHAnsi"/>
          <w:sz w:val="24"/>
          <w:szCs w:val="24"/>
        </w:rPr>
        <w:fldChar w:fldCharType="end"/>
      </w:r>
      <w:r w:rsidR="004375CB" w:rsidRPr="00590031">
        <w:rPr>
          <w:rFonts w:cstheme="minorHAnsi"/>
          <w:sz w:val="24"/>
          <w:szCs w:val="24"/>
        </w:rPr>
        <w:t xml:space="preserve">. </w:t>
      </w:r>
    </w:p>
    <w:p w14:paraId="73C9AE48" w14:textId="5D14C3F7" w:rsidR="00924BFC" w:rsidRPr="00590031" w:rsidRDefault="0004041A" w:rsidP="00590031">
      <w:pPr>
        <w:spacing w:line="480" w:lineRule="auto"/>
        <w:jc w:val="both"/>
        <w:rPr>
          <w:rFonts w:cstheme="minorHAnsi"/>
          <w:sz w:val="24"/>
          <w:szCs w:val="24"/>
        </w:rPr>
      </w:pPr>
      <w:r w:rsidRPr="00590031">
        <w:rPr>
          <w:rFonts w:cstheme="minorHAnsi"/>
          <w:sz w:val="24"/>
          <w:szCs w:val="24"/>
        </w:rPr>
        <w:t xml:space="preserve">Despite </w:t>
      </w:r>
      <w:r w:rsidR="00394237" w:rsidRPr="00590031">
        <w:rPr>
          <w:rFonts w:cstheme="minorHAnsi"/>
          <w:sz w:val="24"/>
          <w:szCs w:val="24"/>
        </w:rPr>
        <w:t xml:space="preserve">the </w:t>
      </w:r>
      <w:r w:rsidRPr="00590031">
        <w:rPr>
          <w:rFonts w:cstheme="minorHAnsi"/>
          <w:sz w:val="24"/>
          <w:szCs w:val="24"/>
        </w:rPr>
        <w:t>retrospective nature</w:t>
      </w:r>
      <w:r w:rsidR="00394237" w:rsidRPr="00590031">
        <w:rPr>
          <w:rFonts w:cstheme="minorHAnsi"/>
          <w:sz w:val="24"/>
          <w:szCs w:val="24"/>
        </w:rPr>
        <w:t xml:space="preserve"> of this study</w:t>
      </w:r>
      <w:r w:rsidRPr="00590031">
        <w:rPr>
          <w:rFonts w:cstheme="minorHAnsi"/>
          <w:sz w:val="24"/>
          <w:szCs w:val="24"/>
        </w:rPr>
        <w:t xml:space="preserve"> </w:t>
      </w:r>
      <w:r w:rsidR="00394237" w:rsidRPr="00590031">
        <w:rPr>
          <w:rFonts w:cstheme="minorHAnsi"/>
          <w:sz w:val="24"/>
          <w:szCs w:val="24"/>
        </w:rPr>
        <w:t xml:space="preserve">its </w:t>
      </w:r>
      <w:r w:rsidRPr="00590031">
        <w:rPr>
          <w:rFonts w:cstheme="minorHAnsi"/>
          <w:sz w:val="24"/>
          <w:szCs w:val="24"/>
        </w:rPr>
        <w:t xml:space="preserve">strengths </w:t>
      </w:r>
      <w:r w:rsidR="00394237" w:rsidRPr="00590031">
        <w:rPr>
          <w:rFonts w:cstheme="minorHAnsi"/>
          <w:sz w:val="24"/>
          <w:szCs w:val="24"/>
        </w:rPr>
        <w:t xml:space="preserve">are </w:t>
      </w:r>
      <w:r w:rsidRPr="00590031">
        <w:rPr>
          <w:rFonts w:cstheme="minorHAnsi"/>
          <w:sz w:val="24"/>
          <w:szCs w:val="24"/>
        </w:rPr>
        <w:t xml:space="preserve">the accuracy of the data collected </w:t>
      </w:r>
      <w:r w:rsidR="00394237" w:rsidRPr="00590031">
        <w:rPr>
          <w:rFonts w:cstheme="minorHAnsi"/>
          <w:sz w:val="24"/>
          <w:szCs w:val="24"/>
        </w:rPr>
        <w:t>(</w:t>
      </w:r>
      <w:r w:rsidRPr="00590031">
        <w:rPr>
          <w:rFonts w:cstheme="minorHAnsi"/>
          <w:sz w:val="24"/>
          <w:szCs w:val="24"/>
        </w:rPr>
        <w:t>extracted from a computerised clinical info</w:t>
      </w:r>
      <w:r w:rsidR="003338E2" w:rsidRPr="00590031">
        <w:rPr>
          <w:rFonts w:cstheme="minorHAnsi"/>
          <w:sz w:val="24"/>
          <w:szCs w:val="24"/>
        </w:rPr>
        <w:t>rmat</w:t>
      </w:r>
      <w:r w:rsidR="0092454D" w:rsidRPr="00590031">
        <w:rPr>
          <w:rFonts w:cstheme="minorHAnsi"/>
          <w:sz w:val="24"/>
          <w:szCs w:val="24"/>
        </w:rPr>
        <w:t>ion system</w:t>
      </w:r>
      <w:r w:rsidR="00CA0B4C" w:rsidRPr="00590031">
        <w:rPr>
          <w:rFonts w:cstheme="minorHAnsi"/>
          <w:sz w:val="24"/>
          <w:szCs w:val="24"/>
        </w:rPr>
        <w:t>)</w:t>
      </w:r>
      <w:r w:rsidR="003338E2" w:rsidRPr="00590031">
        <w:rPr>
          <w:rFonts w:cstheme="minorHAnsi"/>
          <w:sz w:val="24"/>
          <w:szCs w:val="24"/>
        </w:rPr>
        <w:t xml:space="preserve"> </w:t>
      </w:r>
      <w:r w:rsidR="00394237" w:rsidRPr="00590031">
        <w:rPr>
          <w:rFonts w:cstheme="minorHAnsi"/>
          <w:sz w:val="24"/>
          <w:szCs w:val="24"/>
        </w:rPr>
        <w:t xml:space="preserve">and </w:t>
      </w:r>
      <w:r w:rsidR="003338E2" w:rsidRPr="00590031">
        <w:rPr>
          <w:rFonts w:cstheme="minorHAnsi"/>
          <w:sz w:val="24"/>
          <w:szCs w:val="24"/>
        </w:rPr>
        <w:t xml:space="preserve">the </w:t>
      </w:r>
      <w:r w:rsidR="00F1752C" w:rsidRPr="00590031">
        <w:rPr>
          <w:rFonts w:cstheme="minorHAnsi"/>
          <w:sz w:val="24"/>
          <w:szCs w:val="24"/>
        </w:rPr>
        <w:t>protocolised</w:t>
      </w:r>
      <w:r w:rsidR="003338E2" w:rsidRPr="00590031">
        <w:rPr>
          <w:rFonts w:cstheme="minorHAnsi"/>
          <w:sz w:val="24"/>
          <w:szCs w:val="24"/>
        </w:rPr>
        <w:t xml:space="preserve"> implementation of IPVD therapy throughout the pandemic (Suppleme</w:t>
      </w:r>
      <w:r w:rsidR="00414656" w:rsidRPr="00590031">
        <w:rPr>
          <w:rFonts w:cstheme="minorHAnsi"/>
          <w:sz w:val="24"/>
          <w:szCs w:val="24"/>
        </w:rPr>
        <w:t xml:space="preserve">ntary Material 1). </w:t>
      </w:r>
      <w:r w:rsidR="003338E2" w:rsidRPr="00590031">
        <w:rPr>
          <w:rFonts w:cstheme="minorHAnsi"/>
          <w:sz w:val="24"/>
          <w:szCs w:val="24"/>
        </w:rPr>
        <w:t>Limitations of the study are its small sample size</w:t>
      </w:r>
      <w:r w:rsidR="00EE1DEC" w:rsidRPr="00590031">
        <w:rPr>
          <w:rFonts w:cstheme="minorHAnsi"/>
          <w:sz w:val="24"/>
          <w:szCs w:val="24"/>
        </w:rPr>
        <w:t>,</w:t>
      </w:r>
      <w:r w:rsidR="003338E2" w:rsidRPr="00590031">
        <w:rPr>
          <w:rFonts w:cstheme="minorHAnsi"/>
          <w:sz w:val="24"/>
          <w:szCs w:val="24"/>
        </w:rPr>
        <w:t xml:space="preserve"> </w:t>
      </w:r>
      <w:r w:rsidR="00394237" w:rsidRPr="00590031">
        <w:rPr>
          <w:rFonts w:cstheme="minorHAnsi"/>
          <w:sz w:val="24"/>
          <w:szCs w:val="24"/>
        </w:rPr>
        <w:t>resulting in a lack of power</w:t>
      </w:r>
      <w:r w:rsidR="003338E2" w:rsidRPr="00590031">
        <w:rPr>
          <w:rFonts w:cstheme="minorHAnsi"/>
          <w:sz w:val="24"/>
          <w:szCs w:val="24"/>
        </w:rPr>
        <w:t xml:space="preserve"> to detect potentially clinically significant differences in </w:t>
      </w:r>
      <w:r w:rsidR="00723B6C" w:rsidRPr="00590031">
        <w:rPr>
          <w:rFonts w:cstheme="minorHAnsi"/>
          <w:sz w:val="24"/>
          <w:szCs w:val="24"/>
        </w:rPr>
        <w:t>patient characteristics between survivors and non-survivors.</w:t>
      </w:r>
      <w:r w:rsidR="00EB549A" w:rsidRPr="00590031">
        <w:rPr>
          <w:rFonts w:cstheme="minorHAnsi"/>
          <w:sz w:val="24"/>
          <w:szCs w:val="24"/>
        </w:rPr>
        <w:t xml:space="preserve"> Furthermore, due to its’ retrospective nature we cannot exclude </w:t>
      </w:r>
      <w:r w:rsidR="00924BFC" w:rsidRPr="00590031">
        <w:rPr>
          <w:rFonts w:cstheme="minorHAnsi"/>
          <w:sz w:val="24"/>
          <w:szCs w:val="24"/>
        </w:rPr>
        <w:t>residual confounding</w:t>
      </w:r>
      <w:r w:rsidR="00EB549A" w:rsidRPr="00590031">
        <w:rPr>
          <w:rFonts w:cstheme="minorHAnsi"/>
          <w:sz w:val="24"/>
          <w:szCs w:val="24"/>
        </w:rPr>
        <w:t xml:space="preserve"> as an explanation for the association between improvements in PF ratio in survivors compared to non-survivors.</w:t>
      </w:r>
      <w:r w:rsidR="00D530C5" w:rsidRPr="00590031">
        <w:rPr>
          <w:rFonts w:cstheme="minorHAnsi"/>
          <w:sz w:val="24"/>
          <w:szCs w:val="24"/>
        </w:rPr>
        <w:t xml:space="preserve"> Moreover, we did not evaluate </w:t>
      </w:r>
      <w:r w:rsidR="004A0CFC" w:rsidRPr="00590031">
        <w:rPr>
          <w:rFonts w:cstheme="minorHAnsi"/>
          <w:sz w:val="24"/>
          <w:szCs w:val="24"/>
        </w:rPr>
        <w:t>additional</w:t>
      </w:r>
      <w:r w:rsidR="00D530C5" w:rsidRPr="00590031">
        <w:rPr>
          <w:rFonts w:cstheme="minorHAnsi"/>
          <w:sz w:val="24"/>
          <w:szCs w:val="24"/>
        </w:rPr>
        <w:t xml:space="preserve"> ventilator variables as PEEP, tidal volumes</w:t>
      </w:r>
      <w:r w:rsidR="004A0CFC" w:rsidRPr="00590031">
        <w:rPr>
          <w:rFonts w:cstheme="minorHAnsi"/>
          <w:sz w:val="24"/>
          <w:szCs w:val="24"/>
        </w:rPr>
        <w:t>, compliance and dead space. However, w</w:t>
      </w:r>
      <w:r w:rsidR="00D530C5" w:rsidRPr="00590031">
        <w:rPr>
          <w:rFonts w:cstheme="minorHAnsi"/>
          <w:sz w:val="24"/>
          <w:szCs w:val="24"/>
        </w:rPr>
        <w:t>e had a predefined ventilation strategy</w:t>
      </w:r>
      <w:r w:rsidR="004A0CFC" w:rsidRPr="00590031">
        <w:rPr>
          <w:rFonts w:cstheme="minorHAnsi"/>
          <w:sz w:val="24"/>
          <w:szCs w:val="24"/>
        </w:rPr>
        <w:t xml:space="preserve"> for all patients guided by the ARDSnet protocol</w:t>
      </w:r>
      <w:r w:rsidR="00EE1DEC" w:rsidRPr="00590031">
        <w:rPr>
          <w:rFonts w:cstheme="minorHAnsi"/>
          <w:sz w:val="24"/>
          <w:szCs w:val="24"/>
        </w:rPr>
        <w:t>,</w:t>
      </w:r>
      <w:r w:rsidR="004A0CFC" w:rsidRPr="00590031">
        <w:rPr>
          <w:rFonts w:cstheme="minorHAnsi"/>
          <w:sz w:val="24"/>
          <w:szCs w:val="24"/>
        </w:rPr>
        <w:t xml:space="preserve"> with adjustments to the PEEP delivered in accordance with recruitability assessed by the pressure/volume curve (P-V Tool</w:t>
      </w:r>
      <w:r w:rsidR="004A0CFC" w:rsidRPr="00590031">
        <w:rPr>
          <w:rFonts w:cstheme="minorHAnsi"/>
          <w:sz w:val="24"/>
          <w:szCs w:val="24"/>
          <w:vertAlign w:val="superscript"/>
        </w:rPr>
        <w:sym w:font="Symbol" w:char="F0D2"/>
      </w:r>
      <w:r w:rsidR="004A0CFC" w:rsidRPr="00590031">
        <w:rPr>
          <w:rFonts w:cstheme="minorHAnsi"/>
          <w:sz w:val="24"/>
          <w:szCs w:val="24"/>
        </w:rPr>
        <w:t>)</w:t>
      </w:r>
      <w:r w:rsidR="00EE1DEC" w:rsidRPr="00590031">
        <w:rPr>
          <w:rFonts w:cstheme="minorHAnsi"/>
          <w:sz w:val="24"/>
          <w:szCs w:val="24"/>
        </w:rPr>
        <w:t>,</w:t>
      </w:r>
      <w:r w:rsidR="004A0CFC" w:rsidRPr="00590031">
        <w:rPr>
          <w:rFonts w:cstheme="minorHAnsi"/>
          <w:sz w:val="24"/>
          <w:szCs w:val="24"/>
        </w:rPr>
        <w:t xml:space="preserve"> or APRV with inspiratory pressure limitation</w:t>
      </w:r>
      <w:r w:rsidR="009045EC" w:rsidRPr="00590031">
        <w:rPr>
          <w:rFonts w:cstheme="minorHAnsi"/>
          <w:sz w:val="24"/>
          <w:szCs w:val="24"/>
        </w:rPr>
        <w:t xml:space="preserve"> of </w:t>
      </w:r>
      <w:r w:rsidR="009045EC" w:rsidRPr="00590031">
        <w:rPr>
          <w:rFonts w:cstheme="minorHAnsi"/>
          <w:sz w:val="24"/>
          <w:szCs w:val="24"/>
        </w:rPr>
        <w:sym w:font="Symbol" w:char="F0A3"/>
      </w:r>
      <w:r w:rsidR="009045EC" w:rsidRPr="00590031">
        <w:rPr>
          <w:rFonts w:cstheme="minorHAnsi"/>
          <w:sz w:val="24"/>
          <w:szCs w:val="24"/>
        </w:rPr>
        <w:t>30 cmH</w:t>
      </w:r>
      <w:r w:rsidR="009045EC" w:rsidRPr="00590031">
        <w:rPr>
          <w:rFonts w:cstheme="minorHAnsi"/>
          <w:sz w:val="24"/>
          <w:szCs w:val="24"/>
          <w:vertAlign w:val="subscript"/>
        </w:rPr>
        <w:t>2</w:t>
      </w:r>
      <w:r w:rsidR="009045EC" w:rsidRPr="00590031">
        <w:rPr>
          <w:rFonts w:cstheme="minorHAnsi"/>
          <w:sz w:val="24"/>
          <w:szCs w:val="24"/>
        </w:rPr>
        <w:t>O</w:t>
      </w:r>
      <w:r w:rsidR="004A0CFC" w:rsidRPr="00590031">
        <w:rPr>
          <w:rFonts w:cstheme="minorHAnsi"/>
          <w:sz w:val="24"/>
          <w:szCs w:val="24"/>
        </w:rPr>
        <w:t xml:space="preserve">. </w:t>
      </w:r>
      <w:r w:rsidR="00D530C5" w:rsidRPr="00590031">
        <w:rPr>
          <w:rFonts w:cstheme="minorHAnsi"/>
          <w:sz w:val="24"/>
          <w:szCs w:val="24"/>
        </w:rPr>
        <w:t xml:space="preserve"> Nevertheless, it appears that even with a predefined cohort of COVID-19 related severe </w:t>
      </w:r>
      <w:r w:rsidR="004031FA" w:rsidRPr="00590031">
        <w:rPr>
          <w:rFonts w:cstheme="minorHAnsi"/>
          <w:sz w:val="24"/>
          <w:szCs w:val="24"/>
        </w:rPr>
        <w:t>hypoxaemia</w:t>
      </w:r>
      <w:r w:rsidR="00D530C5" w:rsidRPr="00590031">
        <w:rPr>
          <w:rFonts w:cstheme="minorHAnsi"/>
          <w:sz w:val="24"/>
          <w:szCs w:val="24"/>
        </w:rPr>
        <w:t xml:space="preserve">, there are responders and non-responders </w:t>
      </w:r>
      <w:r w:rsidR="008C0D90" w:rsidRPr="00590031">
        <w:rPr>
          <w:rFonts w:cstheme="minorHAnsi"/>
          <w:sz w:val="24"/>
          <w:szCs w:val="24"/>
        </w:rPr>
        <w:t>to</w:t>
      </w:r>
      <w:r w:rsidR="00D530C5" w:rsidRPr="00590031">
        <w:rPr>
          <w:rFonts w:cstheme="minorHAnsi"/>
          <w:sz w:val="24"/>
          <w:szCs w:val="24"/>
        </w:rPr>
        <w:t xml:space="preserve"> pulmonary vasodilators and sustained responders are more likely to survive their </w:t>
      </w:r>
      <w:r w:rsidR="00BE4428" w:rsidRPr="00590031">
        <w:rPr>
          <w:rFonts w:cstheme="minorHAnsi"/>
          <w:sz w:val="24"/>
          <w:szCs w:val="24"/>
        </w:rPr>
        <w:t xml:space="preserve">acute </w:t>
      </w:r>
      <w:r w:rsidR="00D530C5" w:rsidRPr="00590031">
        <w:rPr>
          <w:rFonts w:cstheme="minorHAnsi"/>
          <w:sz w:val="24"/>
          <w:szCs w:val="24"/>
        </w:rPr>
        <w:t xml:space="preserve">illness.  </w:t>
      </w:r>
      <w:r w:rsidR="00BE4428" w:rsidRPr="00590031">
        <w:rPr>
          <w:rFonts w:cstheme="minorHAnsi"/>
          <w:sz w:val="24"/>
          <w:szCs w:val="24"/>
        </w:rPr>
        <w:t xml:space="preserve">Moreover, </w:t>
      </w:r>
      <w:r w:rsidR="00D530C5" w:rsidRPr="00590031">
        <w:rPr>
          <w:rFonts w:cstheme="minorHAnsi"/>
          <w:sz w:val="24"/>
          <w:szCs w:val="24"/>
        </w:rPr>
        <w:t xml:space="preserve">IPVD </w:t>
      </w:r>
      <w:r w:rsidR="004B386A" w:rsidRPr="00590031">
        <w:rPr>
          <w:rFonts w:cstheme="minorHAnsi"/>
          <w:sz w:val="24"/>
          <w:szCs w:val="24"/>
        </w:rPr>
        <w:t xml:space="preserve">therapy </w:t>
      </w:r>
      <w:r w:rsidR="00EE1DEC" w:rsidRPr="00590031">
        <w:rPr>
          <w:rFonts w:cstheme="minorHAnsi"/>
          <w:sz w:val="24"/>
          <w:szCs w:val="24"/>
        </w:rPr>
        <w:t xml:space="preserve">may </w:t>
      </w:r>
      <w:r w:rsidR="004B386A" w:rsidRPr="00590031">
        <w:rPr>
          <w:rFonts w:cstheme="minorHAnsi"/>
          <w:sz w:val="24"/>
          <w:szCs w:val="24"/>
        </w:rPr>
        <w:t>limit</w:t>
      </w:r>
      <w:r w:rsidR="00D530C5" w:rsidRPr="00590031">
        <w:rPr>
          <w:rFonts w:cstheme="minorHAnsi"/>
          <w:sz w:val="24"/>
          <w:szCs w:val="24"/>
        </w:rPr>
        <w:t xml:space="preserve"> alveolar oxygen </w:t>
      </w:r>
      <w:r w:rsidR="00D530C5" w:rsidRPr="00590031">
        <w:rPr>
          <w:rFonts w:cstheme="minorHAnsi"/>
          <w:sz w:val="24"/>
          <w:szCs w:val="24"/>
        </w:rPr>
        <w:lastRenderedPageBreak/>
        <w:t>toxicity</w:t>
      </w:r>
      <w:r w:rsidR="009E16E7" w:rsidRPr="00590031">
        <w:rPr>
          <w:rFonts w:cstheme="minorHAnsi"/>
          <w:sz w:val="24"/>
          <w:szCs w:val="24"/>
        </w:rPr>
        <w:t xml:space="preserve"> in severe hypoxaemia</w:t>
      </w:r>
      <w:r w:rsidR="00D530C5" w:rsidRPr="00590031">
        <w:rPr>
          <w:rFonts w:cstheme="minorHAnsi"/>
          <w:sz w:val="24"/>
          <w:szCs w:val="24"/>
        </w:rPr>
        <w:t xml:space="preserve"> </w:t>
      </w:r>
      <w:r w:rsidR="004B386A" w:rsidRPr="00590031">
        <w:rPr>
          <w:rFonts w:cstheme="minorHAnsi"/>
          <w:sz w:val="24"/>
          <w:szCs w:val="24"/>
        </w:rPr>
        <w:t xml:space="preserve">by </w:t>
      </w:r>
      <w:r w:rsidR="009E16E7" w:rsidRPr="00590031">
        <w:rPr>
          <w:rFonts w:cstheme="minorHAnsi"/>
          <w:sz w:val="24"/>
          <w:szCs w:val="24"/>
        </w:rPr>
        <w:t xml:space="preserve">enabling </w:t>
      </w:r>
      <w:r w:rsidR="004B386A" w:rsidRPr="00590031">
        <w:rPr>
          <w:rFonts w:cstheme="minorHAnsi"/>
          <w:sz w:val="24"/>
          <w:szCs w:val="24"/>
        </w:rPr>
        <w:t>a reduction in inspired oxygen concentration.</w:t>
      </w:r>
      <w:r w:rsidR="00D530C5" w:rsidRPr="00590031">
        <w:rPr>
          <w:rFonts w:cstheme="minorHAnsi"/>
          <w:sz w:val="24"/>
          <w:szCs w:val="24"/>
        </w:rPr>
        <w:t xml:space="preserve"> However, the exact reason why only some patients have a positive response and others don't is unclear</w:t>
      </w:r>
      <w:r w:rsidR="00C321ED" w:rsidRPr="00590031">
        <w:rPr>
          <w:rFonts w:cstheme="minorHAnsi"/>
          <w:sz w:val="24"/>
          <w:szCs w:val="24"/>
        </w:rPr>
        <w:t>. Possible explanations include maximal vasodilatation of the pulmonary vasculature in ventilated lung segments or a lack of pulmonary vascular reactivity to inhaled vasodilators. These processes require more detailed cardiovascular assessments</w:t>
      </w:r>
      <w:r w:rsidR="00D530C5" w:rsidRPr="00590031">
        <w:rPr>
          <w:rFonts w:cstheme="minorHAnsi"/>
          <w:sz w:val="24"/>
          <w:szCs w:val="24"/>
        </w:rPr>
        <w:t xml:space="preserve"> and will need further exploration by large randomised controlled studies. </w:t>
      </w:r>
    </w:p>
    <w:p w14:paraId="720FDEDB" w14:textId="327CB23E" w:rsidR="000244D8" w:rsidRPr="00590031" w:rsidRDefault="000244D8" w:rsidP="00590031">
      <w:pPr>
        <w:pStyle w:val="Heading2"/>
        <w:spacing w:line="480" w:lineRule="auto"/>
        <w:jc w:val="both"/>
        <w:rPr>
          <w:rFonts w:asciiTheme="minorHAnsi" w:hAnsiTheme="minorHAnsi" w:cstheme="minorHAnsi"/>
          <w:b/>
          <w:bCs/>
          <w:color w:val="000000" w:themeColor="text1"/>
          <w:sz w:val="24"/>
          <w:szCs w:val="24"/>
        </w:rPr>
      </w:pPr>
      <w:r w:rsidRPr="00590031">
        <w:rPr>
          <w:rFonts w:asciiTheme="minorHAnsi" w:hAnsiTheme="minorHAnsi" w:cstheme="minorHAnsi"/>
          <w:b/>
          <w:bCs/>
          <w:color w:val="000000" w:themeColor="text1"/>
          <w:sz w:val="24"/>
          <w:szCs w:val="24"/>
        </w:rPr>
        <w:t>Conclusion</w:t>
      </w:r>
    </w:p>
    <w:p w14:paraId="398F2C1D" w14:textId="77777777" w:rsidR="001A31A5" w:rsidRPr="00590031" w:rsidRDefault="001A31A5" w:rsidP="00590031">
      <w:pPr>
        <w:spacing w:line="480" w:lineRule="auto"/>
        <w:jc w:val="both"/>
        <w:rPr>
          <w:rFonts w:cstheme="minorHAnsi"/>
          <w:sz w:val="24"/>
          <w:szCs w:val="24"/>
        </w:rPr>
      </w:pPr>
    </w:p>
    <w:p w14:paraId="1B2FF7E5" w14:textId="3EAD20B7" w:rsidR="00777517" w:rsidRPr="00590031" w:rsidRDefault="00EB549A" w:rsidP="00590031">
      <w:pPr>
        <w:spacing w:line="480" w:lineRule="auto"/>
        <w:jc w:val="both"/>
        <w:rPr>
          <w:rFonts w:cstheme="minorHAnsi"/>
          <w:sz w:val="24"/>
          <w:szCs w:val="24"/>
        </w:rPr>
      </w:pPr>
      <w:r w:rsidRPr="00590031">
        <w:rPr>
          <w:rFonts w:cstheme="minorHAnsi"/>
          <w:sz w:val="24"/>
          <w:szCs w:val="24"/>
        </w:rPr>
        <w:t>In conclusion</w:t>
      </w:r>
      <w:r w:rsidR="007B6A8C" w:rsidRPr="00590031">
        <w:rPr>
          <w:rFonts w:cstheme="minorHAnsi"/>
          <w:sz w:val="24"/>
          <w:szCs w:val="24"/>
        </w:rPr>
        <w:t>,</w:t>
      </w:r>
      <w:r w:rsidRPr="00590031">
        <w:rPr>
          <w:rFonts w:cstheme="minorHAnsi"/>
          <w:sz w:val="24"/>
          <w:szCs w:val="24"/>
        </w:rPr>
        <w:t xml:space="preserve"> we </w:t>
      </w:r>
      <w:r w:rsidR="007B6A8C" w:rsidRPr="00590031">
        <w:rPr>
          <w:rFonts w:cstheme="minorHAnsi"/>
          <w:sz w:val="24"/>
          <w:szCs w:val="24"/>
        </w:rPr>
        <w:t xml:space="preserve">have found the response to the compassionate use of inhaled pulmonary vasodilators for patients with acute hypoxic </w:t>
      </w:r>
      <w:r w:rsidR="00ED6C25">
        <w:rPr>
          <w:rFonts w:cstheme="minorHAnsi"/>
          <w:sz w:val="24"/>
          <w:szCs w:val="24"/>
        </w:rPr>
        <w:t>respiratory failure due to COVID</w:t>
      </w:r>
      <w:r w:rsidR="007B6A8C" w:rsidRPr="00590031">
        <w:rPr>
          <w:rFonts w:cstheme="minorHAnsi"/>
          <w:sz w:val="24"/>
          <w:szCs w:val="24"/>
        </w:rPr>
        <w:t xml:space="preserve">-19 </w:t>
      </w:r>
      <w:r w:rsidR="00174B66" w:rsidRPr="00590031">
        <w:rPr>
          <w:rFonts w:cstheme="minorHAnsi"/>
          <w:sz w:val="24"/>
          <w:szCs w:val="24"/>
        </w:rPr>
        <w:t>differs</w:t>
      </w:r>
      <w:r w:rsidR="007B6A8C" w:rsidRPr="00590031">
        <w:rPr>
          <w:rFonts w:cstheme="minorHAnsi"/>
          <w:sz w:val="24"/>
          <w:szCs w:val="24"/>
        </w:rPr>
        <w:t xml:space="preserve"> significantly between survivors and non-survivors.</w:t>
      </w:r>
      <w:r w:rsidR="00F93591" w:rsidRPr="00590031">
        <w:rPr>
          <w:rFonts w:cstheme="minorHAnsi"/>
          <w:sz w:val="24"/>
          <w:szCs w:val="24"/>
        </w:rPr>
        <w:t xml:space="preserve"> Our study differs from previous work in </w:t>
      </w:r>
      <w:r w:rsidR="00B032AF" w:rsidRPr="00590031">
        <w:rPr>
          <w:rFonts w:cstheme="minorHAnsi"/>
          <w:sz w:val="24"/>
          <w:szCs w:val="24"/>
        </w:rPr>
        <w:t xml:space="preserve">being </w:t>
      </w:r>
      <w:r w:rsidR="00F93591" w:rsidRPr="00590031">
        <w:rPr>
          <w:rFonts w:cstheme="minorHAnsi"/>
          <w:sz w:val="24"/>
          <w:szCs w:val="24"/>
        </w:rPr>
        <w:t>the</w:t>
      </w:r>
      <w:r w:rsidR="00B032AF" w:rsidRPr="00590031">
        <w:rPr>
          <w:rFonts w:cstheme="minorHAnsi"/>
          <w:sz w:val="24"/>
          <w:szCs w:val="24"/>
        </w:rPr>
        <w:t xml:space="preserve"> first to report the </w:t>
      </w:r>
      <w:r w:rsidR="00F93591" w:rsidRPr="00590031">
        <w:rPr>
          <w:rFonts w:cstheme="minorHAnsi"/>
          <w:sz w:val="24"/>
          <w:szCs w:val="24"/>
        </w:rPr>
        <w:t xml:space="preserve">combined use of inhaled </w:t>
      </w:r>
      <w:r w:rsidR="00F1752C" w:rsidRPr="00590031">
        <w:rPr>
          <w:rFonts w:cstheme="minorHAnsi"/>
          <w:sz w:val="24"/>
          <w:szCs w:val="24"/>
        </w:rPr>
        <w:t>i</w:t>
      </w:r>
      <w:r w:rsidR="00F93591" w:rsidRPr="00590031">
        <w:rPr>
          <w:rFonts w:cstheme="minorHAnsi"/>
          <w:sz w:val="24"/>
          <w:szCs w:val="24"/>
        </w:rPr>
        <w:t>NO alongside an inhaled prostaglandin.</w:t>
      </w:r>
      <w:r w:rsidR="00174B66" w:rsidRPr="00590031">
        <w:rPr>
          <w:rFonts w:cstheme="minorHAnsi"/>
          <w:sz w:val="24"/>
          <w:szCs w:val="24"/>
        </w:rPr>
        <w:t xml:space="preserve"> Both may offer a therapeutic option for severe hypoxaemia due to C</w:t>
      </w:r>
      <w:r w:rsidR="00F1752C" w:rsidRPr="00590031">
        <w:rPr>
          <w:rFonts w:cstheme="minorHAnsi"/>
          <w:sz w:val="24"/>
          <w:szCs w:val="24"/>
        </w:rPr>
        <w:t>OVID</w:t>
      </w:r>
      <w:r w:rsidR="00174B66" w:rsidRPr="00590031">
        <w:rPr>
          <w:rFonts w:cstheme="minorHAnsi"/>
          <w:sz w:val="24"/>
          <w:szCs w:val="24"/>
        </w:rPr>
        <w:t>-19, with inhaled prostaglandins particularly attractive as they do not require specialist delivery systems</w:t>
      </w:r>
      <w:r w:rsidR="00B032AF" w:rsidRPr="00590031">
        <w:rPr>
          <w:rFonts w:cstheme="minorHAnsi"/>
          <w:sz w:val="24"/>
          <w:szCs w:val="24"/>
        </w:rPr>
        <w:t>;</w:t>
      </w:r>
      <w:r w:rsidR="00174B66" w:rsidRPr="00590031">
        <w:rPr>
          <w:rFonts w:cstheme="minorHAnsi"/>
          <w:sz w:val="24"/>
          <w:szCs w:val="24"/>
        </w:rPr>
        <w:t xml:space="preserve"> </w:t>
      </w:r>
      <w:r w:rsidR="00F1752C" w:rsidRPr="00590031">
        <w:rPr>
          <w:rFonts w:cstheme="minorHAnsi"/>
          <w:sz w:val="24"/>
          <w:szCs w:val="24"/>
        </w:rPr>
        <w:t>therefore,</w:t>
      </w:r>
      <w:r w:rsidR="00174B66" w:rsidRPr="00590031">
        <w:rPr>
          <w:rFonts w:cstheme="minorHAnsi"/>
          <w:sz w:val="24"/>
          <w:szCs w:val="24"/>
        </w:rPr>
        <w:t xml:space="preserve"> not limited to cardiac surgical centres and easier to blind in randomised trials. The use of inhaled prostaglandins, and </w:t>
      </w:r>
      <w:r w:rsidR="00F1752C" w:rsidRPr="00590031">
        <w:rPr>
          <w:rFonts w:cstheme="minorHAnsi"/>
          <w:sz w:val="24"/>
          <w:szCs w:val="24"/>
        </w:rPr>
        <w:t>i</w:t>
      </w:r>
      <w:r w:rsidR="00174B66" w:rsidRPr="00590031">
        <w:rPr>
          <w:rFonts w:cstheme="minorHAnsi"/>
          <w:sz w:val="24"/>
          <w:szCs w:val="24"/>
        </w:rPr>
        <w:t xml:space="preserve">NO where feasible, should be studied both </w:t>
      </w:r>
      <w:r w:rsidR="005211F4" w:rsidRPr="00590031">
        <w:rPr>
          <w:rFonts w:cstheme="minorHAnsi"/>
          <w:sz w:val="24"/>
          <w:szCs w:val="24"/>
        </w:rPr>
        <w:t xml:space="preserve">in </w:t>
      </w:r>
      <w:r w:rsidR="00174B66" w:rsidRPr="00590031">
        <w:rPr>
          <w:rFonts w:cstheme="minorHAnsi"/>
          <w:sz w:val="24"/>
          <w:szCs w:val="24"/>
        </w:rPr>
        <w:t>isolation an</w:t>
      </w:r>
      <w:r w:rsidR="00B032AF" w:rsidRPr="00590031">
        <w:rPr>
          <w:rFonts w:cstheme="minorHAnsi"/>
          <w:sz w:val="24"/>
          <w:szCs w:val="24"/>
        </w:rPr>
        <w:t xml:space="preserve">d combination </w:t>
      </w:r>
      <w:r w:rsidR="00174B66" w:rsidRPr="00590031">
        <w:rPr>
          <w:rFonts w:cstheme="minorHAnsi"/>
          <w:sz w:val="24"/>
          <w:szCs w:val="24"/>
        </w:rPr>
        <w:t>in adequately powered prospective randomised trials.</w:t>
      </w:r>
    </w:p>
    <w:p w14:paraId="709D1175" w14:textId="77777777" w:rsidR="00777517" w:rsidRPr="008D337D" w:rsidRDefault="00777517" w:rsidP="008D337D">
      <w:pPr>
        <w:spacing w:line="480" w:lineRule="auto"/>
        <w:rPr>
          <w:rFonts w:cstheme="minorHAnsi"/>
          <w:sz w:val="24"/>
          <w:szCs w:val="24"/>
        </w:rPr>
      </w:pPr>
      <w:r w:rsidRPr="008D337D">
        <w:rPr>
          <w:rFonts w:cstheme="minorHAnsi"/>
          <w:sz w:val="24"/>
          <w:szCs w:val="24"/>
        </w:rPr>
        <w:br w:type="page"/>
      </w:r>
    </w:p>
    <w:p w14:paraId="02B54438" w14:textId="015525F7" w:rsidR="00C30463" w:rsidRPr="008D337D" w:rsidRDefault="000244D8" w:rsidP="008D337D">
      <w:pPr>
        <w:pStyle w:val="Heading2"/>
        <w:spacing w:line="480" w:lineRule="auto"/>
        <w:jc w:val="both"/>
        <w:rPr>
          <w:rFonts w:asciiTheme="minorHAnsi" w:hAnsiTheme="minorHAnsi" w:cstheme="minorHAnsi"/>
          <w:b/>
          <w:bCs/>
          <w:sz w:val="24"/>
          <w:szCs w:val="24"/>
        </w:rPr>
      </w:pPr>
      <w:r w:rsidRPr="008D337D">
        <w:rPr>
          <w:rFonts w:cstheme="minorHAnsi"/>
          <w:b/>
          <w:bCs/>
          <w:color w:val="auto"/>
          <w:sz w:val="24"/>
          <w:szCs w:val="24"/>
        </w:rPr>
        <w:lastRenderedPageBreak/>
        <w:t>References</w:t>
      </w:r>
    </w:p>
    <w:p w14:paraId="6A47A6EE" w14:textId="1539F3D5" w:rsidR="00DA75A6" w:rsidRPr="00DA75A6" w:rsidRDefault="00C30463" w:rsidP="00DA75A6">
      <w:pPr>
        <w:widowControl w:val="0"/>
        <w:autoSpaceDE w:val="0"/>
        <w:autoSpaceDN w:val="0"/>
        <w:adjustRightInd w:val="0"/>
        <w:spacing w:line="480" w:lineRule="auto"/>
        <w:ind w:left="640" w:hanging="640"/>
        <w:rPr>
          <w:rFonts w:ascii="Calibri" w:hAnsi="Calibri" w:cs="Calibri"/>
          <w:noProof/>
          <w:sz w:val="24"/>
          <w:szCs w:val="24"/>
        </w:rPr>
      </w:pPr>
      <w:r w:rsidRPr="008D337D">
        <w:rPr>
          <w:rFonts w:cstheme="minorHAnsi"/>
          <w:sz w:val="24"/>
          <w:szCs w:val="24"/>
        </w:rPr>
        <w:fldChar w:fldCharType="begin" w:fldLock="1"/>
      </w:r>
      <w:r w:rsidRPr="008D337D">
        <w:rPr>
          <w:rFonts w:cstheme="minorHAnsi"/>
          <w:sz w:val="24"/>
          <w:szCs w:val="24"/>
        </w:rPr>
        <w:instrText xml:space="preserve">ADDIN Mendeley Bibliography CSL_BIBLIOGRAPHY </w:instrText>
      </w:r>
      <w:r w:rsidRPr="008D337D">
        <w:rPr>
          <w:rFonts w:cstheme="minorHAnsi"/>
          <w:sz w:val="24"/>
          <w:szCs w:val="24"/>
        </w:rPr>
        <w:fldChar w:fldCharType="separate"/>
      </w:r>
      <w:r w:rsidR="00DA75A6" w:rsidRPr="00DA75A6">
        <w:rPr>
          <w:rFonts w:ascii="Calibri" w:hAnsi="Calibri" w:cs="Calibri"/>
          <w:noProof/>
          <w:sz w:val="24"/>
          <w:szCs w:val="24"/>
        </w:rPr>
        <w:t xml:space="preserve">1. </w:t>
      </w:r>
      <w:r w:rsidR="00DA75A6" w:rsidRPr="00DA75A6">
        <w:rPr>
          <w:rFonts w:ascii="Calibri" w:hAnsi="Calibri" w:cs="Calibri"/>
          <w:noProof/>
          <w:sz w:val="24"/>
          <w:szCs w:val="24"/>
        </w:rPr>
        <w:tab/>
        <w:t>WHO. Coronavirus disease (COVID-19). https://www.who.int/emergencies/diseases/novel-coronavirus-2019. Accessed August 19, 2021.</w:t>
      </w:r>
    </w:p>
    <w:p w14:paraId="59DBDB11" w14:textId="77777777" w:rsidR="00DA75A6" w:rsidRPr="00DA75A6" w:rsidRDefault="00DA75A6" w:rsidP="00DA75A6">
      <w:pPr>
        <w:widowControl w:val="0"/>
        <w:autoSpaceDE w:val="0"/>
        <w:autoSpaceDN w:val="0"/>
        <w:adjustRightInd w:val="0"/>
        <w:spacing w:line="480" w:lineRule="auto"/>
        <w:ind w:left="640" w:hanging="640"/>
        <w:rPr>
          <w:rFonts w:ascii="Calibri" w:hAnsi="Calibri" w:cs="Calibri"/>
          <w:noProof/>
          <w:sz w:val="24"/>
          <w:szCs w:val="24"/>
        </w:rPr>
      </w:pPr>
      <w:r w:rsidRPr="00DA75A6">
        <w:rPr>
          <w:rFonts w:ascii="Calibri" w:hAnsi="Calibri" w:cs="Calibri"/>
          <w:noProof/>
          <w:sz w:val="24"/>
          <w:szCs w:val="24"/>
        </w:rPr>
        <w:t xml:space="preserve">2. </w:t>
      </w:r>
      <w:r w:rsidRPr="00DA75A6">
        <w:rPr>
          <w:rFonts w:ascii="Calibri" w:hAnsi="Calibri" w:cs="Calibri"/>
          <w:noProof/>
          <w:sz w:val="24"/>
          <w:szCs w:val="24"/>
        </w:rPr>
        <w:tab/>
        <w:t xml:space="preserve">Cao Y, Hiyoshi A, Montgomery S. COVID-19 case-fatality rate and demographic and socioeconomic influencers: Worldwide spatial regression analysis based on country-level data. </w:t>
      </w:r>
      <w:r w:rsidRPr="00DA75A6">
        <w:rPr>
          <w:rFonts w:ascii="Calibri" w:hAnsi="Calibri" w:cs="Calibri"/>
          <w:i/>
          <w:iCs/>
          <w:noProof/>
          <w:sz w:val="24"/>
          <w:szCs w:val="24"/>
        </w:rPr>
        <w:t>BMJ Open</w:t>
      </w:r>
      <w:r w:rsidRPr="00DA75A6">
        <w:rPr>
          <w:rFonts w:ascii="Calibri" w:hAnsi="Calibri" w:cs="Calibri"/>
          <w:noProof/>
          <w:sz w:val="24"/>
          <w:szCs w:val="24"/>
        </w:rPr>
        <w:t>. 2020;10(11). doi:10.1136/bmjopen-2020-043560</w:t>
      </w:r>
    </w:p>
    <w:p w14:paraId="626FF683" w14:textId="77777777" w:rsidR="00DA75A6" w:rsidRPr="00DA75A6" w:rsidRDefault="00DA75A6" w:rsidP="00DA75A6">
      <w:pPr>
        <w:widowControl w:val="0"/>
        <w:autoSpaceDE w:val="0"/>
        <w:autoSpaceDN w:val="0"/>
        <w:adjustRightInd w:val="0"/>
        <w:spacing w:line="480" w:lineRule="auto"/>
        <w:ind w:left="640" w:hanging="640"/>
        <w:rPr>
          <w:rFonts w:ascii="Calibri" w:hAnsi="Calibri" w:cs="Calibri"/>
          <w:noProof/>
          <w:sz w:val="24"/>
          <w:szCs w:val="24"/>
        </w:rPr>
      </w:pPr>
      <w:r w:rsidRPr="00DA75A6">
        <w:rPr>
          <w:rFonts w:ascii="Calibri" w:hAnsi="Calibri" w:cs="Calibri"/>
          <w:noProof/>
          <w:sz w:val="24"/>
          <w:szCs w:val="24"/>
        </w:rPr>
        <w:t xml:space="preserve">3. </w:t>
      </w:r>
      <w:r w:rsidRPr="00DA75A6">
        <w:rPr>
          <w:rFonts w:ascii="Calibri" w:hAnsi="Calibri" w:cs="Calibri"/>
          <w:noProof/>
          <w:sz w:val="24"/>
          <w:szCs w:val="24"/>
        </w:rPr>
        <w:tab/>
        <w:t>ICNARC (Intensive Care National Audit and Research Centre). ICNARC Covid-19 Report 2021-08-13. ICNARC Covid-19 Report 2021-08-13. https://www.icnarc.org/DataServices/Attachments/Download/6281b38a-45fc-eb11-9134-00505601089b. Published 2021. Accessed August 20, 2021.</w:t>
      </w:r>
    </w:p>
    <w:p w14:paraId="7C50E989" w14:textId="77777777" w:rsidR="00DA75A6" w:rsidRPr="00DA75A6" w:rsidRDefault="00DA75A6" w:rsidP="00DA75A6">
      <w:pPr>
        <w:widowControl w:val="0"/>
        <w:autoSpaceDE w:val="0"/>
        <w:autoSpaceDN w:val="0"/>
        <w:adjustRightInd w:val="0"/>
        <w:spacing w:line="480" w:lineRule="auto"/>
        <w:ind w:left="640" w:hanging="640"/>
        <w:rPr>
          <w:rFonts w:ascii="Calibri" w:hAnsi="Calibri" w:cs="Calibri"/>
          <w:noProof/>
          <w:sz w:val="24"/>
          <w:szCs w:val="24"/>
        </w:rPr>
      </w:pPr>
      <w:r w:rsidRPr="00DA75A6">
        <w:rPr>
          <w:rFonts w:ascii="Calibri" w:hAnsi="Calibri" w:cs="Calibri"/>
          <w:noProof/>
          <w:sz w:val="24"/>
          <w:szCs w:val="24"/>
        </w:rPr>
        <w:t xml:space="preserve">4. </w:t>
      </w:r>
      <w:r w:rsidRPr="00DA75A6">
        <w:rPr>
          <w:rFonts w:ascii="Calibri" w:hAnsi="Calibri" w:cs="Calibri"/>
          <w:noProof/>
          <w:sz w:val="24"/>
          <w:szCs w:val="24"/>
        </w:rPr>
        <w:tab/>
        <w:t xml:space="preserve">Dushianthan A, Cumpstey AF, Ferrari M, et al. Intensive care physicians’ perceptions of the diagnosis &amp; management of patients with acute hypoxic respiratory failure associated with COVID-19: A UK based survey. </w:t>
      </w:r>
      <w:r w:rsidRPr="00DA75A6">
        <w:rPr>
          <w:rFonts w:ascii="Calibri" w:hAnsi="Calibri" w:cs="Calibri"/>
          <w:i/>
          <w:iCs/>
          <w:noProof/>
          <w:sz w:val="24"/>
          <w:szCs w:val="24"/>
        </w:rPr>
        <w:t>J Intensive Care Soc</w:t>
      </w:r>
      <w:r w:rsidRPr="00DA75A6">
        <w:rPr>
          <w:rFonts w:ascii="Calibri" w:hAnsi="Calibri" w:cs="Calibri"/>
          <w:noProof/>
          <w:sz w:val="24"/>
          <w:szCs w:val="24"/>
        </w:rPr>
        <w:t>. March 2021. doi:10.1177/17511437211002352</w:t>
      </w:r>
    </w:p>
    <w:p w14:paraId="471C26D4" w14:textId="77777777" w:rsidR="00DA75A6" w:rsidRPr="00DA75A6" w:rsidRDefault="00DA75A6" w:rsidP="00DA75A6">
      <w:pPr>
        <w:widowControl w:val="0"/>
        <w:autoSpaceDE w:val="0"/>
        <w:autoSpaceDN w:val="0"/>
        <w:adjustRightInd w:val="0"/>
        <w:spacing w:line="480" w:lineRule="auto"/>
        <w:ind w:left="640" w:hanging="640"/>
        <w:rPr>
          <w:rFonts w:ascii="Calibri" w:hAnsi="Calibri" w:cs="Calibri"/>
          <w:noProof/>
          <w:sz w:val="24"/>
          <w:szCs w:val="24"/>
        </w:rPr>
      </w:pPr>
      <w:r w:rsidRPr="00DA75A6">
        <w:rPr>
          <w:rFonts w:ascii="Calibri" w:hAnsi="Calibri" w:cs="Calibri"/>
          <w:noProof/>
          <w:sz w:val="24"/>
          <w:szCs w:val="24"/>
        </w:rPr>
        <w:t xml:space="preserve">5. </w:t>
      </w:r>
      <w:r w:rsidRPr="00DA75A6">
        <w:rPr>
          <w:rFonts w:ascii="Calibri" w:hAnsi="Calibri" w:cs="Calibri"/>
          <w:noProof/>
          <w:sz w:val="24"/>
          <w:szCs w:val="24"/>
        </w:rPr>
        <w:tab/>
        <w:t xml:space="preserve">Moreno Franco P, Enders F, Wilson G, Gajic O, Pannu SR. A comparative effectiveness study of rescue strategies in 1,000 subjects with severe hypoxemic respiratory failure. </w:t>
      </w:r>
      <w:r w:rsidRPr="00DA75A6">
        <w:rPr>
          <w:rFonts w:ascii="Calibri" w:hAnsi="Calibri" w:cs="Calibri"/>
          <w:i/>
          <w:iCs/>
          <w:noProof/>
          <w:sz w:val="24"/>
          <w:szCs w:val="24"/>
        </w:rPr>
        <w:t>Respir Care</w:t>
      </w:r>
      <w:r w:rsidRPr="00DA75A6">
        <w:rPr>
          <w:rFonts w:ascii="Calibri" w:hAnsi="Calibri" w:cs="Calibri"/>
          <w:noProof/>
          <w:sz w:val="24"/>
          <w:szCs w:val="24"/>
        </w:rPr>
        <w:t>. 2016;61(2):127-133. doi:10.4187/respcare.04162</w:t>
      </w:r>
    </w:p>
    <w:p w14:paraId="1E0A68D0" w14:textId="77777777" w:rsidR="00DA75A6" w:rsidRPr="00DA75A6" w:rsidRDefault="00DA75A6" w:rsidP="00DA75A6">
      <w:pPr>
        <w:widowControl w:val="0"/>
        <w:autoSpaceDE w:val="0"/>
        <w:autoSpaceDN w:val="0"/>
        <w:adjustRightInd w:val="0"/>
        <w:spacing w:line="480" w:lineRule="auto"/>
        <w:ind w:left="640" w:hanging="640"/>
        <w:rPr>
          <w:rFonts w:ascii="Calibri" w:hAnsi="Calibri" w:cs="Calibri"/>
          <w:noProof/>
          <w:sz w:val="24"/>
          <w:szCs w:val="24"/>
        </w:rPr>
      </w:pPr>
      <w:r w:rsidRPr="00DA75A6">
        <w:rPr>
          <w:rFonts w:ascii="Calibri" w:hAnsi="Calibri" w:cs="Calibri"/>
          <w:noProof/>
          <w:sz w:val="24"/>
          <w:szCs w:val="24"/>
        </w:rPr>
        <w:t xml:space="preserve">6. </w:t>
      </w:r>
      <w:r w:rsidRPr="00DA75A6">
        <w:rPr>
          <w:rFonts w:ascii="Calibri" w:hAnsi="Calibri" w:cs="Calibri"/>
          <w:noProof/>
          <w:sz w:val="24"/>
          <w:szCs w:val="24"/>
        </w:rPr>
        <w:tab/>
        <w:t xml:space="preserve">Von Elm E, Altman DG, Egger M, Pocock SJ, Gøtzsche PC, Vandenbroucke JP. The Strengthening the Reporting of Observational Studies in Epidemiology (STROBE) statement: Guidelines for reporting observational studies. </w:t>
      </w:r>
      <w:r w:rsidRPr="00DA75A6">
        <w:rPr>
          <w:rFonts w:ascii="Calibri" w:hAnsi="Calibri" w:cs="Calibri"/>
          <w:i/>
          <w:iCs/>
          <w:noProof/>
          <w:sz w:val="24"/>
          <w:szCs w:val="24"/>
        </w:rPr>
        <w:t>PLoS Med</w:t>
      </w:r>
      <w:r w:rsidRPr="00DA75A6">
        <w:rPr>
          <w:rFonts w:ascii="Calibri" w:hAnsi="Calibri" w:cs="Calibri"/>
          <w:noProof/>
          <w:sz w:val="24"/>
          <w:szCs w:val="24"/>
        </w:rPr>
        <w:t>. 2007;4(10):1623-1627. doi:10.1371/journal.pmed.0040296</w:t>
      </w:r>
    </w:p>
    <w:p w14:paraId="1063A638" w14:textId="77777777" w:rsidR="00DA75A6" w:rsidRPr="00DA75A6" w:rsidRDefault="00DA75A6" w:rsidP="00DA75A6">
      <w:pPr>
        <w:widowControl w:val="0"/>
        <w:autoSpaceDE w:val="0"/>
        <w:autoSpaceDN w:val="0"/>
        <w:adjustRightInd w:val="0"/>
        <w:spacing w:line="480" w:lineRule="auto"/>
        <w:ind w:left="640" w:hanging="640"/>
        <w:rPr>
          <w:rFonts w:ascii="Calibri" w:hAnsi="Calibri" w:cs="Calibri"/>
          <w:noProof/>
          <w:sz w:val="24"/>
          <w:szCs w:val="24"/>
        </w:rPr>
      </w:pPr>
      <w:r w:rsidRPr="00DA75A6">
        <w:rPr>
          <w:rFonts w:ascii="Calibri" w:hAnsi="Calibri" w:cs="Calibri"/>
          <w:noProof/>
          <w:sz w:val="24"/>
          <w:szCs w:val="24"/>
        </w:rPr>
        <w:lastRenderedPageBreak/>
        <w:t xml:space="preserve">7. </w:t>
      </w:r>
      <w:r w:rsidRPr="00DA75A6">
        <w:rPr>
          <w:rFonts w:ascii="Calibri" w:hAnsi="Calibri" w:cs="Calibri"/>
          <w:noProof/>
          <w:sz w:val="24"/>
          <w:szCs w:val="24"/>
        </w:rPr>
        <w:tab/>
        <w:t xml:space="preserve">Tsou P, Palisoc P, Flavahan N, Khanna D. Dissecting the Cellular Mechanism of Prostacyclin Analog Iloprost in Reversing Vascular Dysfunction in Scleroderma. </w:t>
      </w:r>
      <w:r w:rsidRPr="00DA75A6">
        <w:rPr>
          <w:rFonts w:ascii="Calibri" w:hAnsi="Calibri" w:cs="Calibri"/>
          <w:i/>
          <w:iCs/>
          <w:noProof/>
          <w:sz w:val="24"/>
          <w:szCs w:val="24"/>
        </w:rPr>
        <w:t>Arthritis Rheumatol (Hoboken, NJ)</w:t>
      </w:r>
      <w:r w:rsidRPr="00DA75A6">
        <w:rPr>
          <w:rFonts w:ascii="Calibri" w:hAnsi="Calibri" w:cs="Calibri"/>
          <w:noProof/>
          <w:sz w:val="24"/>
          <w:szCs w:val="24"/>
        </w:rPr>
        <w:t>. 2021;73(3):520-529. doi:10.1002/ART.41536</w:t>
      </w:r>
    </w:p>
    <w:p w14:paraId="59EC5DBA" w14:textId="77777777" w:rsidR="00DA75A6" w:rsidRPr="00DA75A6" w:rsidRDefault="00DA75A6" w:rsidP="00DA75A6">
      <w:pPr>
        <w:widowControl w:val="0"/>
        <w:autoSpaceDE w:val="0"/>
        <w:autoSpaceDN w:val="0"/>
        <w:adjustRightInd w:val="0"/>
        <w:spacing w:line="480" w:lineRule="auto"/>
        <w:ind w:left="640" w:hanging="640"/>
        <w:rPr>
          <w:rFonts w:ascii="Calibri" w:hAnsi="Calibri" w:cs="Calibri"/>
          <w:noProof/>
          <w:sz w:val="24"/>
          <w:szCs w:val="24"/>
        </w:rPr>
      </w:pPr>
      <w:r w:rsidRPr="00DA75A6">
        <w:rPr>
          <w:rFonts w:ascii="Calibri" w:hAnsi="Calibri" w:cs="Calibri"/>
          <w:noProof/>
          <w:sz w:val="24"/>
          <w:szCs w:val="24"/>
        </w:rPr>
        <w:t xml:space="preserve">8. </w:t>
      </w:r>
      <w:r w:rsidRPr="00DA75A6">
        <w:rPr>
          <w:rFonts w:ascii="Calibri" w:hAnsi="Calibri" w:cs="Calibri"/>
          <w:noProof/>
          <w:sz w:val="24"/>
          <w:szCs w:val="24"/>
        </w:rPr>
        <w:tab/>
        <w:t xml:space="preserve">Gąsecka A, Banaszkiewicz M, Nieuwland R, et al. Prostacyclin Analogues Inhibit Platelet Reactivity, Extracellular Vesicle Release and Thrombus Formation in Patients with Pulmonary Arterial Hypertension. </w:t>
      </w:r>
      <w:r w:rsidRPr="00DA75A6">
        <w:rPr>
          <w:rFonts w:ascii="Calibri" w:hAnsi="Calibri" w:cs="Calibri"/>
          <w:i/>
          <w:iCs/>
          <w:noProof/>
          <w:sz w:val="24"/>
          <w:szCs w:val="24"/>
        </w:rPr>
        <w:t>J Clin Med 2021, Vol 10, Page 1024</w:t>
      </w:r>
      <w:r w:rsidRPr="00DA75A6">
        <w:rPr>
          <w:rFonts w:ascii="Calibri" w:hAnsi="Calibri" w:cs="Calibri"/>
          <w:noProof/>
          <w:sz w:val="24"/>
          <w:szCs w:val="24"/>
        </w:rPr>
        <w:t>. 2021;10(5):1024. doi:10.3390/JCM10051024</w:t>
      </w:r>
    </w:p>
    <w:p w14:paraId="5BD488ED" w14:textId="77777777" w:rsidR="00DA75A6" w:rsidRPr="00DA75A6" w:rsidRDefault="00DA75A6" w:rsidP="00DA75A6">
      <w:pPr>
        <w:widowControl w:val="0"/>
        <w:autoSpaceDE w:val="0"/>
        <w:autoSpaceDN w:val="0"/>
        <w:adjustRightInd w:val="0"/>
        <w:spacing w:line="480" w:lineRule="auto"/>
        <w:ind w:left="640" w:hanging="640"/>
        <w:rPr>
          <w:rFonts w:ascii="Calibri" w:hAnsi="Calibri" w:cs="Calibri"/>
          <w:noProof/>
          <w:sz w:val="24"/>
          <w:szCs w:val="24"/>
        </w:rPr>
      </w:pPr>
      <w:r w:rsidRPr="00DA75A6">
        <w:rPr>
          <w:rFonts w:ascii="Calibri" w:hAnsi="Calibri" w:cs="Calibri"/>
          <w:noProof/>
          <w:sz w:val="24"/>
          <w:szCs w:val="24"/>
        </w:rPr>
        <w:t xml:space="preserve">9. </w:t>
      </w:r>
      <w:r w:rsidRPr="00DA75A6">
        <w:rPr>
          <w:rFonts w:ascii="Calibri" w:hAnsi="Calibri" w:cs="Calibri"/>
          <w:noProof/>
          <w:sz w:val="24"/>
          <w:szCs w:val="24"/>
        </w:rPr>
        <w:tab/>
        <w:t xml:space="preserve">Afshari A, Bastholm Bille A, Allingstrup M. Aerosolized prostacyclins for acute respiratory distress syndrome (ARDS). </w:t>
      </w:r>
      <w:r w:rsidRPr="00DA75A6">
        <w:rPr>
          <w:rFonts w:ascii="Calibri" w:hAnsi="Calibri" w:cs="Calibri"/>
          <w:i/>
          <w:iCs/>
          <w:noProof/>
          <w:sz w:val="24"/>
          <w:szCs w:val="24"/>
        </w:rPr>
        <w:t>Cochrane Database Syst Rev</w:t>
      </w:r>
      <w:r w:rsidRPr="00DA75A6">
        <w:rPr>
          <w:rFonts w:ascii="Calibri" w:hAnsi="Calibri" w:cs="Calibri"/>
          <w:noProof/>
          <w:sz w:val="24"/>
          <w:szCs w:val="24"/>
        </w:rPr>
        <w:t>. 2017;2017(7). doi:10.1002/14651858.CD007733.pub3</w:t>
      </w:r>
    </w:p>
    <w:p w14:paraId="0395DC92" w14:textId="371D6EA9" w:rsidR="00DA75A6" w:rsidRPr="00DA75A6" w:rsidRDefault="00DA75A6" w:rsidP="00DA75A6">
      <w:pPr>
        <w:widowControl w:val="0"/>
        <w:autoSpaceDE w:val="0"/>
        <w:autoSpaceDN w:val="0"/>
        <w:adjustRightInd w:val="0"/>
        <w:spacing w:line="480" w:lineRule="auto"/>
        <w:ind w:left="640" w:hanging="640"/>
        <w:rPr>
          <w:rFonts w:ascii="Calibri" w:hAnsi="Calibri" w:cs="Calibri"/>
          <w:noProof/>
          <w:sz w:val="24"/>
          <w:szCs w:val="24"/>
        </w:rPr>
      </w:pPr>
      <w:r w:rsidRPr="00DA75A6">
        <w:rPr>
          <w:rFonts w:ascii="Calibri" w:hAnsi="Calibri" w:cs="Calibri"/>
          <w:noProof/>
          <w:sz w:val="24"/>
          <w:szCs w:val="24"/>
        </w:rPr>
        <w:t xml:space="preserve">10. </w:t>
      </w:r>
      <w:r w:rsidRPr="00DA75A6">
        <w:rPr>
          <w:rFonts w:ascii="Calibri" w:hAnsi="Calibri" w:cs="Calibri"/>
          <w:noProof/>
          <w:sz w:val="24"/>
          <w:szCs w:val="24"/>
        </w:rPr>
        <w:tab/>
        <w:t xml:space="preserve">De Wet CJ, Affleck DG, Jacobsohn E, et al. Inhaled prostacyclin is safe, effective, and affordable in patients with pulmonary hypertension, right heart dysfunction, and refractory </w:t>
      </w:r>
      <w:r w:rsidR="004031FA">
        <w:rPr>
          <w:rFonts w:ascii="Calibri" w:hAnsi="Calibri" w:cs="Calibri"/>
          <w:noProof/>
          <w:sz w:val="24"/>
          <w:szCs w:val="24"/>
        </w:rPr>
        <w:t>hypoxaemia</w:t>
      </w:r>
      <w:r w:rsidRPr="00DA75A6">
        <w:rPr>
          <w:rFonts w:ascii="Calibri" w:hAnsi="Calibri" w:cs="Calibri"/>
          <w:noProof/>
          <w:sz w:val="24"/>
          <w:szCs w:val="24"/>
        </w:rPr>
        <w:t xml:space="preserve"> after cardiothoracic surgery. </w:t>
      </w:r>
      <w:r w:rsidRPr="00DA75A6">
        <w:rPr>
          <w:rFonts w:ascii="Calibri" w:hAnsi="Calibri" w:cs="Calibri"/>
          <w:i/>
          <w:iCs/>
          <w:noProof/>
          <w:sz w:val="24"/>
          <w:szCs w:val="24"/>
        </w:rPr>
        <w:t>J Thorac Cardiovasc Surg</w:t>
      </w:r>
      <w:r w:rsidRPr="00DA75A6">
        <w:rPr>
          <w:rFonts w:ascii="Calibri" w:hAnsi="Calibri" w:cs="Calibri"/>
          <w:noProof/>
          <w:sz w:val="24"/>
          <w:szCs w:val="24"/>
        </w:rPr>
        <w:t>. 2004;127(4):1058-1067. doi:10.1016/j.jtcvs.2003.11.035</w:t>
      </w:r>
    </w:p>
    <w:p w14:paraId="273B72CE" w14:textId="77777777" w:rsidR="00DA75A6" w:rsidRPr="00DA75A6" w:rsidRDefault="00DA75A6" w:rsidP="00DA75A6">
      <w:pPr>
        <w:widowControl w:val="0"/>
        <w:autoSpaceDE w:val="0"/>
        <w:autoSpaceDN w:val="0"/>
        <w:adjustRightInd w:val="0"/>
        <w:spacing w:line="480" w:lineRule="auto"/>
        <w:ind w:left="640" w:hanging="640"/>
        <w:rPr>
          <w:rFonts w:ascii="Calibri" w:hAnsi="Calibri" w:cs="Calibri"/>
          <w:noProof/>
          <w:sz w:val="24"/>
          <w:szCs w:val="24"/>
        </w:rPr>
      </w:pPr>
      <w:r w:rsidRPr="00DA75A6">
        <w:rPr>
          <w:rFonts w:ascii="Calibri" w:hAnsi="Calibri" w:cs="Calibri"/>
          <w:noProof/>
          <w:sz w:val="24"/>
          <w:szCs w:val="24"/>
        </w:rPr>
        <w:t xml:space="preserve">11. </w:t>
      </w:r>
      <w:r w:rsidRPr="00DA75A6">
        <w:rPr>
          <w:rFonts w:ascii="Calibri" w:hAnsi="Calibri" w:cs="Calibri"/>
          <w:noProof/>
          <w:sz w:val="24"/>
          <w:szCs w:val="24"/>
        </w:rPr>
        <w:tab/>
        <w:t xml:space="preserve">Sawheny E, Ellis AL, Kinasewitz GT. Iloprost improves gas exchange in patients with pulmonary hypertension and ARDS. </w:t>
      </w:r>
      <w:r w:rsidRPr="00DA75A6">
        <w:rPr>
          <w:rFonts w:ascii="Calibri" w:hAnsi="Calibri" w:cs="Calibri"/>
          <w:i/>
          <w:iCs/>
          <w:noProof/>
          <w:sz w:val="24"/>
          <w:szCs w:val="24"/>
        </w:rPr>
        <w:t>Chest</w:t>
      </w:r>
      <w:r w:rsidRPr="00DA75A6">
        <w:rPr>
          <w:rFonts w:ascii="Calibri" w:hAnsi="Calibri" w:cs="Calibri"/>
          <w:noProof/>
          <w:sz w:val="24"/>
          <w:szCs w:val="24"/>
        </w:rPr>
        <w:t>. 2013;144(1):55-62. doi:10.1378/chest.12-2296</w:t>
      </w:r>
    </w:p>
    <w:p w14:paraId="2EB0114B" w14:textId="77777777" w:rsidR="00DA75A6" w:rsidRPr="00DA75A6" w:rsidRDefault="00DA75A6" w:rsidP="00DA75A6">
      <w:pPr>
        <w:widowControl w:val="0"/>
        <w:autoSpaceDE w:val="0"/>
        <w:autoSpaceDN w:val="0"/>
        <w:adjustRightInd w:val="0"/>
        <w:spacing w:line="480" w:lineRule="auto"/>
        <w:ind w:left="640" w:hanging="640"/>
        <w:rPr>
          <w:rFonts w:ascii="Calibri" w:hAnsi="Calibri" w:cs="Calibri"/>
          <w:noProof/>
          <w:sz w:val="24"/>
          <w:szCs w:val="24"/>
        </w:rPr>
      </w:pPr>
      <w:r w:rsidRPr="00DA75A6">
        <w:rPr>
          <w:rFonts w:ascii="Calibri" w:hAnsi="Calibri" w:cs="Calibri"/>
          <w:noProof/>
          <w:sz w:val="24"/>
          <w:szCs w:val="24"/>
        </w:rPr>
        <w:t xml:space="preserve">12. </w:t>
      </w:r>
      <w:r w:rsidRPr="00DA75A6">
        <w:rPr>
          <w:rFonts w:ascii="Calibri" w:hAnsi="Calibri" w:cs="Calibri"/>
          <w:noProof/>
          <w:sz w:val="24"/>
          <w:szCs w:val="24"/>
        </w:rPr>
        <w:tab/>
        <w:t xml:space="preserve">Hoeper MM, Olschewski H, Ghofrani HA, et al. A comparison of the acute hemodynamic effects of inhaled nitric oxide and aerosolized iloprost in primary pulmonary hypertension. </w:t>
      </w:r>
      <w:r w:rsidRPr="00DA75A6">
        <w:rPr>
          <w:rFonts w:ascii="Calibri" w:hAnsi="Calibri" w:cs="Calibri"/>
          <w:i/>
          <w:iCs/>
          <w:noProof/>
          <w:sz w:val="24"/>
          <w:szCs w:val="24"/>
        </w:rPr>
        <w:t>J Am Coll Cardiol</w:t>
      </w:r>
      <w:r w:rsidRPr="00DA75A6">
        <w:rPr>
          <w:rFonts w:ascii="Calibri" w:hAnsi="Calibri" w:cs="Calibri"/>
          <w:noProof/>
          <w:sz w:val="24"/>
          <w:szCs w:val="24"/>
        </w:rPr>
        <w:t>. 2000;35(1):176-182. doi:10.1016/S0735-1097(99)00494-5</w:t>
      </w:r>
    </w:p>
    <w:p w14:paraId="33943686" w14:textId="77777777" w:rsidR="00DA75A6" w:rsidRPr="00DA75A6" w:rsidRDefault="00DA75A6" w:rsidP="00DA75A6">
      <w:pPr>
        <w:widowControl w:val="0"/>
        <w:autoSpaceDE w:val="0"/>
        <w:autoSpaceDN w:val="0"/>
        <w:adjustRightInd w:val="0"/>
        <w:spacing w:line="480" w:lineRule="auto"/>
        <w:ind w:left="640" w:hanging="640"/>
        <w:rPr>
          <w:rFonts w:ascii="Calibri" w:hAnsi="Calibri" w:cs="Calibri"/>
          <w:noProof/>
          <w:sz w:val="24"/>
          <w:szCs w:val="24"/>
        </w:rPr>
      </w:pPr>
      <w:r w:rsidRPr="00DA75A6">
        <w:rPr>
          <w:rFonts w:ascii="Calibri" w:hAnsi="Calibri" w:cs="Calibri"/>
          <w:noProof/>
          <w:sz w:val="24"/>
          <w:szCs w:val="24"/>
        </w:rPr>
        <w:t xml:space="preserve">13. </w:t>
      </w:r>
      <w:r w:rsidRPr="00DA75A6">
        <w:rPr>
          <w:rFonts w:ascii="Calibri" w:hAnsi="Calibri" w:cs="Calibri"/>
          <w:noProof/>
          <w:sz w:val="24"/>
          <w:szCs w:val="24"/>
        </w:rPr>
        <w:tab/>
        <w:t xml:space="preserve">Walmrath D, Schneider T, Schermuly R, Olschewski H, Grimminger F, Seeger W. Direct </w:t>
      </w:r>
      <w:r w:rsidRPr="00DA75A6">
        <w:rPr>
          <w:rFonts w:ascii="Calibri" w:hAnsi="Calibri" w:cs="Calibri"/>
          <w:noProof/>
          <w:sz w:val="24"/>
          <w:szCs w:val="24"/>
        </w:rPr>
        <w:lastRenderedPageBreak/>
        <w:t xml:space="preserve">comparison of inhaled nitric oxide and aerosolized prostacyclin in acute respiratory distress syndrome. </w:t>
      </w:r>
      <w:r w:rsidRPr="00DA75A6">
        <w:rPr>
          <w:rFonts w:ascii="Calibri" w:hAnsi="Calibri" w:cs="Calibri"/>
          <w:i/>
          <w:iCs/>
          <w:noProof/>
          <w:sz w:val="24"/>
          <w:szCs w:val="24"/>
        </w:rPr>
        <w:t>Am J Respir Crit Care Med</w:t>
      </w:r>
      <w:r w:rsidRPr="00DA75A6">
        <w:rPr>
          <w:rFonts w:ascii="Calibri" w:hAnsi="Calibri" w:cs="Calibri"/>
          <w:noProof/>
          <w:sz w:val="24"/>
          <w:szCs w:val="24"/>
        </w:rPr>
        <w:t>. 1996;153(3):991-996. doi:10.1164/ajrccm.153.3.8630585</w:t>
      </w:r>
    </w:p>
    <w:p w14:paraId="57FC8912" w14:textId="77777777" w:rsidR="00DA75A6" w:rsidRPr="00DA75A6" w:rsidRDefault="00DA75A6" w:rsidP="00DA75A6">
      <w:pPr>
        <w:widowControl w:val="0"/>
        <w:autoSpaceDE w:val="0"/>
        <w:autoSpaceDN w:val="0"/>
        <w:adjustRightInd w:val="0"/>
        <w:spacing w:line="480" w:lineRule="auto"/>
        <w:ind w:left="640" w:hanging="640"/>
        <w:rPr>
          <w:rFonts w:ascii="Calibri" w:hAnsi="Calibri" w:cs="Calibri"/>
          <w:noProof/>
          <w:sz w:val="24"/>
          <w:szCs w:val="24"/>
        </w:rPr>
      </w:pPr>
      <w:r w:rsidRPr="00DA75A6">
        <w:rPr>
          <w:rFonts w:ascii="Calibri" w:hAnsi="Calibri" w:cs="Calibri"/>
          <w:noProof/>
          <w:sz w:val="24"/>
          <w:szCs w:val="24"/>
        </w:rPr>
        <w:t xml:space="preserve">14. </w:t>
      </w:r>
      <w:r w:rsidRPr="00DA75A6">
        <w:rPr>
          <w:rFonts w:ascii="Calibri" w:hAnsi="Calibri" w:cs="Calibri"/>
          <w:noProof/>
          <w:sz w:val="24"/>
          <w:szCs w:val="24"/>
        </w:rPr>
        <w:tab/>
        <w:t xml:space="preserve">Walmrath D, Schneider T, Pilch J, Grimminger F, Seeger W. Aerosolised prostacyclin in adult respiratory distress syndrome. </w:t>
      </w:r>
      <w:r w:rsidRPr="00DA75A6">
        <w:rPr>
          <w:rFonts w:ascii="Calibri" w:hAnsi="Calibri" w:cs="Calibri"/>
          <w:i/>
          <w:iCs/>
          <w:noProof/>
          <w:sz w:val="24"/>
          <w:szCs w:val="24"/>
        </w:rPr>
        <w:t>Lancet</w:t>
      </w:r>
      <w:r w:rsidRPr="00DA75A6">
        <w:rPr>
          <w:rFonts w:ascii="Calibri" w:hAnsi="Calibri" w:cs="Calibri"/>
          <w:noProof/>
          <w:sz w:val="24"/>
          <w:szCs w:val="24"/>
        </w:rPr>
        <w:t>. 1993;342(8877):961-962. doi:10.1016/0140-6736(93)92004-D</w:t>
      </w:r>
    </w:p>
    <w:p w14:paraId="0E2361F1" w14:textId="77777777" w:rsidR="00DA75A6" w:rsidRPr="00DA75A6" w:rsidRDefault="00DA75A6" w:rsidP="00DA75A6">
      <w:pPr>
        <w:widowControl w:val="0"/>
        <w:autoSpaceDE w:val="0"/>
        <w:autoSpaceDN w:val="0"/>
        <w:adjustRightInd w:val="0"/>
        <w:spacing w:line="480" w:lineRule="auto"/>
        <w:ind w:left="640" w:hanging="640"/>
        <w:rPr>
          <w:rFonts w:ascii="Calibri" w:hAnsi="Calibri" w:cs="Calibri"/>
          <w:noProof/>
          <w:sz w:val="24"/>
          <w:szCs w:val="24"/>
        </w:rPr>
      </w:pPr>
      <w:r w:rsidRPr="00DA75A6">
        <w:rPr>
          <w:rFonts w:ascii="Calibri" w:hAnsi="Calibri" w:cs="Calibri"/>
          <w:noProof/>
          <w:sz w:val="24"/>
          <w:szCs w:val="24"/>
        </w:rPr>
        <w:t xml:space="preserve">15. </w:t>
      </w:r>
      <w:r w:rsidRPr="00DA75A6">
        <w:rPr>
          <w:rFonts w:ascii="Calibri" w:hAnsi="Calibri" w:cs="Calibri"/>
          <w:noProof/>
          <w:sz w:val="24"/>
          <w:szCs w:val="24"/>
        </w:rPr>
        <w:tab/>
        <w:t xml:space="preserve">Gąsecka A, Banaszkiewicz M, Nieuwland R, et al. Prostacyclin Analogues Inhibit Platelet Reactivity, Extracellular Vesicle Release and Thrombus Formation in Patients with Pulmonary Arterial Hypertension. </w:t>
      </w:r>
      <w:r w:rsidRPr="00DA75A6">
        <w:rPr>
          <w:rFonts w:ascii="Calibri" w:hAnsi="Calibri" w:cs="Calibri"/>
          <w:i/>
          <w:iCs/>
          <w:noProof/>
          <w:sz w:val="24"/>
          <w:szCs w:val="24"/>
        </w:rPr>
        <w:t>J Clin Med</w:t>
      </w:r>
      <w:r w:rsidRPr="00DA75A6">
        <w:rPr>
          <w:rFonts w:ascii="Calibri" w:hAnsi="Calibri" w:cs="Calibri"/>
          <w:noProof/>
          <w:sz w:val="24"/>
          <w:szCs w:val="24"/>
        </w:rPr>
        <w:t>. 2021;10(5):1024. doi:10.3390/jcm10051024</w:t>
      </w:r>
    </w:p>
    <w:p w14:paraId="7E710B53" w14:textId="77777777" w:rsidR="00DA75A6" w:rsidRPr="00DA75A6" w:rsidRDefault="00DA75A6" w:rsidP="00DA75A6">
      <w:pPr>
        <w:widowControl w:val="0"/>
        <w:autoSpaceDE w:val="0"/>
        <w:autoSpaceDN w:val="0"/>
        <w:adjustRightInd w:val="0"/>
        <w:spacing w:line="480" w:lineRule="auto"/>
        <w:ind w:left="640" w:hanging="640"/>
        <w:rPr>
          <w:rFonts w:ascii="Calibri" w:hAnsi="Calibri" w:cs="Calibri"/>
          <w:noProof/>
          <w:sz w:val="24"/>
          <w:szCs w:val="24"/>
        </w:rPr>
      </w:pPr>
      <w:r w:rsidRPr="00DA75A6">
        <w:rPr>
          <w:rFonts w:ascii="Calibri" w:hAnsi="Calibri" w:cs="Calibri"/>
          <w:noProof/>
          <w:sz w:val="24"/>
          <w:szCs w:val="24"/>
        </w:rPr>
        <w:t xml:space="preserve">16. </w:t>
      </w:r>
      <w:r w:rsidRPr="00DA75A6">
        <w:rPr>
          <w:rFonts w:ascii="Calibri" w:hAnsi="Calibri" w:cs="Calibri"/>
          <w:noProof/>
          <w:sz w:val="24"/>
          <w:szCs w:val="24"/>
        </w:rPr>
        <w:tab/>
        <w:t xml:space="preserve">Weiss HJ, Turitto VT. Prostaglandin I2 (prostacyclin) inhibits platelet adhesion and thrombus formation on subendothelium. </w:t>
      </w:r>
      <w:r w:rsidRPr="00DA75A6">
        <w:rPr>
          <w:rFonts w:ascii="Calibri" w:hAnsi="Calibri" w:cs="Calibri"/>
          <w:i/>
          <w:iCs/>
          <w:noProof/>
          <w:sz w:val="24"/>
          <w:szCs w:val="24"/>
        </w:rPr>
        <w:t>Blood</w:t>
      </w:r>
      <w:r w:rsidRPr="00DA75A6">
        <w:rPr>
          <w:rFonts w:ascii="Calibri" w:hAnsi="Calibri" w:cs="Calibri"/>
          <w:noProof/>
          <w:sz w:val="24"/>
          <w:szCs w:val="24"/>
        </w:rPr>
        <w:t>. 1979;53(2):244-350. http://ashpublications.org/blood/article-pdf/53/2/244/581766/244.pdf. Accessed July 20, 2021.</w:t>
      </w:r>
    </w:p>
    <w:p w14:paraId="51CC78DF" w14:textId="77777777" w:rsidR="00DA75A6" w:rsidRPr="00DA75A6" w:rsidRDefault="00DA75A6" w:rsidP="00DA75A6">
      <w:pPr>
        <w:widowControl w:val="0"/>
        <w:autoSpaceDE w:val="0"/>
        <w:autoSpaceDN w:val="0"/>
        <w:adjustRightInd w:val="0"/>
        <w:spacing w:line="480" w:lineRule="auto"/>
        <w:ind w:left="640" w:hanging="640"/>
        <w:rPr>
          <w:rFonts w:ascii="Calibri" w:hAnsi="Calibri" w:cs="Calibri"/>
          <w:noProof/>
          <w:sz w:val="24"/>
          <w:szCs w:val="24"/>
        </w:rPr>
      </w:pPr>
      <w:r w:rsidRPr="00DA75A6">
        <w:rPr>
          <w:rFonts w:ascii="Calibri" w:hAnsi="Calibri" w:cs="Calibri"/>
          <w:noProof/>
          <w:sz w:val="24"/>
          <w:szCs w:val="24"/>
        </w:rPr>
        <w:t xml:space="preserve">17. </w:t>
      </w:r>
      <w:r w:rsidRPr="00DA75A6">
        <w:rPr>
          <w:rFonts w:ascii="Calibri" w:hAnsi="Calibri" w:cs="Calibri"/>
          <w:noProof/>
          <w:sz w:val="24"/>
          <w:szCs w:val="24"/>
        </w:rPr>
        <w:tab/>
        <w:t xml:space="preserve">Higgs EA, Higgs GA, Moncada S, Vane JR. Prostacyclin(PGI2) inibits the formation of platelet thrombi in arterioles and venules of the hamster cheek pouch. </w:t>
      </w:r>
      <w:r w:rsidRPr="00DA75A6">
        <w:rPr>
          <w:rFonts w:ascii="Calibri" w:hAnsi="Calibri" w:cs="Calibri"/>
          <w:i/>
          <w:iCs/>
          <w:noProof/>
          <w:sz w:val="24"/>
          <w:szCs w:val="24"/>
        </w:rPr>
        <w:t>Br J Pharmacol</w:t>
      </w:r>
      <w:r w:rsidRPr="00DA75A6">
        <w:rPr>
          <w:rFonts w:ascii="Calibri" w:hAnsi="Calibri" w:cs="Calibri"/>
          <w:noProof/>
          <w:sz w:val="24"/>
          <w:szCs w:val="24"/>
        </w:rPr>
        <w:t>. 1978;63(3):535-539. doi:10.1111/j.1476-5381.1978.tb07809.x</w:t>
      </w:r>
    </w:p>
    <w:p w14:paraId="2C45D775" w14:textId="77777777" w:rsidR="00DA75A6" w:rsidRPr="00DA75A6" w:rsidRDefault="00DA75A6" w:rsidP="00DA75A6">
      <w:pPr>
        <w:widowControl w:val="0"/>
        <w:autoSpaceDE w:val="0"/>
        <w:autoSpaceDN w:val="0"/>
        <w:adjustRightInd w:val="0"/>
        <w:spacing w:line="480" w:lineRule="auto"/>
        <w:ind w:left="640" w:hanging="640"/>
        <w:rPr>
          <w:rFonts w:ascii="Calibri" w:hAnsi="Calibri" w:cs="Calibri"/>
          <w:noProof/>
          <w:sz w:val="24"/>
          <w:szCs w:val="24"/>
        </w:rPr>
      </w:pPr>
      <w:r w:rsidRPr="00DA75A6">
        <w:rPr>
          <w:rFonts w:ascii="Calibri" w:hAnsi="Calibri" w:cs="Calibri"/>
          <w:noProof/>
          <w:sz w:val="24"/>
          <w:szCs w:val="24"/>
        </w:rPr>
        <w:t xml:space="preserve">18. </w:t>
      </w:r>
      <w:r w:rsidRPr="00DA75A6">
        <w:rPr>
          <w:rFonts w:ascii="Calibri" w:hAnsi="Calibri" w:cs="Calibri"/>
          <w:noProof/>
          <w:sz w:val="24"/>
          <w:szCs w:val="24"/>
        </w:rPr>
        <w:tab/>
        <w:t xml:space="preserve">Ackermann M, Verleden SE, Kuehnel M, et al. Pulmonary Vascular Endothelialitis, Thrombosis, and Angiogenesis in Covid-19. </w:t>
      </w:r>
      <w:r w:rsidRPr="00DA75A6">
        <w:rPr>
          <w:rFonts w:ascii="Calibri" w:hAnsi="Calibri" w:cs="Calibri"/>
          <w:i/>
          <w:iCs/>
          <w:noProof/>
          <w:sz w:val="24"/>
          <w:szCs w:val="24"/>
        </w:rPr>
        <w:t>N Engl J Med</w:t>
      </w:r>
      <w:r w:rsidRPr="00DA75A6">
        <w:rPr>
          <w:rFonts w:ascii="Calibri" w:hAnsi="Calibri" w:cs="Calibri"/>
          <w:noProof/>
          <w:sz w:val="24"/>
          <w:szCs w:val="24"/>
        </w:rPr>
        <w:t>. 2020;383(2):120-128. doi:10.1056/nejmoa2015432</w:t>
      </w:r>
    </w:p>
    <w:p w14:paraId="0E67722F" w14:textId="77777777" w:rsidR="00DA75A6" w:rsidRPr="00DA75A6" w:rsidRDefault="00DA75A6" w:rsidP="00DA75A6">
      <w:pPr>
        <w:widowControl w:val="0"/>
        <w:autoSpaceDE w:val="0"/>
        <w:autoSpaceDN w:val="0"/>
        <w:adjustRightInd w:val="0"/>
        <w:spacing w:line="480" w:lineRule="auto"/>
        <w:ind w:left="640" w:hanging="640"/>
        <w:rPr>
          <w:rFonts w:ascii="Calibri" w:hAnsi="Calibri" w:cs="Calibri"/>
          <w:noProof/>
          <w:sz w:val="24"/>
          <w:szCs w:val="24"/>
        </w:rPr>
      </w:pPr>
      <w:r w:rsidRPr="00DA75A6">
        <w:rPr>
          <w:rFonts w:ascii="Calibri" w:hAnsi="Calibri" w:cs="Calibri"/>
          <w:noProof/>
          <w:sz w:val="24"/>
          <w:szCs w:val="24"/>
        </w:rPr>
        <w:t xml:space="preserve">19. </w:t>
      </w:r>
      <w:r w:rsidRPr="00DA75A6">
        <w:rPr>
          <w:rFonts w:ascii="Calibri" w:hAnsi="Calibri" w:cs="Calibri"/>
          <w:noProof/>
          <w:sz w:val="24"/>
          <w:szCs w:val="24"/>
        </w:rPr>
        <w:tab/>
        <w:t xml:space="preserve">Moezinia CJ, Ji-Xu A, Azari A, Horlick S, Denton C, Stratton R. Iloprost for COVID-19-related vasculopathy. </w:t>
      </w:r>
      <w:r w:rsidRPr="00DA75A6">
        <w:rPr>
          <w:rFonts w:ascii="Calibri" w:hAnsi="Calibri" w:cs="Calibri"/>
          <w:i/>
          <w:iCs/>
          <w:noProof/>
          <w:sz w:val="24"/>
          <w:szCs w:val="24"/>
        </w:rPr>
        <w:t>Lancet Rheumatol</w:t>
      </w:r>
      <w:r w:rsidRPr="00DA75A6">
        <w:rPr>
          <w:rFonts w:ascii="Calibri" w:hAnsi="Calibri" w:cs="Calibri"/>
          <w:noProof/>
          <w:sz w:val="24"/>
          <w:szCs w:val="24"/>
        </w:rPr>
        <w:t>. 2020;2(10):e582-e583. doi:10.1016/S2665-</w:t>
      </w:r>
      <w:r w:rsidRPr="00DA75A6">
        <w:rPr>
          <w:rFonts w:ascii="Calibri" w:hAnsi="Calibri" w:cs="Calibri"/>
          <w:noProof/>
          <w:sz w:val="24"/>
          <w:szCs w:val="24"/>
        </w:rPr>
        <w:lastRenderedPageBreak/>
        <w:t>9913(20)30232-0</w:t>
      </w:r>
    </w:p>
    <w:p w14:paraId="31941DE9" w14:textId="77777777" w:rsidR="00DA75A6" w:rsidRPr="00DA75A6" w:rsidRDefault="00DA75A6" w:rsidP="00DA75A6">
      <w:pPr>
        <w:widowControl w:val="0"/>
        <w:autoSpaceDE w:val="0"/>
        <w:autoSpaceDN w:val="0"/>
        <w:adjustRightInd w:val="0"/>
        <w:spacing w:line="480" w:lineRule="auto"/>
        <w:ind w:left="640" w:hanging="640"/>
        <w:rPr>
          <w:rFonts w:ascii="Calibri" w:hAnsi="Calibri" w:cs="Calibri"/>
          <w:noProof/>
          <w:sz w:val="24"/>
          <w:szCs w:val="24"/>
        </w:rPr>
      </w:pPr>
      <w:r w:rsidRPr="00DA75A6">
        <w:rPr>
          <w:rFonts w:ascii="Calibri" w:hAnsi="Calibri" w:cs="Calibri"/>
          <w:noProof/>
          <w:sz w:val="24"/>
          <w:szCs w:val="24"/>
        </w:rPr>
        <w:t xml:space="preserve">20. </w:t>
      </w:r>
      <w:r w:rsidRPr="00DA75A6">
        <w:rPr>
          <w:rFonts w:ascii="Calibri" w:hAnsi="Calibri" w:cs="Calibri"/>
          <w:noProof/>
          <w:sz w:val="24"/>
          <w:szCs w:val="24"/>
        </w:rPr>
        <w:tab/>
        <w:t xml:space="preserve">Tsareva NA, Avdeev SN, Kosanovic D, Schermuly RT, Trushenko N V., Nekludova G V. Inhaled iloprost improves gas exchange in patients with COVID-19 and acute respiratory distress syndrome. </w:t>
      </w:r>
      <w:r w:rsidRPr="00DA75A6">
        <w:rPr>
          <w:rFonts w:ascii="Calibri" w:hAnsi="Calibri" w:cs="Calibri"/>
          <w:i/>
          <w:iCs/>
          <w:noProof/>
          <w:sz w:val="24"/>
          <w:szCs w:val="24"/>
        </w:rPr>
        <w:t>Crit Care</w:t>
      </w:r>
      <w:r w:rsidRPr="00DA75A6">
        <w:rPr>
          <w:rFonts w:ascii="Calibri" w:hAnsi="Calibri" w:cs="Calibri"/>
          <w:noProof/>
          <w:sz w:val="24"/>
          <w:szCs w:val="24"/>
        </w:rPr>
        <w:t>. 2021;25(1):1-3. doi:10.1186/s13054-021-03690-7</w:t>
      </w:r>
    </w:p>
    <w:p w14:paraId="1A4C4D43" w14:textId="77777777" w:rsidR="00DA75A6" w:rsidRPr="00DA75A6" w:rsidRDefault="00DA75A6" w:rsidP="00DA75A6">
      <w:pPr>
        <w:widowControl w:val="0"/>
        <w:autoSpaceDE w:val="0"/>
        <w:autoSpaceDN w:val="0"/>
        <w:adjustRightInd w:val="0"/>
        <w:spacing w:line="480" w:lineRule="auto"/>
        <w:ind w:left="640" w:hanging="640"/>
        <w:rPr>
          <w:rFonts w:ascii="Calibri" w:hAnsi="Calibri" w:cs="Calibri"/>
          <w:noProof/>
          <w:sz w:val="24"/>
          <w:szCs w:val="24"/>
        </w:rPr>
      </w:pPr>
      <w:r w:rsidRPr="00DA75A6">
        <w:rPr>
          <w:rFonts w:ascii="Calibri" w:hAnsi="Calibri" w:cs="Calibri"/>
          <w:noProof/>
          <w:sz w:val="24"/>
          <w:szCs w:val="24"/>
        </w:rPr>
        <w:t xml:space="preserve">21. </w:t>
      </w:r>
      <w:r w:rsidRPr="00DA75A6">
        <w:rPr>
          <w:rFonts w:ascii="Calibri" w:hAnsi="Calibri" w:cs="Calibri"/>
          <w:noProof/>
          <w:sz w:val="24"/>
          <w:szCs w:val="24"/>
        </w:rPr>
        <w:tab/>
        <w:t xml:space="preserve">Adhikari NKJ, Dellinger RP, Lundin S, et al. Inhaled nitric oxide does not reduce mortality in patients with acute respiratory distress syndrome regardless of severity: Systematic review and meta-analysis. </w:t>
      </w:r>
      <w:r w:rsidRPr="00DA75A6">
        <w:rPr>
          <w:rFonts w:ascii="Calibri" w:hAnsi="Calibri" w:cs="Calibri"/>
          <w:i/>
          <w:iCs/>
          <w:noProof/>
          <w:sz w:val="24"/>
          <w:szCs w:val="24"/>
        </w:rPr>
        <w:t>Crit Care Med</w:t>
      </w:r>
      <w:r w:rsidRPr="00DA75A6">
        <w:rPr>
          <w:rFonts w:ascii="Calibri" w:hAnsi="Calibri" w:cs="Calibri"/>
          <w:noProof/>
          <w:sz w:val="24"/>
          <w:szCs w:val="24"/>
        </w:rPr>
        <w:t>. 2014;42(2):404-412. doi:10.1097/CCM.0b013e3182a27909</w:t>
      </w:r>
    </w:p>
    <w:p w14:paraId="7C3CC01A" w14:textId="77777777" w:rsidR="00DA75A6" w:rsidRPr="00DA75A6" w:rsidRDefault="00DA75A6" w:rsidP="00DA75A6">
      <w:pPr>
        <w:widowControl w:val="0"/>
        <w:autoSpaceDE w:val="0"/>
        <w:autoSpaceDN w:val="0"/>
        <w:adjustRightInd w:val="0"/>
        <w:spacing w:line="480" w:lineRule="auto"/>
        <w:ind w:left="640" w:hanging="640"/>
        <w:rPr>
          <w:rFonts w:ascii="Calibri" w:hAnsi="Calibri" w:cs="Calibri"/>
          <w:noProof/>
          <w:sz w:val="24"/>
          <w:szCs w:val="24"/>
        </w:rPr>
      </w:pPr>
      <w:r w:rsidRPr="00DA75A6">
        <w:rPr>
          <w:rFonts w:ascii="Calibri" w:hAnsi="Calibri" w:cs="Calibri"/>
          <w:noProof/>
          <w:sz w:val="24"/>
          <w:szCs w:val="24"/>
        </w:rPr>
        <w:t xml:space="preserve">22. </w:t>
      </w:r>
      <w:r w:rsidRPr="00DA75A6">
        <w:rPr>
          <w:rFonts w:ascii="Calibri" w:hAnsi="Calibri" w:cs="Calibri"/>
          <w:noProof/>
          <w:sz w:val="24"/>
          <w:szCs w:val="24"/>
        </w:rPr>
        <w:tab/>
        <w:t xml:space="preserve">Garfield B, McFadyen C, Briar C, et al. Potential for personalised application of inhaled nitric oxide in COVID-19 pneumonia. </w:t>
      </w:r>
      <w:r w:rsidRPr="00DA75A6">
        <w:rPr>
          <w:rFonts w:ascii="Calibri" w:hAnsi="Calibri" w:cs="Calibri"/>
          <w:i/>
          <w:iCs/>
          <w:noProof/>
          <w:sz w:val="24"/>
          <w:szCs w:val="24"/>
        </w:rPr>
        <w:t>Br J Anaesth</w:t>
      </w:r>
      <w:r w:rsidRPr="00DA75A6">
        <w:rPr>
          <w:rFonts w:ascii="Calibri" w:hAnsi="Calibri" w:cs="Calibri"/>
          <w:noProof/>
          <w:sz w:val="24"/>
          <w:szCs w:val="24"/>
        </w:rPr>
        <w:t>. 2021;126(2):e72-e75. doi:10.1016/j.bja.2020.11.006</w:t>
      </w:r>
    </w:p>
    <w:p w14:paraId="41A2B190" w14:textId="77777777" w:rsidR="00DA75A6" w:rsidRPr="00DA75A6" w:rsidRDefault="00DA75A6" w:rsidP="00DA75A6">
      <w:pPr>
        <w:widowControl w:val="0"/>
        <w:autoSpaceDE w:val="0"/>
        <w:autoSpaceDN w:val="0"/>
        <w:adjustRightInd w:val="0"/>
        <w:spacing w:line="480" w:lineRule="auto"/>
        <w:ind w:left="640" w:hanging="640"/>
        <w:rPr>
          <w:rFonts w:ascii="Calibri" w:hAnsi="Calibri" w:cs="Calibri"/>
          <w:noProof/>
          <w:sz w:val="24"/>
          <w:szCs w:val="24"/>
        </w:rPr>
      </w:pPr>
      <w:r w:rsidRPr="00DA75A6">
        <w:rPr>
          <w:rFonts w:ascii="Calibri" w:hAnsi="Calibri" w:cs="Calibri"/>
          <w:noProof/>
          <w:sz w:val="24"/>
          <w:szCs w:val="24"/>
        </w:rPr>
        <w:t xml:space="preserve">23. </w:t>
      </w:r>
      <w:r w:rsidRPr="00DA75A6">
        <w:rPr>
          <w:rFonts w:ascii="Calibri" w:hAnsi="Calibri" w:cs="Calibri"/>
          <w:noProof/>
          <w:sz w:val="24"/>
          <w:szCs w:val="24"/>
        </w:rPr>
        <w:tab/>
        <w:t xml:space="preserve">Epstein FH, Moncada S, Higgs A. The L-Arginine-Nitric Oxide Pathway. </w:t>
      </w:r>
      <w:r w:rsidRPr="00DA75A6">
        <w:rPr>
          <w:rFonts w:ascii="Calibri" w:hAnsi="Calibri" w:cs="Calibri"/>
          <w:i/>
          <w:iCs/>
          <w:noProof/>
          <w:sz w:val="24"/>
          <w:szCs w:val="24"/>
        </w:rPr>
        <w:t>N Engl J Med</w:t>
      </w:r>
      <w:r w:rsidRPr="00DA75A6">
        <w:rPr>
          <w:rFonts w:ascii="Calibri" w:hAnsi="Calibri" w:cs="Calibri"/>
          <w:noProof/>
          <w:sz w:val="24"/>
          <w:szCs w:val="24"/>
        </w:rPr>
        <w:t>. 1993;329(27):2002-2012. doi:10.1056/nejm199312303292706</w:t>
      </w:r>
    </w:p>
    <w:p w14:paraId="1982AE91" w14:textId="77777777" w:rsidR="00DA75A6" w:rsidRPr="00DA75A6" w:rsidRDefault="00DA75A6" w:rsidP="00DA75A6">
      <w:pPr>
        <w:widowControl w:val="0"/>
        <w:autoSpaceDE w:val="0"/>
        <w:autoSpaceDN w:val="0"/>
        <w:adjustRightInd w:val="0"/>
        <w:spacing w:line="480" w:lineRule="auto"/>
        <w:ind w:left="640" w:hanging="640"/>
        <w:rPr>
          <w:rFonts w:ascii="Calibri" w:hAnsi="Calibri" w:cs="Calibri"/>
          <w:noProof/>
          <w:sz w:val="24"/>
          <w:szCs w:val="24"/>
        </w:rPr>
      </w:pPr>
      <w:r w:rsidRPr="00DA75A6">
        <w:rPr>
          <w:rFonts w:ascii="Calibri" w:hAnsi="Calibri" w:cs="Calibri"/>
          <w:noProof/>
          <w:sz w:val="24"/>
          <w:szCs w:val="24"/>
        </w:rPr>
        <w:t xml:space="preserve">24. </w:t>
      </w:r>
      <w:r w:rsidRPr="00DA75A6">
        <w:rPr>
          <w:rFonts w:ascii="Calibri" w:hAnsi="Calibri" w:cs="Calibri"/>
          <w:noProof/>
          <w:sz w:val="24"/>
          <w:szCs w:val="24"/>
        </w:rPr>
        <w:tab/>
        <w:t xml:space="preserve">Ignarro L. </w:t>
      </w:r>
      <w:r w:rsidRPr="00DA75A6">
        <w:rPr>
          <w:rFonts w:ascii="Calibri" w:hAnsi="Calibri" w:cs="Calibri"/>
          <w:i/>
          <w:iCs/>
          <w:noProof/>
          <w:sz w:val="24"/>
          <w:szCs w:val="24"/>
        </w:rPr>
        <w:t>Nitric Oxide: Biology and Pathobiology</w:t>
      </w:r>
      <w:r w:rsidRPr="00DA75A6">
        <w:rPr>
          <w:rFonts w:ascii="Calibri" w:hAnsi="Calibri" w:cs="Calibri"/>
          <w:noProof/>
          <w:sz w:val="24"/>
          <w:szCs w:val="24"/>
        </w:rPr>
        <w:t>.; 2000. https://books.google.com/books?hl=en&amp;lr=&amp;id=h5FugARr4bgC&amp;oi=fnd&amp;pg=PP1&amp;ots=dZBRM0r9Jj&amp;sig=QgQMSkvgu9H0T2Mb8r9AqssI1Rk. Accessed July 21, 2021.</w:t>
      </w:r>
    </w:p>
    <w:p w14:paraId="456FAE91" w14:textId="77777777" w:rsidR="00DA75A6" w:rsidRPr="00DA75A6" w:rsidRDefault="00DA75A6" w:rsidP="00DA75A6">
      <w:pPr>
        <w:widowControl w:val="0"/>
        <w:autoSpaceDE w:val="0"/>
        <w:autoSpaceDN w:val="0"/>
        <w:adjustRightInd w:val="0"/>
        <w:spacing w:line="480" w:lineRule="auto"/>
        <w:ind w:left="640" w:hanging="640"/>
        <w:rPr>
          <w:rFonts w:ascii="Calibri" w:hAnsi="Calibri" w:cs="Calibri"/>
          <w:noProof/>
          <w:sz w:val="24"/>
          <w:szCs w:val="24"/>
        </w:rPr>
      </w:pPr>
      <w:r w:rsidRPr="00DA75A6">
        <w:rPr>
          <w:rFonts w:ascii="Calibri" w:hAnsi="Calibri" w:cs="Calibri"/>
          <w:noProof/>
          <w:sz w:val="24"/>
          <w:szCs w:val="24"/>
        </w:rPr>
        <w:t xml:space="preserve">25. </w:t>
      </w:r>
      <w:r w:rsidRPr="00DA75A6">
        <w:rPr>
          <w:rFonts w:ascii="Calibri" w:hAnsi="Calibri" w:cs="Calibri"/>
          <w:noProof/>
          <w:sz w:val="24"/>
          <w:szCs w:val="24"/>
        </w:rPr>
        <w:tab/>
        <w:t xml:space="preserve">Fang W, Jiang J, Su L, et al. The role of NO in COVID-19 and potential therapeutic strategies. </w:t>
      </w:r>
      <w:r w:rsidRPr="00DA75A6">
        <w:rPr>
          <w:rFonts w:ascii="Calibri" w:hAnsi="Calibri" w:cs="Calibri"/>
          <w:i/>
          <w:iCs/>
          <w:noProof/>
          <w:sz w:val="24"/>
          <w:szCs w:val="24"/>
        </w:rPr>
        <w:t>Free Radic Biol Med</w:t>
      </w:r>
      <w:r w:rsidRPr="00DA75A6">
        <w:rPr>
          <w:rFonts w:ascii="Calibri" w:hAnsi="Calibri" w:cs="Calibri"/>
          <w:noProof/>
          <w:sz w:val="24"/>
          <w:szCs w:val="24"/>
        </w:rPr>
        <w:t>. 2021;163:153-162. doi:10.1016/j.freeradbiomed.2020.12.008</w:t>
      </w:r>
    </w:p>
    <w:p w14:paraId="6888CBDD" w14:textId="77777777" w:rsidR="00DA75A6" w:rsidRPr="00DA75A6" w:rsidRDefault="00DA75A6" w:rsidP="00DA75A6">
      <w:pPr>
        <w:widowControl w:val="0"/>
        <w:autoSpaceDE w:val="0"/>
        <w:autoSpaceDN w:val="0"/>
        <w:adjustRightInd w:val="0"/>
        <w:spacing w:line="480" w:lineRule="auto"/>
        <w:ind w:left="640" w:hanging="640"/>
        <w:rPr>
          <w:rFonts w:ascii="Calibri" w:hAnsi="Calibri" w:cs="Calibri"/>
          <w:noProof/>
          <w:sz w:val="24"/>
          <w:szCs w:val="24"/>
        </w:rPr>
      </w:pPr>
      <w:r w:rsidRPr="00DA75A6">
        <w:rPr>
          <w:rFonts w:ascii="Calibri" w:hAnsi="Calibri" w:cs="Calibri"/>
          <w:noProof/>
          <w:sz w:val="24"/>
          <w:szCs w:val="24"/>
        </w:rPr>
        <w:t xml:space="preserve">26. </w:t>
      </w:r>
      <w:r w:rsidRPr="00DA75A6">
        <w:rPr>
          <w:rFonts w:ascii="Calibri" w:hAnsi="Calibri" w:cs="Calibri"/>
          <w:noProof/>
          <w:sz w:val="24"/>
          <w:szCs w:val="24"/>
        </w:rPr>
        <w:tab/>
        <w:t xml:space="preserve">Tavazzi G, Marco P, Mongodi S, Dammassa V, Romito G, Mojoli F. Inhaled nitric oxide in patients admitted to intensive care unit with COVID-19 pneumonia. </w:t>
      </w:r>
      <w:r w:rsidRPr="00DA75A6">
        <w:rPr>
          <w:rFonts w:ascii="Calibri" w:hAnsi="Calibri" w:cs="Calibri"/>
          <w:i/>
          <w:iCs/>
          <w:noProof/>
          <w:sz w:val="24"/>
          <w:szCs w:val="24"/>
        </w:rPr>
        <w:t>Crit Care</w:t>
      </w:r>
      <w:r w:rsidRPr="00DA75A6">
        <w:rPr>
          <w:rFonts w:ascii="Calibri" w:hAnsi="Calibri" w:cs="Calibri"/>
          <w:noProof/>
          <w:sz w:val="24"/>
          <w:szCs w:val="24"/>
        </w:rPr>
        <w:t xml:space="preserve">. </w:t>
      </w:r>
      <w:r w:rsidRPr="00DA75A6">
        <w:rPr>
          <w:rFonts w:ascii="Calibri" w:hAnsi="Calibri" w:cs="Calibri"/>
          <w:noProof/>
          <w:sz w:val="24"/>
          <w:szCs w:val="24"/>
        </w:rPr>
        <w:lastRenderedPageBreak/>
        <w:t>2020;24(1):1-2. doi:10.1186/s13054-020-03222-9</w:t>
      </w:r>
    </w:p>
    <w:p w14:paraId="6301B94C" w14:textId="77777777" w:rsidR="00DA75A6" w:rsidRPr="00DA75A6" w:rsidRDefault="00DA75A6" w:rsidP="00DA75A6">
      <w:pPr>
        <w:widowControl w:val="0"/>
        <w:autoSpaceDE w:val="0"/>
        <w:autoSpaceDN w:val="0"/>
        <w:adjustRightInd w:val="0"/>
        <w:spacing w:line="480" w:lineRule="auto"/>
        <w:ind w:left="640" w:hanging="640"/>
        <w:rPr>
          <w:rFonts w:ascii="Calibri" w:hAnsi="Calibri" w:cs="Calibri"/>
          <w:noProof/>
          <w:sz w:val="24"/>
          <w:szCs w:val="24"/>
        </w:rPr>
      </w:pPr>
      <w:r w:rsidRPr="00DA75A6">
        <w:rPr>
          <w:rFonts w:ascii="Calibri" w:hAnsi="Calibri" w:cs="Calibri"/>
          <w:noProof/>
          <w:sz w:val="24"/>
          <w:szCs w:val="24"/>
        </w:rPr>
        <w:t xml:space="preserve">27. </w:t>
      </w:r>
      <w:r w:rsidRPr="00DA75A6">
        <w:rPr>
          <w:rFonts w:ascii="Calibri" w:hAnsi="Calibri" w:cs="Calibri"/>
          <w:noProof/>
          <w:sz w:val="24"/>
          <w:szCs w:val="24"/>
        </w:rPr>
        <w:tab/>
        <w:t xml:space="preserve">Abou-Arab O, Huette P, Debouvries F, Dupont H, Jounieaux V, Mahjoub Y. Inhaled nitric oxide for critically ill Covid-19 patients: a prospective study. </w:t>
      </w:r>
      <w:r w:rsidRPr="00DA75A6">
        <w:rPr>
          <w:rFonts w:ascii="Calibri" w:hAnsi="Calibri" w:cs="Calibri"/>
          <w:i/>
          <w:iCs/>
          <w:noProof/>
          <w:sz w:val="24"/>
          <w:szCs w:val="24"/>
        </w:rPr>
        <w:t>Crit Care</w:t>
      </w:r>
      <w:r w:rsidRPr="00DA75A6">
        <w:rPr>
          <w:rFonts w:ascii="Calibri" w:hAnsi="Calibri" w:cs="Calibri"/>
          <w:noProof/>
          <w:sz w:val="24"/>
          <w:szCs w:val="24"/>
        </w:rPr>
        <w:t>. 2020;24(1):1-3. doi:10.1186/s13054-020-03371-x</w:t>
      </w:r>
    </w:p>
    <w:p w14:paraId="542E748C" w14:textId="77777777" w:rsidR="00DA75A6" w:rsidRPr="00DA75A6" w:rsidRDefault="00DA75A6" w:rsidP="00DA75A6">
      <w:pPr>
        <w:widowControl w:val="0"/>
        <w:autoSpaceDE w:val="0"/>
        <w:autoSpaceDN w:val="0"/>
        <w:adjustRightInd w:val="0"/>
        <w:spacing w:line="480" w:lineRule="auto"/>
        <w:ind w:left="640" w:hanging="640"/>
        <w:rPr>
          <w:rFonts w:ascii="Calibri" w:hAnsi="Calibri" w:cs="Calibri"/>
          <w:noProof/>
          <w:sz w:val="24"/>
        </w:rPr>
      </w:pPr>
      <w:r w:rsidRPr="00DA75A6">
        <w:rPr>
          <w:rFonts w:ascii="Calibri" w:hAnsi="Calibri" w:cs="Calibri"/>
          <w:noProof/>
          <w:sz w:val="24"/>
          <w:szCs w:val="24"/>
        </w:rPr>
        <w:t xml:space="preserve">28. </w:t>
      </w:r>
      <w:r w:rsidRPr="00DA75A6">
        <w:rPr>
          <w:rFonts w:ascii="Calibri" w:hAnsi="Calibri" w:cs="Calibri"/>
          <w:noProof/>
          <w:sz w:val="24"/>
          <w:szCs w:val="24"/>
        </w:rPr>
        <w:tab/>
        <w:t xml:space="preserve">Longobardo A, Montanari C, Shulman R, Benhalim S, Singer M, Arulkumaran N. Inhaled nitric oxide minimally improves oxygenation in COVID-19 related acute respiratory distress syndrome. </w:t>
      </w:r>
      <w:r w:rsidRPr="00DA75A6">
        <w:rPr>
          <w:rFonts w:ascii="Calibri" w:hAnsi="Calibri" w:cs="Calibri"/>
          <w:i/>
          <w:iCs/>
          <w:noProof/>
          <w:sz w:val="24"/>
          <w:szCs w:val="24"/>
        </w:rPr>
        <w:t>Br J Anaesth</w:t>
      </w:r>
      <w:r w:rsidRPr="00DA75A6">
        <w:rPr>
          <w:rFonts w:ascii="Calibri" w:hAnsi="Calibri" w:cs="Calibri"/>
          <w:noProof/>
          <w:sz w:val="24"/>
          <w:szCs w:val="24"/>
        </w:rPr>
        <w:t>. 2021;126(1):e44-e46. doi:10.1016/j.bja.2020.10.011</w:t>
      </w:r>
    </w:p>
    <w:p w14:paraId="01C59267" w14:textId="321D4613" w:rsidR="000244D8" w:rsidRPr="008D337D" w:rsidRDefault="00C30463" w:rsidP="008D337D">
      <w:pPr>
        <w:spacing w:line="480" w:lineRule="auto"/>
        <w:jc w:val="both"/>
        <w:rPr>
          <w:rFonts w:cstheme="minorHAnsi"/>
          <w:b/>
          <w:bCs/>
          <w:sz w:val="24"/>
          <w:szCs w:val="24"/>
        </w:rPr>
      </w:pPr>
      <w:r w:rsidRPr="008D337D">
        <w:rPr>
          <w:rFonts w:cstheme="minorHAnsi"/>
          <w:sz w:val="24"/>
          <w:szCs w:val="24"/>
        </w:rPr>
        <w:fldChar w:fldCharType="end"/>
      </w:r>
      <w:r w:rsidR="000244D8" w:rsidRPr="008D337D">
        <w:rPr>
          <w:rFonts w:cstheme="minorHAnsi"/>
          <w:b/>
          <w:bCs/>
          <w:sz w:val="24"/>
          <w:szCs w:val="24"/>
        </w:rPr>
        <w:t xml:space="preserve">Declarations </w:t>
      </w:r>
    </w:p>
    <w:p w14:paraId="138E3A02" w14:textId="77777777" w:rsidR="000244D8" w:rsidRPr="008D337D" w:rsidRDefault="000244D8" w:rsidP="008D337D">
      <w:pPr>
        <w:pStyle w:val="Heading3"/>
        <w:spacing w:line="480" w:lineRule="auto"/>
        <w:jc w:val="both"/>
        <w:rPr>
          <w:rFonts w:asciiTheme="minorHAnsi" w:hAnsiTheme="minorHAnsi" w:cstheme="minorHAnsi"/>
          <w:b/>
          <w:bCs/>
          <w:color w:val="auto"/>
          <w:lang w:val="en-US"/>
        </w:rPr>
      </w:pPr>
      <w:r w:rsidRPr="008D337D">
        <w:rPr>
          <w:rFonts w:asciiTheme="minorHAnsi" w:hAnsiTheme="minorHAnsi" w:cstheme="minorHAnsi"/>
          <w:b/>
          <w:bCs/>
          <w:color w:val="auto"/>
          <w:lang w:val="en-US"/>
        </w:rPr>
        <w:t>Ethics approval and consent to participate</w:t>
      </w:r>
    </w:p>
    <w:p w14:paraId="5254283C" w14:textId="789AA27D" w:rsidR="000244D8" w:rsidRPr="008D337D" w:rsidRDefault="000244D8" w:rsidP="008D337D">
      <w:pPr>
        <w:spacing w:line="480" w:lineRule="auto"/>
        <w:jc w:val="both"/>
        <w:rPr>
          <w:rFonts w:cstheme="minorHAnsi"/>
          <w:sz w:val="24"/>
          <w:szCs w:val="24"/>
          <w:shd w:val="clear" w:color="auto" w:fill="FFFFFF"/>
        </w:rPr>
      </w:pPr>
      <w:r w:rsidRPr="008D337D">
        <w:rPr>
          <w:rFonts w:cstheme="minorHAnsi"/>
          <w:sz w:val="24"/>
          <w:szCs w:val="24"/>
          <w:shd w:val="clear" w:color="auto" w:fill="FFFFFF"/>
        </w:rPr>
        <w:t>This study was part of a larger observational cohort study (REACT-COVID Observational Database) and has the approval of the local research and development and National Health Research Authority (IRAS:</w:t>
      </w:r>
      <w:r w:rsidR="003826F5">
        <w:rPr>
          <w:rFonts w:cstheme="minorHAnsi"/>
          <w:sz w:val="24"/>
          <w:szCs w:val="24"/>
          <w:shd w:val="clear" w:color="auto" w:fill="FFFFFF"/>
        </w:rPr>
        <w:t xml:space="preserve"> </w:t>
      </w:r>
      <w:r w:rsidRPr="008D337D">
        <w:rPr>
          <w:rFonts w:cstheme="minorHAnsi"/>
          <w:sz w:val="24"/>
          <w:szCs w:val="24"/>
          <w:shd w:val="clear" w:color="auto" w:fill="FFFFFF"/>
        </w:rPr>
        <w:t xml:space="preserve">285145) with a REC reference 20/HRA/2986. Due to the nature of the study consent was waived. </w:t>
      </w:r>
    </w:p>
    <w:p w14:paraId="0198578C" w14:textId="77777777" w:rsidR="000244D8" w:rsidRPr="008D337D" w:rsidRDefault="000244D8" w:rsidP="008D337D">
      <w:pPr>
        <w:pStyle w:val="Heading3"/>
        <w:spacing w:line="480" w:lineRule="auto"/>
        <w:jc w:val="both"/>
        <w:rPr>
          <w:rFonts w:asciiTheme="minorHAnsi" w:hAnsiTheme="minorHAnsi" w:cstheme="minorHAnsi"/>
          <w:b/>
          <w:bCs/>
          <w:color w:val="auto"/>
          <w:lang w:val="en-US"/>
        </w:rPr>
      </w:pPr>
      <w:r w:rsidRPr="008D337D">
        <w:rPr>
          <w:rFonts w:asciiTheme="minorHAnsi" w:hAnsiTheme="minorHAnsi" w:cstheme="minorHAnsi"/>
          <w:b/>
          <w:bCs/>
          <w:color w:val="auto"/>
          <w:lang w:val="en-US"/>
        </w:rPr>
        <w:t xml:space="preserve">Consent for publication </w:t>
      </w:r>
    </w:p>
    <w:p w14:paraId="4C634FDA" w14:textId="77777777" w:rsidR="000244D8" w:rsidRPr="008D337D" w:rsidRDefault="000244D8" w:rsidP="008D337D">
      <w:pPr>
        <w:spacing w:line="480" w:lineRule="auto"/>
        <w:jc w:val="both"/>
        <w:rPr>
          <w:rFonts w:cstheme="minorHAnsi"/>
          <w:sz w:val="24"/>
          <w:szCs w:val="24"/>
          <w:lang w:val="en-US"/>
        </w:rPr>
      </w:pPr>
      <w:r w:rsidRPr="008D337D">
        <w:rPr>
          <w:rFonts w:cstheme="minorHAnsi"/>
          <w:sz w:val="24"/>
          <w:szCs w:val="24"/>
          <w:lang w:val="en-US"/>
        </w:rPr>
        <w:t xml:space="preserve">Not applicable. </w:t>
      </w:r>
    </w:p>
    <w:p w14:paraId="18FB4EAB" w14:textId="77777777" w:rsidR="000244D8" w:rsidRPr="008D337D" w:rsidRDefault="000244D8" w:rsidP="008D337D">
      <w:pPr>
        <w:pStyle w:val="Heading3"/>
        <w:spacing w:line="480" w:lineRule="auto"/>
        <w:jc w:val="both"/>
        <w:rPr>
          <w:rFonts w:asciiTheme="minorHAnsi" w:hAnsiTheme="minorHAnsi" w:cstheme="minorHAnsi"/>
          <w:b/>
          <w:bCs/>
          <w:color w:val="auto"/>
          <w:lang w:val="en-US"/>
        </w:rPr>
      </w:pPr>
      <w:r w:rsidRPr="008D337D">
        <w:rPr>
          <w:rFonts w:asciiTheme="minorHAnsi" w:hAnsiTheme="minorHAnsi" w:cstheme="minorHAnsi"/>
          <w:b/>
          <w:bCs/>
          <w:color w:val="auto"/>
          <w:lang w:val="en-US"/>
        </w:rPr>
        <w:t xml:space="preserve">Availability of data and materials </w:t>
      </w:r>
    </w:p>
    <w:p w14:paraId="7C05A758" w14:textId="77777777" w:rsidR="000244D8" w:rsidRPr="008D337D" w:rsidRDefault="000244D8" w:rsidP="008D337D">
      <w:pPr>
        <w:spacing w:line="480" w:lineRule="auto"/>
        <w:jc w:val="both"/>
        <w:rPr>
          <w:rFonts w:cstheme="minorHAnsi"/>
          <w:sz w:val="24"/>
          <w:szCs w:val="24"/>
          <w:lang w:val="en-US"/>
        </w:rPr>
      </w:pPr>
      <w:r w:rsidRPr="008D337D">
        <w:rPr>
          <w:rFonts w:cstheme="minorHAnsi"/>
          <w:sz w:val="24"/>
          <w:szCs w:val="24"/>
          <w:lang w:val="en-US"/>
        </w:rPr>
        <w:t xml:space="preserve">The datasets used and/or analysed during the current study are available from the corresponding author on reasonable request. </w:t>
      </w:r>
    </w:p>
    <w:p w14:paraId="7FF1E821" w14:textId="6E22929D" w:rsidR="000244D8" w:rsidRPr="008D337D" w:rsidRDefault="00282B83" w:rsidP="008D337D">
      <w:pPr>
        <w:pStyle w:val="Heading3"/>
        <w:spacing w:line="480" w:lineRule="auto"/>
        <w:jc w:val="both"/>
        <w:rPr>
          <w:rFonts w:asciiTheme="minorHAnsi" w:hAnsiTheme="minorHAnsi" w:cstheme="minorHAnsi"/>
          <w:b/>
          <w:bCs/>
          <w:color w:val="auto"/>
          <w:lang w:val="en-US"/>
        </w:rPr>
      </w:pPr>
      <w:r>
        <w:rPr>
          <w:rFonts w:asciiTheme="minorHAnsi" w:hAnsiTheme="minorHAnsi" w:cstheme="minorHAnsi"/>
          <w:b/>
          <w:bCs/>
          <w:color w:val="auto"/>
          <w:lang w:val="en-US"/>
        </w:rPr>
        <w:t>Declaration of conflicting interests</w:t>
      </w:r>
    </w:p>
    <w:p w14:paraId="7E634248" w14:textId="62AE32CC" w:rsidR="000244D8" w:rsidRPr="008D337D" w:rsidRDefault="00282B83" w:rsidP="005211F4">
      <w:pPr>
        <w:spacing w:line="480" w:lineRule="auto"/>
        <w:jc w:val="both"/>
        <w:rPr>
          <w:rFonts w:cstheme="minorHAnsi"/>
          <w:sz w:val="24"/>
          <w:szCs w:val="24"/>
          <w:lang w:val="en-US"/>
        </w:rPr>
      </w:pPr>
      <w:r>
        <w:rPr>
          <w:rFonts w:cstheme="minorHAnsi"/>
          <w:sz w:val="24"/>
          <w:szCs w:val="24"/>
          <w:lang w:val="en-US"/>
        </w:rPr>
        <w:t>The Authors declare</w:t>
      </w:r>
      <w:r w:rsidRPr="00282B83">
        <w:rPr>
          <w:rFonts w:cstheme="minorHAnsi"/>
          <w:sz w:val="24"/>
          <w:szCs w:val="24"/>
          <w:lang w:val="en-US"/>
        </w:rPr>
        <w:t xml:space="preserve"> that there is no conflict of interest</w:t>
      </w:r>
      <w:r w:rsidR="000244D8" w:rsidRPr="008D337D">
        <w:rPr>
          <w:rFonts w:cstheme="minorHAnsi"/>
          <w:sz w:val="24"/>
          <w:szCs w:val="24"/>
          <w:lang w:val="en-US"/>
        </w:rPr>
        <w:t xml:space="preserve">. </w:t>
      </w:r>
    </w:p>
    <w:p w14:paraId="6871C637" w14:textId="77777777" w:rsidR="000244D8" w:rsidRPr="008D337D" w:rsidRDefault="000244D8" w:rsidP="005211F4">
      <w:pPr>
        <w:pStyle w:val="Heading3"/>
        <w:spacing w:line="480" w:lineRule="auto"/>
        <w:jc w:val="both"/>
        <w:rPr>
          <w:rFonts w:asciiTheme="minorHAnsi" w:hAnsiTheme="minorHAnsi" w:cstheme="minorHAnsi"/>
          <w:b/>
          <w:bCs/>
          <w:color w:val="auto"/>
        </w:rPr>
      </w:pPr>
      <w:r w:rsidRPr="008D337D">
        <w:rPr>
          <w:rFonts w:asciiTheme="minorHAnsi" w:hAnsiTheme="minorHAnsi" w:cstheme="minorHAnsi"/>
          <w:b/>
          <w:bCs/>
          <w:color w:val="auto"/>
        </w:rPr>
        <w:lastRenderedPageBreak/>
        <w:t xml:space="preserve">Authors contributions </w:t>
      </w:r>
    </w:p>
    <w:p w14:paraId="13B96302" w14:textId="77777777" w:rsidR="00C572C1" w:rsidRPr="00C572C1" w:rsidRDefault="000244D8" w:rsidP="005211F4">
      <w:pPr>
        <w:spacing w:line="480" w:lineRule="auto"/>
        <w:jc w:val="both"/>
        <w:rPr>
          <w:rFonts w:cstheme="minorHAnsi"/>
          <w:sz w:val="24"/>
          <w:szCs w:val="24"/>
          <w:lang w:val="en-US"/>
        </w:rPr>
      </w:pPr>
      <w:r w:rsidRPr="008D337D">
        <w:rPr>
          <w:rFonts w:cstheme="minorHAnsi"/>
          <w:sz w:val="24"/>
          <w:szCs w:val="24"/>
          <w:lang w:val="en-US"/>
        </w:rPr>
        <w:t xml:space="preserve">Conception and </w:t>
      </w:r>
      <w:r w:rsidRPr="00C572C1">
        <w:rPr>
          <w:rFonts w:cstheme="minorHAnsi"/>
          <w:sz w:val="24"/>
          <w:szCs w:val="24"/>
          <w:lang w:val="en-US"/>
        </w:rPr>
        <w:t xml:space="preserve">design: </w:t>
      </w:r>
      <w:r w:rsidR="00C572C1" w:rsidRPr="00C572C1">
        <w:rPr>
          <w:rFonts w:cstheme="minorHAnsi"/>
          <w:sz w:val="24"/>
          <w:szCs w:val="24"/>
          <w:lang w:val="en-US"/>
        </w:rPr>
        <w:t>LM, AD</w:t>
      </w:r>
    </w:p>
    <w:p w14:paraId="1EAD070B" w14:textId="77777777" w:rsidR="00C572C1" w:rsidRPr="00C572C1" w:rsidRDefault="00C572C1" w:rsidP="005211F4">
      <w:pPr>
        <w:spacing w:line="480" w:lineRule="auto"/>
        <w:jc w:val="both"/>
        <w:rPr>
          <w:rFonts w:cstheme="minorHAnsi"/>
          <w:sz w:val="24"/>
          <w:szCs w:val="24"/>
          <w:lang w:val="en-US"/>
        </w:rPr>
      </w:pPr>
      <w:r w:rsidRPr="00C572C1">
        <w:rPr>
          <w:rFonts w:cstheme="minorHAnsi"/>
          <w:sz w:val="24"/>
          <w:szCs w:val="24"/>
          <w:lang w:val="en-US"/>
        </w:rPr>
        <w:t>Data acquisition: LM, LB, MF, VS, AD</w:t>
      </w:r>
    </w:p>
    <w:p w14:paraId="6FCE1DA5" w14:textId="51F281AC" w:rsidR="000244D8" w:rsidRDefault="00C572C1" w:rsidP="005211F4">
      <w:pPr>
        <w:spacing w:line="480" w:lineRule="auto"/>
        <w:jc w:val="both"/>
        <w:rPr>
          <w:rFonts w:cstheme="minorHAnsi"/>
          <w:sz w:val="24"/>
          <w:szCs w:val="24"/>
          <w:lang w:val="en-US"/>
        </w:rPr>
      </w:pPr>
      <w:r w:rsidRPr="00C572C1">
        <w:rPr>
          <w:rFonts w:cstheme="minorHAnsi"/>
          <w:sz w:val="24"/>
          <w:szCs w:val="24"/>
          <w:lang w:val="en-US"/>
        </w:rPr>
        <w:t>Data analysis and interpretation: LM, AD, JP, MPWG</w:t>
      </w:r>
    </w:p>
    <w:p w14:paraId="5F6594A0" w14:textId="3006D7C8" w:rsidR="00C572C1" w:rsidRDefault="00C572C1" w:rsidP="005211F4">
      <w:pPr>
        <w:spacing w:line="480" w:lineRule="auto"/>
        <w:jc w:val="both"/>
        <w:rPr>
          <w:rFonts w:cstheme="minorHAnsi"/>
          <w:sz w:val="24"/>
          <w:szCs w:val="24"/>
          <w:lang w:val="en-US"/>
        </w:rPr>
      </w:pPr>
      <w:r>
        <w:rPr>
          <w:rFonts w:cstheme="minorHAnsi"/>
          <w:sz w:val="24"/>
          <w:szCs w:val="24"/>
          <w:lang w:val="en-US"/>
        </w:rPr>
        <w:t xml:space="preserve">Drafting the manuscript: </w:t>
      </w:r>
      <w:r w:rsidRPr="00C572C1">
        <w:rPr>
          <w:rFonts w:cstheme="minorHAnsi"/>
          <w:sz w:val="24"/>
          <w:szCs w:val="24"/>
          <w:lang w:val="en-US"/>
        </w:rPr>
        <w:t xml:space="preserve">LM, </w:t>
      </w:r>
      <w:r>
        <w:rPr>
          <w:rFonts w:cstheme="minorHAnsi"/>
          <w:sz w:val="24"/>
          <w:szCs w:val="24"/>
          <w:lang w:val="en-US"/>
        </w:rPr>
        <w:t>LB, MF, VS</w:t>
      </w:r>
    </w:p>
    <w:p w14:paraId="05037145" w14:textId="465FF774" w:rsidR="00C572C1" w:rsidRPr="008D337D" w:rsidRDefault="00C572C1" w:rsidP="005211F4">
      <w:pPr>
        <w:spacing w:line="480" w:lineRule="auto"/>
        <w:jc w:val="both"/>
        <w:rPr>
          <w:rFonts w:cstheme="minorHAnsi"/>
          <w:sz w:val="24"/>
          <w:szCs w:val="24"/>
          <w:lang w:val="en-US"/>
        </w:rPr>
      </w:pPr>
      <w:r>
        <w:rPr>
          <w:rFonts w:cstheme="minorHAnsi"/>
          <w:sz w:val="24"/>
          <w:szCs w:val="24"/>
          <w:lang w:val="en-US"/>
        </w:rPr>
        <w:t>Critical revisions of the manuscript:</w:t>
      </w:r>
      <w:r w:rsidRPr="00C572C1">
        <w:rPr>
          <w:rFonts w:cstheme="minorHAnsi"/>
          <w:sz w:val="24"/>
          <w:szCs w:val="24"/>
          <w:lang w:val="en-US"/>
        </w:rPr>
        <w:t xml:space="preserve"> </w:t>
      </w:r>
      <w:r>
        <w:rPr>
          <w:rFonts w:cstheme="minorHAnsi"/>
          <w:sz w:val="24"/>
          <w:szCs w:val="24"/>
          <w:lang w:val="en-US"/>
        </w:rPr>
        <w:t>AD, JP, MPWG</w:t>
      </w:r>
    </w:p>
    <w:p w14:paraId="36A1092F" w14:textId="617258E5" w:rsidR="00FB669F" w:rsidRDefault="00C572C1" w:rsidP="008D337D">
      <w:pPr>
        <w:spacing w:line="480" w:lineRule="auto"/>
        <w:jc w:val="both"/>
        <w:rPr>
          <w:rFonts w:cstheme="minorHAnsi"/>
          <w:sz w:val="24"/>
          <w:szCs w:val="24"/>
          <w:lang w:val="en-US"/>
        </w:rPr>
      </w:pPr>
      <w:r>
        <w:rPr>
          <w:rFonts w:cstheme="minorHAnsi"/>
          <w:sz w:val="24"/>
          <w:szCs w:val="24"/>
          <w:lang w:val="en-US"/>
        </w:rPr>
        <w:t>Agreement to accountability: All authors</w:t>
      </w:r>
    </w:p>
    <w:p w14:paraId="7AC939BB" w14:textId="77777777" w:rsidR="00FB669F" w:rsidRDefault="00FB669F">
      <w:pPr>
        <w:rPr>
          <w:rFonts w:cstheme="minorHAnsi"/>
          <w:sz w:val="24"/>
          <w:szCs w:val="24"/>
          <w:lang w:val="en-US"/>
        </w:rPr>
      </w:pPr>
      <w:r>
        <w:rPr>
          <w:rFonts w:cstheme="minorHAnsi"/>
          <w:sz w:val="24"/>
          <w:szCs w:val="24"/>
          <w:lang w:val="en-US"/>
        </w:rPr>
        <w:br w:type="page"/>
      </w:r>
    </w:p>
    <w:p w14:paraId="0DA4C9CA" w14:textId="6934491C" w:rsidR="00FB669F" w:rsidRDefault="00FB669F" w:rsidP="00FB669F">
      <w:pPr>
        <w:pStyle w:val="Heading1"/>
        <w:rPr>
          <w:rFonts w:asciiTheme="minorHAnsi" w:hAnsiTheme="minorHAnsi" w:cstheme="minorHAnsi"/>
          <w:b/>
          <w:color w:val="auto"/>
          <w:sz w:val="24"/>
        </w:rPr>
      </w:pPr>
      <w:r w:rsidRPr="00FB669F">
        <w:rPr>
          <w:rFonts w:asciiTheme="minorHAnsi" w:hAnsiTheme="minorHAnsi" w:cstheme="minorHAnsi"/>
          <w:b/>
          <w:color w:val="auto"/>
          <w:sz w:val="24"/>
        </w:rPr>
        <w:lastRenderedPageBreak/>
        <w:t>Tables</w:t>
      </w:r>
    </w:p>
    <w:p w14:paraId="15E59E20" w14:textId="77777777" w:rsidR="00FB669F" w:rsidRPr="00FB669F" w:rsidRDefault="00FB669F" w:rsidP="00FB669F"/>
    <w:p w14:paraId="4AFDD92B" w14:textId="07DE9ADB" w:rsidR="00FB669F" w:rsidRPr="00FB669F" w:rsidRDefault="00FB669F" w:rsidP="00FB669F">
      <w:pPr>
        <w:pStyle w:val="Heading2"/>
        <w:rPr>
          <w:rFonts w:asciiTheme="minorHAnsi" w:hAnsiTheme="minorHAnsi" w:cstheme="minorHAnsi"/>
          <w:color w:val="auto"/>
          <w:sz w:val="24"/>
          <w:szCs w:val="24"/>
        </w:rPr>
      </w:pPr>
      <w:r w:rsidRPr="00FB669F">
        <w:rPr>
          <w:rFonts w:asciiTheme="minorHAnsi" w:hAnsiTheme="minorHAnsi" w:cstheme="minorHAnsi"/>
          <w:color w:val="auto"/>
          <w:sz w:val="24"/>
          <w:szCs w:val="24"/>
        </w:rPr>
        <w:t>Table 1. IPVD th</w:t>
      </w:r>
      <w:r w:rsidR="00ED6C25">
        <w:rPr>
          <w:rFonts w:asciiTheme="minorHAnsi" w:hAnsiTheme="minorHAnsi" w:cstheme="minorHAnsi"/>
          <w:color w:val="auto"/>
          <w:sz w:val="24"/>
          <w:szCs w:val="24"/>
        </w:rPr>
        <w:t>erapy vs. non-IPVD therapy COVID</w:t>
      </w:r>
      <w:r w:rsidRPr="00FB669F">
        <w:rPr>
          <w:rFonts w:asciiTheme="minorHAnsi" w:hAnsiTheme="minorHAnsi" w:cstheme="minorHAnsi"/>
          <w:color w:val="auto"/>
          <w:sz w:val="24"/>
          <w:szCs w:val="24"/>
        </w:rPr>
        <w:t>-19 ICU patients</w:t>
      </w:r>
    </w:p>
    <w:p w14:paraId="64F9EDF6" w14:textId="77777777" w:rsidR="00FB669F" w:rsidRPr="00FB669F" w:rsidRDefault="00FB669F" w:rsidP="00FB669F"/>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24"/>
        <w:gridCol w:w="2220"/>
        <w:gridCol w:w="2367"/>
        <w:gridCol w:w="1015"/>
      </w:tblGrid>
      <w:tr w:rsidR="00FB669F" w:rsidRPr="009D15ED" w14:paraId="0D742344" w14:textId="77777777" w:rsidTr="008E64CC">
        <w:trPr>
          <w:trHeight w:val="300"/>
          <w:jc w:val="center"/>
        </w:trPr>
        <w:tc>
          <w:tcPr>
            <w:tcW w:w="1897" w:type="pct"/>
            <w:tcBorders>
              <w:top w:val="nil"/>
              <w:left w:val="nil"/>
              <w:bottom w:val="single" w:sz="6" w:space="0" w:color="auto"/>
              <w:right w:val="nil"/>
            </w:tcBorders>
            <w:shd w:val="clear" w:color="auto" w:fill="auto"/>
            <w:vAlign w:val="bottom"/>
            <w:hideMark/>
          </w:tcPr>
          <w:p w14:paraId="05DDF82B"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 </w:t>
            </w:r>
          </w:p>
        </w:tc>
        <w:tc>
          <w:tcPr>
            <w:tcW w:w="1230" w:type="pct"/>
            <w:tcBorders>
              <w:top w:val="nil"/>
              <w:left w:val="nil"/>
              <w:bottom w:val="single" w:sz="6" w:space="0" w:color="auto"/>
              <w:right w:val="nil"/>
            </w:tcBorders>
            <w:vAlign w:val="bottom"/>
          </w:tcPr>
          <w:p w14:paraId="2F863C6C" w14:textId="77777777" w:rsidR="00FB669F" w:rsidRPr="009D15ED" w:rsidRDefault="00FB669F" w:rsidP="008E64CC">
            <w:pPr>
              <w:spacing w:after="0" w:line="276" w:lineRule="auto"/>
              <w:jc w:val="center"/>
              <w:textAlignment w:val="baseline"/>
              <w:rPr>
                <w:rFonts w:eastAsia="Times New Roman" w:cstheme="minorHAnsi"/>
                <w:b/>
                <w:bCs/>
                <w:sz w:val="24"/>
                <w:szCs w:val="24"/>
                <w:lang w:eastAsia="en-GB"/>
              </w:rPr>
            </w:pPr>
            <w:r w:rsidRPr="009D15ED">
              <w:rPr>
                <w:rFonts w:eastAsia="Times New Roman" w:cstheme="minorHAnsi"/>
                <w:b/>
                <w:bCs/>
                <w:sz w:val="24"/>
                <w:szCs w:val="24"/>
                <w:lang w:eastAsia="en-GB"/>
              </w:rPr>
              <w:t>IPVD (n=59)</w:t>
            </w:r>
            <w:r w:rsidRPr="009D15ED">
              <w:rPr>
                <w:rFonts w:eastAsia="Times New Roman" w:cstheme="minorHAnsi"/>
                <w:sz w:val="24"/>
                <w:szCs w:val="24"/>
                <w:lang w:eastAsia="en-GB"/>
              </w:rPr>
              <w:t> </w:t>
            </w:r>
          </w:p>
        </w:tc>
        <w:tc>
          <w:tcPr>
            <w:tcW w:w="1311" w:type="pct"/>
            <w:tcBorders>
              <w:top w:val="nil"/>
              <w:left w:val="nil"/>
              <w:bottom w:val="single" w:sz="6" w:space="0" w:color="auto"/>
              <w:right w:val="nil"/>
            </w:tcBorders>
            <w:shd w:val="clear" w:color="auto" w:fill="auto"/>
            <w:vAlign w:val="bottom"/>
            <w:hideMark/>
          </w:tcPr>
          <w:p w14:paraId="4BC8DAEB" w14:textId="77777777" w:rsidR="00FB669F" w:rsidRPr="009D15ED" w:rsidRDefault="00FB669F" w:rsidP="008E64CC">
            <w:pPr>
              <w:spacing w:after="0" w:line="276" w:lineRule="auto"/>
              <w:jc w:val="center"/>
              <w:textAlignment w:val="baseline"/>
              <w:rPr>
                <w:rFonts w:eastAsia="Times New Roman" w:cstheme="minorHAnsi"/>
                <w:b/>
                <w:bCs/>
                <w:sz w:val="24"/>
                <w:szCs w:val="24"/>
                <w:lang w:eastAsia="en-GB"/>
              </w:rPr>
            </w:pPr>
            <w:r w:rsidRPr="009D15ED">
              <w:rPr>
                <w:rFonts w:eastAsia="Times New Roman" w:cstheme="minorHAnsi"/>
                <w:b/>
                <w:bCs/>
                <w:sz w:val="24"/>
                <w:szCs w:val="24"/>
                <w:lang w:eastAsia="en-GB"/>
              </w:rPr>
              <w:t>No IPVD (n=249)</w:t>
            </w:r>
            <w:r w:rsidRPr="009D15ED">
              <w:rPr>
                <w:rFonts w:eastAsia="Times New Roman" w:cstheme="minorHAnsi"/>
                <w:sz w:val="24"/>
                <w:szCs w:val="24"/>
                <w:lang w:eastAsia="en-GB"/>
              </w:rPr>
              <w:t> </w:t>
            </w:r>
          </w:p>
        </w:tc>
        <w:tc>
          <w:tcPr>
            <w:tcW w:w="562" w:type="pct"/>
            <w:tcBorders>
              <w:top w:val="nil"/>
              <w:left w:val="nil"/>
              <w:bottom w:val="single" w:sz="6" w:space="0" w:color="auto"/>
              <w:right w:val="nil"/>
            </w:tcBorders>
            <w:shd w:val="clear" w:color="auto" w:fill="auto"/>
            <w:vAlign w:val="bottom"/>
            <w:hideMark/>
          </w:tcPr>
          <w:p w14:paraId="7383417C"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b/>
                <w:bCs/>
                <w:sz w:val="24"/>
                <w:szCs w:val="24"/>
                <w:lang w:eastAsia="en-GB"/>
              </w:rPr>
              <w:t>p-value</w:t>
            </w:r>
          </w:p>
        </w:tc>
      </w:tr>
      <w:tr w:rsidR="00FB669F" w:rsidRPr="009D15ED" w14:paraId="05120C57" w14:textId="77777777" w:rsidTr="008E64CC">
        <w:trPr>
          <w:trHeight w:val="300"/>
          <w:jc w:val="center"/>
        </w:trPr>
        <w:tc>
          <w:tcPr>
            <w:tcW w:w="1897" w:type="pct"/>
            <w:tcBorders>
              <w:top w:val="single" w:sz="6" w:space="0" w:color="auto"/>
              <w:left w:val="nil"/>
              <w:bottom w:val="nil"/>
              <w:right w:val="nil"/>
            </w:tcBorders>
            <w:shd w:val="clear" w:color="auto" w:fill="auto"/>
            <w:vAlign w:val="bottom"/>
            <w:hideMark/>
          </w:tcPr>
          <w:p w14:paraId="3B79ACDD" w14:textId="77777777" w:rsidR="00FB669F" w:rsidRPr="009D15ED" w:rsidRDefault="00FB669F" w:rsidP="008E64CC">
            <w:pPr>
              <w:spacing w:after="0" w:line="276" w:lineRule="auto"/>
              <w:textAlignment w:val="baseline"/>
              <w:rPr>
                <w:rFonts w:eastAsia="Times New Roman" w:cstheme="minorHAnsi"/>
                <w:sz w:val="24"/>
                <w:szCs w:val="24"/>
                <w:lang w:eastAsia="en-GB"/>
              </w:rPr>
            </w:pPr>
            <w:r w:rsidRPr="009D15ED">
              <w:rPr>
                <w:rFonts w:eastAsia="Times New Roman" w:cstheme="minorHAnsi"/>
                <w:b/>
                <w:bCs/>
                <w:sz w:val="24"/>
                <w:szCs w:val="24"/>
                <w:lang w:eastAsia="en-GB"/>
              </w:rPr>
              <w:t>Age (years)</w:t>
            </w:r>
            <w:r w:rsidRPr="009D15ED">
              <w:rPr>
                <w:rFonts w:eastAsia="Times New Roman" w:cstheme="minorHAnsi"/>
                <w:sz w:val="24"/>
                <w:szCs w:val="24"/>
                <w:lang w:eastAsia="en-GB"/>
              </w:rPr>
              <w:t> </w:t>
            </w:r>
          </w:p>
        </w:tc>
        <w:tc>
          <w:tcPr>
            <w:tcW w:w="1230" w:type="pct"/>
            <w:tcBorders>
              <w:top w:val="single" w:sz="6" w:space="0" w:color="auto"/>
              <w:left w:val="nil"/>
              <w:bottom w:val="nil"/>
              <w:right w:val="nil"/>
            </w:tcBorders>
            <w:vAlign w:val="bottom"/>
          </w:tcPr>
          <w:p w14:paraId="45E966DD"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60 (54-66) </w:t>
            </w:r>
          </w:p>
        </w:tc>
        <w:tc>
          <w:tcPr>
            <w:tcW w:w="1311" w:type="pct"/>
            <w:tcBorders>
              <w:top w:val="single" w:sz="6" w:space="0" w:color="auto"/>
              <w:left w:val="nil"/>
              <w:bottom w:val="nil"/>
              <w:right w:val="nil"/>
            </w:tcBorders>
            <w:shd w:val="clear" w:color="auto" w:fill="auto"/>
            <w:vAlign w:val="bottom"/>
            <w:hideMark/>
          </w:tcPr>
          <w:p w14:paraId="261BF830"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60 (47-71) </w:t>
            </w:r>
          </w:p>
        </w:tc>
        <w:tc>
          <w:tcPr>
            <w:tcW w:w="562" w:type="pct"/>
            <w:tcBorders>
              <w:top w:val="single" w:sz="6" w:space="0" w:color="auto"/>
              <w:left w:val="nil"/>
              <w:bottom w:val="nil"/>
              <w:right w:val="nil"/>
            </w:tcBorders>
            <w:shd w:val="clear" w:color="auto" w:fill="auto"/>
            <w:vAlign w:val="bottom"/>
            <w:hideMark/>
          </w:tcPr>
          <w:p w14:paraId="1A0D235B"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0.753 </w:t>
            </w:r>
          </w:p>
        </w:tc>
      </w:tr>
      <w:tr w:rsidR="00FB669F" w:rsidRPr="009D15ED" w14:paraId="46BCEA55" w14:textId="77777777" w:rsidTr="008E64CC">
        <w:trPr>
          <w:trHeight w:val="300"/>
          <w:jc w:val="center"/>
        </w:trPr>
        <w:tc>
          <w:tcPr>
            <w:tcW w:w="1897" w:type="pct"/>
            <w:tcBorders>
              <w:top w:val="nil"/>
              <w:left w:val="nil"/>
              <w:bottom w:val="nil"/>
              <w:right w:val="nil"/>
            </w:tcBorders>
            <w:shd w:val="clear" w:color="auto" w:fill="auto"/>
            <w:vAlign w:val="bottom"/>
            <w:hideMark/>
          </w:tcPr>
          <w:p w14:paraId="20701483" w14:textId="77777777" w:rsidR="00FB669F" w:rsidRPr="009D15ED" w:rsidRDefault="00FB669F" w:rsidP="008E64CC">
            <w:pPr>
              <w:spacing w:after="0" w:line="276" w:lineRule="auto"/>
              <w:textAlignment w:val="baseline"/>
              <w:rPr>
                <w:rFonts w:eastAsia="Times New Roman" w:cstheme="minorHAnsi"/>
                <w:sz w:val="24"/>
                <w:szCs w:val="24"/>
                <w:lang w:eastAsia="en-GB"/>
              </w:rPr>
            </w:pPr>
            <w:r w:rsidRPr="009D15ED">
              <w:rPr>
                <w:rFonts w:eastAsia="Times New Roman" w:cstheme="minorHAnsi"/>
                <w:b/>
                <w:bCs/>
                <w:sz w:val="24"/>
                <w:szCs w:val="24"/>
                <w:lang w:eastAsia="en-GB"/>
              </w:rPr>
              <w:t>Gender</w:t>
            </w:r>
            <w:r w:rsidRPr="009D15ED">
              <w:rPr>
                <w:rFonts w:eastAsia="Times New Roman" w:cstheme="minorHAnsi"/>
                <w:b/>
                <w:sz w:val="24"/>
                <w:szCs w:val="24"/>
                <w:lang w:eastAsia="en-GB"/>
              </w:rPr>
              <w:t> (n (%))</w:t>
            </w:r>
          </w:p>
        </w:tc>
        <w:tc>
          <w:tcPr>
            <w:tcW w:w="1230" w:type="pct"/>
            <w:tcBorders>
              <w:top w:val="nil"/>
              <w:left w:val="nil"/>
              <w:bottom w:val="nil"/>
              <w:right w:val="nil"/>
            </w:tcBorders>
            <w:vAlign w:val="bottom"/>
          </w:tcPr>
          <w:p w14:paraId="06CFB432"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 </w:t>
            </w:r>
          </w:p>
        </w:tc>
        <w:tc>
          <w:tcPr>
            <w:tcW w:w="1311" w:type="pct"/>
            <w:tcBorders>
              <w:top w:val="nil"/>
              <w:left w:val="nil"/>
              <w:bottom w:val="nil"/>
              <w:right w:val="nil"/>
            </w:tcBorders>
            <w:shd w:val="clear" w:color="auto" w:fill="auto"/>
            <w:vAlign w:val="bottom"/>
            <w:hideMark/>
          </w:tcPr>
          <w:p w14:paraId="69408408"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 </w:t>
            </w:r>
          </w:p>
        </w:tc>
        <w:tc>
          <w:tcPr>
            <w:tcW w:w="562" w:type="pct"/>
            <w:tcBorders>
              <w:top w:val="nil"/>
              <w:left w:val="nil"/>
              <w:bottom w:val="nil"/>
              <w:right w:val="nil"/>
            </w:tcBorders>
            <w:shd w:val="clear" w:color="auto" w:fill="auto"/>
            <w:vAlign w:val="bottom"/>
            <w:hideMark/>
          </w:tcPr>
          <w:p w14:paraId="6B1604A4"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 </w:t>
            </w:r>
          </w:p>
        </w:tc>
      </w:tr>
      <w:tr w:rsidR="00FB669F" w:rsidRPr="009D15ED" w14:paraId="264801AB" w14:textId="77777777" w:rsidTr="008E64CC">
        <w:trPr>
          <w:trHeight w:val="300"/>
          <w:jc w:val="center"/>
        </w:trPr>
        <w:tc>
          <w:tcPr>
            <w:tcW w:w="1897" w:type="pct"/>
            <w:tcBorders>
              <w:top w:val="nil"/>
              <w:left w:val="nil"/>
              <w:bottom w:val="nil"/>
              <w:right w:val="nil"/>
            </w:tcBorders>
            <w:shd w:val="clear" w:color="auto" w:fill="auto"/>
            <w:vAlign w:val="bottom"/>
            <w:hideMark/>
          </w:tcPr>
          <w:p w14:paraId="5876A84D" w14:textId="77777777" w:rsidR="00FB669F" w:rsidRPr="009D15ED" w:rsidRDefault="00FB669F" w:rsidP="008E64CC">
            <w:pPr>
              <w:spacing w:after="0" w:line="276" w:lineRule="auto"/>
              <w:textAlignment w:val="baseline"/>
              <w:rPr>
                <w:rFonts w:eastAsia="Times New Roman" w:cstheme="minorHAnsi"/>
                <w:sz w:val="24"/>
                <w:szCs w:val="24"/>
                <w:lang w:eastAsia="en-GB"/>
              </w:rPr>
            </w:pPr>
            <w:r w:rsidRPr="009D15ED">
              <w:rPr>
                <w:rFonts w:eastAsia="Times New Roman" w:cstheme="minorHAnsi"/>
                <w:i/>
                <w:iCs/>
                <w:sz w:val="24"/>
                <w:szCs w:val="24"/>
                <w:lang w:eastAsia="en-GB"/>
              </w:rPr>
              <w:t>   Male</w:t>
            </w:r>
            <w:r w:rsidRPr="009D15ED">
              <w:rPr>
                <w:rFonts w:eastAsia="Times New Roman" w:cstheme="minorHAnsi"/>
                <w:sz w:val="24"/>
                <w:szCs w:val="24"/>
                <w:lang w:eastAsia="en-GB"/>
              </w:rPr>
              <w:t> </w:t>
            </w:r>
          </w:p>
        </w:tc>
        <w:tc>
          <w:tcPr>
            <w:tcW w:w="1230" w:type="pct"/>
            <w:tcBorders>
              <w:top w:val="nil"/>
              <w:left w:val="nil"/>
              <w:bottom w:val="nil"/>
              <w:right w:val="nil"/>
            </w:tcBorders>
            <w:vAlign w:val="bottom"/>
          </w:tcPr>
          <w:p w14:paraId="5B23819D"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37 (62.7%) </w:t>
            </w:r>
          </w:p>
        </w:tc>
        <w:tc>
          <w:tcPr>
            <w:tcW w:w="1311" w:type="pct"/>
            <w:tcBorders>
              <w:top w:val="nil"/>
              <w:left w:val="nil"/>
              <w:bottom w:val="nil"/>
              <w:right w:val="nil"/>
            </w:tcBorders>
            <w:shd w:val="clear" w:color="auto" w:fill="auto"/>
            <w:vAlign w:val="bottom"/>
            <w:hideMark/>
          </w:tcPr>
          <w:p w14:paraId="7C305699"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164 (65.9%) </w:t>
            </w:r>
          </w:p>
        </w:tc>
        <w:tc>
          <w:tcPr>
            <w:tcW w:w="562" w:type="pct"/>
            <w:tcBorders>
              <w:top w:val="nil"/>
              <w:left w:val="nil"/>
              <w:bottom w:val="nil"/>
              <w:right w:val="nil"/>
            </w:tcBorders>
            <w:shd w:val="clear" w:color="auto" w:fill="auto"/>
            <w:vAlign w:val="bottom"/>
            <w:hideMark/>
          </w:tcPr>
          <w:p w14:paraId="6577215E"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0.648 </w:t>
            </w:r>
          </w:p>
        </w:tc>
      </w:tr>
      <w:tr w:rsidR="00FB669F" w:rsidRPr="009D15ED" w14:paraId="7F324967" w14:textId="77777777" w:rsidTr="008E64CC">
        <w:trPr>
          <w:trHeight w:val="300"/>
          <w:jc w:val="center"/>
        </w:trPr>
        <w:tc>
          <w:tcPr>
            <w:tcW w:w="1897" w:type="pct"/>
            <w:tcBorders>
              <w:top w:val="nil"/>
              <w:left w:val="nil"/>
              <w:bottom w:val="nil"/>
              <w:right w:val="nil"/>
            </w:tcBorders>
            <w:shd w:val="clear" w:color="auto" w:fill="auto"/>
            <w:vAlign w:val="bottom"/>
            <w:hideMark/>
          </w:tcPr>
          <w:p w14:paraId="3374D3E4" w14:textId="77777777" w:rsidR="00FB669F" w:rsidRPr="009D15ED" w:rsidRDefault="00FB669F" w:rsidP="008E64CC">
            <w:pPr>
              <w:spacing w:after="0" w:line="276" w:lineRule="auto"/>
              <w:textAlignment w:val="baseline"/>
              <w:rPr>
                <w:rFonts w:eastAsia="Times New Roman" w:cstheme="minorHAnsi"/>
                <w:sz w:val="24"/>
                <w:szCs w:val="24"/>
                <w:lang w:eastAsia="en-GB"/>
              </w:rPr>
            </w:pPr>
            <w:r w:rsidRPr="009D15ED">
              <w:rPr>
                <w:rFonts w:eastAsia="Times New Roman" w:cstheme="minorHAnsi"/>
                <w:i/>
                <w:iCs/>
                <w:sz w:val="24"/>
                <w:szCs w:val="24"/>
                <w:lang w:eastAsia="en-GB"/>
              </w:rPr>
              <w:t>   Female</w:t>
            </w:r>
            <w:r w:rsidRPr="009D15ED">
              <w:rPr>
                <w:rFonts w:eastAsia="Times New Roman" w:cstheme="minorHAnsi"/>
                <w:sz w:val="24"/>
                <w:szCs w:val="24"/>
                <w:lang w:eastAsia="en-GB"/>
              </w:rPr>
              <w:t> </w:t>
            </w:r>
          </w:p>
        </w:tc>
        <w:tc>
          <w:tcPr>
            <w:tcW w:w="1230" w:type="pct"/>
            <w:tcBorders>
              <w:top w:val="nil"/>
              <w:left w:val="nil"/>
              <w:bottom w:val="nil"/>
              <w:right w:val="nil"/>
            </w:tcBorders>
            <w:vAlign w:val="bottom"/>
          </w:tcPr>
          <w:p w14:paraId="23F19258"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22 (37.3%) </w:t>
            </w:r>
          </w:p>
        </w:tc>
        <w:tc>
          <w:tcPr>
            <w:tcW w:w="1311" w:type="pct"/>
            <w:tcBorders>
              <w:top w:val="nil"/>
              <w:left w:val="nil"/>
              <w:bottom w:val="nil"/>
              <w:right w:val="nil"/>
            </w:tcBorders>
            <w:shd w:val="clear" w:color="auto" w:fill="auto"/>
            <w:vAlign w:val="bottom"/>
            <w:hideMark/>
          </w:tcPr>
          <w:p w14:paraId="0587FC82"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85 (34.1%) </w:t>
            </w:r>
          </w:p>
        </w:tc>
        <w:tc>
          <w:tcPr>
            <w:tcW w:w="562" w:type="pct"/>
            <w:tcBorders>
              <w:top w:val="nil"/>
              <w:left w:val="nil"/>
              <w:bottom w:val="nil"/>
              <w:right w:val="nil"/>
            </w:tcBorders>
            <w:shd w:val="clear" w:color="auto" w:fill="auto"/>
            <w:vAlign w:val="bottom"/>
            <w:hideMark/>
          </w:tcPr>
          <w:p w14:paraId="4CEEC617"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 </w:t>
            </w:r>
          </w:p>
        </w:tc>
      </w:tr>
      <w:tr w:rsidR="00FB669F" w:rsidRPr="009D15ED" w14:paraId="2DF7EB95" w14:textId="77777777" w:rsidTr="008E64CC">
        <w:trPr>
          <w:trHeight w:val="300"/>
          <w:jc w:val="center"/>
        </w:trPr>
        <w:tc>
          <w:tcPr>
            <w:tcW w:w="1897" w:type="pct"/>
            <w:tcBorders>
              <w:top w:val="nil"/>
              <w:left w:val="nil"/>
              <w:bottom w:val="nil"/>
              <w:right w:val="nil"/>
            </w:tcBorders>
            <w:shd w:val="clear" w:color="auto" w:fill="auto"/>
            <w:vAlign w:val="bottom"/>
            <w:hideMark/>
          </w:tcPr>
          <w:p w14:paraId="4736E795" w14:textId="77777777" w:rsidR="00FB669F" w:rsidRPr="009D15ED" w:rsidRDefault="00FB669F" w:rsidP="008E64CC">
            <w:pPr>
              <w:spacing w:after="0" w:line="276" w:lineRule="auto"/>
              <w:textAlignment w:val="baseline"/>
              <w:rPr>
                <w:rFonts w:eastAsia="Times New Roman" w:cstheme="minorHAnsi"/>
                <w:b/>
                <w:sz w:val="24"/>
                <w:szCs w:val="24"/>
                <w:lang w:eastAsia="en-GB"/>
              </w:rPr>
            </w:pPr>
            <w:r w:rsidRPr="009D15ED">
              <w:rPr>
                <w:rFonts w:eastAsia="Times New Roman" w:cstheme="minorHAnsi"/>
                <w:b/>
                <w:bCs/>
                <w:sz w:val="24"/>
                <w:szCs w:val="24"/>
                <w:lang w:eastAsia="en-GB"/>
              </w:rPr>
              <w:t>BMI</w:t>
            </w:r>
            <w:r w:rsidRPr="009D15ED">
              <w:rPr>
                <w:rFonts w:eastAsia="Times New Roman" w:cstheme="minorHAnsi"/>
                <w:b/>
                <w:sz w:val="24"/>
                <w:szCs w:val="24"/>
                <w:lang w:eastAsia="en-GB"/>
              </w:rPr>
              <w:t> (kg/m</w:t>
            </w:r>
            <w:r w:rsidRPr="009D15ED">
              <w:rPr>
                <w:rFonts w:eastAsia="Times New Roman" w:cstheme="minorHAnsi"/>
                <w:b/>
                <w:sz w:val="24"/>
                <w:szCs w:val="24"/>
                <w:vertAlign w:val="superscript"/>
                <w:lang w:eastAsia="en-GB"/>
              </w:rPr>
              <w:t>2</w:t>
            </w:r>
            <w:r w:rsidRPr="009D15ED">
              <w:rPr>
                <w:rFonts w:eastAsia="Times New Roman" w:cstheme="minorHAnsi"/>
                <w:b/>
                <w:sz w:val="24"/>
                <w:szCs w:val="24"/>
                <w:lang w:eastAsia="en-GB"/>
              </w:rPr>
              <w:t>)</w:t>
            </w:r>
          </w:p>
        </w:tc>
        <w:tc>
          <w:tcPr>
            <w:tcW w:w="1230" w:type="pct"/>
            <w:tcBorders>
              <w:top w:val="nil"/>
              <w:left w:val="nil"/>
              <w:bottom w:val="nil"/>
              <w:right w:val="nil"/>
            </w:tcBorders>
            <w:vAlign w:val="bottom"/>
          </w:tcPr>
          <w:p w14:paraId="205F2003"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31.1 (27.1-35.9) </w:t>
            </w:r>
          </w:p>
        </w:tc>
        <w:tc>
          <w:tcPr>
            <w:tcW w:w="1311" w:type="pct"/>
            <w:tcBorders>
              <w:top w:val="nil"/>
              <w:left w:val="nil"/>
              <w:bottom w:val="nil"/>
              <w:right w:val="nil"/>
            </w:tcBorders>
            <w:shd w:val="clear" w:color="auto" w:fill="auto"/>
            <w:vAlign w:val="bottom"/>
            <w:hideMark/>
          </w:tcPr>
          <w:p w14:paraId="7C5BE79B"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30.5 (26-34.8) </w:t>
            </w:r>
          </w:p>
        </w:tc>
        <w:tc>
          <w:tcPr>
            <w:tcW w:w="562" w:type="pct"/>
            <w:tcBorders>
              <w:top w:val="nil"/>
              <w:left w:val="nil"/>
              <w:bottom w:val="nil"/>
              <w:right w:val="nil"/>
            </w:tcBorders>
            <w:shd w:val="clear" w:color="auto" w:fill="auto"/>
            <w:vAlign w:val="bottom"/>
            <w:hideMark/>
          </w:tcPr>
          <w:p w14:paraId="6CD12150"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0.274 </w:t>
            </w:r>
          </w:p>
        </w:tc>
      </w:tr>
      <w:tr w:rsidR="00FB669F" w:rsidRPr="009D15ED" w14:paraId="7E4633A9" w14:textId="77777777" w:rsidTr="008E64CC">
        <w:trPr>
          <w:trHeight w:val="300"/>
          <w:jc w:val="center"/>
        </w:trPr>
        <w:tc>
          <w:tcPr>
            <w:tcW w:w="1897" w:type="pct"/>
            <w:tcBorders>
              <w:top w:val="nil"/>
              <w:left w:val="nil"/>
              <w:bottom w:val="nil"/>
              <w:right w:val="nil"/>
            </w:tcBorders>
            <w:shd w:val="clear" w:color="auto" w:fill="auto"/>
            <w:vAlign w:val="bottom"/>
            <w:hideMark/>
          </w:tcPr>
          <w:p w14:paraId="1B156DCD" w14:textId="77777777" w:rsidR="00FB669F" w:rsidRPr="009D15ED" w:rsidRDefault="00FB669F" w:rsidP="008E64CC">
            <w:pPr>
              <w:spacing w:after="0" w:line="276" w:lineRule="auto"/>
              <w:textAlignment w:val="baseline"/>
              <w:rPr>
                <w:rFonts w:eastAsia="Times New Roman" w:cstheme="minorHAnsi"/>
                <w:b/>
                <w:sz w:val="24"/>
                <w:szCs w:val="24"/>
                <w:lang w:eastAsia="en-GB"/>
              </w:rPr>
            </w:pPr>
            <w:r w:rsidRPr="009D15ED">
              <w:rPr>
                <w:rFonts w:eastAsia="Times New Roman" w:cstheme="minorHAnsi"/>
                <w:b/>
                <w:bCs/>
                <w:sz w:val="24"/>
                <w:szCs w:val="24"/>
                <w:lang w:eastAsia="en-GB"/>
              </w:rPr>
              <w:t>Ethnicity</w:t>
            </w:r>
            <w:r w:rsidRPr="009D15ED">
              <w:rPr>
                <w:rFonts w:eastAsia="Times New Roman" w:cstheme="minorHAnsi"/>
                <w:b/>
                <w:sz w:val="24"/>
                <w:szCs w:val="24"/>
                <w:lang w:eastAsia="en-GB"/>
              </w:rPr>
              <w:t> (n (%))</w:t>
            </w:r>
          </w:p>
        </w:tc>
        <w:tc>
          <w:tcPr>
            <w:tcW w:w="1230" w:type="pct"/>
            <w:tcBorders>
              <w:top w:val="nil"/>
              <w:left w:val="nil"/>
              <w:bottom w:val="nil"/>
              <w:right w:val="nil"/>
            </w:tcBorders>
            <w:vAlign w:val="bottom"/>
          </w:tcPr>
          <w:p w14:paraId="20220D91"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 </w:t>
            </w:r>
          </w:p>
        </w:tc>
        <w:tc>
          <w:tcPr>
            <w:tcW w:w="1311" w:type="pct"/>
            <w:tcBorders>
              <w:top w:val="nil"/>
              <w:left w:val="nil"/>
              <w:bottom w:val="nil"/>
              <w:right w:val="nil"/>
            </w:tcBorders>
            <w:shd w:val="clear" w:color="auto" w:fill="auto"/>
            <w:vAlign w:val="bottom"/>
            <w:hideMark/>
          </w:tcPr>
          <w:p w14:paraId="556F4113"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 </w:t>
            </w:r>
          </w:p>
        </w:tc>
        <w:tc>
          <w:tcPr>
            <w:tcW w:w="562" w:type="pct"/>
            <w:tcBorders>
              <w:top w:val="nil"/>
              <w:left w:val="nil"/>
              <w:bottom w:val="nil"/>
              <w:right w:val="nil"/>
            </w:tcBorders>
            <w:shd w:val="clear" w:color="auto" w:fill="auto"/>
            <w:vAlign w:val="bottom"/>
            <w:hideMark/>
          </w:tcPr>
          <w:p w14:paraId="28206818"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 </w:t>
            </w:r>
          </w:p>
        </w:tc>
      </w:tr>
      <w:tr w:rsidR="00FB669F" w:rsidRPr="009D15ED" w14:paraId="756BC47A" w14:textId="77777777" w:rsidTr="008E64CC">
        <w:trPr>
          <w:trHeight w:val="300"/>
          <w:jc w:val="center"/>
        </w:trPr>
        <w:tc>
          <w:tcPr>
            <w:tcW w:w="1897" w:type="pct"/>
            <w:tcBorders>
              <w:top w:val="nil"/>
              <w:left w:val="nil"/>
              <w:bottom w:val="nil"/>
              <w:right w:val="nil"/>
            </w:tcBorders>
            <w:shd w:val="clear" w:color="auto" w:fill="auto"/>
            <w:vAlign w:val="bottom"/>
            <w:hideMark/>
          </w:tcPr>
          <w:p w14:paraId="6638DD84" w14:textId="77777777" w:rsidR="00FB669F" w:rsidRPr="009D15ED" w:rsidRDefault="00FB669F" w:rsidP="008E64CC">
            <w:pPr>
              <w:spacing w:after="0" w:line="276" w:lineRule="auto"/>
              <w:textAlignment w:val="baseline"/>
              <w:rPr>
                <w:rFonts w:eastAsia="Times New Roman" w:cstheme="minorHAnsi"/>
                <w:sz w:val="24"/>
                <w:szCs w:val="24"/>
                <w:lang w:eastAsia="en-GB"/>
              </w:rPr>
            </w:pPr>
            <w:r w:rsidRPr="009D15ED">
              <w:rPr>
                <w:rFonts w:eastAsia="Times New Roman" w:cstheme="minorHAnsi"/>
                <w:i/>
                <w:iCs/>
                <w:sz w:val="24"/>
                <w:szCs w:val="24"/>
                <w:lang w:eastAsia="en-GB"/>
              </w:rPr>
              <w:t>   White</w:t>
            </w:r>
            <w:r w:rsidRPr="009D15ED">
              <w:rPr>
                <w:rFonts w:eastAsia="Times New Roman" w:cstheme="minorHAnsi"/>
                <w:sz w:val="24"/>
                <w:szCs w:val="24"/>
                <w:lang w:eastAsia="en-GB"/>
              </w:rPr>
              <w:t> </w:t>
            </w:r>
          </w:p>
        </w:tc>
        <w:tc>
          <w:tcPr>
            <w:tcW w:w="1230" w:type="pct"/>
            <w:tcBorders>
              <w:top w:val="nil"/>
              <w:left w:val="nil"/>
              <w:bottom w:val="nil"/>
              <w:right w:val="nil"/>
            </w:tcBorders>
            <w:vAlign w:val="bottom"/>
          </w:tcPr>
          <w:p w14:paraId="2E970C5D"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41 (69.5%) </w:t>
            </w:r>
          </w:p>
        </w:tc>
        <w:tc>
          <w:tcPr>
            <w:tcW w:w="1311" w:type="pct"/>
            <w:tcBorders>
              <w:top w:val="nil"/>
              <w:left w:val="nil"/>
              <w:bottom w:val="nil"/>
              <w:right w:val="nil"/>
            </w:tcBorders>
            <w:shd w:val="clear" w:color="auto" w:fill="auto"/>
            <w:vAlign w:val="bottom"/>
            <w:hideMark/>
          </w:tcPr>
          <w:p w14:paraId="73C2057A"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190 (76.3%) </w:t>
            </w:r>
          </w:p>
        </w:tc>
        <w:tc>
          <w:tcPr>
            <w:tcW w:w="562" w:type="pct"/>
            <w:tcBorders>
              <w:top w:val="nil"/>
              <w:left w:val="nil"/>
              <w:bottom w:val="nil"/>
              <w:right w:val="nil"/>
            </w:tcBorders>
            <w:shd w:val="clear" w:color="auto" w:fill="auto"/>
            <w:vAlign w:val="bottom"/>
            <w:hideMark/>
          </w:tcPr>
          <w:p w14:paraId="75591446"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0.609 </w:t>
            </w:r>
          </w:p>
        </w:tc>
      </w:tr>
      <w:tr w:rsidR="00FB669F" w:rsidRPr="009D15ED" w14:paraId="3B884613" w14:textId="77777777" w:rsidTr="008E64CC">
        <w:trPr>
          <w:trHeight w:val="300"/>
          <w:jc w:val="center"/>
        </w:trPr>
        <w:tc>
          <w:tcPr>
            <w:tcW w:w="1897" w:type="pct"/>
            <w:tcBorders>
              <w:top w:val="nil"/>
              <w:left w:val="nil"/>
              <w:bottom w:val="nil"/>
              <w:right w:val="nil"/>
            </w:tcBorders>
            <w:shd w:val="clear" w:color="auto" w:fill="auto"/>
            <w:vAlign w:val="bottom"/>
            <w:hideMark/>
          </w:tcPr>
          <w:p w14:paraId="425D70AF" w14:textId="77777777" w:rsidR="00FB669F" w:rsidRPr="009D15ED" w:rsidRDefault="00FB669F" w:rsidP="008E64CC">
            <w:pPr>
              <w:spacing w:after="0" w:line="276" w:lineRule="auto"/>
              <w:textAlignment w:val="baseline"/>
              <w:rPr>
                <w:rFonts w:eastAsia="Times New Roman" w:cstheme="minorHAnsi"/>
                <w:sz w:val="24"/>
                <w:szCs w:val="24"/>
                <w:lang w:eastAsia="en-GB"/>
              </w:rPr>
            </w:pPr>
            <w:r w:rsidRPr="009D15ED">
              <w:rPr>
                <w:rFonts w:eastAsia="Times New Roman" w:cstheme="minorHAnsi"/>
                <w:i/>
                <w:iCs/>
                <w:sz w:val="24"/>
                <w:szCs w:val="24"/>
                <w:lang w:eastAsia="en-GB"/>
              </w:rPr>
              <w:t>   Asian</w:t>
            </w:r>
            <w:r w:rsidRPr="009D15ED">
              <w:rPr>
                <w:rFonts w:eastAsia="Times New Roman" w:cstheme="minorHAnsi"/>
                <w:sz w:val="24"/>
                <w:szCs w:val="24"/>
                <w:lang w:eastAsia="en-GB"/>
              </w:rPr>
              <w:t> </w:t>
            </w:r>
          </w:p>
        </w:tc>
        <w:tc>
          <w:tcPr>
            <w:tcW w:w="1230" w:type="pct"/>
            <w:tcBorders>
              <w:top w:val="nil"/>
              <w:left w:val="nil"/>
              <w:bottom w:val="nil"/>
              <w:right w:val="nil"/>
            </w:tcBorders>
            <w:vAlign w:val="bottom"/>
          </w:tcPr>
          <w:p w14:paraId="15B8C6DD"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12 (20.3%) </w:t>
            </w:r>
          </w:p>
        </w:tc>
        <w:tc>
          <w:tcPr>
            <w:tcW w:w="1311" w:type="pct"/>
            <w:tcBorders>
              <w:top w:val="nil"/>
              <w:left w:val="nil"/>
              <w:bottom w:val="nil"/>
              <w:right w:val="nil"/>
            </w:tcBorders>
            <w:shd w:val="clear" w:color="auto" w:fill="auto"/>
            <w:vAlign w:val="bottom"/>
            <w:hideMark/>
          </w:tcPr>
          <w:p w14:paraId="6CB1C53A"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38 (15.3%) </w:t>
            </w:r>
          </w:p>
        </w:tc>
        <w:tc>
          <w:tcPr>
            <w:tcW w:w="562" w:type="pct"/>
            <w:tcBorders>
              <w:top w:val="nil"/>
              <w:left w:val="nil"/>
              <w:bottom w:val="nil"/>
              <w:right w:val="nil"/>
            </w:tcBorders>
            <w:shd w:val="clear" w:color="auto" w:fill="auto"/>
            <w:vAlign w:val="bottom"/>
            <w:hideMark/>
          </w:tcPr>
          <w:p w14:paraId="7AE84411"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 </w:t>
            </w:r>
          </w:p>
        </w:tc>
      </w:tr>
      <w:tr w:rsidR="00FB669F" w:rsidRPr="009D15ED" w14:paraId="4E3E52FF" w14:textId="77777777" w:rsidTr="008E64CC">
        <w:trPr>
          <w:trHeight w:val="300"/>
          <w:jc w:val="center"/>
        </w:trPr>
        <w:tc>
          <w:tcPr>
            <w:tcW w:w="1897" w:type="pct"/>
            <w:tcBorders>
              <w:top w:val="nil"/>
              <w:left w:val="nil"/>
              <w:bottom w:val="nil"/>
              <w:right w:val="nil"/>
            </w:tcBorders>
            <w:shd w:val="clear" w:color="auto" w:fill="auto"/>
            <w:vAlign w:val="bottom"/>
            <w:hideMark/>
          </w:tcPr>
          <w:p w14:paraId="75F51127" w14:textId="77777777" w:rsidR="00FB669F" w:rsidRPr="009D15ED" w:rsidRDefault="00FB669F" w:rsidP="008E64CC">
            <w:pPr>
              <w:spacing w:after="0" w:line="276" w:lineRule="auto"/>
              <w:textAlignment w:val="baseline"/>
              <w:rPr>
                <w:rFonts w:eastAsia="Times New Roman" w:cstheme="minorHAnsi"/>
                <w:sz w:val="24"/>
                <w:szCs w:val="24"/>
                <w:lang w:eastAsia="en-GB"/>
              </w:rPr>
            </w:pPr>
            <w:r w:rsidRPr="009D15ED">
              <w:rPr>
                <w:rFonts w:eastAsia="Times New Roman" w:cstheme="minorHAnsi"/>
                <w:i/>
                <w:iCs/>
                <w:sz w:val="24"/>
                <w:szCs w:val="24"/>
                <w:lang w:eastAsia="en-GB"/>
              </w:rPr>
              <w:t>   Black</w:t>
            </w:r>
            <w:r w:rsidRPr="009D15ED">
              <w:rPr>
                <w:rFonts w:eastAsia="Times New Roman" w:cstheme="minorHAnsi"/>
                <w:sz w:val="24"/>
                <w:szCs w:val="24"/>
                <w:lang w:eastAsia="en-GB"/>
              </w:rPr>
              <w:t> </w:t>
            </w:r>
          </w:p>
        </w:tc>
        <w:tc>
          <w:tcPr>
            <w:tcW w:w="1230" w:type="pct"/>
            <w:tcBorders>
              <w:top w:val="nil"/>
              <w:left w:val="nil"/>
              <w:bottom w:val="nil"/>
              <w:right w:val="nil"/>
            </w:tcBorders>
            <w:vAlign w:val="bottom"/>
          </w:tcPr>
          <w:p w14:paraId="55A00598"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4 (6.8%) </w:t>
            </w:r>
          </w:p>
        </w:tc>
        <w:tc>
          <w:tcPr>
            <w:tcW w:w="1311" w:type="pct"/>
            <w:tcBorders>
              <w:top w:val="nil"/>
              <w:left w:val="nil"/>
              <w:bottom w:val="nil"/>
              <w:right w:val="nil"/>
            </w:tcBorders>
            <w:shd w:val="clear" w:color="auto" w:fill="auto"/>
            <w:vAlign w:val="bottom"/>
            <w:hideMark/>
          </w:tcPr>
          <w:p w14:paraId="77037EF1"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11 (4.4%) </w:t>
            </w:r>
          </w:p>
        </w:tc>
        <w:tc>
          <w:tcPr>
            <w:tcW w:w="562" w:type="pct"/>
            <w:tcBorders>
              <w:top w:val="nil"/>
              <w:left w:val="nil"/>
              <w:bottom w:val="nil"/>
              <w:right w:val="nil"/>
            </w:tcBorders>
            <w:shd w:val="clear" w:color="auto" w:fill="auto"/>
            <w:vAlign w:val="bottom"/>
            <w:hideMark/>
          </w:tcPr>
          <w:p w14:paraId="5C29E4E0"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 </w:t>
            </w:r>
          </w:p>
        </w:tc>
      </w:tr>
      <w:tr w:rsidR="00FB669F" w:rsidRPr="009D15ED" w14:paraId="1B3FDE3A" w14:textId="77777777" w:rsidTr="008E64CC">
        <w:trPr>
          <w:trHeight w:val="300"/>
          <w:jc w:val="center"/>
        </w:trPr>
        <w:tc>
          <w:tcPr>
            <w:tcW w:w="1897" w:type="pct"/>
            <w:tcBorders>
              <w:top w:val="nil"/>
              <w:left w:val="nil"/>
              <w:bottom w:val="nil"/>
              <w:right w:val="nil"/>
            </w:tcBorders>
            <w:shd w:val="clear" w:color="auto" w:fill="auto"/>
            <w:vAlign w:val="bottom"/>
            <w:hideMark/>
          </w:tcPr>
          <w:p w14:paraId="4802D083" w14:textId="77777777" w:rsidR="00FB669F" w:rsidRPr="009D15ED" w:rsidRDefault="00FB669F" w:rsidP="008E64CC">
            <w:pPr>
              <w:spacing w:after="0" w:line="276" w:lineRule="auto"/>
              <w:textAlignment w:val="baseline"/>
              <w:rPr>
                <w:rFonts w:eastAsia="Times New Roman" w:cstheme="minorHAnsi"/>
                <w:sz w:val="24"/>
                <w:szCs w:val="24"/>
                <w:lang w:eastAsia="en-GB"/>
              </w:rPr>
            </w:pPr>
            <w:r w:rsidRPr="009D15ED">
              <w:rPr>
                <w:rFonts w:eastAsia="Times New Roman" w:cstheme="minorHAnsi"/>
                <w:i/>
                <w:iCs/>
                <w:sz w:val="24"/>
                <w:szCs w:val="24"/>
                <w:lang w:eastAsia="en-GB"/>
              </w:rPr>
              <w:t>   Mixed</w:t>
            </w:r>
            <w:r w:rsidRPr="009D15ED">
              <w:rPr>
                <w:rFonts w:eastAsia="Times New Roman" w:cstheme="minorHAnsi"/>
                <w:sz w:val="24"/>
                <w:szCs w:val="24"/>
                <w:lang w:eastAsia="en-GB"/>
              </w:rPr>
              <w:t> </w:t>
            </w:r>
          </w:p>
        </w:tc>
        <w:tc>
          <w:tcPr>
            <w:tcW w:w="1230" w:type="pct"/>
            <w:tcBorders>
              <w:top w:val="nil"/>
              <w:left w:val="nil"/>
              <w:bottom w:val="nil"/>
              <w:right w:val="nil"/>
            </w:tcBorders>
            <w:vAlign w:val="bottom"/>
          </w:tcPr>
          <w:p w14:paraId="2F05FD32"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2 (3.4%) </w:t>
            </w:r>
          </w:p>
        </w:tc>
        <w:tc>
          <w:tcPr>
            <w:tcW w:w="1311" w:type="pct"/>
            <w:tcBorders>
              <w:top w:val="nil"/>
              <w:left w:val="nil"/>
              <w:bottom w:val="nil"/>
              <w:right w:val="nil"/>
            </w:tcBorders>
            <w:shd w:val="clear" w:color="auto" w:fill="auto"/>
            <w:vAlign w:val="bottom"/>
            <w:hideMark/>
          </w:tcPr>
          <w:p w14:paraId="13CF2535"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6 (2.4%) </w:t>
            </w:r>
          </w:p>
        </w:tc>
        <w:tc>
          <w:tcPr>
            <w:tcW w:w="562" w:type="pct"/>
            <w:tcBorders>
              <w:top w:val="nil"/>
              <w:left w:val="nil"/>
              <w:bottom w:val="nil"/>
              <w:right w:val="nil"/>
            </w:tcBorders>
            <w:shd w:val="clear" w:color="auto" w:fill="auto"/>
            <w:vAlign w:val="bottom"/>
            <w:hideMark/>
          </w:tcPr>
          <w:p w14:paraId="0CD32505"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 </w:t>
            </w:r>
          </w:p>
        </w:tc>
      </w:tr>
      <w:tr w:rsidR="00FB669F" w:rsidRPr="009D15ED" w14:paraId="50C8372A" w14:textId="77777777" w:rsidTr="008E64CC">
        <w:trPr>
          <w:trHeight w:val="300"/>
          <w:jc w:val="center"/>
        </w:trPr>
        <w:tc>
          <w:tcPr>
            <w:tcW w:w="1897" w:type="pct"/>
            <w:tcBorders>
              <w:top w:val="nil"/>
              <w:left w:val="nil"/>
              <w:bottom w:val="nil"/>
              <w:right w:val="nil"/>
            </w:tcBorders>
            <w:shd w:val="clear" w:color="auto" w:fill="auto"/>
            <w:vAlign w:val="bottom"/>
            <w:hideMark/>
          </w:tcPr>
          <w:p w14:paraId="7C3D0D64" w14:textId="77777777" w:rsidR="00FB669F" w:rsidRPr="009D15ED" w:rsidRDefault="00FB669F" w:rsidP="008E64CC">
            <w:pPr>
              <w:spacing w:after="0" w:line="276" w:lineRule="auto"/>
              <w:textAlignment w:val="baseline"/>
              <w:rPr>
                <w:rFonts w:eastAsia="Times New Roman" w:cstheme="minorHAnsi"/>
                <w:sz w:val="24"/>
                <w:szCs w:val="24"/>
                <w:lang w:eastAsia="en-GB"/>
              </w:rPr>
            </w:pPr>
            <w:r w:rsidRPr="009D15ED">
              <w:rPr>
                <w:rFonts w:eastAsia="Times New Roman" w:cstheme="minorHAnsi"/>
                <w:i/>
                <w:iCs/>
                <w:sz w:val="24"/>
                <w:szCs w:val="24"/>
                <w:lang w:eastAsia="en-GB"/>
              </w:rPr>
              <w:t>   Unknown</w:t>
            </w:r>
            <w:r w:rsidRPr="009D15ED">
              <w:rPr>
                <w:rFonts w:eastAsia="Times New Roman" w:cstheme="minorHAnsi"/>
                <w:sz w:val="24"/>
                <w:szCs w:val="24"/>
                <w:lang w:eastAsia="en-GB"/>
              </w:rPr>
              <w:t> </w:t>
            </w:r>
          </w:p>
        </w:tc>
        <w:tc>
          <w:tcPr>
            <w:tcW w:w="1230" w:type="pct"/>
            <w:tcBorders>
              <w:top w:val="nil"/>
              <w:left w:val="nil"/>
              <w:bottom w:val="nil"/>
              <w:right w:val="nil"/>
            </w:tcBorders>
            <w:vAlign w:val="bottom"/>
          </w:tcPr>
          <w:p w14:paraId="4D37A99E"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 </w:t>
            </w:r>
          </w:p>
        </w:tc>
        <w:tc>
          <w:tcPr>
            <w:tcW w:w="1311" w:type="pct"/>
            <w:tcBorders>
              <w:top w:val="nil"/>
              <w:left w:val="nil"/>
              <w:bottom w:val="nil"/>
              <w:right w:val="nil"/>
            </w:tcBorders>
            <w:shd w:val="clear" w:color="auto" w:fill="auto"/>
            <w:vAlign w:val="bottom"/>
            <w:hideMark/>
          </w:tcPr>
          <w:p w14:paraId="6B72E8A3"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4 (1.6%) </w:t>
            </w:r>
          </w:p>
        </w:tc>
        <w:tc>
          <w:tcPr>
            <w:tcW w:w="562" w:type="pct"/>
            <w:tcBorders>
              <w:top w:val="nil"/>
              <w:left w:val="nil"/>
              <w:bottom w:val="nil"/>
              <w:right w:val="nil"/>
            </w:tcBorders>
            <w:shd w:val="clear" w:color="auto" w:fill="auto"/>
            <w:vAlign w:val="bottom"/>
            <w:hideMark/>
          </w:tcPr>
          <w:p w14:paraId="3253B80A"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 </w:t>
            </w:r>
          </w:p>
        </w:tc>
      </w:tr>
      <w:tr w:rsidR="00FB669F" w:rsidRPr="009D15ED" w14:paraId="02A07AEB" w14:textId="77777777" w:rsidTr="008E64CC">
        <w:trPr>
          <w:trHeight w:val="300"/>
          <w:jc w:val="center"/>
        </w:trPr>
        <w:tc>
          <w:tcPr>
            <w:tcW w:w="1897" w:type="pct"/>
            <w:tcBorders>
              <w:top w:val="nil"/>
              <w:left w:val="nil"/>
              <w:bottom w:val="nil"/>
              <w:right w:val="nil"/>
            </w:tcBorders>
            <w:shd w:val="clear" w:color="auto" w:fill="auto"/>
            <w:vAlign w:val="bottom"/>
            <w:hideMark/>
          </w:tcPr>
          <w:p w14:paraId="2BF936CD" w14:textId="77777777" w:rsidR="00FB669F" w:rsidRPr="009D15ED" w:rsidRDefault="00FB669F" w:rsidP="008E64CC">
            <w:pPr>
              <w:spacing w:after="0" w:line="276" w:lineRule="auto"/>
              <w:textAlignment w:val="baseline"/>
              <w:rPr>
                <w:rFonts w:eastAsia="Times New Roman" w:cstheme="minorHAnsi"/>
                <w:b/>
                <w:sz w:val="24"/>
                <w:szCs w:val="24"/>
                <w:lang w:eastAsia="en-GB"/>
              </w:rPr>
            </w:pPr>
            <w:r w:rsidRPr="009D15ED">
              <w:rPr>
                <w:rFonts w:eastAsia="Times New Roman" w:cstheme="minorHAnsi"/>
                <w:b/>
                <w:bCs/>
                <w:sz w:val="24"/>
                <w:szCs w:val="24"/>
                <w:lang w:eastAsia="en-GB"/>
              </w:rPr>
              <w:t>Comorbidities</w:t>
            </w:r>
            <w:r w:rsidRPr="009D15ED">
              <w:rPr>
                <w:rFonts w:eastAsia="Times New Roman" w:cstheme="minorHAnsi"/>
                <w:b/>
                <w:sz w:val="24"/>
                <w:szCs w:val="24"/>
                <w:lang w:eastAsia="en-GB"/>
              </w:rPr>
              <w:t> (n (%))</w:t>
            </w:r>
          </w:p>
        </w:tc>
        <w:tc>
          <w:tcPr>
            <w:tcW w:w="1230" w:type="pct"/>
            <w:tcBorders>
              <w:top w:val="nil"/>
              <w:left w:val="nil"/>
              <w:bottom w:val="nil"/>
              <w:right w:val="nil"/>
            </w:tcBorders>
            <w:vAlign w:val="bottom"/>
          </w:tcPr>
          <w:p w14:paraId="12B82992"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 </w:t>
            </w:r>
          </w:p>
        </w:tc>
        <w:tc>
          <w:tcPr>
            <w:tcW w:w="1311" w:type="pct"/>
            <w:tcBorders>
              <w:top w:val="nil"/>
              <w:left w:val="nil"/>
              <w:bottom w:val="nil"/>
              <w:right w:val="nil"/>
            </w:tcBorders>
            <w:shd w:val="clear" w:color="auto" w:fill="auto"/>
            <w:vAlign w:val="bottom"/>
            <w:hideMark/>
          </w:tcPr>
          <w:p w14:paraId="3E1F8A60"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 </w:t>
            </w:r>
          </w:p>
        </w:tc>
        <w:tc>
          <w:tcPr>
            <w:tcW w:w="562" w:type="pct"/>
            <w:tcBorders>
              <w:top w:val="nil"/>
              <w:left w:val="nil"/>
              <w:bottom w:val="nil"/>
              <w:right w:val="nil"/>
            </w:tcBorders>
            <w:shd w:val="clear" w:color="auto" w:fill="auto"/>
            <w:vAlign w:val="bottom"/>
            <w:hideMark/>
          </w:tcPr>
          <w:p w14:paraId="5B0C5186"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 </w:t>
            </w:r>
          </w:p>
        </w:tc>
      </w:tr>
      <w:tr w:rsidR="00FB669F" w:rsidRPr="009D15ED" w14:paraId="463CD95E" w14:textId="77777777" w:rsidTr="008E64CC">
        <w:trPr>
          <w:trHeight w:val="300"/>
          <w:jc w:val="center"/>
        </w:trPr>
        <w:tc>
          <w:tcPr>
            <w:tcW w:w="1897" w:type="pct"/>
            <w:tcBorders>
              <w:top w:val="nil"/>
              <w:left w:val="nil"/>
              <w:bottom w:val="nil"/>
              <w:right w:val="nil"/>
            </w:tcBorders>
            <w:shd w:val="clear" w:color="auto" w:fill="auto"/>
            <w:vAlign w:val="bottom"/>
            <w:hideMark/>
          </w:tcPr>
          <w:p w14:paraId="619838CD" w14:textId="77777777" w:rsidR="00FB669F" w:rsidRPr="009D15ED" w:rsidRDefault="00FB669F" w:rsidP="008E64CC">
            <w:pPr>
              <w:spacing w:after="0" w:line="276" w:lineRule="auto"/>
              <w:textAlignment w:val="baseline"/>
              <w:rPr>
                <w:rFonts w:eastAsia="Times New Roman" w:cstheme="minorHAnsi"/>
                <w:sz w:val="24"/>
                <w:szCs w:val="24"/>
                <w:lang w:eastAsia="en-GB"/>
              </w:rPr>
            </w:pPr>
            <w:r w:rsidRPr="009D15ED">
              <w:rPr>
                <w:rFonts w:eastAsia="Times New Roman" w:cstheme="minorHAnsi"/>
                <w:i/>
                <w:iCs/>
                <w:sz w:val="24"/>
                <w:szCs w:val="24"/>
                <w:lang w:eastAsia="en-GB"/>
              </w:rPr>
              <w:t>   T1DM</w:t>
            </w:r>
            <w:r w:rsidRPr="009D15ED">
              <w:rPr>
                <w:rFonts w:eastAsia="Times New Roman" w:cstheme="minorHAnsi"/>
                <w:sz w:val="24"/>
                <w:szCs w:val="24"/>
                <w:lang w:eastAsia="en-GB"/>
              </w:rPr>
              <w:t> </w:t>
            </w:r>
          </w:p>
        </w:tc>
        <w:tc>
          <w:tcPr>
            <w:tcW w:w="1230" w:type="pct"/>
            <w:tcBorders>
              <w:top w:val="nil"/>
              <w:left w:val="nil"/>
              <w:bottom w:val="nil"/>
              <w:right w:val="nil"/>
            </w:tcBorders>
            <w:vAlign w:val="bottom"/>
          </w:tcPr>
          <w:p w14:paraId="27C7E97E"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0 (0%) </w:t>
            </w:r>
          </w:p>
        </w:tc>
        <w:tc>
          <w:tcPr>
            <w:tcW w:w="1311" w:type="pct"/>
            <w:tcBorders>
              <w:top w:val="nil"/>
              <w:left w:val="nil"/>
              <w:bottom w:val="nil"/>
              <w:right w:val="nil"/>
            </w:tcBorders>
            <w:shd w:val="clear" w:color="auto" w:fill="auto"/>
            <w:vAlign w:val="bottom"/>
            <w:hideMark/>
          </w:tcPr>
          <w:p w14:paraId="3B554929"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7 (2.8%) </w:t>
            </w:r>
          </w:p>
        </w:tc>
        <w:tc>
          <w:tcPr>
            <w:tcW w:w="562" w:type="pct"/>
            <w:tcBorders>
              <w:top w:val="nil"/>
              <w:left w:val="nil"/>
              <w:bottom w:val="nil"/>
              <w:right w:val="nil"/>
            </w:tcBorders>
            <w:shd w:val="clear" w:color="auto" w:fill="auto"/>
            <w:vAlign w:val="bottom"/>
            <w:hideMark/>
          </w:tcPr>
          <w:p w14:paraId="51E4812F"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0.354 </w:t>
            </w:r>
          </w:p>
        </w:tc>
      </w:tr>
      <w:tr w:rsidR="00FB669F" w:rsidRPr="009D15ED" w14:paraId="3E17205B" w14:textId="77777777" w:rsidTr="008E64CC">
        <w:trPr>
          <w:trHeight w:val="300"/>
          <w:jc w:val="center"/>
        </w:trPr>
        <w:tc>
          <w:tcPr>
            <w:tcW w:w="1897" w:type="pct"/>
            <w:tcBorders>
              <w:top w:val="nil"/>
              <w:left w:val="nil"/>
              <w:bottom w:val="nil"/>
              <w:right w:val="nil"/>
            </w:tcBorders>
            <w:shd w:val="clear" w:color="auto" w:fill="auto"/>
            <w:vAlign w:val="bottom"/>
            <w:hideMark/>
          </w:tcPr>
          <w:p w14:paraId="276BB734" w14:textId="77777777" w:rsidR="00FB669F" w:rsidRPr="009D15ED" w:rsidRDefault="00FB669F" w:rsidP="008E64CC">
            <w:pPr>
              <w:spacing w:after="0" w:line="276" w:lineRule="auto"/>
              <w:textAlignment w:val="baseline"/>
              <w:rPr>
                <w:rFonts w:eastAsia="Times New Roman" w:cstheme="minorHAnsi"/>
                <w:sz w:val="24"/>
                <w:szCs w:val="24"/>
                <w:lang w:eastAsia="en-GB"/>
              </w:rPr>
            </w:pPr>
            <w:r w:rsidRPr="009D15ED">
              <w:rPr>
                <w:rFonts w:eastAsia="Times New Roman" w:cstheme="minorHAnsi"/>
                <w:i/>
                <w:iCs/>
                <w:sz w:val="24"/>
                <w:szCs w:val="24"/>
                <w:lang w:eastAsia="en-GB"/>
              </w:rPr>
              <w:t>   T2DM</w:t>
            </w:r>
            <w:r w:rsidRPr="009D15ED">
              <w:rPr>
                <w:rFonts w:eastAsia="Times New Roman" w:cstheme="minorHAnsi"/>
                <w:sz w:val="24"/>
                <w:szCs w:val="24"/>
                <w:lang w:eastAsia="en-GB"/>
              </w:rPr>
              <w:t> </w:t>
            </w:r>
          </w:p>
        </w:tc>
        <w:tc>
          <w:tcPr>
            <w:tcW w:w="1230" w:type="pct"/>
            <w:tcBorders>
              <w:top w:val="nil"/>
              <w:left w:val="nil"/>
              <w:bottom w:val="nil"/>
              <w:right w:val="nil"/>
            </w:tcBorders>
            <w:vAlign w:val="bottom"/>
          </w:tcPr>
          <w:p w14:paraId="6A600760"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17 (28.8%) </w:t>
            </w:r>
          </w:p>
        </w:tc>
        <w:tc>
          <w:tcPr>
            <w:tcW w:w="1311" w:type="pct"/>
            <w:tcBorders>
              <w:top w:val="nil"/>
              <w:left w:val="nil"/>
              <w:bottom w:val="nil"/>
              <w:right w:val="nil"/>
            </w:tcBorders>
            <w:shd w:val="clear" w:color="auto" w:fill="auto"/>
            <w:vAlign w:val="bottom"/>
            <w:hideMark/>
          </w:tcPr>
          <w:p w14:paraId="0107E4A4"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64 (25.7%) </w:t>
            </w:r>
          </w:p>
        </w:tc>
        <w:tc>
          <w:tcPr>
            <w:tcW w:w="562" w:type="pct"/>
            <w:tcBorders>
              <w:top w:val="nil"/>
              <w:left w:val="nil"/>
              <w:bottom w:val="nil"/>
              <w:right w:val="nil"/>
            </w:tcBorders>
            <w:shd w:val="clear" w:color="auto" w:fill="auto"/>
            <w:vAlign w:val="bottom"/>
            <w:hideMark/>
          </w:tcPr>
          <w:p w14:paraId="26DB173C"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0.626 </w:t>
            </w:r>
          </w:p>
        </w:tc>
      </w:tr>
      <w:tr w:rsidR="00FB669F" w:rsidRPr="009D15ED" w14:paraId="6622BFC6" w14:textId="77777777" w:rsidTr="008E64CC">
        <w:trPr>
          <w:trHeight w:val="300"/>
          <w:jc w:val="center"/>
        </w:trPr>
        <w:tc>
          <w:tcPr>
            <w:tcW w:w="1897" w:type="pct"/>
            <w:tcBorders>
              <w:top w:val="nil"/>
              <w:left w:val="nil"/>
              <w:bottom w:val="nil"/>
              <w:right w:val="nil"/>
            </w:tcBorders>
            <w:shd w:val="clear" w:color="auto" w:fill="auto"/>
            <w:vAlign w:val="bottom"/>
            <w:hideMark/>
          </w:tcPr>
          <w:p w14:paraId="184113F2" w14:textId="77777777" w:rsidR="00FB669F" w:rsidRPr="009D15ED" w:rsidRDefault="00FB669F" w:rsidP="008E64CC">
            <w:pPr>
              <w:spacing w:after="0" w:line="276" w:lineRule="auto"/>
              <w:textAlignment w:val="baseline"/>
              <w:rPr>
                <w:rFonts w:eastAsia="Times New Roman" w:cstheme="minorHAnsi"/>
                <w:sz w:val="24"/>
                <w:szCs w:val="24"/>
                <w:lang w:eastAsia="en-GB"/>
              </w:rPr>
            </w:pPr>
            <w:r w:rsidRPr="009D15ED">
              <w:rPr>
                <w:rFonts w:eastAsia="Times New Roman" w:cstheme="minorHAnsi"/>
                <w:i/>
                <w:iCs/>
                <w:sz w:val="24"/>
                <w:szCs w:val="24"/>
                <w:lang w:eastAsia="en-GB"/>
              </w:rPr>
              <w:t>   COPD</w:t>
            </w:r>
            <w:r w:rsidRPr="009D15ED">
              <w:rPr>
                <w:rFonts w:eastAsia="Times New Roman" w:cstheme="minorHAnsi"/>
                <w:sz w:val="24"/>
                <w:szCs w:val="24"/>
                <w:lang w:eastAsia="en-GB"/>
              </w:rPr>
              <w:t> </w:t>
            </w:r>
          </w:p>
        </w:tc>
        <w:tc>
          <w:tcPr>
            <w:tcW w:w="1230" w:type="pct"/>
            <w:tcBorders>
              <w:top w:val="nil"/>
              <w:left w:val="nil"/>
              <w:bottom w:val="nil"/>
              <w:right w:val="nil"/>
            </w:tcBorders>
            <w:vAlign w:val="bottom"/>
          </w:tcPr>
          <w:p w14:paraId="13A6F4A6"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3 (5.1%) </w:t>
            </w:r>
          </w:p>
        </w:tc>
        <w:tc>
          <w:tcPr>
            <w:tcW w:w="1311" w:type="pct"/>
            <w:tcBorders>
              <w:top w:val="nil"/>
              <w:left w:val="nil"/>
              <w:bottom w:val="nil"/>
              <w:right w:val="nil"/>
            </w:tcBorders>
            <w:shd w:val="clear" w:color="auto" w:fill="auto"/>
            <w:vAlign w:val="bottom"/>
            <w:hideMark/>
          </w:tcPr>
          <w:p w14:paraId="07042D98"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15 (6.0%) </w:t>
            </w:r>
          </w:p>
        </w:tc>
        <w:tc>
          <w:tcPr>
            <w:tcW w:w="562" w:type="pct"/>
            <w:tcBorders>
              <w:top w:val="nil"/>
              <w:left w:val="nil"/>
              <w:bottom w:val="nil"/>
              <w:right w:val="nil"/>
            </w:tcBorders>
            <w:shd w:val="clear" w:color="auto" w:fill="auto"/>
            <w:vAlign w:val="bottom"/>
            <w:hideMark/>
          </w:tcPr>
          <w:p w14:paraId="4655D6EB"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1.000 </w:t>
            </w:r>
          </w:p>
        </w:tc>
      </w:tr>
      <w:tr w:rsidR="00FB669F" w:rsidRPr="009D15ED" w14:paraId="462B9B45" w14:textId="77777777" w:rsidTr="008E64CC">
        <w:trPr>
          <w:trHeight w:val="300"/>
          <w:jc w:val="center"/>
        </w:trPr>
        <w:tc>
          <w:tcPr>
            <w:tcW w:w="1897" w:type="pct"/>
            <w:tcBorders>
              <w:top w:val="nil"/>
              <w:left w:val="nil"/>
              <w:bottom w:val="nil"/>
              <w:right w:val="nil"/>
            </w:tcBorders>
            <w:shd w:val="clear" w:color="auto" w:fill="auto"/>
            <w:vAlign w:val="bottom"/>
            <w:hideMark/>
          </w:tcPr>
          <w:p w14:paraId="5E23F6EE" w14:textId="77777777" w:rsidR="00FB669F" w:rsidRPr="009D15ED" w:rsidRDefault="00FB669F" w:rsidP="008E64CC">
            <w:pPr>
              <w:spacing w:after="0" w:line="276" w:lineRule="auto"/>
              <w:textAlignment w:val="baseline"/>
              <w:rPr>
                <w:rFonts w:eastAsia="Times New Roman" w:cstheme="minorHAnsi"/>
                <w:sz w:val="24"/>
                <w:szCs w:val="24"/>
                <w:lang w:eastAsia="en-GB"/>
              </w:rPr>
            </w:pPr>
            <w:r w:rsidRPr="009D15ED">
              <w:rPr>
                <w:rFonts w:eastAsia="Times New Roman" w:cstheme="minorHAnsi"/>
                <w:i/>
                <w:iCs/>
                <w:sz w:val="24"/>
                <w:szCs w:val="24"/>
                <w:lang w:eastAsia="en-GB"/>
              </w:rPr>
              <w:t>   Hypertension</w:t>
            </w:r>
            <w:r w:rsidRPr="009D15ED">
              <w:rPr>
                <w:rFonts w:eastAsia="Times New Roman" w:cstheme="minorHAnsi"/>
                <w:sz w:val="24"/>
                <w:szCs w:val="24"/>
                <w:lang w:eastAsia="en-GB"/>
              </w:rPr>
              <w:t> </w:t>
            </w:r>
          </w:p>
        </w:tc>
        <w:tc>
          <w:tcPr>
            <w:tcW w:w="1230" w:type="pct"/>
            <w:tcBorders>
              <w:top w:val="nil"/>
              <w:left w:val="nil"/>
              <w:bottom w:val="nil"/>
              <w:right w:val="nil"/>
            </w:tcBorders>
            <w:vAlign w:val="bottom"/>
          </w:tcPr>
          <w:p w14:paraId="24C4E6CC"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28 (47.5%) </w:t>
            </w:r>
          </w:p>
        </w:tc>
        <w:tc>
          <w:tcPr>
            <w:tcW w:w="1311" w:type="pct"/>
            <w:tcBorders>
              <w:top w:val="nil"/>
              <w:left w:val="nil"/>
              <w:bottom w:val="nil"/>
              <w:right w:val="nil"/>
            </w:tcBorders>
            <w:shd w:val="clear" w:color="auto" w:fill="auto"/>
            <w:vAlign w:val="bottom"/>
            <w:hideMark/>
          </w:tcPr>
          <w:p w14:paraId="30D6EDE3"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101 (40.6%) </w:t>
            </w:r>
          </w:p>
        </w:tc>
        <w:tc>
          <w:tcPr>
            <w:tcW w:w="562" w:type="pct"/>
            <w:tcBorders>
              <w:top w:val="nil"/>
              <w:left w:val="nil"/>
              <w:bottom w:val="nil"/>
              <w:right w:val="nil"/>
            </w:tcBorders>
            <w:shd w:val="clear" w:color="auto" w:fill="auto"/>
            <w:vAlign w:val="bottom"/>
            <w:hideMark/>
          </w:tcPr>
          <w:p w14:paraId="4070E5C5"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0.334 </w:t>
            </w:r>
          </w:p>
        </w:tc>
      </w:tr>
      <w:tr w:rsidR="00FB669F" w:rsidRPr="009D15ED" w14:paraId="6258EAB8" w14:textId="77777777" w:rsidTr="008E64CC">
        <w:trPr>
          <w:trHeight w:val="300"/>
          <w:jc w:val="center"/>
        </w:trPr>
        <w:tc>
          <w:tcPr>
            <w:tcW w:w="1897" w:type="pct"/>
            <w:tcBorders>
              <w:top w:val="nil"/>
              <w:left w:val="nil"/>
              <w:bottom w:val="nil"/>
              <w:right w:val="nil"/>
            </w:tcBorders>
            <w:shd w:val="clear" w:color="auto" w:fill="auto"/>
            <w:vAlign w:val="bottom"/>
            <w:hideMark/>
          </w:tcPr>
          <w:p w14:paraId="11F084B4" w14:textId="77777777" w:rsidR="00FB669F" w:rsidRPr="009D15ED" w:rsidRDefault="00FB669F" w:rsidP="008E64CC">
            <w:pPr>
              <w:spacing w:after="0" w:line="276" w:lineRule="auto"/>
              <w:textAlignment w:val="baseline"/>
              <w:rPr>
                <w:rFonts w:eastAsia="Times New Roman" w:cstheme="minorHAnsi"/>
                <w:sz w:val="24"/>
                <w:szCs w:val="24"/>
                <w:lang w:eastAsia="en-GB"/>
              </w:rPr>
            </w:pPr>
            <w:r w:rsidRPr="009D15ED">
              <w:rPr>
                <w:rFonts w:eastAsia="Times New Roman" w:cstheme="minorHAnsi"/>
                <w:i/>
                <w:iCs/>
                <w:sz w:val="24"/>
                <w:szCs w:val="24"/>
                <w:lang w:eastAsia="en-GB"/>
              </w:rPr>
              <w:t>   Ischaemic heart disease</w:t>
            </w:r>
            <w:r w:rsidRPr="009D15ED">
              <w:rPr>
                <w:rFonts w:eastAsia="Times New Roman" w:cstheme="minorHAnsi"/>
                <w:sz w:val="24"/>
                <w:szCs w:val="24"/>
                <w:lang w:eastAsia="en-GB"/>
              </w:rPr>
              <w:t> </w:t>
            </w:r>
          </w:p>
        </w:tc>
        <w:tc>
          <w:tcPr>
            <w:tcW w:w="1230" w:type="pct"/>
            <w:tcBorders>
              <w:top w:val="nil"/>
              <w:left w:val="nil"/>
              <w:bottom w:val="nil"/>
              <w:right w:val="nil"/>
            </w:tcBorders>
            <w:vAlign w:val="bottom"/>
          </w:tcPr>
          <w:p w14:paraId="531FB0AD"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3 (5.1%) </w:t>
            </w:r>
          </w:p>
        </w:tc>
        <w:tc>
          <w:tcPr>
            <w:tcW w:w="1311" w:type="pct"/>
            <w:tcBorders>
              <w:top w:val="nil"/>
              <w:left w:val="nil"/>
              <w:bottom w:val="nil"/>
              <w:right w:val="nil"/>
            </w:tcBorders>
            <w:shd w:val="clear" w:color="auto" w:fill="auto"/>
            <w:vAlign w:val="bottom"/>
            <w:hideMark/>
          </w:tcPr>
          <w:p w14:paraId="01C9BB09"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34 (13.7%) </w:t>
            </w:r>
          </w:p>
        </w:tc>
        <w:tc>
          <w:tcPr>
            <w:tcW w:w="562" w:type="pct"/>
            <w:tcBorders>
              <w:top w:val="nil"/>
              <w:left w:val="nil"/>
              <w:bottom w:val="nil"/>
              <w:right w:val="nil"/>
            </w:tcBorders>
            <w:shd w:val="clear" w:color="auto" w:fill="auto"/>
            <w:vAlign w:val="bottom"/>
            <w:hideMark/>
          </w:tcPr>
          <w:p w14:paraId="3319081C"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0.069 </w:t>
            </w:r>
          </w:p>
        </w:tc>
      </w:tr>
      <w:tr w:rsidR="00FB669F" w:rsidRPr="009D15ED" w14:paraId="3B4ECD89" w14:textId="77777777" w:rsidTr="008E64CC">
        <w:trPr>
          <w:trHeight w:val="300"/>
          <w:jc w:val="center"/>
        </w:trPr>
        <w:tc>
          <w:tcPr>
            <w:tcW w:w="1897" w:type="pct"/>
            <w:tcBorders>
              <w:top w:val="nil"/>
              <w:left w:val="nil"/>
              <w:bottom w:val="nil"/>
              <w:right w:val="nil"/>
            </w:tcBorders>
            <w:shd w:val="clear" w:color="auto" w:fill="auto"/>
            <w:vAlign w:val="bottom"/>
            <w:hideMark/>
          </w:tcPr>
          <w:p w14:paraId="08318FCE" w14:textId="77777777" w:rsidR="00FB669F" w:rsidRPr="009D15ED" w:rsidRDefault="00FB669F" w:rsidP="008E64CC">
            <w:pPr>
              <w:spacing w:after="0" w:line="276" w:lineRule="auto"/>
              <w:textAlignment w:val="baseline"/>
              <w:rPr>
                <w:rFonts w:eastAsia="Times New Roman" w:cstheme="minorHAnsi"/>
                <w:sz w:val="24"/>
                <w:szCs w:val="24"/>
                <w:lang w:eastAsia="en-GB"/>
              </w:rPr>
            </w:pPr>
            <w:r w:rsidRPr="009D15ED">
              <w:rPr>
                <w:rFonts w:eastAsia="Times New Roman" w:cstheme="minorHAnsi"/>
                <w:i/>
                <w:iCs/>
                <w:sz w:val="24"/>
                <w:szCs w:val="24"/>
                <w:lang w:eastAsia="en-GB"/>
              </w:rPr>
              <w:t>   CKD</w:t>
            </w:r>
            <w:r w:rsidRPr="009D15ED">
              <w:rPr>
                <w:rFonts w:eastAsia="Times New Roman" w:cstheme="minorHAnsi"/>
                <w:sz w:val="24"/>
                <w:szCs w:val="24"/>
                <w:lang w:eastAsia="en-GB"/>
              </w:rPr>
              <w:t> </w:t>
            </w:r>
          </w:p>
        </w:tc>
        <w:tc>
          <w:tcPr>
            <w:tcW w:w="1230" w:type="pct"/>
            <w:tcBorders>
              <w:top w:val="nil"/>
              <w:left w:val="nil"/>
              <w:bottom w:val="nil"/>
              <w:right w:val="nil"/>
            </w:tcBorders>
            <w:vAlign w:val="bottom"/>
          </w:tcPr>
          <w:p w14:paraId="70668815"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5 (8.5%) </w:t>
            </w:r>
          </w:p>
        </w:tc>
        <w:tc>
          <w:tcPr>
            <w:tcW w:w="1311" w:type="pct"/>
            <w:tcBorders>
              <w:top w:val="nil"/>
              <w:left w:val="nil"/>
              <w:bottom w:val="nil"/>
              <w:right w:val="nil"/>
            </w:tcBorders>
            <w:shd w:val="clear" w:color="auto" w:fill="auto"/>
            <w:vAlign w:val="bottom"/>
            <w:hideMark/>
          </w:tcPr>
          <w:p w14:paraId="287F7AF3"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17 (6.8%) </w:t>
            </w:r>
          </w:p>
        </w:tc>
        <w:tc>
          <w:tcPr>
            <w:tcW w:w="562" w:type="pct"/>
            <w:tcBorders>
              <w:top w:val="nil"/>
              <w:left w:val="nil"/>
              <w:bottom w:val="nil"/>
              <w:right w:val="nil"/>
            </w:tcBorders>
            <w:shd w:val="clear" w:color="auto" w:fill="auto"/>
            <w:vAlign w:val="bottom"/>
            <w:hideMark/>
          </w:tcPr>
          <w:p w14:paraId="3D9C96B7"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0.585 </w:t>
            </w:r>
          </w:p>
        </w:tc>
      </w:tr>
      <w:tr w:rsidR="00FB669F" w:rsidRPr="009D15ED" w14:paraId="2852126A" w14:textId="77777777" w:rsidTr="008E64CC">
        <w:trPr>
          <w:trHeight w:val="300"/>
          <w:jc w:val="center"/>
        </w:trPr>
        <w:tc>
          <w:tcPr>
            <w:tcW w:w="1897" w:type="pct"/>
            <w:tcBorders>
              <w:top w:val="nil"/>
              <w:left w:val="nil"/>
              <w:bottom w:val="nil"/>
              <w:right w:val="nil"/>
            </w:tcBorders>
            <w:shd w:val="clear" w:color="auto" w:fill="auto"/>
            <w:vAlign w:val="bottom"/>
            <w:hideMark/>
          </w:tcPr>
          <w:p w14:paraId="592FDF8D" w14:textId="77777777" w:rsidR="00FB669F" w:rsidRPr="009D15ED" w:rsidRDefault="00FB669F" w:rsidP="008E64CC">
            <w:pPr>
              <w:spacing w:after="0" w:line="276" w:lineRule="auto"/>
              <w:textAlignment w:val="baseline"/>
              <w:rPr>
                <w:rFonts w:eastAsia="Times New Roman" w:cstheme="minorHAnsi"/>
                <w:sz w:val="24"/>
                <w:szCs w:val="24"/>
                <w:lang w:eastAsia="en-GB"/>
              </w:rPr>
            </w:pPr>
            <w:r w:rsidRPr="009D15ED">
              <w:rPr>
                <w:rFonts w:eastAsia="Times New Roman" w:cstheme="minorHAnsi"/>
                <w:b/>
                <w:bCs/>
                <w:sz w:val="24"/>
                <w:szCs w:val="24"/>
                <w:lang w:eastAsia="en-GB"/>
              </w:rPr>
              <w:t>Illness severity scores</w:t>
            </w:r>
            <w:r w:rsidRPr="009D15ED">
              <w:rPr>
                <w:rFonts w:eastAsia="Times New Roman" w:cstheme="minorHAnsi"/>
                <w:sz w:val="24"/>
                <w:szCs w:val="24"/>
                <w:lang w:eastAsia="en-GB"/>
              </w:rPr>
              <w:t> </w:t>
            </w:r>
          </w:p>
        </w:tc>
        <w:tc>
          <w:tcPr>
            <w:tcW w:w="1230" w:type="pct"/>
            <w:tcBorders>
              <w:top w:val="nil"/>
              <w:left w:val="nil"/>
              <w:bottom w:val="nil"/>
              <w:right w:val="nil"/>
            </w:tcBorders>
            <w:vAlign w:val="bottom"/>
          </w:tcPr>
          <w:p w14:paraId="1CA01BD0"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 </w:t>
            </w:r>
          </w:p>
        </w:tc>
        <w:tc>
          <w:tcPr>
            <w:tcW w:w="1311" w:type="pct"/>
            <w:tcBorders>
              <w:top w:val="nil"/>
              <w:left w:val="nil"/>
              <w:bottom w:val="nil"/>
              <w:right w:val="nil"/>
            </w:tcBorders>
            <w:shd w:val="clear" w:color="auto" w:fill="auto"/>
            <w:vAlign w:val="bottom"/>
            <w:hideMark/>
          </w:tcPr>
          <w:p w14:paraId="4557AA24"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 </w:t>
            </w:r>
          </w:p>
        </w:tc>
        <w:tc>
          <w:tcPr>
            <w:tcW w:w="562" w:type="pct"/>
            <w:tcBorders>
              <w:top w:val="nil"/>
              <w:left w:val="nil"/>
              <w:bottom w:val="nil"/>
              <w:right w:val="nil"/>
            </w:tcBorders>
            <w:shd w:val="clear" w:color="auto" w:fill="auto"/>
            <w:vAlign w:val="bottom"/>
            <w:hideMark/>
          </w:tcPr>
          <w:p w14:paraId="4F270E07"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 </w:t>
            </w:r>
          </w:p>
        </w:tc>
      </w:tr>
      <w:tr w:rsidR="00FB669F" w:rsidRPr="009D15ED" w14:paraId="66EDD41D" w14:textId="77777777" w:rsidTr="008E64CC">
        <w:trPr>
          <w:trHeight w:val="300"/>
          <w:jc w:val="center"/>
        </w:trPr>
        <w:tc>
          <w:tcPr>
            <w:tcW w:w="1897" w:type="pct"/>
            <w:tcBorders>
              <w:top w:val="nil"/>
              <w:left w:val="nil"/>
              <w:bottom w:val="nil"/>
              <w:right w:val="nil"/>
            </w:tcBorders>
            <w:shd w:val="clear" w:color="auto" w:fill="auto"/>
            <w:vAlign w:val="bottom"/>
            <w:hideMark/>
          </w:tcPr>
          <w:p w14:paraId="6F992740" w14:textId="77777777" w:rsidR="00FB669F" w:rsidRPr="009D15ED" w:rsidRDefault="00FB669F" w:rsidP="008E64CC">
            <w:pPr>
              <w:spacing w:after="0" w:line="276" w:lineRule="auto"/>
              <w:textAlignment w:val="baseline"/>
              <w:rPr>
                <w:rFonts w:eastAsia="Times New Roman" w:cstheme="minorHAnsi"/>
                <w:sz w:val="24"/>
                <w:szCs w:val="24"/>
                <w:lang w:eastAsia="en-GB"/>
              </w:rPr>
            </w:pPr>
            <w:r w:rsidRPr="009D15ED">
              <w:rPr>
                <w:rFonts w:eastAsia="Times New Roman" w:cstheme="minorHAnsi"/>
                <w:i/>
                <w:iCs/>
                <w:sz w:val="24"/>
                <w:szCs w:val="24"/>
                <w:lang w:eastAsia="en-GB"/>
              </w:rPr>
              <w:t>   APACHE-II</w:t>
            </w:r>
            <w:r w:rsidRPr="009D15ED">
              <w:rPr>
                <w:rFonts w:eastAsia="Times New Roman" w:cstheme="minorHAnsi"/>
                <w:sz w:val="24"/>
                <w:szCs w:val="24"/>
                <w:lang w:eastAsia="en-GB"/>
              </w:rPr>
              <w:t> </w:t>
            </w:r>
          </w:p>
        </w:tc>
        <w:tc>
          <w:tcPr>
            <w:tcW w:w="1230" w:type="pct"/>
            <w:tcBorders>
              <w:top w:val="nil"/>
              <w:left w:val="nil"/>
              <w:bottom w:val="nil"/>
              <w:right w:val="nil"/>
            </w:tcBorders>
            <w:vAlign w:val="bottom"/>
          </w:tcPr>
          <w:p w14:paraId="6183ABAC"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17 (12-23) </w:t>
            </w:r>
          </w:p>
        </w:tc>
        <w:tc>
          <w:tcPr>
            <w:tcW w:w="1311" w:type="pct"/>
            <w:tcBorders>
              <w:top w:val="nil"/>
              <w:left w:val="nil"/>
              <w:bottom w:val="nil"/>
              <w:right w:val="nil"/>
            </w:tcBorders>
            <w:shd w:val="clear" w:color="auto" w:fill="auto"/>
            <w:vAlign w:val="bottom"/>
            <w:hideMark/>
          </w:tcPr>
          <w:p w14:paraId="135DD535"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13 (10-20) </w:t>
            </w:r>
          </w:p>
        </w:tc>
        <w:tc>
          <w:tcPr>
            <w:tcW w:w="562" w:type="pct"/>
            <w:tcBorders>
              <w:top w:val="nil"/>
              <w:left w:val="nil"/>
              <w:bottom w:val="nil"/>
              <w:right w:val="nil"/>
            </w:tcBorders>
            <w:shd w:val="clear" w:color="auto" w:fill="auto"/>
            <w:vAlign w:val="bottom"/>
            <w:hideMark/>
          </w:tcPr>
          <w:p w14:paraId="11C8FF10"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b/>
                <w:bCs/>
                <w:sz w:val="24"/>
                <w:szCs w:val="24"/>
                <w:lang w:eastAsia="en-GB"/>
              </w:rPr>
              <w:t>0.028*</w:t>
            </w:r>
            <w:r w:rsidRPr="009D15ED">
              <w:rPr>
                <w:rFonts w:eastAsia="Times New Roman" w:cstheme="minorHAnsi"/>
                <w:sz w:val="24"/>
                <w:szCs w:val="24"/>
                <w:lang w:eastAsia="en-GB"/>
              </w:rPr>
              <w:t> </w:t>
            </w:r>
          </w:p>
        </w:tc>
      </w:tr>
      <w:tr w:rsidR="00FB669F" w:rsidRPr="009D15ED" w14:paraId="710CB9C2" w14:textId="77777777" w:rsidTr="008E64CC">
        <w:trPr>
          <w:trHeight w:val="300"/>
          <w:jc w:val="center"/>
        </w:trPr>
        <w:tc>
          <w:tcPr>
            <w:tcW w:w="1897" w:type="pct"/>
            <w:tcBorders>
              <w:top w:val="nil"/>
              <w:left w:val="nil"/>
              <w:bottom w:val="nil"/>
              <w:right w:val="nil"/>
            </w:tcBorders>
            <w:shd w:val="clear" w:color="auto" w:fill="auto"/>
            <w:vAlign w:val="bottom"/>
            <w:hideMark/>
          </w:tcPr>
          <w:p w14:paraId="4CEF4B6E" w14:textId="77777777" w:rsidR="00FB669F" w:rsidRPr="009D15ED" w:rsidRDefault="00FB669F" w:rsidP="008E64CC">
            <w:pPr>
              <w:spacing w:after="0" w:line="276" w:lineRule="auto"/>
              <w:textAlignment w:val="baseline"/>
              <w:rPr>
                <w:rFonts w:eastAsia="Times New Roman" w:cstheme="minorHAnsi"/>
                <w:sz w:val="24"/>
                <w:szCs w:val="24"/>
                <w:lang w:eastAsia="en-GB"/>
              </w:rPr>
            </w:pPr>
            <w:r w:rsidRPr="009D15ED">
              <w:rPr>
                <w:rFonts w:eastAsia="Times New Roman" w:cstheme="minorHAnsi"/>
                <w:b/>
                <w:bCs/>
                <w:sz w:val="24"/>
                <w:szCs w:val="24"/>
                <w:lang w:eastAsia="en-GB"/>
              </w:rPr>
              <w:t>Admission oxygenation indices</w:t>
            </w:r>
            <w:r w:rsidRPr="009D15ED">
              <w:rPr>
                <w:rFonts w:eastAsia="Times New Roman" w:cstheme="minorHAnsi"/>
                <w:sz w:val="24"/>
                <w:szCs w:val="24"/>
                <w:lang w:eastAsia="en-GB"/>
              </w:rPr>
              <w:t> </w:t>
            </w:r>
          </w:p>
        </w:tc>
        <w:tc>
          <w:tcPr>
            <w:tcW w:w="1230" w:type="pct"/>
            <w:tcBorders>
              <w:top w:val="nil"/>
              <w:left w:val="nil"/>
              <w:bottom w:val="nil"/>
              <w:right w:val="nil"/>
            </w:tcBorders>
            <w:vAlign w:val="bottom"/>
          </w:tcPr>
          <w:p w14:paraId="132D8E36"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 </w:t>
            </w:r>
          </w:p>
        </w:tc>
        <w:tc>
          <w:tcPr>
            <w:tcW w:w="1311" w:type="pct"/>
            <w:tcBorders>
              <w:top w:val="nil"/>
              <w:left w:val="nil"/>
              <w:bottom w:val="nil"/>
              <w:right w:val="nil"/>
            </w:tcBorders>
            <w:shd w:val="clear" w:color="auto" w:fill="auto"/>
            <w:vAlign w:val="bottom"/>
            <w:hideMark/>
          </w:tcPr>
          <w:p w14:paraId="55B55986"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 </w:t>
            </w:r>
          </w:p>
        </w:tc>
        <w:tc>
          <w:tcPr>
            <w:tcW w:w="562" w:type="pct"/>
            <w:tcBorders>
              <w:top w:val="nil"/>
              <w:left w:val="nil"/>
              <w:bottom w:val="nil"/>
              <w:right w:val="nil"/>
            </w:tcBorders>
            <w:shd w:val="clear" w:color="auto" w:fill="auto"/>
            <w:vAlign w:val="bottom"/>
            <w:hideMark/>
          </w:tcPr>
          <w:p w14:paraId="29385474"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 </w:t>
            </w:r>
          </w:p>
        </w:tc>
      </w:tr>
      <w:tr w:rsidR="00FB669F" w:rsidRPr="009D15ED" w14:paraId="24E4A36C" w14:textId="77777777" w:rsidTr="008E64CC">
        <w:trPr>
          <w:trHeight w:val="300"/>
          <w:jc w:val="center"/>
        </w:trPr>
        <w:tc>
          <w:tcPr>
            <w:tcW w:w="1897" w:type="pct"/>
            <w:tcBorders>
              <w:top w:val="nil"/>
              <w:left w:val="nil"/>
              <w:bottom w:val="nil"/>
              <w:right w:val="nil"/>
            </w:tcBorders>
            <w:shd w:val="clear" w:color="auto" w:fill="auto"/>
            <w:vAlign w:val="bottom"/>
            <w:hideMark/>
          </w:tcPr>
          <w:p w14:paraId="103F3C98" w14:textId="77777777" w:rsidR="00FB669F" w:rsidRPr="009D15ED" w:rsidRDefault="00FB669F" w:rsidP="008E64CC">
            <w:pPr>
              <w:spacing w:after="0" w:line="276" w:lineRule="auto"/>
              <w:textAlignment w:val="baseline"/>
              <w:rPr>
                <w:rFonts w:eastAsia="Times New Roman" w:cstheme="minorHAnsi"/>
                <w:sz w:val="24"/>
                <w:szCs w:val="24"/>
                <w:lang w:eastAsia="en-GB"/>
              </w:rPr>
            </w:pPr>
            <w:r w:rsidRPr="009D15ED">
              <w:rPr>
                <w:rFonts w:eastAsia="Times New Roman" w:cstheme="minorHAnsi"/>
                <w:i/>
                <w:iCs/>
                <w:sz w:val="24"/>
                <w:szCs w:val="24"/>
                <w:lang w:eastAsia="en-GB"/>
              </w:rPr>
              <w:t>   FiO</w:t>
            </w:r>
            <w:r w:rsidRPr="009D15ED">
              <w:rPr>
                <w:rFonts w:eastAsia="Times New Roman" w:cstheme="minorHAnsi"/>
                <w:i/>
                <w:iCs/>
                <w:sz w:val="24"/>
                <w:szCs w:val="24"/>
                <w:vertAlign w:val="subscript"/>
                <w:lang w:eastAsia="en-GB"/>
              </w:rPr>
              <w:t>2</w:t>
            </w:r>
            <w:r w:rsidRPr="009D15ED">
              <w:rPr>
                <w:rFonts w:eastAsia="Times New Roman" w:cstheme="minorHAnsi"/>
                <w:sz w:val="24"/>
                <w:szCs w:val="24"/>
                <w:lang w:eastAsia="en-GB"/>
              </w:rPr>
              <w:t> </w:t>
            </w:r>
          </w:p>
        </w:tc>
        <w:tc>
          <w:tcPr>
            <w:tcW w:w="1230" w:type="pct"/>
            <w:tcBorders>
              <w:top w:val="nil"/>
              <w:left w:val="nil"/>
              <w:bottom w:val="nil"/>
              <w:right w:val="nil"/>
            </w:tcBorders>
            <w:vAlign w:val="bottom"/>
          </w:tcPr>
          <w:p w14:paraId="65044319"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0.7 (0.55-0.8) </w:t>
            </w:r>
          </w:p>
        </w:tc>
        <w:tc>
          <w:tcPr>
            <w:tcW w:w="1311" w:type="pct"/>
            <w:tcBorders>
              <w:top w:val="nil"/>
              <w:left w:val="nil"/>
              <w:bottom w:val="nil"/>
              <w:right w:val="nil"/>
            </w:tcBorders>
            <w:shd w:val="clear" w:color="auto" w:fill="auto"/>
            <w:vAlign w:val="bottom"/>
            <w:hideMark/>
          </w:tcPr>
          <w:p w14:paraId="6F8EF28A"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0.6 (0.5-0.7) </w:t>
            </w:r>
          </w:p>
        </w:tc>
        <w:tc>
          <w:tcPr>
            <w:tcW w:w="562" w:type="pct"/>
            <w:tcBorders>
              <w:top w:val="nil"/>
              <w:left w:val="nil"/>
              <w:bottom w:val="nil"/>
              <w:right w:val="nil"/>
            </w:tcBorders>
            <w:shd w:val="clear" w:color="auto" w:fill="auto"/>
            <w:vAlign w:val="bottom"/>
            <w:hideMark/>
          </w:tcPr>
          <w:p w14:paraId="59FB9DE1"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b/>
                <w:bCs/>
                <w:sz w:val="24"/>
                <w:szCs w:val="24"/>
                <w:lang w:eastAsia="en-GB"/>
              </w:rPr>
              <w:t>0.001*</w:t>
            </w:r>
            <w:r w:rsidRPr="009D15ED">
              <w:rPr>
                <w:rFonts w:eastAsia="Times New Roman" w:cstheme="minorHAnsi"/>
                <w:sz w:val="24"/>
                <w:szCs w:val="24"/>
                <w:lang w:eastAsia="en-GB"/>
              </w:rPr>
              <w:t> </w:t>
            </w:r>
          </w:p>
        </w:tc>
      </w:tr>
      <w:tr w:rsidR="00FB669F" w:rsidRPr="009D15ED" w14:paraId="588500DF" w14:textId="77777777" w:rsidTr="008E64CC">
        <w:trPr>
          <w:trHeight w:val="300"/>
          <w:jc w:val="center"/>
        </w:trPr>
        <w:tc>
          <w:tcPr>
            <w:tcW w:w="1897" w:type="pct"/>
            <w:tcBorders>
              <w:top w:val="nil"/>
              <w:left w:val="nil"/>
              <w:bottom w:val="nil"/>
              <w:right w:val="nil"/>
            </w:tcBorders>
            <w:shd w:val="clear" w:color="auto" w:fill="auto"/>
            <w:vAlign w:val="bottom"/>
            <w:hideMark/>
          </w:tcPr>
          <w:p w14:paraId="725E222D" w14:textId="77777777" w:rsidR="00FB669F" w:rsidRPr="009D15ED" w:rsidRDefault="00FB669F" w:rsidP="008E64CC">
            <w:pPr>
              <w:spacing w:after="0" w:line="276" w:lineRule="auto"/>
              <w:textAlignment w:val="baseline"/>
              <w:rPr>
                <w:rFonts w:eastAsia="Times New Roman" w:cstheme="minorHAnsi"/>
                <w:sz w:val="24"/>
                <w:szCs w:val="24"/>
                <w:lang w:eastAsia="en-GB"/>
              </w:rPr>
            </w:pPr>
            <w:r w:rsidRPr="009D15ED">
              <w:rPr>
                <w:rFonts w:eastAsia="Times New Roman" w:cstheme="minorHAnsi"/>
                <w:i/>
                <w:iCs/>
                <w:sz w:val="24"/>
                <w:szCs w:val="24"/>
                <w:lang w:eastAsia="en-GB"/>
              </w:rPr>
              <w:t>   PaO</w:t>
            </w:r>
            <w:r w:rsidRPr="009D15ED">
              <w:rPr>
                <w:rFonts w:eastAsia="Times New Roman" w:cstheme="minorHAnsi"/>
                <w:i/>
                <w:iCs/>
                <w:sz w:val="24"/>
                <w:szCs w:val="24"/>
                <w:vertAlign w:val="subscript"/>
                <w:lang w:eastAsia="en-GB"/>
              </w:rPr>
              <w:t>2</w:t>
            </w:r>
            <w:r w:rsidRPr="009D15ED">
              <w:rPr>
                <w:rFonts w:eastAsia="Times New Roman" w:cstheme="minorHAnsi"/>
                <w:sz w:val="24"/>
                <w:szCs w:val="24"/>
                <w:vertAlign w:val="subscript"/>
                <w:lang w:eastAsia="en-GB"/>
              </w:rPr>
              <w:t> </w:t>
            </w:r>
            <w:r w:rsidRPr="009D15ED">
              <w:rPr>
                <w:rFonts w:eastAsia="Times New Roman" w:cstheme="minorHAnsi"/>
                <w:sz w:val="24"/>
                <w:szCs w:val="24"/>
                <w:lang w:eastAsia="en-GB"/>
              </w:rPr>
              <w:t>(</w:t>
            </w:r>
            <w:proofErr w:type="spellStart"/>
            <w:r w:rsidRPr="009D15ED">
              <w:rPr>
                <w:rFonts w:eastAsia="Times New Roman" w:cstheme="minorHAnsi"/>
                <w:sz w:val="24"/>
                <w:szCs w:val="24"/>
                <w:lang w:eastAsia="en-GB"/>
              </w:rPr>
              <w:t>kPa</w:t>
            </w:r>
            <w:proofErr w:type="spellEnd"/>
            <w:r w:rsidRPr="009D15ED">
              <w:rPr>
                <w:rFonts w:eastAsia="Times New Roman" w:cstheme="minorHAnsi"/>
                <w:sz w:val="24"/>
                <w:szCs w:val="24"/>
                <w:lang w:eastAsia="en-GB"/>
              </w:rPr>
              <w:t>)</w:t>
            </w:r>
          </w:p>
        </w:tc>
        <w:tc>
          <w:tcPr>
            <w:tcW w:w="1230" w:type="pct"/>
            <w:tcBorders>
              <w:top w:val="nil"/>
              <w:left w:val="nil"/>
              <w:bottom w:val="nil"/>
              <w:right w:val="nil"/>
            </w:tcBorders>
            <w:vAlign w:val="bottom"/>
          </w:tcPr>
          <w:p w14:paraId="2051FE2D"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9.41 (8.55-11.10) </w:t>
            </w:r>
          </w:p>
        </w:tc>
        <w:tc>
          <w:tcPr>
            <w:tcW w:w="1311" w:type="pct"/>
            <w:tcBorders>
              <w:top w:val="nil"/>
              <w:left w:val="nil"/>
              <w:bottom w:val="nil"/>
              <w:right w:val="nil"/>
            </w:tcBorders>
            <w:shd w:val="clear" w:color="auto" w:fill="auto"/>
            <w:vAlign w:val="bottom"/>
            <w:hideMark/>
          </w:tcPr>
          <w:p w14:paraId="0490D87F"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9.96 (8.50-9.96) </w:t>
            </w:r>
          </w:p>
        </w:tc>
        <w:tc>
          <w:tcPr>
            <w:tcW w:w="562" w:type="pct"/>
            <w:tcBorders>
              <w:top w:val="nil"/>
              <w:left w:val="nil"/>
              <w:bottom w:val="nil"/>
              <w:right w:val="nil"/>
            </w:tcBorders>
            <w:shd w:val="clear" w:color="auto" w:fill="auto"/>
            <w:vAlign w:val="bottom"/>
            <w:hideMark/>
          </w:tcPr>
          <w:p w14:paraId="43CE32F0"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0.144 </w:t>
            </w:r>
          </w:p>
        </w:tc>
      </w:tr>
      <w:tr w:rsidR="00FB669F" w:rsidRPr="009D15ED" w14:paraId="6F751D55" w14:textId="77777777" w:rsidTr="008E64CC">
        <w:trPr>
          <w:trHeight w:val="300"/>
          <w:jc w:val="center"/>
        </w:trPr>
        <w:tc>
          <w:tcPr>
            <w:tcW w:w="1897" w:type="pct"/>
            <w:tcBorders>
              <w:top w:val="nil"/>
              <w:left w:val="nil"/>
              <w:bottom w:val="nil"/>
              <w:right w:val="nil"/>
            </w:tcBorders>
            <w:shd w:val="clear" w:color="auto" w:fill="auto"/>
            <w:vAlign w:val="bottom"/>
            <w:hideMark/>
          </w:tcPr>
          <w:p w14:paraId="017F4322" w14:textId="77777777" w:rsidR="00FB669F" w:rsidRPr="009D15ED" w:rsidRDefault="00FB669F" w:rsidP="008E64CC">
            <w:pPr>
              <w:spacing w:after="0" w:line="276" w:lineRule="auto"/>
              <w:textAlignment w:val="baseline"/>
              <w:rPr>
                <w:rFonts w:eastAsia="Times New Roman" w:cstheme="minorHAnsi"/>
                <w:sz w:val="24"/>
                <w:szCs w:val="24"/>
                <w:lang w:eastAsia="en-GB"/>
              </w:rPr>
            </w:pPr>
            <w:r w:rsidRPr="009D15ED">
              <w:rPr>
                <w:rFonts w:eastAsia="Times New Roman" w:cstheme="minorHAnsi"/>
                <w:i/>
                <w:iCs/>
                <w:sz w:val="24"/>
                <w:szCs w:val="24"/>
                <w:lang w:eastAsia="en-GB"/>
              </w:rPr>
              <w:t>   PF ratio</w:t>
            </w:r>
            <w:r w:rsidRPr="009D15ED">
              <w:rPr>
                <w:rFonts w:eastAsia="Times New Roman" w:cstheme="minorHAnsi"/>
                <w:sz w:val="24"/>
                <w:szCs w:val="24"/>
                <w:lang w:eastAsia="en-GB"/>
              </w:rPr>
              <w:t> (</w:t>
            </w:r>
            <w:proofErr w:type="spellStart"/>
            <w:r w:rsidRPr="009D15ED">
              <w:rPr>
                <w:rFonts w:eastAsia="Times New Roman" w:cstheme="minorHAnsi"/>
                <w:sz w:val="24"/>
                <w:szCs w:val="24"/>
                <w:lang w:eastAsia="en-GB"/>
              </w:rPr>
              <w:t>kPa</w:t>
            </w:r>
            <w:proofErr w:type="spellEnd"/>
            <w:r w:rsidRPr="009D15ED">
              <w:rPr>
                <w:rFonts w:eastAsia="Times New Roman" w:cstheme="minorHAnsi"/>
                <w:sz w:val="24"/>
                <w:szCs w:val="24"/>
                <w:lang w:eastAsia="en-GB"/>
              </w:rPr>
              <w:t>)</w:t>
            </w:r>
          </w:p>
        </w:tc>
        <w:tc>
          <w:tcPr>
            <w:tcW w:w="1230" w:type="pct"/>
            <w:tcBorders>
              <w:top w:val="nil"/>
              <w:left w:val="nil"/>
              <w:bottom w:val="nil"/>
              <w:right w:val="nil"/>
            </w:tcBorders>
            <w:vAlign w:val="bottom"/>
          </w:tcPr>
          <w:p w14:paraId="0A3F13D8"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14.37 (11.64-18.5) </w:t>
            </w:r>
          </w:p>
        </w:tc>
        <w:tc>
          <w:tcPr>
            <w:tcW w:w="1311" w:type="pct"/>
            <w:tcBorders>
              <w:top w:val="nil"/>
              <w:left w:val="nil"/>
              <w:bottom w:val="nil"/>
              <w:right w:val="nil"/>
            </w:tcBorders>
            <w:shd w:val="clear" w:color="auto" w:fill="auto"/>
            <w:vAlign w:val="bottom"/>
            <w:hideMark/>
          </w:tcPr>
          <w:p w14:paraId="30E90A8E"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16.37 (13.70-21.44) </w:t>
            </w:r>
          </w:p>
        </w:tc>
        <w:tc>
          <w:tcPr>
            <w:tcW w:w="562" w:type="pct"/>
            <w:tcBorders>
              <w:top w:val="nil"/>
              <w:left w:val="nil"/>
              <w:bottom w:val="nil"/>
              <w:right w:val="nil"/>
            </w:tcBorders>
            <w:shd w:val="clear" w:color="auto" w:fill="auto"/>
            <w:vAlign w:val="bottom"/>
            <w:hideMark/>
          </w:tcPr>
          <w:p w14:paraId="7746BAB1"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b/>
                <w:bCs/>
                <w:sz w:val="24"/>
                <w:szCs w:val="24"/>
                <w:lang w:eastAsia="en-GB"/>
              </w:rPr>
              <w:t>0.002*</w:t>
            </w:r>
            <w:r w:rsidRPr="009D15ED">
              <w:rPr>
                <w:rFonts w:eastAsia="Times New Roman" w:cstheme="minorHAnsi"/>
                <w:sz w:val="24"/>
                <w:szCs w:val="24"/>
                <w:lang w:eastAsia="en-GB"/>
              </w:rPr>
              <w:t> </w:t>
            </w:r>
          </w:p>
        </w:tc>
      </w:tr>
      <w:tr w:rsidR="00FB669F" w:rsidRPr="009D15ED" w14:paraId="261761AD" w14:textId="77777777" w:rsidTr="008E64CC">
        <w:trPr>
          <w:trHeight w:val="300"/>
          <w:jc w:val="center"/>
        </w:trPr>
        <w:tc>
          <w:tcPr>
            <w:tcW w:w="1897" w:type="pct"/>
            <w:tcBorders>
              <w:top w:val="nil"/>
              <w:left w:val="nil"/>
              <w:bottom w:val="nil"/>
              <w:right w:val="nil"/>
            </w:tcBorders>
            <w:shd w:val="clear" w:color="auto" w:fill="auto"/>
            <w:vAlign w:val="bottom"/>
            <w:hideMark/>
          </w:tcPr>
          <w:p w14:paraId="7AF3463A" w14:textId="77777777" w:rsidR="00FB669F" w:rsidRPr="009D15ED" w:rsidRDefault="00FB669F" w:rsidP="008E64CC">
            <w:pPr>
              <w:spacing w:after="0" w:line="276" w:lineRule="auto"/>
              <w:textAlignment w:val="baseline"/>
              <w:rPr>
                <w:rFonts w:eastAsia="Times New Roman" w:cstheme="minorHAnsi"/>
                <w:sz w:val="24"/>
                <w:szCs w:val="24"/>
                <w:lang w:eastAsia="en-GB"/>
              </w:rPr>
            </w:pPr>
            <w:r w:rsidRPr="009D15ED">
              <w:rPr>
                <w:rFonts w:eastAsia="Times New Roman" w:cstheme="minorHAnsi"/>
                <w:b/>
                <w:bCs/>
                <w:sz w:val="24"/>
                <w:szCs w:val="24"/>
                <w:lang w:eastAsia="en-GB"/>
              </w:rPr>
              <w:t>Admission bloods</w:t>
            </w:r>
            <w:r w:rsidRPr="009D15ED">
              <w:rPr>
                <w:rFonts w:eastAsia="Times New Roman" w:cstheme="minorHAnsi"/>
                <w:sz w:val="24"/>
                <w:szCs w:val="24"/>
                <w:lang w:eastAsia="en-GB"/>
              </w:rPr>
              <w:t> </w:t>
            </w:r>
          </w:p>
        </w:tc>
        <w:tc>
          <w:tcPr>
            <w:tcW w:w="1230" w:type="pct"/>
            <w:tcBorders>
              <w:top w:val="nil"/>
              <w:left w:val="nil"/>
              <w:bottom w:val="nil"/>
              <w:right w:val="nil"/>
            </w:tcBorders>
            <w:vAlign w:val="bottom"/>
          </w:tcPr>
          <w:p w14:paraId="61DA251E"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 </w:t>
            </w:r>
          </w:p>
        </w:tc>
        <w:tc>
          <w:tcPr>
            <w:tcW w:w="1311" w:type="pct"/>
            <w:tcBorders>
              <w:top w:val="nil"/>
              <w:left w:val="nil"/>
              <w:bottom w:val="nil"/>
              <w:right w:val="nil"/>
            </w:tcBorders>
            <w:shd w:val="clear" w:color="auto" w:fill="auto"/>
            <w:vAlign w:val="bottom"/>
            <w:hideMark/>
          </w:tcPr>
          <w:p w14:paraId="08CEC818"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 </w:t>
            </w:r>
          </w:p>
        </w:tc>
        <w:tc>
          <w:tcPr>
            <w:tcW w:w="562" w:type="pct"/>
            <w:tcBorders>
              <w:top w:val="nil"/>
              <w:left w:val="nil"/>
              <w:bottom w:val="nil"/>
              <w:right w:val="nil"/>
            </w:tcBorders>
            <w:shd w:val="clear" w:color="auto" w:fill="auto"/>
            <w:vAlign w:val="bottom"/>
            <w:hideMark/>
          </w:tcPr>
          <w:p w14:paraId="7FDEEC2C"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 </w:t>
            </w:r>
          </w:p>
        </w:tc>
      </w:tr>
      <w:tr w:rsidR="00FB669F" w:rsidRPr="009D15ED" w14:paraId="19F007F9" w14:textId="77777777" w:rsidTr="008E64CC">
        <w:trPr>
          <w:trHeight w:val="300"/>
          <w:jc w:val="center"/>
        </w:trPr>
        <w:tc>
          <w:tcPr>
            <w:tcW w:w="1897" w:type="pct"/>
            <w:tcBorders>
              <w:top w:val="nil"/>
              <w:left w:val="nil"/>
              <w:bottom w:val="nil"/>
              <w:right w:val="nil"/>
            </w:tcBorders>
            <w:shd w:val="clear" w:color="auto" w:fill="auto"/>
            <w:vAlign w:val="bottom"/>
            <w:hideMark/>
          </w:tcPr>
          <w:p w14:paraId="6A0AEFE7" w14:textId="77777777" w:rsidR="00FB669F" w:rsidRPr="009D15ED" w:rsidRDefault="00FB669F" w:rsidP="008E64CC">
            <w:pPr>
              <w:spacing w:after="0" w:line="276" w:lineRule="auto"/>
              <w:textAlignment w:val="baseline"/>
              <w:rPr>
                <w:rFonts w:eastAsia="Times New Roman" w:cstheme="minorHAnsi"/>
                <w:i/>
                <w:sz w:val="24"/>
                <w:szCs w:val="24"/>
                <w:lang w:eastAsia="en-GB"/>
              </w:rPr>
            </w:pPr>
            <w:r w:rsidRPr="009D15ED">
              <w:rPr>
                <w:rFonts w:eastAsia="Times New Roman" w:cstheme="minorHAnsi"/>
                <w:i/>
                <w:iCs/>
                <w:sz w:val="24"/>
                <w:szCs w:val="24"/>
                <w:lang w:eastAsia="en-GB"/>
              </w:rPr>
              <w:t>   Lactate</w:t>
            </w:r>
            <w:r w:rsidRPr="009D15ED">
              <w:rPr>
                <w:rFonts w:eastAsia="Times New Roman" w:cstheme="minorHAnsi"/>
                <w:i/>
                <w:sz w:val="24"/>
                <w:szCs w:val="24"/>
                <w:lang w:eastAsia="en-GB"/>
              </w:rPr>
              <w:t> (</w:t>
            </w:r>
            <w:proofErr w:type="spellStart"/>
            <w:r w:rsidRPr="009D15ED">
              <w:rPr>
                <w:rFonts w:eastAsia="Times New Roman" w:cstheme="minorHAnsi"/>
                <w:i/>
                <w:sz w:val="24"/>
                <w:szCs w:val="24"/>
                <w:lang w:eastAsia="en-GB"/>
              </w:rPr>
              <w:t>mmol</w:t>
            </w:r>
            <w:proofErr w:type="spellEnd"/>
            <w:r w:rsidRPr="009D15ED">
              <w:rPr>
                <w:rFonts w:eastAsia="Times New Roman" w:cstheme="minorHAnsi"/>
                <w:i/>
                <w:sz w:val="24"/>
                <w:szCs w:val="24"/>
                <w:lang w:eastAsia="en-GB"/>
              </w:rPr>
              <w:t>/L)</w:t>
            </w:r>
          </w:p>
        </w:tc>
        <w:tc>
          <w:tcPr>
            <w:tcW w:w="1230" w:type="pct"/>
            <w:tcBorders>
              <w:top w:val="nil"/>
              <w:left w:val="nil"/>
              <w:bottom w:val="nil"/>
              <w:right w:val="nil"/>
            </w:tcBorders>
            <w:vAlign w:val="bottom"/>
          </w:tcPr>
          <w:p w14:paraId="40A26AC0"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1.2 (1.0-1.6) </w:t>
            </w:r>
          </w:p>
        </w:tc>
        <w:tc>
          <w:tcPr>
            <w:tcW w:w="1311" w:type="pct"/>
            <w:tcBorders>
              <w:top w:val="nil"/>
              <w:left w:val="nil"/>
              <w:bottom w:val="nil"/>
              <w:right w:val="nil"/>
            </w:tcBorders>
            <w:shd w:val="clear" w:color="auto" w:fill="auto"/>
            <w:vAlign w:val="bottom"/>
            <w:hideMark/>
          </w:tcPr>
          <w:p w14:paraId="31E62EED"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1.0 (0.8-1.4) </w:t>
            </w:r>
          </w:p>
        </w:tc>
        <w:tc>
          <w:tcPr>
            <w:tcW w:w="562" w:type="pct"/>
            <w:tcBorders>
              <w:top w:val="nil"/>
              <w:left w:val="nil"/>
              <w:bottom w:val="nil"/>
              <w:right w:val="nil"/>
            </w:tcBorders>
            <w:shd w:val="clear" w:color="auto" w:fill="auto"/>
            <w:vAlign w:val="bottom"/>
            <w:hideMark/>
          </w:tcPr>
          <w:p w14:paraId="66A31881"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b/>
                <w:bCs/>
                <w:sz w:val="24"/>
                <w:szCs w:val="24"/>
                <w:lang w:eastAsia="en-GB"/>
              </w:rPr>
              <w:t>0.013*</w:t>
            </w:r>
            <w:r w:rsidRPr="009D15ED">
              <w:rPr>
                <w:rFonts w:eastAsia="Times New Roman" w:cstheme="minorHAnsi"/>
                <w:sz w:val="24"/>
                <w:szCs w:val="24"/>
                <w:lang w:eastAsia="en-GB"/>
              </w:rPr>
              <w:t> </w:t>
            </w:r>
          </w:p>
        </w:tc>
      </w:tr>
      <w:tr w:rsidR="00FB669F" w:rsidRPr="009D15ED" w14:paraId="2194C41B" w14:textId="77777777" w:rsidTr="008E64CC">
        <w:trPr>
          <w:trHeight w:val="300"/>
          <w:jc w:val="center"/>
        </w:trPr>
        <w:tc>
          <w:tcPr>
            <w:tcW w:w="1897" w:type="pct"/>
            <w:tcBorders>
              <w:top w:val="nil"/>
              <w:left w:val="nil"/>
              <w:bottom w:val="nil"/>
              <w:right w:val="nil"/>
            </w:tcBorders>
            <w:shd w:val="clear" w:color="auto" w:fill="auto"/>
            <w:vAlign w:val="bottom"/>
            <w:hideMark/>
          </w:tcPr>
          <w:p w14:paraId="286E9FA5" w14:textId="77777777" w:rsidR="00FB669F" w:rsidRPr="009D15ED" w:rsidRDefault="00FB669F" w:rsidP="008E64CC">
            <w:pPr>
              <w:spacing w:after="0" w:line="276" w:lineRule="auto"/>
              <w:textAlignment w:val="baseline"/>
              <w:rPr>
                <w:rFonts w:eastAsia="Times New Roman" w:cstheme="minorHAnsi"/>
                <w:i/>
                <w:sz w:val="24"/>
                <w:szCs w:val="24"/>
                <w:lang w:eastAsia="en-GB"/>
              </w:rPr>
            </w:pPr>
            <w:r w:rsidRPr="009D15ED">
              <w:rPr>
                <w:rFonts w:eastAsia="Times New Roman" w:cstheme="minorHAnsi"/>
                <w:i/>
                <w:iCs/>
                <w:sz w:val="24"/>
                <w:szCs w:val="24"/>
                <w:lang w:eastAsia="en-GB"/>
              </w:rPr>
              <w:t>   WCC</w:t>
            </w:r>
            <w:r w:rsidRPr="009D15ED">
              <w:rPr>
                <w:rFonts w:eastAsia="Times New Roman" w:cstheme="minorHAnsi"/>
                <w:i/>
                <w:sz w:val="24"/>
                <w:szCs w:val="24"/>
                <w:lang w:eastAsia="en-GB"/>
              </w:rPr>
              <w:t> (10</w:t>
            </w:r>
            <w:r w:rsidRPr="009D15ED">
              <w:rPr>
                <w:rFonts w:eastAsia="Times New Roman" w:cstheme="minorHAnsi"/>
                <w:i/>
                <w:sz w:val="24"/>
                <w:szCs w:val="24"/>
                <w:vertAlign w:val="superscript"/>
                <w:lang w:eastAsia="en-GB"/>
              </w:rPr>
              <w:t>9</w:t>
            </w:r>
            <w:r w:rsidRPr="009D15ED">
              <w:rPr>
                <w:rFonts w:eastAsia="Times New Roman" w:cstheme="minorHAnsi"/>
                <w:i/>
                <w:sz w:val="24"/>
                <w:szCs w:val="24"/>
                <w:lang w:eastAsia="en-GB"/>
              </w:rPr>
              <w:t>/L)</w:t>
            </w:r>
          </w:p>
        </w:tc>
        <w:tc>
          <w:tcPr>
            <w:tcW w:w="1230" w:type="pct"/>
            <w:tcBorders>
              <w:top w:val="nil"/>
              <w:left w:val="nil"/>
              <w:bottom w:val="nil"/>
              <w:right w:val="nil"/>
            </w:tcBorders>
            <w:vAlign w:val="bottom"/>
          </w:tcPr>
          <w:p w14:paraId="36EF3BA8"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8.2 (6.0-11.0) </w:t>
            </w:r>
          </w:p>
        </w:tc>
        <w:tc>
          <w:tcPr>
            <w:tcW w:w="1311" w:type="pct"/>
            <w:tcBorders>
              <w:top w:val="nil"/>
              <w:left w:val="nil"/>
              <w:bottom w:val="nil"/>
              <w:right w:val="nil"/>
            </w:tcBorders>
            <w:shd w:val="clear" w:color="auto" w:fill="auto"/>
            <w:vAlign w:val="bottom"/>
            <w:hideMark/>
          </w:tcPr>
          <w:p w14:paraId="12D07726"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8.5 (6.0-12.0) </w:t>
            </w:r>
          </w:p>
        </w:tc>
        <w:tc>
          <w:tcPr>
            <w:tcW w:w="562" w:type="pct"/>
            <w:tcBorders>
              <w:top w:val="nil"/>
              <w:left w:val="nil"/>
              <w:bottom w:val="nil"/>
              <w:right w:val="nil"/>
            </w:tcBorders>
            <w:shd w:val="clear" w:color="auto" w:fill="auto"/>
            <w:vAlign w:val="bottom"/>
            <w:hideMark/>
          </w:tcPr>
          <w:p w14:paraId="62779B7C"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0.379 </w:t>
            </w:r>
          </w:p>
        </w:tc>
      </w:tr>
      <w:tr w:rsidR="00FB669F" w:rsidRPr="009D15ED" w14:paraId="5BF42564" w14:textId="77777777" w:rsidTr="008E64CC">
        <w:trPr>
          <w:trHeight w:val="300"/>
          <w:jc w:val="center"/>
        </w:trPr>
        <w:tc>
          <w:tcPr>
            <w:tcW w:w="1897" w:type="pct"/>
            <w:tcBorders>
              <w:top w:val="nil"/>
              <w:left w:val="nil"/>
              <w:bottom w:val="nil"/>
              <w:right w:val="nil"/>
            </w:tcBorders>
            <w:shd w:val="clear" w:color="auto" w:fill="auto"/>
            <w:vAlign w:val="bottom"/>
            <w:hideMark/>
          </w:tcPr>
          <w:p w14:paraId="63341467" w14:textId="77777777" w:rsidR="00FB669F" w:rsidRPr="009D15ED" w:rsidRDefault="00FB669F" w:rsidP="008E64CC">
            <w:pPr>
              <w:spacing w:after="0" w:line="276" w:lineRule="auto"/>
              <w:textAlignment w:val="baseline"/>
              <w:rPr>
                <w:rFonts w:eastAsia="Times New Roman" w:cstheme="minorHAnsi"/>
                <w:i/>
                <w:sz w:val="24"/>
                <w:szCs w:val="24"/>
                <w:lang w:eastAsia="en-GB"/>
              </w:rPr>
            </w:pPr>
            <w:r w:rsidRPr="009D15ED">
              <w:rPr>
                <w:rFonts w:eastAsia="Times New Roman" w:cstheme="minorHAnsi"/>
                <w:i/>
                <w:iCs/>
                <w:sz w:val="24"/>
                <w:szCs w:val="24"/>
                <w:lang w:eastAsia="en-GB"/>
              </w:rPr>
              <w:t>   Neutrophils</w:t>
            </w:r>
            <w:r w:rsidRPr="009D15ED">
              <w:rPr>
                <w:rFonts w:eastAsia="Times New Roman" w:cstheme="minorHAnsi"/>
                <w:i/>
                <w:sz w:val="24"/>
                <w:szCs w:val="24"/>
                <w:lang w:eastAsia="en-GB"/>
              </w:rPr>
              <w:t> (10</w:t>
            </w:r>
            <w:r w:rsidRPr="009D15ED">
              <w:rPr>
                <w:rFonts w:eastAsia="Times New Roman" w:cstheme="minorHAnsi"/>
                <w:i/>
                <w:sz w:val="24"/>
                <w:szCs w:val="24"/>
                <w:vertAlign w:val="superscript"/>
                <w:lang w:eastAsia="en-GB"/>
              </w:rPr>
              <w:t>9</w:t>
            </w:r>
            <w:r w:rsidRPr="009D15ED">
              <w:rPr>
                <w:rFonts w:eastAsia="Times New Roman" w:cstheme="minorHAnsi"/>
                <w:i/>
                <w:sz w:val="24"/>
                <w:szCs w:val="24"/>
                <w:lang w:eastAsia="en-GB"/>
              </w:rPr>
              <w:t>/L)</w:t>
            </w:r>
          </w:p>
        </w:tc>
        <w:tc>
          <w:tcPr>
            <w:tcW w:w="1230" w:type="pct"/>
            <w:tcBorders>
              <w:top w:val="nil"/>
              <w:left w:val="nil"/>
              <w:bottom w:val="nil"/>
              <w:right w:val="nil"/>
            </w:tcBorders>
            <w:vAlign w:val="bottom"/>
          </w:tcPr>
          <w:p w14:paraId="5FFF9007"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7.2 (5.2-9.43) </w:t>
            </w:r>
          </w:p>
        </w:tc>
        <w:tc>
          <w:tcPr>
            <w:tcW w:w="1311" w:type="pct"/>
            <w:tcBorders>
              <w:top w:val="nil"/>
              <w:left w:val="nil"/>
              <w:bottom w:val="nil"/>
              <w:right w:val="nil"/>
            </w:tcBorders>
            <w:shd w:val="clear" w:color="auto" w:fill="auto"/>
            <w:vAlign w:val="bottom"/>
            <w:hideMark/>
          </w:tcPr>
          <w:p w14:paraId="6A4549DC"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7.6 (5.1-10.4) </w:t>
            </w:r>
          </w:p>
        </w:tc>
        <w:tc>
          <w:tcPr>
            <w:tcW w:w="562" w:type="pct"/>
            <w:tcBorders>
              <w:top w:val="nil"/>
              <w:left w:val="nil"/>
              <w:bottom w:val="nil"/>
              <w:right w:val="nil"/>
            </w:tcBorders>
            <w:shd w:val="clear" w:color="auto" w:fill="auto"/>
            <w:vAlign w:val="bottom"/>
            <w:hideMark/>
          </w:tcPr>
          <w:p w14:paraId="7F2F7DA5"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0.540 </w:t>
            </w:r>
          </w:p>
        </w:tc>
      </w:tr>
      <w:tr w:rsidR="00FB669F" w:rsidRPr="009D15ED" w14:paraId="12F258D3" w14:textId="77777777" w:rsidTr="008E64CC">
        <w:trPr>
          <w:trHeight w:val="300"/>
          <w:jc w:val="center"/>
        </w:trPr>
        <w:tc>
          <w:tcPr>
            <w:tcW w:w="1897" w:type="pct"/>
            <w:tcBorders>
              <w:top w:val="nil"/>
              <w:left w:val="nil"/>
              <w:bottom w:val="nil"/>
              <w:right w:val="nil"/>
            </w:tcBorders>
            <w:shd w:val="clear" w:color="auto" w:fill="auto"/>
            <w:vAlign w:val="bottom"/>
            <w:hideMark/>
          </w:tcPr>
          <w:p w14:paraId="404B504F" w14:textId="77777777" w:rsidR="00FB669F" w:rsidRPr="009D15ED" w:rsidRDefault="00FB669F" w:rsidP="008E64CC">
            <w:pPr>
              <w:spacing w:after="0" w:line="276" w:lineRule="auto"/>
              <w:textAlignment w:val="baseline"/>
              <w:rPr>
                <w:rFonts w:eastAsia="Times New Roman" w:cstheme="minorHAnsi"/>
                <w:i/>
                <w:sz w:val="24"/>
                <w:szCs w:val="24"/>
                <w:lang w:eastAsia="en-GB"/>
              </w:rPr>
            </w:pPr>
            <w:r w:rsidRPr="009D15ED">
              <w:rPr>
                <w:rFonts w:eastAsia="Times New Roman" w:cstheme="minorHAnsi"/>
                <w:i/>
                <w:iCs/>
                <w:sz w:val="24"/>
                <w:szCs w:val="24"/>
                <w:lang w:eastAsia="en-GB"/>
              </w:rPr>
              <w:t>   Lymphocytes</w:t>
            </w:r>
            <w:r w:rsidRPr="009D15ED">
              <w:rPr>
                <w:rFonts w:eastAsia="Times New Roman" w:cstheme="minorHAnsi"/>
                <w:i/>
                <w:sz w:val="24"/>
                <w:szCs w:val="24"/>
                <w:lang w:eastAsia="en-GB"/>
              </w:rPr>
              <w:t> (10</w:t>
            </w:r>
            <w:r w:rsidRPr="009D15ED">
              <w:rPr>
                <w:rFonts w:eastAsia="Times New Roman" w:cstheme="minorHAnsi"/>
                <w:i/>
                <w:sz w:val="24"/>
                <w:szCs w:val="24"/>
                <w:vertAlign w:val="superscript"/>
                <w:lang w:eastAsia="en-GB"/>
              </w:rPr>
              <w:t>9</w:t>
            </w:r>
            <w:r w:rsidRPr="009D15ED">
              <w:rPr>
                <w:rFonts w:eastAsia="Times New Roman" w:cstheme="minorHAnsi"/>
                <w:i/>
                <w:sz w:val="24"/>
                <w:szCs w:val="24"/>
                <w:lang w:eastAsia="en-GB"/>
              </w:rPr>
              <w:t>/L)</w:t>
            </w:r>
          </w:p>
        </w:tc>
        <w:tc>
          <w:tcPr>
            <w:tcW w:w="1230" w:type="pct"/>
            <w:tcBorders>
              <w:top w:val="nil"/>
              <w:left w:val="nil"/>
              <w:bottom w:val="nil"/>
              <w:right w:val="nil"/>
            </w:tcBorders>
            <w:vAlign w:val="bottom"/>
          </w:tcPr>
          <w:p w14:paraId="2454BE84"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0.6 (0.5-0.8) </w:t>
            </w:r>
          </w:p>
        </w:tc>
        <w:tc>
          <w:tcPr>
            <w:tcW w:w="1311" w:type="pct"/>
            <w:tcBorders>
              <w:top w:val="nil"/>
              <w:left w:val="nil"/>
              <w:bottom w:val="nil"/>
              <w:right w:val="nil"/>
            </w:tcBorders>
            <w:shd w:val="clear" w:color="auto" w:fill="auto"/>
            <w:vAlign w:val="bottom"/>
            <w:hideMark/>
          </w:tcPr>
          <w:p w14:paraId="621DA34B"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0.8 (0.5-1.1) </w:t>
            </w:r>
          </w:p>
        </w:tc>
        <w:tc>
          <w:tcPr>
            <w:tcW w:w="562" w:type="pct"/>
            <w:tcBorders>
              <w:top w:val="nil"/>
              <w:left w:val="nil"/>
              <w:bottom w:val="nil"/>
              <w:right w:val="nil"/>
            </w:tcBorders>
            <w:shd w:val="clear" w:color="auto" w:fill="auto"/>
            <w:vAlign w:val="bottom"/>
            <w:hideMark/>
          </w:tcPr>
          <w:p w14:paraId="260E702E"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b/>
                <w:bCs/>
                <w:sz w:val="24"/>
                <w:szCs w:val="24"/>
                <w:lang w:eastAsia="en-GB"/>
              </w:rPr>
              <w:t>0.004*</w:t>
            </w:r>
            <w:r w:rsidRPr="009D15ED">
              <w:rPr>
                <w:rFonts w:eastAsia="Times New Roman" w:cstheme="minorHAnsi"/>
                <w:sz w:val="24"/>
                <w:szCs w:val="24"/>
                <w:lang w:eastAsia="en-GB"/>
              </w:rPr>
              <w:t> </w:t>
            </w:r>
          </w:p>
        </w:tc>
      </w:tr>
      <w:tr w:rsidR="00FB669F" w:rsidRPr="009D15ED" w14:paraId="4C408F91" w14:textId="77777777" w:rsidTr="008E64CC">
        <w:trPr>
          <w:trHeight w:val="300"/>
          <w:jc w:val="center"/>
        </w:trPr>
        <w:tc>
          <w:tcPr>
            <w:tcW w:w="1897" w:type="pct"/>
            <w:tcBorders>
              <w:top w:val="nil"/>
              <w:left w:val="nil"/>
              <w:bottom w:val="nil"/>
              <w:right w:val="nil"/>
            </w:tcBorders>
            <w:shd w:val="clear" w:color="auto" w:fill="auto"/>
            <w:vAlign w:val="bottom"/>
            <w:hideMark/>
          </w:tcPr>
          <w:p w14:paraId="76464E65" w14:textId="77777777" w:rsidR="00FB669F" w:rsidRPr="009D15ED" w:rsidRDefault="00FB669F" w:rsidP="008E64CC">
            <w:pPr>
              <w:spacing w:after="0" w:line="276" w:lineRule="auto"/>
              <w:textAlignment w:val="baseline"/>
              <w:rPr>
                <w:rFonts w:eastAsia="Times New Roman" w:cstheme="minorHAnsi"/>
                <w:i/>
                <w:sz w:val="24"/>
                <w:szCs w:val="24"/>
                <w:lang w:eastAsia="en-GB"/>
              </w:rPr>
            </w:pPr>
            <w:r w:rsidRPr="009D15ED">
              <w:rPr>
                <w:rFonts w:eastAsia="Times New Roman" w:cstheme="minorHAnsi"/>
                <w:i/>
                <w:iCs/>
                <w:sz w:val="24"/>
                <w:szCs w:val="24"/>
                <w:lang w:eastAsia="en-GB"/>
              </w:rPr>
              <w:t>   Ferritin</w:t>
            </w:r>
            <w:r w:rsidRPr="009D15ED">
              <w:rPr>
                <w:rFonts w:eastAsia="Times New Roman" w:cstheme="minorHAnsi"/>
                <w:i/>
                <w:sz w:val="24"/>
                <w:szCs w:val="24"/>
                <w:lang w:eastAsia="en-GB"/>
              </w:rPr>
              <w:t> (</w:t>
            </w:r>
            <w:proofErr w:type="spellStart"/>
            <w:r w:rsidRPr="009D15ED">
              <w:rPr>
                <w:rFonts w:eastAsia="Times New Roman" w:cstheme="minorHAnsi"/>
                <w:i/>
                <w:sz w:val="24"/>
                <w:szCs w:val="24"/>
                <w:lang w:eastAsia="en-GB"/>
              </w:rPr>
              <w:t>μg</w:t>
            </w:r>
            <w:proofErr w:type="spellEnd"/>
            <w:r w:rsidRPr="009D15ED">
              <w:rPr>
                <w:rFonts w:eastAsia="Times New Roman" w:cstheme="minorHAnsi"/>
                <w:i/>
                <w:sz w:val="24"/>
                <w:szCs w:val="24"/>
                <w:lang w:eastAsia="en-GB"/>
              </w:rPr>
              <w:t>/L)</w:t>
            </w:r>
          </w:p>
        </w:tc>
        <w:tc>
          <w:tcPr>
            <w:tcW w:w="1230" w:type="pct"/>
            <w:tcBorders>
              <w:top w:val="nil"/>
              <w:left w:val="nil"/>
              <w:bottom w:val="nil"/>
              <w:right w:val="nil"/>
            </w:tcBorders>
            <w:vAlign w:val="bottom"/>
          </w:tcPr>
          <w:p w14:paraId="023A7E4B"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774 (534-1237) </w:t>
            </w:r>
          </w:p>
        </w:tc>
        <w:tc>
          <w:tcPr>
            <w:tcW w:w="1311" w:type="pct"/>
            <w:tcBorders>
              <w:top w:val="nil"/>
              <w:left w:val="nil"/>
              <w:bottom w:val="nil"/>
              <w:right w:val="nil"/>
            </w:tcBorders>
            <w:shd w:val="clear" w:color="auto" w:fill="auto"/>
            <w:vAlign w:val="bottom"/>
            <w:hideMark/>
          </w:tcPr>
          <w:p w14:paraId="190BB1A1"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683 (376-1281) </w:t>
            </w:r>
          </w:p>
        </w:tc>
        <w:tc>
          <w:tcPr>
            <w:tcW w:w="562" w:type="pct"/>
            <w:tcBorders>
              <w:top w:val="nil"/>
              <w:left w:val="nil"/>
              <w:bottom w:val="nil"/>
              <w:right w:val="nil"/>
            </w:tcBorders>
            <w:shd w:val="clear" w:color="auto" w:fill="auto"/>
            <w:vAlign w:val="bottom"/>
            <w:hideMark/>
          </w:tcPr>
          <w:p w14:paraId="70AA31AC"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0.547 </w:t>
            </w:r>
          </w:p>
        </w:tc>
      </w:tr>
      <w:tr w:rsidR="00FB669F" w:rsidRPr="009D15ED" w14:paraId="65418F16" w14:textId="77777777" w:rsidTr="008E64CC">
        <w:trPr>
          <w:trHeight w:val="300"/>
          <w:jc w:val="center"/>
        </w:trPr>
        <w:tc>
          <w:tcPr>
            <w:tcW w:w="1897" w:type="pct"/>
            <w:tcBorders>
              <w:top w:val="nil"/>
              <w:left w:val="nil"/>
              <w:bottom w:val="nil"/>
              <w:right w:val="nil"/>
            </w:tcBorders>
            <w:shd w:val="clear" w:color="auto" w:fill="auto"/>
            <w:vAlign w:val="bottom"/>
            <w:hideMark/>
          </w:tcPr>
          <w:p w14:paraId="63D07FB8" w14:textId="77777777" w:rsidR="00FB669F" w:rsidRPr="009D15ED" w:rsidRDefault="00FB669F" w:rsidP="008E64CC">
            <w:pPr>
              <w:spacing w:after="0" w:line="276" w:lineRule="auto"/>
              <w:textAlignment w:val="baseline"/>
              <w:rPr>
                <w:rFonts w:eastAsia="Times New Roman" w:cstheme="minorHAnsi"/>
                <w:i/>
                <w:sz w:val="24"/>
                <w:szCs w:val="24"/>
                <w:lang w:eastAsia="en-GB"/>
              </w:rPr>
            </w:pPr>
            <w:r w:rsidRPr="009D15ED">
              <w:rPr>
                <w:rFonts w:eastAsia="Times New Roman" w:cstheme="minorHAnsi"/>
                <w:i/>
                <w:iCs/>
                <w:sz w:val="24"/>
                <w:szCs w:val="24"/>
                <w:lang w:eastAsia="en-GB"/>
              </w:rPr>
              <w:t>   Troponin</w:t>
            </w:r>
            <w:r w:rsidRPr="009D15ED">
              <w:rPr>
                <w:rFonts w:eastAsia="Times New Roman" w:cstheme="minorHAnsi"/>
                <w:i/>
                <w:sz w:val="24"/>
                <w:szCs w:val="24"/>
                <w:lang w:eastAsia="en-GB"/>
              </w:rPr>
              <w:t> (ng/L)</w:t>
            </w:r>
          </w:p>
        </w:tc>
        <w:tc>
          <w:tcPr>
            <w:tcW w:w="1230" w:type="pct"/>
            <w:tcBorders>
              <w:top w:val="nil"/>
              <w:left w:val="nil"/>
              <w:bottom w:val="nil"/>
              <w:right w:val="nil"/>
            </w:tcBorders>
            <w:vAlign w:val="bottom"/>
          </w:tcPr>
          <w:p w14:paraId="50C0B213"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15 (8-43) </w:t>
            </w:r>
          </w:p>
        </w:tc>
        <w:tc>
          <w:tcPr>
            <w:tcW w:w="1311" w:type="pct"/>
            <w:tcBorders>
              <w:top w:val="nil"/>
              <w:left w:val="nil"/>
              <w:bottom w:val="nil"/>
              <w:right w:val="nil"/>
            </w:tcBorders>
            <w:shd w:val="clear" w:color="auto" w:fill="auto"/>
            <w:vAlign w:val="bottom"/>
            <w:hideMark/>
          </w:tcPr>
          <w:p w14:paraId="0B7C62E4"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13 (7-44) </w:t>
            </w:r>
          </w:p>
        </w:tc>
        <w:tc>
          <w:tcPr>
            <w:tcW w:w="562" w:type="pct"/>
            <w:tcBorders>
              <w:top w:val="nil"/>
              <w:left w:val="nil"/>
              <w:bottom w:val="nil"/>
              <w:right w:val="nil"/>
            </w:tcBorders>
            <w:shd w:val="clear" w:color="auto" w:fill="auto"/>
            <w:vAlign w:val="bottom"/>
            <w:hideMark/>
          </w:tcPr>
          <w:p w14:paraId="3DEA6C17"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0.698 </w:t>
            </w:r>
          </w:p>
        </w:tc>
      </w:tr>
      <w:tr w:rsidR="00FB669F" w:rsidRPr="009D15ED" w14:paraId="03C7CEB1" w14:textId="77777777" w:rsidTr="008E64CC">
        <w:trPr>
          <w:trHeight w:val="300"/>
          <w:jc w:val="center"/>
        </w:trPr>
        <w:tc>
          <w:tcPr>
            <w:tcW w:w="1897" w:type="pct"/>
            <w:tcBorders>
              <w:top w:val="nil"/>
              <w:left w:val="nil"/>
              <w:bottom w:val="nil"/>
              <w:right w:val="nil"/>
            </w:tcBorders>
            <w:shd w:val="clear" w:color="auto" w:fill="auto"/>
            <w:vAlign w:val="bottom"/>
            <w:hideMark/>
          </w:tcPr>
          <w:p w14:paraId="1F1B2BF1" w14:textId="77777777" w:rsidR="00FB669F" w:rsidRPr="009D15ED" w:rsidRDefault="00FB669F" w:rsidP="008E64CC">
            <w:pPr>
              <w:spacing w:after="0" w:line="276" w:lineRule="auto"/>
              <w:textAlignment w:val="baseline"/>
              <w:rPr>
                <w:rFonts w:eastAsia="Times New Roman" w:cstheme="minorHAnsi"/>
                <w:i/>
                <w:sz w:val="24"/>
                <w:szCs w:val="24"/>
                <w:lang w:eastAsia="en-GB"/>
              </w:rPr>
            </w:pPr>
            <w:r w:rsidRPr="009D15ED">
              <w:rPr>
                <w:rFonts w:eastAsia="Times New Roman" w:cstheme="minorHAnsi"/>
                <w:i/>
                <w:iCs/>
                <w:sz w:val="24"/>
                <w:szCs w:val="24"/>
                <w:lang w:eastAsia="en-GB"/>
              </w:rPr>
              <w:t>   LDH</w:t>
            </w:r>
            <w:r w:rsidRPr="009D15ED">
              <w:rPr>
                <w:rFonts w:eastAsia="Times New Roman" w:cstheme="minorHAnsi"/>
                <w:i/>
                <w:sz w:val="24"/>
                <w:szCs w:val="24"/>
                <w:lang w:eastAsia="en-GB"/>
              </w:rPr>
              <w:t> (U/L)</w:t>
            </w:r>
          </w:p>
        </w:tc>
        <w:tc>
          <w:tcPr>
            <w:tcW w:w="1230" w:type="pct"/>
            <w:tcBorders>
              <w:top w:val="nil"/>
              <w:left w:val="nil"/>
              <w:bottom w:val="nil"/>
              <w:right w:val="nil"/>
            </w:tcBorders>
            <w:vAlign w:val="bottom"/>
          </w:tcPr>
          <w:p w14:paraId="70717412"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1022 (829-1400) </w:t>
            </w:r>
          </w:p>
        </w:tc>
        <w:tc>
          <w:tcPr>
            <w:tcW w:w="1311" w:type="pct"/>
            <w:tcBorders>
              <w:top w:val="nil"/>
              <w:left w:val="nil"/>
              <w:bottom w:val="nil"/>
              <w:right w:val="nil"/>
            </w:tcBorders>
            <w:shd w:val="clear" w:color="auto" w:fill="auto"/>
            <w:vAlign w:val="bottom"/>
            <w:hideMark/>
          </w:tcPr>
          <w:p w14:paraId="4B7EC73B"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874 (687-1211) </w:t>
            </w:r>
          </w:p>
        </w:tc>
        <w:tc>
          <w:tcPr>
            <w:tcW w:w="562" w:type="pct"/>
            <w:tcBorders>
              <w:top w:val="nil"/>
              <w:left w:val="nil"/>
              <w:bottom w:val="nil"/>
              <w:right w:val="nil"/>
            </w:tcBorders>
            <w:shd w:val="clear" w:color="auto" w:fill="auto"/>
            <w:vAlign w:val="bottom"/>
            <w:hideMark/>
          </w:tcPr>
          <w:p w14:paraId="59AE0377"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b/>
                <w:bCs/>
                <w:sz w:val="24"/>
                <w:szCs w:val="24"/>
                <w:lang w:eastAsia="en-GB"/>
              </w:rPr>
              <w:t>0.005*</w:t>
            </w:r>
            <w:r w:rsidRPr="009D15ED">
              <w:rPr>
                <w:rFonts w:eastAsia="Times New Roman" w:cstheme="minorHAnsi"/>
                <w:sz w:val="24"/>
                <w:szCs w:val="24"/>
                <w:lang w:eastAsia="en-GB"/>
              </w:rPr>
              <w:t> </w:t>
            </w:r>
          </w:p>
        </w:tc>
      </w:tr>
      <w:tr w:rsidR="00FB669F" w:rsidRPr="009D15ED" w14:paraId="4AF279C8" w14:textId="77777777" w:rsidTr="008E64CC">
        <w:trPr>
          <w:trHeight w:val="300"/>
          <w:jc w:val="center"/>
        </w:trPr>
        <w:tc>
          <w:tcPr>
            <w:tcW w:w="1897" w:type="pct"/>
            <w:tcBorders>
              <w:top w:val="nil"/>
              <w:left w:val="nil"/>
              <w:bottom w:val="nil"/>
              <w:right w:val="nil"/>
            </w:tcBorders>
            <w:shd w:val="clear" w:color="auto" w:fill="auto"/>
            <w:vAlign w:val="bottom"/>
            <w:hideMark/>
          </w:tcPr>
          <w:p w14:paraId="23510357" w14:textId="77777777" w:rsidR="00FB669F" w:rsidRPr="009D15ED" w:rsidRDefault="00FB669F" w:rsidP="008E64CC">
            <w:pPr>
              <w:spacing w:after="0" w:line="276" w:lineRule="auto"/>
              <w:textAlignment w:val="baseline"/>
              <w:rPr>
                <w:rFonts w:eastAsia="Times New Roman" w:cstheme="minorHAnsi"/>
                <w:i/>
                <w:sz w:val="24"/>
                <w:szCs w:val="24"/>
                <w:lang w:eastAsia="en-GB"/>
              </w:rPr>
            </w:pPr>
            <w:r w:rsidRPr="009D15ED">
              <w:rPr>
                <w:rFonts w:eastAsia="Times New Roman" w:cstheme="minorHAnsi"/>
                <w:i/>
                <w:iCs/>
                <w:sz w:val="24"/>
                <w:szCs w:val="24"/>
                <w:lang w:eastAsia="en-GB"/>
              </w:rPr>
              <w:t>   D-Dimer</w:t>
            </w:r>
            <w:r w:rsidRPr="009D15ED">
              <w:rPr>
                <w:rFonts w:eastAsia="Times New Roman" w:cstheme="minorHAnsi"/>
                <w:i/>
                <w:sz w:val="24"/>
                <w:szCs w:val="24"/>
                <w:lang w:eastAsia="en-GB"/>
              </w:rPr>
              <w:t> (</w:t>
            </w:r>
            <w:proofErr w:type="spellStart"/>
            <w:r w:rsidRPr="009D15ED">
              <w:rPr>
                <w:rFonts w:eastAsia="Times New Roman" w:cstheme="minorHAnsi"/>
                <w:i/>
                <w:sz w:val="24"/>
                <w:szCs w:val="24"/>
                <w:lang w:eastAsia="en-GB"/>
              </w:rPr>
              <w:t>μg</w:t>
            </w:r>
            <w:proofErr w:type="spellEnd"/>
            <w:r w:rsidRPr="009D15ED">
              <w:rPr>
                <w:rFonts w:eastAsia="Times New Roman" w:cstheme="minorHAnsi"/>
                <w:i/>
                <w:sz w:val="24"/>
                <w:szCs w:val="24"/>
                <w:lang w:eastAsia="en-GB"/>
              </w:rPr>
              <w:t>/L)</w:t>
            </w:r>
          </w:p>
        </w:tc>
        <w:tc>
          <w:tcPr>
            <w:tcW w:w="1230" w:type="pct"/>
            <w:tcBorders>
              <w:top w:val="nil"/>
              <w:left w:val="nil"/>
              <w:bottom w:val="nil"/>
              <w:right w:val="nil"/>
            </w:tcBorders>
            <w:vAlign w:val="bottom"/>
          </w:tcPr>
          <w:p w14:paraId="75F9EC6E"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583 (283-1141) </w:t>
            </w:r>
          </w:p>
        </w:tc>
        <w:tc>
          <w:tcPr>
            <w:tcW w:w="1311" w:type="pct"/>
            <w:tcBorders>
              <w:top w:val="nil"/>
              <w:left w:val="nil"/>
              <w:bottom w:val="nil"/>
              <w:right w:val="nil"/>
            </w:tcBorders>
            <w:shd w:val="clear" w:color="auto" w:fill="auto"/>
            <w:vAlign w:val="bottom"/>
            <w:hideMark/>
          </w:tcPr>
          <w:p w14:paraId="0FF03146"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553 (283-1176) </w:t>
            </w:r>
          </w:p>
        </w:tc>
        <w:tc>
          <w:tcPr>
            <w:tcW w:w="562" w:type="pct"/>
            <w:tcBorders>
              <w:top w:val="nil"/>
              <w:left w:val="nil"/>
              <w:bottom w:val="nil"/>
              <w:right w:val="nil"/>
            </w:tcBorders>
            <w:shd w:val="clear" w:color="auto" w:fill="auto"/>
            <w:vAlign w:val="bottom"/>
            <w:hideMark/>
          </w:tcPr>
          <w:p w14:paraId="0C9F00E8"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0.888 </w:t>
            </w:r>
          </w:p>
        </w:tc>
      </w:tr>
      <w:tr w:rsidR="00FB669F" w:rsidRPr="009D15ED" w14:paraId="1A6F39F4" w14:textId="77777777" w:rsidTr="008E64CC">
        <w:trPr>
          <w:trHeight w:val="300"/>
          <w:jc w:val="center"/>
        </w:trPr>
        <w:tc>
          <w:tcPr>
            <w:tcW w:w="1897" w:type="pct"/>
            <w:tcBorders>
              <w:top w:val="nil"/>
              <w:left w:val="nil"/>
              <w:bottom w:val="nil"/>
              <w:right w:val="nil"/>
            </w:tcBorders>
            <w:shd w:val="clear" w:color="auto" w:fill="auto"/>
            <w:vAlign w:val="bottom"/>
            <w:hideMark/>
          </w:tcPr>
          <w:p w14:paraId="5336BBA8" w14:textId="77777777" w:rsidR="00FB669F" w:rsidRPr="009D15ED" w:rsidRDefault="00FB669F" w:rsidP="008E64CC">
            <w:pPr>
              <w:spacing w:after="0" w:line="276" w:lineRule="auto"/>
              <w:textAlignment w:val="baseline"/>
              <w:rPr>
                <w:rFonts w:eastAsia="Times New Roman" w:cstheme="minorHAnsi"/>
                <w:i/>
                <w:sz w:val="24"/>
                <w:szCs w:val="24"/>
                <w:lang w:eastAsia="en-GB"/>
              </w:rPr>
            </w:pPr>
            <w:r w:rsidRPr="009D15ED">
              <w:rPr>
                <w:rFonts w:eastAsia="Times New Roman" w:cstheme="minorHAnsi"/>
                <w:i/>
                <w:iCs/>
                <w:sz w:val="24"/>
                <w:szCs w:val="24"/>
                <w:lang w:eastAsia="en-GB"/>
              </w:rPr>
              <w:t>   Creatinine Kinase</w:t>
            </w:r>
            <w:r w:rsidRPr="009D15ED">
              <w:rPr>
                <w:rFonts w:eastAsia="Times New Roman" w:cstheme="minorHAnsi"/>
                <w:i/>
                <w:sz w:val="24"/>
                <w:szCs w:val="24"/>
                <w:lang w:eastAsia="en-GB"/>
              </w:rPr>
              <w:t> (U/L)</w:t>
            </w:r>
          </w:p>
        </w:tc>
        <w:tc>
          <w:tcPr>
            <w:tcW w:w="1230" w:type="pct"/>
            <w:tcBorders>
              <w:top w:val="nil"/>
              <w:left w:val="nil"/>
              <w:bottom w:val="nil"/>
              <w:right w:val="nil"/>
            </w:tcBorders>
            <w:vAlign w:val="bottom"/>
          </w:tcPr>
          <w:p w14:paraId="75C9F93D"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148 (54-381) </w:t>
            </w:r>
          </w:p>
        </w:tc>
        <w:tc>
          <w:tcPr>
            <w:tcW w:w="1311" w:type="pct"/>
            <w:tcBorders>
              <w:top w:val="nil"/>
              <w:left w:val="nil"/>
              <w:bottom w:val="nil"/>
              <w:right w:val="nil"/>
            </w:tcBorders>
            <w:shd w:val="clear" w:color="auto" w:fill="auto"/>
            <w:vAlign w:val="bottom"/>
            <w:hideMark/>
          </w:tcPr>
          <w:p w14:paraId="606B97DD"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131 (68-342) </w:t>
            </w:r>
          </w:p>
        </w:tc>
        <w:tc>
          <w:tcPr>
            <w:tcW w:w="562" w:type="pct"/>
            <w:tcBorders>
              <w:top w:val="nil"/>
              <w:left w:val="nil"/>
              <w:bottom w:val="nil"/>
              <w:right w:val="nil"/>
            </w:tcBorders>
            <w:shd w:val="clear" w:color="auto" w:fill="auto"/>
            <w:vAlign w:val="bottom"/>
            <w:hideMark/>
          </w:tcPr>
          <w:p w14:paraId="1AADD91F"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0.997 </w:t>
            </w:r>
          </w:p>
        </w:tc>
      </w:tr>
      <w:tr w:rsidR="00FB669F" w:rsidRPr="009D15ED" w14:paraId="2872B2BB" w14:textId="77777777" w:rsidTr="008E64CC">
        <w:trPr>
          <w:trHeight w:val="300"/>
          <w:jc w:val="center"/>
        </w:trPr>
        <w:tc>
          <w:tcPr>
            <w:tcW w:w="1897" w:type="pct"/>
            <w:tcBorders>
              <w:top w:val="nil"/>
              <w:left w:val="nil"/>
              <w:bottom w:val="nil"/>
              <w:right w:val="nil"/>
            </w:tcBorders>
            <w:shd w:val="clear" w:color="auto" w:fill="auto"/>
            <w:vAlign w:val="bottom"/>
            <w:hideMark/>
          </w:tcPr>
          <w:p w14:paraId="380F0841" w14:textId="77777777" w:rsidR="00FB669F" w:rsidRPr="009D15ED" w:rsidRDefault="00FB669F" w:rsidP="008E64CC">
            <w:pPr>
              <w:spacing w:after="0" w:line="276" w:lineRule="auto"/>
              <w:textAlignment w:val="baseline"/>
              <w:rPr>
                <w:rFonts w:eastAsia="Times New Roman" w:cstheme="minorHAnsi"/>
                <w:b/>
                <w:sz w:val="24"/>
                <w:szCs w:val="24"/>
                <w:lang w:eastAsia="en-GB"/>
              </w:rPr>
            </w:pPr>
            <w:r w:rsidRPr="009D15ED">
              <w:rPr>
                <w:rFonts w:eastAsia="Times New Roman" w:cstheme="minorHAnsi"/>
                <w:b/>
                <w:bCs/>
                <w:sz w:val="24"/>
                <w:szCs w:val="24"/>
                <w:lang w:eastAsia="en-GB"/>
              </w:rPr>
              <w:t>Treatments</w:t>
            </w:r>
            <w:r w:rsidRPr="009D15ED">
              <w:rPr>
                <w:rFonts w:eastAsia="Times New Roman" w:cstheme="minorHAnsi"/>
                <w:b/>
                <w:sz w:val="24"/>
                <w:szCs w:val="24"/>
                <w:lang w:eastAsia="en-GB"/>
              </w:rPr>
              <w:t> (n (%))</w:t>
            </w:r>
          </w:p>
        </w:tc>
        <w:tc>
          <w:tcPr>
            <w:tcW w:w="1230" w:type="pct"/>
            <w:tcBorders>
              <w:top w:val="nil"/>
              <w:left w:val="nil"/>
              <w:bottom w:val="nil"/>
              <w:right w:val="nil"/>
            </w:tcBorders>
            <w:vAlign w:val="bottom"/>
          </w:tcPr>
          <w:p w14:paraId="33BC6B73"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 </w:t>
            </w:r>
          </w:p>
        </w:tc>
        <w:tc>
          <w:tcPr>
            <w:tcW w:w="1311" w:type="pct"/>
            <w:tcBorders>
              <w:top w:val="nil"/>
              <w:left w:val="nil"/>
              <w:bottom w:val="nil"/>
              <w:right w:val="nil"/>
            </w:tcBorders>
            <w:shd w:val="clear" w:color="auto" w:fill="auto"/>
            <w:vAlign w:val="bottom"/>
            <w:hideMark/>
          </w:tcPr>
          <w:p w14:paraId="5E72D957"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 </w:t>
            </w:r>
          </w:p>
        </w:tc>
        <w:tc>
          <w:tcPr>
            <w:tcW w:w="562" w:type="pct"/>
            <w:tcBorders>
              <w:top w:val="nil"/>
              <w:left w:val="nil"/>
              <w:bottom w:val="nil"/>
              <w:right w:val="nil"/>
            </w:tcBorders>
            <w:shd w:val="clear" w:color="auto" w:fill="auto"/>
            <w:vAlign w:val="bottom"/>
            <w:hideMark/>
          </w:tcPr>
          <w:p w14:paraId="7708D224"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 </w:t>
            </w:r>
          </w:p>
        </w:tc>
      </w:tr>
      <w:tr w:rsidR="00FB669F" w:rsidRPr="009D15ED" w14:paraId="7C31F7B9" w14:textId="77777777" w:rsidTr="008E64CC">
        <w:trPr>
          <w:trHeight w:val="300"/>
          <w:jc w:val="center"/>
        </w:trPr>
        <w:tc>
          <w:tcPr>
            <w:tcW w:w="1897" w:type="pct"/>
            <w:tcBorders>
              <w:top w:val="nil"/>
              <w:left w:val="nil"/>
              <w:bottom w:val="nil"/>
              <w:right w:val="nil"/>
            </w:tcBorders>
            <w:shd w:val="clear" w:color="auto" w:fill="auto"/>
            <w:vAlign w:val="bottom"/>
            <w:hideMark/>
          </w:tcPr>
          <w:p w14:paraId="533F68F4" w14:textId="77777777" w:rsidR="00FB669F" w:rsidRPr="009D15ED" w:rsidRDefault="00FB669F" w:rsidP="008E64CC">
            <w:pPr>
              <w:spacing w:after="0" w:line="276" w:lineRule="auto"/>
              <w:textAlignment w:val="baseline"/>
              <w:rPr>
                <w:rFonts w:eastAsia="Times New Roman" w:cstheme="minorHAnsi"/>
                <w:sz w:val="24"/>
                <w:szCs w:val="24"/>
                <w:lang w:eastAsia="en-GB"/>
              </w:rPr>
            </w:pPr>
            <w:r w:rsidRPr="009D15ED">
              <w:rPr>
                <w:rFonts w:eastAsia="Times New Roman" w:cstheme="minorHAnsi"/>
                <w:i/>
                <w:iCs/>
                <w:sz w:val="24"/>
                <w:szCs w:val="24"/>
                <w:lang w:eastAsia="en-GB"/>
              </w:rPr>
              <w:lastRenderedPageBreak/>
              <w:t>   Transfer for ECMO</w:t>
            </w:r>
            <w:r w:rsidRPr="009D15ED">
              <w:rPr>
                <w:rFonts w:eastAsia="Times New Roman" w:cstheme="minorHAnsi"/>
                <w:sz w:val="24"/>
                <w:szCs w:val="24"/>
                <w:lang w:eastAsia="en-GB"/>
              </w:rPr>
              <w:t> </w:t>
            </w:r>
          </w:p>
        </w:tc>
        <w:tc>
          <w:tcPr>
            <w:tcW w:w="1230" w:type="pct"/>
            <w:tcBorders>
              <w:top w:val="nil"/>
              <w:left w:val="nil"/>
              <w:bottom w:val="nil"/>
              <w:right w:val="nil"/>
            </w:tcBorders>
            <w:vAlign w:val="bottom"/>
          </w:tcPr>
          <w:p w14:paraId="42AA3B3F"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1 (1.7%) </w:t>
            </w:r>
          </w:p>
        </w:tc>
        <w:tc>
          <w:tcPr>
            <w:tcW w:w="1311" w:type="pct"/>
            <w:tcBorders>
              <w:top w:val="nil"/>
              <w:left w:val="nil"/>
              <w:bottom w:val="nil"/>
              <w:right w:val="nil"/>
            </w:tcBorders>
            <w:shd w:val="clear" w:color="auto" w:fill="auto"/>
            <w:vAlign w:val="bottom"/>
            <w:hideMark/>
          </w:tcPr>
          <w:p w14:paraId="17AFBB3A"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4 (1.6%) </w:t>
            </w:r>
          </w:p>
        </w:tc>
        <w:tc>
          <w:tcPr>
            <w:tcW w:w="562" w:type="pct"/>
            <w:tcBorders>
              <w:top w:val="nil"/>
              <w:left w:val="nil"/>
              <w:bottom w:val="nil"/>
              <w:right w:val="nil"/>
            </w:tcBorders>
            <w:shd w:val="clear" w:color="auto" w:fill="auto"/>
            <w:vAlign w:val="bottom"/>
            <w:hideMark/>
          </w:tcPr>
          <w:p w14:paraId="4BAE63A8"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1.000 </w:t>
            </w:r>
          </w:p>
        </w:tc>
      </w:tr>
      <w:tr w:rsidR="00FB669F" w:rsidRPr="009D15ED" w14:paraId="09E45234" w14:textId="77777777" w:rsidTr="008E64CC">
        <w:trPr>
          <w:trHeight w:val="300"/>
          <w:jc w:val="center"/>
        </w:trPr>
        <w:tc>
          <w:tcPr>
            <w:tcW w:w="1897" w:type="pct"/>
            <w:tcBorders>
              <w:top w:val="nil"/>
              <w:left w:val="nil"/>
              <w:bottom w:val="nil"/>
              <w:right w:val="nil"/>
            </w:tcBorders>
            <w:shd w:val="clear" w:color="auto" w:fill="auto"/>
            <w:vAlign w:val="bottom"/>
            <w:hideMark/>
          </w:tcPr>
          <w:p w14:paraId="23F9704A" w14:textId="77777777" w:rsidR="00FB669F" w:rsidRPr="009D15ED" w:rsidRDefault="00FB669F" w:rsidP="008E64CC">
            <w:pPr>
              <w:spacing w:after="0" w:line="276" w:lineRule="auto"/>
              <w:textAlignment w:val="baseline"/>
              <w:rPr>
                <w:rFonts w:eastAsia="Times New Roman" w:cstheme="minorHAnsi"/>
                <w:sz w:val="24"/>
                <w:szCs w:val="24"/>
                <w:lang w:eastAsia="en-GB"/>
              </w:rPr>
            </w:pPr>
            <w:r w:rsidRPr="009D15ED">
              <w:rPr>
                <w:rFonts w:eastAsia="Times New Roman" w:cstheme="minorHAnsi"/>
                <w:i/>
                <w:iCs/>
                <w:sz w:val="24"/>
                <w:szCs w:val="24"/>
                <w:lang w:eastAsia="en-GB"/>
              </w:rPr>
              <w:t>   Renal replacement therapy</w:t>
            </w:r>
            <w:r w:rsidRPr="009D15ED">
              <w:rPr>
                <w:rFonts w:eastAsia="Times New Roman" w:cstheme="minorHAnsi"/>
                <w:sz w:val="24"/>
                <w:szCs w:val="24"/>
                <w:lang w:eastAsia="en-GB"/>
              </w:rPr>
              <w:t> </w:t>
            </w:r>
          </w:p>
        </w:tc>
        <w:tc>
          <w:tcPr>
            <w:tcW w:w="1230" w:type="pct"/>
            <w:tcBorders>
              <w:top w:val="nil"/>
              <w:left w:val="nil"/>
              <w:bottom w:val="nil"/>
              <w:right w:val="nil"/>
            </w:tcBorders>
            <w:vAlign w:val="bottom"/>
          </w:tcPr>
          <w:p w14:paraId="335598EE"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15 (25.4%) </w:t>
            </w:r>
          </w:p>
        </w:tc>
        <w:tc>
          <w:tcPr>
            <w:tcW w:w="1311" w:type="pct"/>
            <w:tcBorders>
              <w:top w:val="nil"/>
              <w:left w:val="nil"/>
              <w:bottom w:val="nil"/>
              <w:right w:val="nil"/>
            </w:tcBorders>
            <w:shd w:val="clear" w:color="auto" w:fill="auto"/>
            <w:vAlign w:val="bottom"/>
            <w:hideMark/>
          </w:tcPr>
          <w:p w14:paraId="75D8B853"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34 (13.7%) </w:t>
            </w:r>
          </w:p>
        </w:tc>
        <w:tc>
          <w:tcPr>
            <w:tcW w:w="562" w:type="pct"/>
            <w:tcBorders>
              <w:top w:val="nil"/>
              <w:left w:val="nil"/>
              <w:bottom w:val="nil"/>
              <w:right w:val="nil"/>
            </w:tcBorders>
            <w:shd w:val="clear" w:color="auto" w:fill="auto"/>
            <w:vAlign w:val="bottom"/>
            <w:hideMark/>
          </w:tcPr>
          <w:p w14:paraId="16244E80"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b/>
                <w:bCs/>
                <w:sz w:val="24"/>
                <w:szCs w:val="24"/>
                <w:lang w:eastAsia="en-GB"/>
              </w:rPr>
              <w:t>0.026*</w:t>
            </w:r>
            <w:r w:rsidRPr="009D15ED">
              <w:rPr>
                <w:rFonts w:eastAsia="Times New Roman" w:cstheme="minorHAnsi"/>
                <w:sz w:val="24"/>
                <w:szCs w:val="24"/>
                <w:lang w:eastAsia="en-GB"/>
              </w:rPr>
              <w:t> </w:t>
            </w:r>
          </w:p>
        </w:tc>
      </w:tr>
      <w:tr w:rsidR="00FB669F" w:rsidRPr="009D15ED" w14:paraId="207AE435" w14:textId="77777777" w:rsidTr="008E64CC">
        <w:trPr>
          <w:trHeight w:val="300"/>
          <w:jc w:val="center"/>
        </w:trPr>
        <w:tc>
          <w:tcPr>
            <w:tcW w:w="1897" w:type="pct"/>
            <w:tcBorders>
              <w:top w:val="nil"/>
              <w:left w:val="nil"/>
              <w:bottom w:val="nil"/>
              <w:right w:val="nil"/>
            </w:tcBorders>
            <w:shd w:val="clear" w:color="auto" w:fill="auto"/>
            <w:vAlign w:val="bottom"/>
            <w:hideMark/>
          </w:tcPr>
          <w:p w14:paraId="1732563B" w14:textId="77777777" w:rsidR="00FB669F" w:rsidRPr="009D15ED" w:rsidRDefault="00FB669F" w:rsidP="008E64CC">
            <w:pPr>
              <w:spacing w:after="0" w:line="276" w:lineRule="auto"/>
              <w:textAlignment w:val="baseline"/>
              <w:rPr>
                <w:rFonts w:eastAsia="Times New Roman" w:cstheme="minorHAnsi"/>
                <w:b/>
                <w:sz w:val="24"/>
                <w:szCs w:val="24"/>
                <w:lang w:eastAsia="en-GB"/>
              </w:rPr>
            </w:pPr>
            <w:r w:rsidRPr="009D15ED">
              <w:rPr>
                <w:rFonts w:eastAsia="Times New Roman" w:cstheme="minorHAnsi"/>
                <w:b/>
                <w:bCs/>
                <w:sz w:val="24"/>
                <w:szCs w:val="24"/>
                <w:lang w:eastAsia="en-GB"/>
              </w:rPr>
              <w:t xml:space="preserve">Survival </w:t>
            </w:r>
            <w:r w:rsidRPr="009D15ED">
              <w:rPr>
                <w:rFonts w:eastAsia="Times New Roman" w:cstheme="minorHAnsi"/>
                <w:b/>
                <w:sz w:val="24"/>
                <w:szCs w:val="24"/>
                <w:lang w:eastAsia="en-GB"/>
              </w:rPr>
              <w:t>(n (%))</w:t>
            </w:r>
          </w:p>
        </w:tc>
        <w:tc>
          <w:tcPr>
            <w:tcW w:w="1230" w:type="pct"/>
            <w:tcBorders>
              <w:top w:val="nil"/>
              <w:left w:val="nil"/>
              <w:bottom w:val="nil"/>
              <w:right w:val="nil"/>
            </w:tcBorders>
            <w:vAlign w:val="bottom"/>
          </w:tcPr>
          <w:p w14:paraId="0122D7E6"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 </w:t>
            </w:r>
          </w:p>
        </w:tc>
        <w:tc>
          <w:tcPr>
            <w:tcW w:w="1311" w:type="pct"/>
            <w:tcBorders>
              <w:top w:val="nil"/>
              <w:left w:val="nil"/>
              <w:bottom w:val="nil"/>
              <w:right w:val="nil"/>
            </w:tcBorders>
            <w:shd w:val="clear" w:color="auto" w:fill="auto"/>
            <w:vAlign w:val="bottom"/>
            <w:hideMark/>
          </w:tcPr>
          <w:p w14:paraId="30C14A74"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 </w:t>
            </w:r>
          </w:p>
        </w:tc>
        <w:tc>
          <w:tcPr>
            <w:tcW w:w="562" w:type="pct"/>
            <w:tcBorders>
              <w:top w:val="nil"/>
              <w:left w:val="nil"/>
              <w:bottom w:val="nil"/>
              <w:right w:val="nil"/>
            </w:tcBorders>
            <w:shd w:val="clear" w:color="auto" w:fill="auto"/>
            <w:vAlign w:val="bottom"/>
            <w:hideMark/>
          </w:tcPr>
          <w:p w14:paraId="02520AF4"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 </w:t>
            </w:r>
          </w:p>
        </w:tc>
      </w:tr>
      <w:tr w:rsidR="00FB669F" w:rsidRPr="009D15ED" w14:paraId="74D81AFA" w14:textId="77777777" w:rsidTr="008E64CC">
        <w:trPr>
          <w:trHeight w:val="300"/>
          <w:jc w:val="center"/>
        </w:trPr>
        <w:tc>
          <w:tcPr>
            <w:tcW w:w="1897" w:type="pct"/>
            <w:tcBorders>
              <w:top w:val="nil"/>
              <w:left w:val="nil"/>
              <w:bottom w:val="nil"/>
              <w:right w:val="nil"/>
            </w:tcBorders>
            <w:shd w:val="clear" w:color="auto" w:fill="auto"/>
            <w:vAlign w:val="bottom"/>
            <w:hideMark/>
          </w:tcPr>
          <w:p w14:paraId="259191DF" w14:textId="77777777" w:rsidR="00FB669F" w:rsidRPr="009D15ED" w:rsidRDefault="00FB669F" w:rsidP="008E64CC">
            <w:pPr>
              <w:spacing w:after="0" w:line="276" w:lineRule="auto"/>
              <w:textAlignment w:val="baseline"/>
              <w:rPr>
                <w:rFonts w:eastAsia="Times New Roman" w:cstheme="minorHAnsi"/>
                <w:sz w:val="24"/>
                <w:szCs w:val="24"/>
                <w:lang w:eastAsia="en-GB"/>
              </w:rPr>
            </w:pPr>
            <w:r w:rsidRPr="009D15ED">
              <w:rPr>
                <w:rFonts w:eastAsia="Times New Roman" w:cstheme="minorHAnsi"/>
                <w:i/>
                <w:iCs/>
                <w:sz w:val="24"/>
                <w:szCs w:val="24"/>
                <w:lang w:eastAsia="en-GB"/>
              </w:rPr>
              <w:t xml:space="preserve">   ICU </w:t>
            </w:r>
            <w:r w:rsidRPr="009D15ED">
              <w:rPr>
                <w:rFonts w:eastAsia="Times New Roman" w:cstheme="minorHAnsi"/>
                <w:sz w:val="24"/>
                <w:szCs w:val="24"/>
                <w:lang w:eastAsia="en-GB"/>
              </w:rPr>
              <w:t>survival</w:t>
            </w:r>
          </w:p>
        </w:tc>
        <w:tc>
          <w:tcPr>
            <w:tcW w:w="1230" w:type="pct"/>
            <w:tcBorders>
              <w:top w:val="nil"/>
              <w:left w:val="nil"/>
              <w:bottom w:val="nil"/>
              <w:right w:val="nil"/>
            </w:tcBorders>
            <w:vAlign w:val="bottom"/>
          </w:tcPr>
          <w:p w14:paraId="5C95EB38"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33 (55.9%) </w:t>
            </w:r>
          </w:p>
        </w:tc>
        <w:tc>
          <w:tcPr>
            <w:tcW w:w="1311" w:type="pct"/>
            <w:tcBorders>
              <w:top w:val="nil"/>
              <w:left w:val="nil"/>
              <w:bottom w:val="nil"/>
              <w:right w:val="nil"/>
            </w:tcBorders>
            <w:shd w:val="clear" w:color="auto" w:fill="auto"/>
            <w:vAlign w:val="bottom"/>
            <w:hideMark/>
          </w:tcPr>
          <w:p w14:paraId="7E6DA54F"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204 (81.9%) </w:t>
            </w:r>
          </w:p>
        </w:tc>
        <w:tc>
          <w:tcPr>
            <w:tcW w:w="562" w:type="pct"/>
            <w:tcBorders>
              <w:top w:val="nil"/>
              <w:left w:val="nil"/>
              <w:bottom w:val="nil"/>
              <w:right w:val="nil"/>
            </w:tcBorders>
            <w:shd w:val="clear" w:color="auto" w:fill="auto"/>
            <w:vAlign w:val="bottom"/>
            <w:hideMark/>
          </w:tcPr>
          <w:p w14:paraId="4F6BC7AD"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b/>
                <w:bCs/>
                <w:sz w:val="24"/>
                <w:szCs w:val="24"/>
                <w:lang w:eastAsia="en-GB"/>
              </w:rPr>
              <w:t>&lt;0.001*</w:t>
            </w:r>
            <w:r w:rsidRPr="009D15ED">
              <w:rPr>
                <w:rFonts w:eastAsia="Times New Roman" w:cstheme="minorHAnsi"/>
                <w:sz w:val="24"/>
                <w:szCs w:val="24"/>
                <w:lang w:eastAsia="en-GB"/>
              </w:rPr>
              <w:t> </w:t>
            </w:r>
          </w:p>
        </w:tc>
      </w:tr>
      <w:tr w:rsidR="00FB669F" w:rsidRPr="009D15ED" w14:paraId="04229DC0" w14:textId="77777777" w:rsidTr="008E64CC">
        <w:trPr>
          <w:trHeight w:val="300"/>
          <w:jc w:val="center"/>
        </w:trPr>
        <w:tc>
          <w:tcPr>
            <w:tcW w:w="1897" w:type="pct"/>
            <w:tcBorders>
              <w:top w:val="nil"/>
              <w:left w:val="nil"/>
              <w:bottom w:val="nil"/>
              <w:right w:val="nil"/>
            </w:tcBorders>
            <w:shd w:val="clear" w:color="auto" w:fill="auto"/>
            <w:vAlign w:val="bottom"/>
            <w:hideMark/>
          </w:tcPr>
          <w:p w14:paraId="218FCE93" w14:textId="77777777" w:rsidR="00FB669F" w:rsidRPr="009D15ED" w:rsidRDefault="00FB669F" w:rsidP="008E64CC">
            <w:pPr>
              <w:spacing w:after="0" w:line="276" w:lineRule="auto"/>
              <w:textAlignment w:val="baseline"/>
              <w:rPr>
                <w:rFonts w:eastAsia="Times New Roman" w:cstheme="minorHAnsi"/>
                <w:sz w:val="24"/>
                <w:szCs w:val="24"/>
                <w:lang w:eastAsia="en-GB"/>
              </w:rPr>
            </w:pPr>
            <w:r w:rsidRPr="009D15ED">
              <w:rPr>
                <w:rFonts w:eastAsia="Times New Roman" w:cstheme="minorHAnsi"/>
                <w:i/>
                <w:iCs/>
                <w:sz w:val="24"/>
                <w:szCs w:val="24"/>
                <w:lang w:eastAsia="en-GB"/>
              </w:rPr>
              <w:t>   Hospital s</w:t>
            </w:r>
            <w:r w:rsidRPr="009D15ED">
              <w:rPr>
                <w:rFonts w:eastAsia="Times New Roman" w:cstheme="minorHAnsi"/>
                <w:sz w:val="24"/>
                <w:szCs w:val="24"/>
                <w:lang w:eastAsia="en-GB"/>
              </w:rPr>
              <w:t>urvival</w:t>
            </w:r>
          </w:p>
        </w:tc>
        <w:tc>
          <w:tcPr>
            <w:tcW w:w="1230" w:type="pct"/>
            <w:tcBorders>
              <w:top w:val="nil"/>
              <w:left w:val="nil"/>
              <w:bottom w:val="nil"/>
              <w:right w:val="nil"/>
            </w:tcBorders>
            <w:vAlign w:val="bottom"/>
          </w:tcPr>
          <w:p w14:paraId="24F4AAA8"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31 (52.5%) </w:t>
            </w:r>
          </w:p>
        </w:tc>
        <w:tc>
          <w:tcPr>
            <w:tcW w:w="1311" w:type="pct"/>
            <w:tcBorders>
              <w:top w:val="nil"/>
              <w:left w:val="nil"/>
              <w:bottom w:val="nil"/>
              <w:right w:val="nil"/>
            </w:tcBorders>
            <w:shd w:val="clear" w:color="auto" w:fill="auto"/>
            <w:vAlign w:val="bottom"/>
            <w:hideMark/>
          </w:tcPr>
          <w:p w14:paraId="5943ACEC"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199 (79.9%) </w:t>
            </w:r>
          </w:p>
        </w:tc>
        <w:tc>
          <w:tcPr>
            <w:tcW w:w="562" w:type="pct"/>
            <w:tcBorders>
              <w:top w:val="nil"/>
              <w:left w:val="nil"/>
              <w:bottom w:val="nil"/>
              <w:right w:val="nil"/>
            </w:tcBorders>
            <w:shd w:val="clear" w:color="auto" w:fill="auto"/>
            <w:vAlign w:val="bottom"/>
            <w:hideMark/>
          </w:tcPr>
          <w:p w14:paraId="144DB4ED"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b/>
                <w:bCs/>
                <w:sz w:val="24"/>
                <w:szCs w:val="24"/>
                <w:lang w:eastAsia="en-GB"/>
              </w:rPr>
              <w:t>&lt;0.001*</w:t>
            </w:r>
          </w:p>
        </w:tc>
      </w:tr>
    </w:tbl>
    <w:p w14:paraId="72333359" w14:textId="3C791AA5" w:rsidR="00FB669F" w:rsidRPr="009D15ED" w:rsidRDefault="00FB669F" w:rsidP="00FB669F">
      <w:pPr>
        <w:rPr>
          <w:rFonts w:cstheme="minorHAnsi"/>
          <w:sz w:val="24"/>
          <w:szCs w:val="24"/>
        </w:rPr>
      </w:pPr>
    </w:p>
    <w:p w14:paraId="6D122BF0" w14:textId="77777777" w:rsidR="00FB669F" w:rsidRDefault="00FB669F">
      <w:pPr>
        <w:rPr>
          <w:rFonts w:eastAsiaTheme="majorEastAsia" w:cstheme="minorHAnsi"/>
          <w:sz w:val="24"/>
          <w:szCs w:val="24"/>
        </w:rPr>
      </w:pPr>
      <w:r>
        <w:rPr>
          <w:rFonts w:cstheme="minorHAnsi"/>
          <w:sz w:val="24"/>
          <w:szCs w:val="24"/>
        </w:rPr>
        <w:br w:type="page"/>
      </w:r>
    </w:p>
    <w:p w14:paraId="5F7D3C6C" w14:textId="00FC6097" w:rsidR="00FB669F" w:rsidRPr="009D15ED" w:rsidRDefault="00FB669F" w:rsidP="00FB669F">
      <w:pPr>
        <w:pStyle w:val="Heading2"/>
        <w:rPr>
          <w:rFonts w:asciiTheme="minorHAnsi" w:hAnsiTheme="minorHAnsi" w:cstheme="minorHAnsi"/>
          <w:color w:val="auto"/>
          <w:sz w:val="24"/>
          <w:szCs w:val="24"/>
        </w:rPr>
      </w:pPr>
      <w:r w:rsidRPr="009D15ED">
        <w:rPr>
          <w:rFonts w:asciiTheme="minorHAnsi" w:hAnsiTheme="minorHAnsi" w:cstheme="minorHAnsi"/>
          <w:color w:val="auto"/>
          <w:sz w:val="24"/>
          <w:szCs w:val="24"/>
        </w:rPr>
        <w:lastRenderedPageBreak/>
        <w:t>Table 2. Percentage change in PF ratio from initiation of IPVD therapy</w:t>
      </w:r>
    </w:p>
    <w:p w14:paraId="3145DC69" w14:textId="77777777" w:rsidR="00FB669F" w:rsidRPr="009D15ED" w:rsidRDefault="00FB669F" w:rsidP="00FB669F">
      <w:pPr>
        <w:spacing w:line="276" w:lineRule="auto"/>
        <w:jc w:val="center"/>
        <w:rPr>
          <w:rFonts w:cstheme="minorHAnsi"/>
          <w:sz w:val="24"/>
          <w:szCs w:val="24"/>
        </w:rPr>
      </w:pPr>
    </w:p>
    <w:tbl>
      <w:tblPr>
        <w:tblW w:w="0" w:type="auto"/>
        <w:tblLayout w:type="fixed"/>
        <w:tblLook w:val="04A0" w:firstRow="1" w:lastRow="0" w:firstColumn="1" w:lastColumn="0" w:noHBand="0" w:noVBand="1"/>
      </w:tblPr>
      <w:tblGrid>
        <w:gridCol w:w="1276"/>
        <w:gridCol w:w="1843"/>
        <w:gridCol w:w="1984"/>
        <w:gridCol w:w="1985"/>
        <w:gridCol w:w="1938"/>
      </w:tblGrid>
      <w:tr w:rsidR="00FB669F" w:rsidRPr="009B11C4" w14:paraId="340FE43C" w14:textId="77777777" w:rsidTr="008E64CC">
        <w:trPr>
          <w:trHeight w:val="300"/>
        </w:trPr>
        <w:tc>
          <w:tcPr>
            <w:tcW w:w="1276" w:type="dxa"/>
            <w:tcBorders>
              <w:top w:val="single" w:sz="18" w:space="0" w:color="auto"/>
              <w:left w:val="nil"/>
              <w:right w:val="nil"/>
            </w:tcBorders>
            <w:shd w:val="clear" w:color="auto" w:fill="auto"/>
            <w:noWrap/>
            <w:vAlign w:val="bottom"/>
          </w:tcPr>
          <w:p w14:paraId="60258461" w14:textId="77777777" w:rsidR="00FB669F" w:rsidRPr="009B11C4" w:rsidRDefault="00FB669F" w:rsidP="008E64CC">
            <w:pPr>
              <w:spacing w:after="0" w:line="276" w:lineRule="auto"/>
              <w:rPr>
                <w:rFonts w:eastAsia="Times New Roman" w:cstheme="minorHAnsi"/>
                <w:lang w:eastAsia="en-GB"/>
              </w:rPr>
            </w:pPr>
            <w:r w:rsidRPr="009B11C4">
              <w:rPr>
                <w:rFonts w:cstheme="minorHAnsi"/>
              </w:rPr>
              <w:br w:type="page"/>
            </w:r>
          </w:p>
        </w:tc>
        <w:tc>
          <w:tcPr>
            <w:tcW w:w="7750" w:type="dxa"/>
            <w:gridSpan w:val="4"/>
            <w:tcBorders>
              <w:top w:val="single" w:sz="18" w:space="0" w:color="auto"/>
              <w:left w:val="nil"/>
              <w:right w:val="nil"/>
            </w:tcBorders>
            <w:shd w:val="clear" w:color="auto" w:fill="auto"/>
            <w:noWrap/>
            <w:vAlign w:val="center"/>
          </w:tcPr>
          <w:p w14:paraId="1A546E15" w14:textId="77777777" w:rsidR="00FB669F" w:rsidRPr="009B11C4" w:rsidRDefault="00FB669F" w:rsidP="008E64CC">
            <w:pPr>
              <w:spacing w:after="0" w:line="276" w:lineRule="auto"/>
              <w:jc w:val="center"/>
              <w:rPr>
                <w:rFonts w:eastAsia="Times New Roman" w:cstheme="minorHAnsi"/>
                <w:b/>
                <w:bCs/>
                <w:lang w:eastAsia="en-GB"/>
              </w:rPr>
            </w:pPr>
            <w:r w:rsidRPr="009B11C4">
              <w:rPr>
                <w:rFonts w:eastAsia="Times New Roman" w:cstheme="minorHAnsi"/>
                <w:b/>
                <w:bCs/>
                <w:lang w:eastAsia="en-GB"/>
              </w:rPr>
              <w:t>Change in PF ratio from initiation of IPVD (%)</w:t>
            </w:r>
          </w:p>
        </w:tc>
      </w:tr>
      <w:tr w:rsidR="00FB669F" w:rsidRPr="009B11C4" w14:paraId="4B86DD70" w14:textId="77777777" w:rsidTr="008E64CC">
        <w:trPr>
          <w:trHeight w:val="300"/>
        </w:trPr>
        <w:tc>
          <w:tcPr>
            <w:tcW w:w="1276" w:type="dxa"/>
            <w:tcBorders>
              <w:top w:val="nil"/>
              <w:left w:val="nil"/>
              <w:bottom w:val="single" w:sz="18" w:space="0" w:color="auto"/>
              <w:right w:val="nil"/>
            </w:tcBorders>
            <w:shd w:val="clear" w:color="auto" w:fill="auto"/>
            <w:noWrap/>
            <w:vAlign w:val="bottom"/>
            <w:hideMark/>
          </w:tcPr>
          <w:p w14:paraId="60B3AC02" w14:textId="77777777" w:rsidR="00FB669F" w:rsidRPr="009B11C4" w:rsidRDefault="00FB669F" w:rsidP="008E64CC">
            <w:pPr>
              <w:spacing w:after="0" w:line="276" w:lineRule="auto"/>
              <w:rPr>
                <w:rFonts w:eastAsia="Times New Roman" w:cstheme="minorHAnsi"/>
                <w:lang w:eastAsia="en-GB"/>
              </w:rPr>
            </w:pPr>
          </w:p>
        </w:tc>
        <w:tc>
          <w:tcPr>
            <w:tcW w:w="1843" w:type="dxa"/>
            <w:tcBorders>
              <w:top w:val="nil"/>
              <w:left w:val="nil"/>
              <w:bottom w:val="single" w:sz="18" w:space="0" w:color="auto"/>
              <w:right w:val="nil"/>
            </w:tcBorders>
            <w:shd w:val="clear" w:color="auto" w:fill="auto"/>
            <w:noWrap/>
            <w:vAlign w:val="center"/>
            <w:hideMark/>
          </w:tcPr>
          <w:p w14:paraId="67DABD3D" w14:textId="77777777" w:rsidR="00FB669F" w:rsidRPr="009B11C4" w:rsidRDefault="00FB669F" w:rsidP="008E64CC">
            <w:pPr>
              <w:spacing w:after="0" w:line="276" w:lineRule="auto"/>
              <w:jc w:val="center"/>
              <w:rPr>
                <w:rFonts w:eastAsia="Times New Roman" w:cstheme="minorHAnsi"/>
                <w:b/>
                <w:bCs/>
                <w:lang w:eastAsia="en-GB"/>
              </w:rPr>
            </w:pPr>
            <w:r w:rsidRPr="009B11C4">
              <w:rPr>
                <w:rFonts w:eastAsia="Times New Roman" w:cstheme="minorHAnsi"/>
                <w:b/>
                <w:bCs/>
                <w:lang w:eastAsia="en-GB"/>
              </w:rPr>
              <w:t>All IPVD (n=59)</w:t>
            </w:r>
          </w:p>
        </w:tc>
        <w:tc>
          <w:tcPr>
            <w:tcW w:w="1984" w:type="dxa"/>
            <w:tcBorders>
              <w:top w:val="nil"/>
              <w:left w:val="nil"/>
              <w:bottom w:val="single" w:sz="18" w:space="0" w:color="auto"/>
              <w:right w:val="nil"/>
            </w:tcBorders>
            <w:shd w:val="clear" w:color="auto" w:fill="auto"/>
            <w:noWrap/>
            <w:vAlign w:val="center"/>
            <w:hideMark/>
          </w:tcPr>
          <w:p w14:paraId="4D9AB84F" w14:textId="77777777" w:rsidR="00FB669F" w:rsidRPr="009B11C4" w:rsidRDefault="00FB669F" w:rsidP="008E64CC">
            <w:pPr>
              <w:spacing w:after="0" w:line="276" w:lineRule="auto"/>
              <w:jc w:val="center"/>
              <w:rPr>
                <w:rFonts w:eastAsia="Times New Roman" w:cstheme="minorHAnsi"/>
                <w:b/>
                <w:bCs/>
                <w:i/>
                <w:lang w:eastAsia="en-GB"/>
              </w:rPr>
            </w:pPr>
            <w:r w:rsidRPr="009B11C4">
              <w:rPr>
                <w:rFonts w:eastAsia="Times New Roman" w:cstheme="minorHAnsi"/>
                <w:b/>
                <w:bCs/>
                <w:i/>
                <w:lang w:eastAsia="en-GB"/>
              </w:rPr>
              <w:t>Iloprost (n=11)</w:t>
            </w:r>
          </w:p>
        </w:tc>
        <w:tc>
          <w:tcPr>
            <w:tcW w:w="1985" w:type="dxa"/>
            <w:tcBorders>
              <w:top w:val="nil"/>
              <w:left w:val="nil"/>
              <w:bottom w:val="single" w:sz="18" w:space="0" w:color="auto"/>
              <w:right w:val="nil"/>
            </w:tcBorders>
            <w:shd w:val="clear" w:color="auto" w:fill="auto"/>
            <w:noWrap/>
            <w:vAlign w:val="center"/>
            <w:hideMark/>
          </w:tcPr>
          <w:p w14:paraId="439D7ECC" w14:textId="77777777" w:rsidR="00FB669F" w:rsidRPr="009B11C4" w:rsidRDefault="00FB669F" w:rsidP="008E64CC">
            <w:pPr>
              <w:spacing w:after="0" w:line="276" w:lineRule="auto"/>
              <w:jc w:val="center"/>
              <w:rPr>
                <w:rFonts w:eastAsia="Times New Roman" w:cstheme="minorHAnsi"/>
                <w:b/>
                <w:bCs/>
                <w:i/>
                <w:lang w:eastAsia="en-GB"/>
              </w:rPr>
            </w:pPr>
            <w:r w:rsidRPr="009B11C4">
              <w:rPr>
                <w:rFonts w:eastAsia="Times New Roman" w:cstheme="minorHAnsi"/>
                <w:b/>
                <w:bCs/>
                <w:i/>
                <w:lang w:eastAsia="en-GB"/>
              </w:rPr>
              <w:t>Nitric oxide (n=9)</w:t>
            </w:r>
          </w:p>
        </w:tc>
        <w:tc>
          <w:tcPr>
            <w:tcW w:w="1938" w:type="dxa"/>
            <w:tcBorders>
              <w:top w:val="nil"/>
              <w:left w:val="nil"/>
              <w:bottom w:val="single" w:sz="18" w:space="0" w:color="auto"/>
              <w:right w:val="nil"/>
            </w:tcBorders>
            <w:shd w:val="clear" w:color="auto" w:fill="auto"/>
            <w:noWrap/>
            <w:vAlign w:val="center"/>
            <w:hideMark/>
          </w:tcPr>
          <w:p w14:paraId="0C16389F" w14:textId="77777777" w:rsidR="00FB669F" w:rsidRPr="009B11C4" w:rsidRDefault="00FB669F" w:rsidP="008E64CC">
            <w:pPr>
              <w:spacing w:after="0" w:line="276" w:lineRule="auto"/>
              <w:jc w:val="center"/>
              <w:rPr>
                <w:rFonts w:eastAsia="Times New Roman" w:cstheme="minorHAnsi"/>
                <w:b/>
                <w:bCs/>
                <w:i/>
                <w:lang w:eastAsia="en-GB"/>
              </w:rPr>
            </w:pPr>
            <w:r w:rsidRPr="009B11C4">
              <w:rPr>
                <w:rFonts w:eastAsia="Times New Roman" w:cstheme="minorHAnsi"/>
                <w:b/>
                <w:bCs/>
                <w:i/>
                <w:lang w:eastAsia="en-GB"/>
              </w:rPr>
              <w:t>Nitric oxide and Iloprost (n=39)</w:t>
            </w:r>
          </w:p>
        </w:tc>
      </w:tr>
      <w:tr w:rsidR="00FB669F" w:rsidRPr="009B11C4" w14:paraId="2E1F617F" w14:textId="77777777" w:rsidTr="008E64CC">
        <w:trPr>
          <w:trHeight w:val="300"/>
        </w:trPr>
        <w:tc>
          <w:tcPr>
            <w:tcW w:w="1276" w:type="dxa"/>
            <w:tcBorders>
              <w:top w:val="single" w:sz="18" w:space="0" w:color="auto"/>
              <w:left w:val="nil"/>
              <w:bottom w:val="nil"/>
              <w:right w:val="nil"/>
            </w:tcBorders>
            <w:shd w:val="clear" w:color="auto" w:fill="auto"/>
            <w:noWrap/>
            <w:vAlign w:val="bottom"/>
            <w:hideMark/>
          </w:tcPr>
          <w:p w14:paraId="0FE9FBF0" w14:textId="77777777" w:rsidR="00FB669F" w:rsidRPr="009B11C4" w:rsidRDefault="00FB669F" w:rsidP="008E64CC">
            <w:pPr>
              <w:spacing w:after="0" w:line="276" w:lineRule="auto"/>
              <w:rPr>
                <w:rFonts w:eastAsia="Times New Roman" w:cstheme="minorHAnsi"/>
                <w:b/>
                <w:bCs/>
                <w:lang w:eastAsia="en-GB"/>
              </w:rPr>
            </w:pPr>
            <w:r w:rsidRPr="009B11C4">
              <w:rPr>
                <w:rFonts w:eastAsia="Times New Roman" w:cstheme="minorHAnsi"/>
                <w:b/>
                <w:bCs/>
                <w:lang w:eastAsia="en-GB"/>
              </w:rPr>
              <w:t>Time point</w:t>
            </w:r>
          </w:p>
        </w:tc>
        <w:tc>
          <w:tcPr>
            <w:tcW w:w="1843" w:type="dxa"/>
            <w:tcBorders>
              <w:top w:val="single" w:sz="18" w:space="0" w:color="auto"/>
              <w:left w:val="nil"/>
              <w:bottom w:val="nil"/>
              <w:right w:val="nil"/>
            </w:tcBorders>
            <w:shd w:val="clear" w:color="auto" w:fill="auto"/>
            <w:noWrap/>
            <w:vAlign w:val="center"/>
            <w:hideMark/>
          </w:tcPr>
          <w:p w14:paraId="1E72EF65" w14:textId="77777777" w:rsidR="00FB669F" w:rsidRPr="009B11C4" w:rsidRDefault="00FB669F" w:rsidP="008E64CC">
            <w:pPr>
              <w:spacing w:after="0" w:line="276" w:lineRule="auto"/>
              <w:jc w:val="center"/>
              <w:rPr>
                <w:rFonts w:eastAsia="Times New Roman" w:cstheme="minorHAnsi"/>
                <w:b/>
                <w:bCs/>
                <w:lang w:eastAsia="en-GB"/>
              </w:rPr>
            </w:pPr>
          </w:p>
        </w:tc>
        <w:tc>
          <w:tcPr>
            <w:tcW w:w="1984" w:type="dxa"/>
            <w:tcBorders>
              <w:top w:val="single" w:sz="18" w:space="0" w:color="auto"/>
              <w:left w:val="nil"/>
              <w:bottom w:val="nil"/>
              <w:right w:val="nil"/>
            </w:tcBorders>
            <w:shd w:val="clear" w:color="auto" w:fill="auto"/>
            <w:noWrap/>
            <w:vAlign w:val="center"/>
            <w:hideMark/>
          </w:tcPr>
          <w:p w14:paraId="3A56BAED" w14:textId="77777777" w:rsidR="00FB669F" w:rsidRPr="009B11C4" w:rsidRDefault="00FB669F" w:rsidP="008E64CC">
            <w:pPr>
              <w:spacing w:after="0" w:line="276" w:lineRule="auto"/>
              <w:jc w:val="center"/>
              <w:rPr>
                <w:rFonts w:eastAsia="Times New Roman" w:cstheme="minorHAnsi"/>
                <w:lang w:eastAsia="en-GB"/>
              </w:rPr>
            </w:pPr>
          </w:p>
        </w:tc>
        <w:tc>
          <w:tcPr>
            <w:tcW w:w="1985" w:type="dxa"/>
            <w:tcBorders>
              <w:top w:val="single" w:sz="18" w:space="0" w:color="auto"/>
              <w:left w:val="nil"/>
              <w:bottom w:val="nil"/>
              <w:right w:val="nil"/>
            </w:tcBorders>
            <w:shd w:val="clear" w:color="auto" w:fill="auto"/>
            <w:noWrap/>
            <w:vAlign w:val="center"/>
            <w:hideMark/>
          </w:tcPr>
          <w:p w14:paraId="2C4DE9A5" w14:textId="77777777" w:rsidR="00FB669F" w:rsidRPr="009B11C4" w:rsidRDefault="00FB669F" w:rsidP="008E64CC">
            <w:pPr>
              <w:spacing w:after="0" w:line="276" w:lineRule="auto"/>
              <w:jc w:val="center"/>
              <w:rPr>
                <w:rFonts w:eastAsia="Times New Roman" w:cstheme="minorHAnsi"/>
                <w:lang w:eastAsia="en-GB"/>
              </w:rPr>
            </w:pPr>
          </w:p>
        </w:tc>
        <w:tc>
          <w:tcPr>
            <w:tcW w:w="1938" w:type="dxa"/>
            <w:tcBorders>
              <w:top w:val="single" w:sz="18" w:space="0" w:color="auto"/>
              <w:left w:val="nil"/>
              <w:bottom w:val="nil"/>
              <w:right w:val="nil"/>
            </w:tcBorders>
            <w:shd w:val="clear" w:color="auto" w:fill="auto"/>
            <w:noWrap/>
            <w:vAlign w:val="center"/>
            <w:hideMark/>
          </w:tcPr>
          <w:p w14:paraId="440926B9" w14:textId="77777777" w:rsidR="00FB669F" w:rsidRPr="009B11C4" w:rsidRDefault="00FB669F" w:rsidP="008E64CC">
            <w:pPr>
              <w:spacing w:after="0" w:line="276" w:lineRule="auto"/>
              <w:jc w:val="center"/>
              <w:rPr>
                <w:rFonts w:eastAsia="Times New Roman" w:cstheme="minorHAnsi"/>
                <w:lang w:eastAsia="en-GB"/>
              </w:rPr>
            </w:pPr>
          </w:p>
        </w:tc>
      </w:tr>
      <w:tr w:rsidR="00FB669F" w:rsidRPr="009B11C4" w14:paraId="66029720" w14:textId="77777777" w:rsidTr="008E64CC">
        <w:trPr>
          <w:trHeight w:val="300"/>
        </w:trPr>
        <w:tc>
          <w:tcPr>
            <w:tcW w:w="1276" w:type="dxa"/>
            <w:tcBorders>
              <w:top w:val="nil"/>
              <w:left w:val="nil"/>
              <w:bottom w:val="nil"/>
              <w:right w:val="nil"/>
            </w:tcBorders>
            <w:shd w:val="clear" w:color="auto" w:fill="auto"/>
            <w:noWrap/>
            <w:vAlign w:val="bottom"/>
            <w:hideMark/>
          </w:tcPr>
          <w:p w14:paraId="04EC1A42" w14:textId="77777777" w:rsidR="00FB669F" w:rsidRPr="009B11C4" w:rsidRDefault="00FB669F" w:rsidP="008E64CC">
            <w:pPr>
              <w:spacing w:after="0" w:line="276" w:lineRule="auto"/>
              <w:rPr>
                <w:rFonts w:eastAsia="Times New Roman" w:cstheme="minorHAnsi"/>
                <w:lang w:eastAsia="en-GB"/>
              </w:rPr>
            </w:pPr>
            <w:r w:rsidRPr="009B11C4">
              <w:rPr>
                <w:rFonts w:eastAsia="Times New Roman" w:cstheme="minorHAnsi"/>
                <w:lang w:eastAsia="en-GB"/>
              </w:rPr>
              <w:t>+</w:t>
            </w:r>
            <w:r>
              <w:rPr>
                <w:rFonts w:eastAsia="Times New Roman" w:cstheme="minorHAnsi"/>
                <w:lang w:eastAsia="en-GB"/>
              </w:rPr>
              <w:t xml:space="preserve"> </w:t>
            </w:r>
            <w:r w:rsidRPr="009B11C4">
              <w:rPr>
                <w:rFonts w:eastAsia="Times New Roman" w:cstheme="minorHAnsi"/>
                <w:lang w:eastAsia="en-GB"/>
              </w:rPr>
              <w:t>2 hours</w:t>
            </w:r>
          </w:p>
        </w:tc>
        <w:tc>
          <w:tcPr>
            <w:tcW w:w="1843" w:type="dxa"/>
            <w:tcBorders>
              <w:top w:val="nil"/>
              <w:left w:val="nil"/>
              <w:bottom w:val="nil"/>
              <w:right w:val="nil"/>
            </w:tcBorders>
            <w:shd w:val="clear" w:color="auto" w:fill="auto"/>
            <w:noWrap/>
            <w:vAlign w:val="center"/>
            <w:hideMark/>
          </w:tcPr>
          <w:p w14:paraId="70B816A3" w14:textId="77777777" w:rsidR="00FB669F" w:rsidRPr="009B11C4" w:rsidRDefault="00FB669F" w:rsidP="008E64CC">
            <w:pPr>
              <w:spacing w:after="0" w:line="276" w:lineRule="auto"/>
              <w:jc w:val="center"/>
              <w:rPr>
                <w:rFonts w:eastAsia="Times New Roman" w:cstheme="minorHAnsi"/>
                <w:lang w:eastAsia="en-GB"/>
              </w:rPr>
            </w:pPr>
            <w:r w:rsidRPr="009B11C4">
              <w:rPr>
                <w:rFonts w:eastAsia="Times New Roman" w:cstheme="minorHAnsi"/>
                <w:lang w:eastAsia="en-GB"/>
              </w:rPr>
              <w:t>7.1 (-9.5-33.6)</w:t>
            </w:r>
          </w:p>
        </w:tc>
        <w:tc>
          <w:tcPr>
            <w:tcW w:w="1984" w:type="dxa"/>
            <w:tcBorders>
              <w:top w:val="nil"/>
              <w:left w:val="nil"/>
              <w:bottom w:val="nil"/>
              <w:right w:val="nil"/>
            </w:tcBorders>
            <w:shd w:val="clear" w:color="auto" w:fill="auto"/>
            <w:noWrap/>
            <w:vAlign w:val="center"/>
          </w:tcPr>
          <w:p w14:paraId="6149620D" w14:textId="77777777" w:rsidR="00FB669F" w:rsidRPr="009B11C4" w:rsidRDefault="00FB669F" w:rsidP="008E64CC">
            <w:pPr>
              <w:spacing w:after="0" w:line="276" w:lineRule="auto"/>
              <w:jc w:val="center"/>
              <w:rPr>
                <w:rFonts w:eastAsia="Times New Roman" w:cstheme="minorHAnsi"/>
                <w:i/>
                <w:lang w:eastAsia="en-GB"/>
              </w:rPr>
            </w:pPr>
            <w:r w:rsidRPr="009B11C4">
              <w:rPr>
                <w:rFonts w:eastAsia="Times New Roman" w:cstheme="minorHAnsi"/>
                <w:i/>
                <w:lang w:eastAsia="en-GB"/>
              </w:rPr>
              <w:t>-10.7 (-18.6-25.4)</w:t>
            </w:r>
          </w:p>
        </w:tc>
        <w:tc>
          <w:tcPr>
            <w:tcW w:w="1985" w:type="dxa"/>
            <w:tcBorders>
              <w:top w:val="nil"/>
              <w:left w:val="nil"/>
              <w:bottom w:val="nil"/>
              <w:right w:val="nil"/>
            </w:tcBorders>
            <w:shd w:val="clear" w:color="auto" w:fill="auto"/>
            <w:noWrap/>
            <w:vAlign w:val="center"/>
          </w:tcPr>
          <w:p w14:paraId="574369DC" w14:textId="77777777" w:rsidR="00FB669F" w:rsidRPr="009B11C4" w:rsidRDefault="00FB669F" w:rsidP="008E64CC">
            <w:pPr>
              <w:spacing w:after="0" w:line="276" w:lineRule="auto"/>
              <w:jc w:val="center"/>
              <w:rPr>
                <w:rFonts w:eastAsia="Times New Roman" w:cstheme="minorHAnsi"/>
                <w:i/>
                <w:lang w:eastAsia="en-GB"/>
              </w:rPr>
            </w:pPr>
            <w:r w:rsidRPr="009B11C4">
              <w:rPr>
                <w:rFonts w:eastAsia="Times New Roman" w:cstheme="minorHAnsi"/>
                <w:i/>
                <w:lang w:eastAsia="en-GB"/>
              </w:rPr>
              <w:t>1.0 (-5.8-23.0)</w:t>
            </w:r>
          </w:p>
        </w:tc>
        <w:tc>
          <w:tcPr>
            <w:tcW w:w="1938" w:type="dxa"/>
            <w:tcBorders>
              <w:top w:val="nil"/>
              <w:left w:val="nil"/>
              <w:bottom w:val="nil"/>
              <w:right w:val="nil"/>
            </w:tcBorders>
            <w:shd w:val="clear" w:color="auto" w:fill="auto"/>
            <w:noWrap/>
            <w:vAlign w:val="center"/>
            <w:hideMark/>
          </w:tcPr>
          <w:p w14:paraId="5040EE4B" w14:textId="77777777" w:rsidR="00FB669F" w:rsidRPr="009B11C4" w:rsidRDefault="00FB669F" w:rsidP="008E64CC">
            <w:pPr>
              <w:spacing w:after="0" w:line="276" w:lineRule="auto"/>
              <w:jc w:val="center"/>
              <w:rPr>
                <w:rFonts w:eastAsia="Times New Roman" w:cstheme="minorHAnsi"/>
                <w:i/>
                <w:lang w:eastAsia="en-GB"/>
              </w:rPr>
            </w:pPr>
            <w:r w:rsidRPr="009B11C4">
              <w:rPr>
                <w:rFonts w:eastAsia="Times New Roman" w:cstheme="minorHAnsi"/>
                <w:i/>
                <w:lang w:eastAsia="en-GB"/>
              </w:rPr>
              <w:t>14.0 (-5.5-38.0)</w:t>
            </w:r>
          </w:p>
        </w:tc>
      </w:tr>
      <w:tr w:rsidR="00FB669F" w:rsidRPr="009B11C4" w14:paraId="75FF4417" w14:textId="77777777" w:rsidTr="008E64CC">
        <w:trPr>
          <w:trHeight w:val="300"/>
        </w:trPr>
        <w:tc>
          <w:tcPr>
            <w:tcW w:w="1276" w:type="dxa"/>
            <w:tcBorders>
              <w:top w:val="nil"/>
              <w:left w:val="nil"/>
              <w:bottom w:val="nil"/>
              <w:right w:val="nil"/>
            </w:tcBorders>
            <w:shd w:val="clear" w:color="auto" w:fill="auto"/>
            <w:noWrap/>
            <w:vAlign w:val="bottom"/>
            <w:hideMark/>
          </w:tcPr>
          <w:p w14:paraId="0C6C8556" w14:textId="77777777" w:rsidR="00FB669F" w:rsidRPr="009B11C4" w:rsidRDefault="00FB669F" w:rsidP="008E64CC">
            <w:pPr>
              <w:spacing w:after="0" w:line="276" w:lineRule="auto"/>
              <w:rPr>
                <w:rFonts w:eastAsia="Times New Roman" w:cstheme="minorHAnsi"/>
                <w:lang w:eastAsia="en-GB"/>
              </w:rPr>
            </w:pPr>
            <w:r w:rsidRPr="009B11C4">
              <w:rPr>
                <w:rFonts w:eastAsia="Times New Roman" w:cstheme="minorHAnsi"/>
                <w:lang w:eastAsia="en-GB"/>
              </w:rPr>
              <w:t>+</w:t>
            </w:r>
            <w:r>
              <w:rPr>
                <w:rFonts w:eastAsia="Times New Roman" w:cstheme="minorHAnsi"/>
                <w:lang w:eastAsia="en-GB"/>
              </w:rPr>
              <w:t xml:space="preserve"> </w:t>
            </w:r>
            <w:r w:rsidRPr="009B11C4">
              <w:rPr>
                <w:rFonts w:eastAsia="Times New Roman" w:cstheme="minorHAnsi"/>
                <w:lang w:eastAsia="en-GB"/>
              </w:rPr>
              <w:t>6 hours</w:t>
            </w:r>
          </w:p>
        </w:tc>
        <w:tc>
          <w:tcPr>
            <w:tcW w:w="1843" w:type="dxa"/>
            <w:tcBorders>
              <w:top w:val="nil"/>
              <w:left w:val="nil"/>
              <w:bottom w:val="nil"/>
              <w:right w:val="nil"/>
            </w:tcBorders>
            <w:shd w:val="clear" w:color="auto" w:fill="auto"/>
            <w:noWrap/>
            <w:vAlign w:val="center"/>
            <w:hideMark/>
          </w:tcPr>
          <w:p w14:paraId="3A43FE7F" w14:textId="77777777" w:rsidR="00FB669F" w:rsidRPr="009B11C4" w:rsidRDefault="00FB669F" w:rsidP="008E64CC">
            <w:pPr>
              <w:spacing w:after="0" w:line="276" w:lineRule="auto"/>
              <w:jc w:val="center"/>
              <w:rPr>
                <w:rFonts w:eastAsia="Times New Roman" w:cstheme="minorHAnsi"/>
                <w:lang w:eastAsia="en-GB"/>
              </w:rPr>
            </w:pPr>
            <w:r w:rsidRPr="009B11C4">
              <w:rPr>
                <w:rFonts w:eastAsia="Times New Roman" w:cstheme="minorHAnsi"/>
                <w:lang w:eastAsia="en-GB"/>
              </w:rPr>
              <w:t>16.4 (-1.9-36.9)</w:t>
            </w:r>
          </w:p>
        </w:tc>
        <w:tc>
          <w:tcPr>
            <w:tcW w:w="1984" w:type="dxa"/>
            <w:tcBorders>
              <w:top w:val="nil"/>
              <w:left w:val="nil"/>
              <w:bottom w:val="nil"/>
              <w:right w:val="nil"/>
            </w:tcBorders>
            <w:shd w:val="clear" w:color="auto" w:fill="auto"/>
            <w:noWrap/>
            <w:vAlign w:val="center"/>
          </w:tcPr>
          <w:p w14:paraId="5D872833" w14:textId="77777777" w:rsidR="00FB669F" w:rsidRPr="009B11C4" w:rsidRDefault="00FB669F" w:rsidP="008E64CC">
            <w:pPr>
              <w:spacing w:after="0" w:line="276" w:lineRule="auto"/>
              <w:jc w:val="center"/>
              <w:rPr>
                <w:rFonts w:eastAsia="Times New Roman" w:cstheme="minorHAnsi"/>
                <w:i/>
                <w:lang w:eastAsia="en-GB"/>
              </w:rPr>
            </w:pPr>
            <w:r w:rsidRPr="009B11C4">
              <w:rPr>
                <w:rFonts w:eastAsia="Times New Roman" w:cstheme="minorHAnsi"/>
                <w:i/>
                <w:lang w:eastAsia="en-GB"/>
              </w:rPr>
              <w:t>-1.3 (-21.2-14.0)</w:t>
            </w:r>
          </w:p>
        </w:tc>
        <w:tc>
          <w:tcPr>
            <w:tcW w:w="1985" w:type="dxa"/>
            <w:tcBorders>
              <w:top w:val="nil"/>
              <w:left w:val="nil"/>
              <w:bottom w:val="nil"/>
              <w:right w:val="nil"/>
            </w:tcBorders>
            <w:shd w:val="clear" w:color="auto" w:fill="auto"/>
            <w:noWrap/>
            <w:vAlign w:val="center"/>
          </w:tcPr>
          <w:p w14:paraId="251E131B" w14:textId="77777777" w:rsidR="00FB669F" w:rsidRPr="009B11C4" w:rsidRDefault="00FB669F" w:rsidP="008E64CC">
            <w:pPr>
              <w:spacing w:after="0" w:line="276" w:lineRule="auto"/>
              <w:jc w:val="center"/>
              <w:rPr>
                <w:rFonts w:eastAsia="Times New Roman" w:cstheme="minorHAnsi"/>
                <w:i/>
                <w:lang w:eastAsia="en-GB"/>
              </w:rPr>
            </w:pPr>
            <w:r w:rsidRPr="009B11C4">
              <w:rPr>
                <w:rFonts w:eastAsia="Times New Roman" w:cstheme="minorHAnsi"/>
                <w:i/>
                <w:lang w:eastAsia="en-GB"/>
              </w:rPr>
              <w:t>27.2 (13.5-67.5)</w:t>
            </w:r>
          </w:p>
        </w:tc>
        <w:tc>
          <w:tcPr>
            <w:tcW w:w="1938" w:type="dxa"/>
            <w:tcBorders>
              <w:top w:val="nil"/>
              <w:left w:val="nil"/>
              <w:bottom w:val="nil"/>
              <w:right w:val="nil"/>
            </w:tcBorders>
            <w:shd w:val="clear" w:color="auto" w:fill="auto"/>
            <w:noWrap/>
            <w:vAlign w:val="center"/>
            <w:hideMark/>
          </w:tcPr>
          <w:p w14:paraId="0DCFBFD7" w14:textId="77777777" w:rsidR="00FB669F" w:rsidRPr="009B11C4" w:rsidRDefault="00FB669F" w:rsidP="008E64CC">
            <w:pPr>
              <w:spacing w:after="0" w:line="276" w:lineRule="auto"/>
              <w:jc w:val="center"/>
              <w:rPr>
                <w:rFonts w:eastAsia="Times New Roman" w:cstheme="minorHAnsi"/>
                <w:i/>
                <w:lang w:eastAsia="en-GB"/>
              </w:rPr>
            </w:pPr>
            <w:r w:rsidRPr="009B11C4">
              <w:rPr>
                <w:rFonts w:eastAsia="Times New Roman" w:cstheme="minorHAnsi"/>
                <w:i/>
                <w:lang w:eastAsia="en-GB"/>
              </w:rPr>
              <w:t>17.2 (-1.9-38.5)</w:t>
            </w:r>
          </w:p>
        </w:tc>
      </w:tr>
      <w:tr w:rsidR="00FB669F" w:rsidRPr="009B11C4" w14:paraId="6EEC5DE9" w14:textId="77777777" w:rsidTr="008E64CC">
        <w:trPr>
          <w:trHeight w:val="300"/>
        </w:trPr>
        <w:tc>
          <w:tcPr>
            <w:tcW w:w="1276" w:type="dxa"/>
            <w:tcBorders>
              <w:top w:val="nil"/>
              <w:left w:val="nil"/>
              <w:bottom w:val="nil"/>
              <w:right w:val="nil"/>
            </w:tcBorders>
            <w:shd w:val="clear" w:color="auto" w:fill="auto"/>
            <w:noWrap/>
            <w:vAlign w:val="bottom"/>
            <w:hideMark/>
          </w:tcPr>
          <w:p w14:paraId="5CE40DE8" w14:textId="77777777" w:rsidR="00FB669F" w:rsidRPr="009B11C4" w:rsidRDefault="00FB669F" w:rsidP="008E64CC">
            <w:pPr>
              <w:spacing w:after="0" w:line="276" w:lineRule="auto"/>
              <w:rPr>
                <w:rFonts w:eastAsia="Times New Roman" w:cstheme="minorHAnsi"/>
                <w:lang w:eastAsia="en-GB"/>
              </w:rPr>
            </w:pPr>
            <w:r w:rsidRPr="009B11C4">
              <w:rPr>
                <w:rFonts w:eastAsia="Times New Roman" w:cstheme="minorHAnsi"/>
                <w:lang w:eastAsia="en-GB"/>
              </w:rPr>
              <w:t>+</w:t>
            </w:r>
            <w:r>
              <w:rPr>
                <w:rFonts w:eastAsia="Times New Roman" w:cstheme="minorHAnsi"/>
                <w:lang w:eastAsia="en-GB"/>
              </w:rPr>
              <w:t xml:space="preserve"> </w:t>
            </w:r>
            <w:r w:rsidRPr="009B11C4">
              <w:rPr>
                <w:rFonts w:eastAsia="Times New Roman" w:cstheme="minorHAnsi"/>
                <w:lang w:eastAsia="en-GB"/>
              </w:rPr>
              <w:t>12 hours</w:t>
            </w:r>
          </w:p>
        </w:tc>
        <w:tc>
          <w:tcPr>
            <w:tcW w:w="1843" w:type="dxa"/>
            <w:tcBorders>
              <w:top w:val="nil"/>
              <w:left w:val="nil"/>
              <w:bottom w:val="nil"/>
              <w:right w:val="nil"/>
            </w:tcBorders>
            <w:shd w:val="clear" w:color="auto" w:fill="auto"/>
            <w:noWrap/>
            <w:vAlign w:val="center"/>
            <w:hideMark/>
          </w:tcPr>
          <w:p w14:paraId="33F65852" w14:textId="77777777" w:rsidR="00FB669F" w:rsidRPr="009B11C4" w:rsidRDefault="00FB669F" w:rsidP="008E64CC">
            <w:pPr>
              <w:spacing w:after="0" w:line="276" w:lineRule="auto"/>
              <w:jc w:val="center"/>
              <w:rPr>
                <w:rFonts w:eastAsia="Times New Roman" w:cstheme="minorHAnsi"/>
                <w:lang w:eastAsia="en-GB"/>
              </w:rPr>
            </w:pPr>
            <w:r w:rsidRPr="009B11C4">
              <w:rPr>
                <w:rFonts w:eastAsia="Times New Roman" w:cstheme="minorHAnsi"/>
                <w:lang w:eastAsia="en-GB"/>
              </w:rPr>
              <w:t>21.3 (-1.6-65.1)</w:t>
            </w:r>
          </w:p>
        </w:tc>
        <w:tc>
          <w:tcPr>
            <w:tcW w:w="1984" w:type="dxa"/>
            <w:tcBorders>
              <w:top w:val="nil"/>
              <w:left w:val="nil"/>
              <w:bottom w:val="nil"/>
              <w:right w:val="nil"/>
            </w:tcBorders>
            <w:shd w:val="clear" w:color="auto" w:fill="auto"/>
            <w:noWrap/>
            <w:vAlign w:val="center"/>
          </w:tcPr>
          <w:p w14:paraId="0CA70FDE" w14:textId="77777777" w:rsidR="00FB669F" w:rsidRPr="009B11C4" w:rsidRDefault="00FB669F" w:rsidP="008E64CC">
            <w:pPr>
              <w:spacing w:after="0" w:line="276" w:lineRule="auto"/>
              <w:jc w:val="center"/>
              <w:rPr>
                <w:rFonts w:eastAsia="Times New Roman" w:cstheme="minorHAnsi"/>
                <w:i/>
                <w:lang w:eastAsia="en-GB"/>
              </w:rPr>
            </w:pPr>
            <w:r w:rsidRPr="009B11C4">
              <w:rPr>
                <w:rFonts w:eastAsia="Times New Roman" w:cstheme="minorHAnsi"/>
                <w:i/>
                <w:lang w:eastAsia="en-GB"/>
              </w:rPr>
              <w:t>17.4 (-1.6-44.3)</w:t>
            </w:r>
          </w:p>
        </w:tc>
        <w:tc>
          <w:tcPr>
            <w:tcW w:w="1985" w:type="dxa"/>
            <w:tcBorders>
              <w:top w:val="nil"/>
              <w:left w:val="nil"/>
              <w:bottom w:val="nil"/>
              <w:right w:val="nil"/>
            </w:tcBorders>
            <w:shd w:val="clear" w:color="auto" w:fill="auto"/>
            <w:noWrap/>
            <w:vAlign w:val="center"/>
          </w:tcPr>
          <w:p w14:paraId="00187578" w14:textId="77777777" w:rsidR="00FB669F" w:rsidRPr="009B11C4" w:rsidRDefault="00FB669F" w:rsidP="008E64CC">
            <w:pPr>
              <w:spacing w:after="0" w:line="276" w:lineRule="auto"/>
              <w:jc w:val="center"/>
              <w:rPr>
                <w:rFonts w:eastAsia="Times New Roman" w:cstheme="minorHAnsi"/>
                <w:i/>
                <w:lang w:eastAsia="en-GB"/>
              </w:rPr>
            </w:pPr>
            <w:r w:rsidRPr="009B11C4">
              <w:rPr>
                <w:rFonts w:eastAsia="Times New Roman" w:cstheme="minorHAnsi"/>
                <w:i/>
                <w:lang w:eastAsia="en-GB"/>
              </w:rPr>
              <w:t>65.1 (51.0-117.2)</w:t>
            </w:r>
          </w:p>
        </w:tc>
        <w:tc>
          <w:tcPr>
            <w:tcW w:w="1938" w:type="dxa"/>
            <w:tcBorders>
              <w:top w:val="nil"/>
              <w:left w:val="nil"/>
              <w:bottom w:val="nil"/>
              <w:right w:val="nil"/>
            </w:tcBorders>
            <w:shd w:val="clear" w:color="auto" w:fill="auto"/>
            <w:noWrap/>
            <w:vAlign w:val="center"/>
            <w:hideMark/>
          </w:tcPr>
          <w:p w14:paraId="455F2A73" w14:textId="77777777" w:rsidR="00FB669F" w:rsidRPr="009B11C4" w:rsidRDefault="00FB669F" w:rsidP="008E64CC">
            <w:pPr>
              <w:spacing w:after="0" w:line="276" w:lineRule="auto"/>
              <w:jc w:val="center"/>
              <w:rPr>
                <w:rFonts w:eastAsia="Times New Roman" w:cstheme="minorHAnsi"/>
                <w:i/>
                <w:lang w:eastAsia="en-GB"/>
              </w:rPr>
            </w:pPr>
            <w:r w:rsidRPr="009B11C4">
              <w:rPr>
                <w:rFonts w:eastAsia="Times New Roman" w:cstheme="minorHAnsi"/>
                <w:i/>
                <w:lang w:eastAsia="en-GB"/>
              </w:rPr>
              <w:t>15.4 (-5.5-56.8)</w:t>
            </w:r>
          </w:p>
        </w:tc>
      </w:tr>
      <w:tr w:rsidR="00FB669F" w:rsidRPr="009B11C4" w14:paraId="53FCE4D3" w14:textId="77777777" w:rsidTr="008E64CC">
        <w:trPr>
          <w:trHeight w:val="300"/>
        </w:trPr>
        <w:tc>
          <w:tcPr>
            <w:tcW w:w="1276" w:type="dxa"/>
            <w:tcBorders>
              <w:top w:val="nil"/>
              <w:left w:val="nil"/>
              <w:bottom w:val="nil"/>
              <w:right w:val="nil"/>
            </w:tcBorders>
            <w:shd w:val="clear" w:color="auto" w:fill="auto"/>
            <w:noWrap/>
            <w:vAlign w:val="bottom"/>
            <w:hideMark/>
          </w:tcPr>
          <w:p w14:paraId="7CDB9CD7" w14:textId="77777777" w:rsidR="00FB669F" w:rsidRPr="009B11C4" w:rsidRDefault="00FB669F" w:rsidP="008E64CC">
            <w:pPr>
              <w:spacing w:after="0" w:line="276" w:lineRule="auto"/>
              <w:rPr>
                <w:rFonts w:eastAsia="Times New Roman" w:cstheme="minorHAnsi"/>
                <w:lang w:eastAsia="en-GB"/>
              </w:rPr>
            </w:pPr>
            <w:r w:rsidRPr="009B11C4">
              <w:rPr>
                <w:rFonts w:eastAsia="Times New Roman" w:cstheme="minorHAnsi"/>
                <w:lang w:eastAsia="en-GB"/>
              </w:rPr>
              <w:t>+</w:t>
            </w:r>
            <w:r>
              <w:rPr>
                <w:rFonts w:eastAsia="Times New Roman" w:cstheme="minorHAnsi"/>
                <w:lang w:eastAsia="en-GB"/>
              </w:rPr>
              <w:t xml:space="preserve"> </w:t>
            </w:r>
            <w:r w:rsidRPr="009B11C4">
              <w:rPr>
                <w:rFonts w:eastAsia="Times New Roman" w:cstheme="minorHAnsi"/>
                <w:lang w:eastAsia="en-GB"/>
              </w:rPr>
              <w:t>24 hours</w:t>
            </w:r>
          </w:p>
        </w:tc>
        <w:tc>
          <w:tcPr>
            <w:tcW w:w="1843" w:type="dxa"/>
            <w:tcBorders>
              <w:top w:val="nil"/>
              <w:left w:val="nil"/>
              <w:bottom w:val="nil"/>
              <w:right w:val="nil"/>
            </w:tcBorders>
            <w:shd w:val="clear" w:color="auto" w:fill="auto"/>
            <w:noWrap/>
            <w:vAlign w:val="center"/>
            <w:hideMark/>
          </w:tcPr>
          <w:p w14:paraId="101CE536" w14:textId="77777777" w:rsidR="00FB669F" w:rsidRPr="009B11C4" w:rsidRDefault="00FB669F" w:rsidP="008E64CC">
            <w:pPr>
              <w:spacing w:after="0" w:line="276" w:lineRule="auto"/>
              <w:jc w:val="center"/>
              <w:rPr>
                <w:rFonts w:eastAsia="Times New Roman" w:cstheme="minorHAnsi"/>
                <w:lang w:eastAsia="en-GB"/>
              </w:rPr>
            </w:pPr>
            <w:r w:rsidRPr="009B11C4">
              <w:rPr>
                <w:rFonts w:eastAsia="Times New Roman" w:cstheme="minorHAnsi"/>
                <w:lang w:eastAsia="en-GB"/>
              </w:rPr>
              <w:t>28.4 (0.6-51.3)</w:t>
            </w:r>
          </w:p>
        </w:tc>
        <w:tc>
          <w:tcPr>
            <w:tcW w:w="1984" w:type="dxa"/>
            <w:tcBorders>
              <w:top w:val="nil"/>
              <w:left w:val="nil"/>
              <w:bottom w:val="nil"/>
              <w:right w:val="nil"/>
            </w:tcBorders>
            <w:shd w:val="clear" w:color="auto" w:fill="auto"/>
            <w:noWrap/>
            <w:vAlign w:val="center"/>
          </w:tcPr>
          <w:p w14:paraId="3F91FAE5" w14:textId="77777777" w:rsidR="00FB669F" w:rsidRPr="009B11C4" w:rsidRDefault="00FB669F" w:rsidP="008E64CC">
            <w:pPr>
              <w:spacing w:after="0" w:line="276" w:lineRule="auto"/>
              <w:jc w:val="center"/>
              <w:rPr>
                <w:rFonts w:eastAsia="Times New Roman" w:cstheme="minorHAnsi"/>
                <w:i/>
                <w:lang w:eastAsia="en-GB"/>
              </w:rPr>
            </w:pPr>
            <w:r w:rsidRPr="009B11C4">
              <w:rPr>
                <w:rFonts w:eastAsia="Times New Roman" w:cstheme="minorHAnsi"/>
                <w:i/>
                <w:lang w:eastAsia="en-GB"/>
              </w:rPr>
              <w:t>29.8 (-10.5-44.7)</w:t>
            </w:r>
          </w:p>
        </w:tc>
        <w:tc>
          <w:tcPr>
            <w:tcW w:w="1985" w:type="dxa"/>
            <w:tcBorders>
              <w:top w:val="nil"/>
              <w:left w:val="nil"/>
              <w:bottom w:val="nil"/>
              <w:right w:val="nil"/>
            </w:tcBorders>
            <w:shd w:val="clear" w:color="auto" w:fill="auto"/>
            <w:noWrap/>
            <w:vAlign w:val="center"/>
          </w:tcPr>
          <w:p w14:paraId="5E52F875" w14:textId="77777777" w:rsidR="00FB669F" w:rsidRPr="009B11C4" w:rsidRDefault="00FB669F" w:rsidP="008E64CC">
            <w:pPr>
              <w:spacing w:after="0" w:line="276" w:lineRule="auto"/>
              <w:jc w:val="center"/>
              <w:rPr>
                <w:rFonts w:eastAsia="Times New Roman" w:cstheme="minorHAnsi"/>
                <w:i/>
                <w:lang w:eastAsia="en-GB"/>
              </w:rPr>
            </w:pPr>
            <w:r w:rsidRPr="009B11C4">
              <w:rPr>
                <w:rFonts w:eastAsia="Times New Roman" w:cstheme="minorHAnsi"/>
                <w:i/>
                <w:lang w:eastAsia="en-GB"/>
              </w:rPr>
              <w:t>51.3 (38.3-77.7)</w:t>
            </w:r>
          </w:p>
        </w:tc>
        <w:tc>
          <w:tcPr>
            <w:tcW w:w="1938" w:type="dxa"/>
            <w:tcBorders>
              <w:top w:val="nil"/>
              <w:left w:val="nil"/>
              <w:bottom w:val="nil"/>
              <w:right w:val="nil"/>
            </w:tcBorders>
            <w:shd w:val="clear" w:color="auto" w:fill="auto"/>
            <w:noWrap/>
            <w:vAlign w:val="center"/>
            <w:hideMark/>
          </w:tcPr>
          <w:p w14:paraId="30129578" w14:textId="77777777" w:rsidR="00FB669F" w:rsidRPr="009B11C4" w:rsidRDefault="00FB669F" w:rsidP="008E64CC">
            <w:pPr>
              <w:spacing w:after="0" w:line="276" w:lineRule="auto"/>
              <w:jc w:val="center"/>
              <w:rPr>
                <w:rFonts w:eastAsia="Times New Roman" w:cstheme="minorHAnsi"/>
                <w:i/>
                <w:lang w:eastAsia="en-GB"/>
              </w:rPr>
            </w:pPr>
            <w:r w:rsidRPr="009B11C4">
              <w:rPr>
                <w:rFonts w:eastAsia="Times New Roman" w:cstheme="minorHAnsi"/>
                <w:i/>
                <w:lang w:eastAsia="en-GB"/>
              </w:rPr>
              <w:t>25.1 (0.6-47.4)</w:t>
            </w:r>
          </w:p>
        </w:tc>
      </w:tr>
      <w:tr w:rsidR="00FB669F" w:rsidRPr="009B11C4" w14:paraId="675FE4C9" w14:textId="77777777" w:rsidTr="008E64CC">
        <w:trPr>
          <w:trHeight w:val="300"/>
        </w:trPr>
        <w:tc>
          <w:tcPr>
            <w:tcW w:w="1276" w:type="dxa"/>
            <w:tcBorders>
              <w:top w:val="nil"/>
              <w:left w:val="nil"/>
              <w:bottom w:val="nil"/>
              <w:right w:val="nil"/>
            </w:tcBorders>
            <w:shd w:val="clear" w:color="auto" w:fill="auto"/>
            <w:noWrap/>
            <w:vAlign w:val="bottom"/>
            <w:hideMark/>
          </w:tcPr>
          <w:p w14:paraId="27E35064" w14:textId="77777777" w:rsidR="00FB669F" w:rsidRPr="009B11C4" w:rsidRDefault="00FB669F" w:rsidP="008E64CC">
            <w:pPr>
              <w:spacing w:after="0" w:line="276" w:lineRule="auto"/>
              <w:rPr>
                <w:rFonts w:eastAsia="Times New Roman" w:cstheme="minorHAnsi"/>
                <w:lang w:eastAsia="en-GB"/>
              </w:rPr>
            </w:pPr>
            <w:r w:rsidRPr="009B11C4">
              <w:rPr>
                <w:rFonts w:eastAsia="Times New Roman" w:cstheme="minorHAnsi"/>
                <w:lang w:eastAsia="en-GB"/>
              </w:rPr>
              <w:t>+</w:t>
            </w:r>
            <w:r>
              <w:rPr>
                <w:rFonts w:eastAsia="Times New Roman" w:cstheme="minorHAnsi"/>
                <w:lang w:eastAsia="en-GB"/>
              </w:rPr>
              <w:t xml:space="preserve"> </w:t>
            </w:r>
            <w:r w:rsidRPr="009B11C4">
              <w:rPr>
                <w:rFonts w:eastAsia="Times New Roman" w:cstheme="minorHAnsi"/>
                <w:lang w:eastAsia="en-GB"/>
              </w:rPr>
              <w:t xml:space="preserve">48 </w:t>
            </w:r>
            <w:proofErr w:type="spellStart"/>
            <w:r w:rsidRPr="009B11C4">
              <w:rPr>
                <w:rFonts w:eastAsia="Times New Roman" w:cstheme="minorHAnsi"/>
                <w:lang w:eastAsia="en-GB"/>
              </w:rPr>
              <w:t>hours</w:t>
            </w:r>
            <w:r w:rsidRPr="009B11C4">
              <w:rPr>
                <w:rFonts w:eastAsia="Times New Roman" w:cstheme="minorHAnsi"/>
                <w:vertAlign w:val="superscript"/>
                <w:lang w:eastAsia="en-GB"/>
              </w:rPr>
              <w:t>a</w:t>
            </w:r>
            <w:proofErr w:type="spellEnd"/>
          </w:p>
        </w:tc>
        <w:tc>
          <w:tcPr>
            <w:tcW w:w="1843" w:type="dxa"/>
            <w:tcBorders>
              <w:top w:val="nil"/>
              <w:left w:val="nil"/>
              <w:bottom w:val="nil"/>
              <w:right w:val="nil"/>
            </w:tcBorders>
            <w:shd w:val="clear" w:color="auto" w:fill="auto"/>
            <w:noWrap/>
            <w:vAlign w:val="center"/>
            <w:hideMark/>
          </w:tcPr>
          <w:p w14:paraId="568FC8B8" w14:textId="77777777" w:rsidR="00FB669F" w:rsidRPr="009B11C4" w:rsidRDefault="00FB669F" w:rsidP="008E64CC">
            <w:pPr>
              <w:spacing w:after="0" w:line="276" w:lineRule="auto"/>
              <w:jc w:val="center"/>
              <w:rPr>
                <w:rFonts w:eastAsia="Times New Roman" w:cstheme="minorHAnsi"/>
                <w:lang w:eastAsia="en-GB"/>
              </w:rPr>
            </w:pPr>
            <w:r w:rsidRPr="009B11C4">
              <w:rPr>
                <w:rFonts w:eastAsia="Times New Roman" w:cstheme="minorHAnsi"/>
                <w:lang w:eastAsia="en-GB"/>
              </w:rPr>
              <w:t>24.9 (0.5-74.8)</w:t>
            </w:r>
          </w:p>
        </w:tc>
        <w:tc>
          <w:tcPr>
            <w:tcW w:w="1984" w:type="dxa"/>
            <w:tcBorders>
              <w:top w:val="nil"/>
              <w:left w:val="nil"/>
              <w:bottom w:val="nil"/>
              <w:right w:val="nil"/>
            </w:tcBorders>
            <w:shd w:val="clear" w:color="auto" w:fill="auto"/>
            <w:noWrap/>
            <w:vAlign w:val="center"/>
          </w:tcPr>
          <w:p w14:paraId="6514241E" w14:textId="77777777" w:rsidR="00FB669F" w:rsidRPr="009B11C4" w:rsidRDefault="00FB669F" w:rsidP="008E64CC">
            <w:pPr>
              <w:spacing w:after="0" w:line="276" w:lineRule="auto"/>
              <w:jc w:val="center"/>
              <w:rPr>
                <w:rFonts w:eastAsia="Times New Roman" w:cstheme="minorHAnsi"/>
                <w:i/>
                <w:lang w:eastAsia="en-GB"/>
              </w:rPr>
            </w:pPr>
            <w:r w:rsidRPr="009B11C4">
              <w:rPr>
                <w:rFonts w:eastAsia="Times New Roman" w:cstheme="minorHAnsi"/>
                <w:i/>
                <w:lang w:eastAsia="en-GB"/>
              </w:rPr>
              <w:t>6.2 (-13.3-107.7)</w:t>
            </w:r>
          </w:p>
        </w:tc>
        <w:tc>
          <w:tcPr>
            <w:tcW w:w="1985" w:type="dxa"/>
            <w:tcBorders>
              <w:top w:val="nil"/>
              <w:left w:val="nil"/>
              <w:bottom w:val="nil"/>
              <w:right w:val="nil"/>
            </w:tcBorders>
            <w:shd w:val="clear" w:color="auto" w:fill="auto"/>
            <w:noWrap/>
            <w:vAlign w:val="center"/>
          </w:tcPr>
          <w:p w14:paraId="50BA749B" w14:textId="77777777" w:rsidR="00FB669F" w:rsidRPr="009B11C4" w:rsidRDefault="00FB669F" w:rsidP="008E64CC">
            <w:pPr>
              <w:spacing w:after="0" w:line="276" w:lineRule="auto"/>
              <w:jc w:val="center"/>
              <w:rPr>
                <w:rFonts w:eastAsia="Times New Roman" w:cstheme="minorHAnsi"/>
                <w:i/>
                <w:lang w:eastAsia="en-GB"/>
              </w:rPr>
            </w:pPr>
            <w:r w:rsidRPr="009B11C4">
              <w:rPr>
                <w:rFonts w:eastAsia="Times New Roman" w:cstheme="minorHAnsi"/>
                <w:i/>
                <w:lang w:eastAsia="en-GB"/>
              </w:rPr>
              <w:t>40.7 (22.2-96.3)</w:t>
            </w:r>
          </w:p>
        </w:tc>
        <w:tc>
          <w:tcPr>
            <w:tcW w:w="1938" w:type="dxa"/>
            <w:tcBorders>
              <w:top w:val="nil"/>
              <w:left w:val="nil"/>
              <w:bottom w:val="nil"/>
              <w:right w:val="nil"/>
            </w:tcBorders>
            <w:shd w:val="clear" w:color="auto" w:fill="auto"/>
            <w:noWrap/>
            <w:vAlign w:val="center"/>
            <w:hideMark/>
          </w:tcPr>
          <w:p w14:paraId="1C1832C1" w14:textId="77777777" w:rsidR="00FB669F" w:rsidRPr="009B11C4" w:rsidRDefault="00FB669F" w:rsidP="008E64CC">
            <w:pPr>
              <w:spacing w:after="0" w:line="276" w:lineRule="auto"/>
              <w:jc w:val="center"/>
              <w:rPr>
                <w:rFonts w:eastAsia="Times New Roman" w:cstheme="minorHAnsi"/>
                <w:i/>
                <w:lang w:eastAsia="en-GB"/>
              </w:rPr>
            </w:pPr>
            <w:r w:rsidRPr="009B11C4">
              <w:rPr>
                <w:rFonts w:eastAsia="Times New Roman" w:cstheme="minorHAnsi"/>
                <w:i/>
                <w:lang w:eastAsia="en-GB"/>
              </w:rPr>
              <w:t>24.9 (-2.0-70.5)</w:t>
            </w:r>
          </w:p>
        </w:tc>
      </w:tr>
      <w:tr w:rsidR="00FB669F" w:rsidRPr="009B11C4" w14:paraId="1C1E49F4" w14:textId="77777777" w:rsidTr="008E64CC">
        <w:trPr>
          <w:trHeight w:val="300"/>
        </w:trPr>
        <w:tc>
          <w:tcPr>
            <w:tcW w:w="1276" w:type="dxa"/>
            <w:tcBorders>
              <w:top w:val="nil"/>
              <w:left w:val="nil"/>
              <w:bottom w:val="nil"/>
              <w:right w:val="nil"/>
            </w:tcBorders>
            <w:shd w:val="clear" w:color="auto" w:fill="auto"/>
            <w:noWrap/>
            <w:vAlign w:val="bottom"/>
            <w:hideMark/>
          </w:tcPr>
          <w:p w14:paraId="64D8E895" w14:textId="77777777" w:rsidR="00FB669F" w:rsidRPr="009B11C4" w:rsidRDefault="00FB669F" w:rsidP="008E64CC">
            <w:pPr>
              <w:spacing w:after="0" w:line="276" w:lineRule="auto"/>
              <w:rPr>
                <w:rFonts w:eastAsia="Times New Roman" w:cstheme="minorHAnsi"/>
                <w:lang w:eastAsia="en-GB"/>
              </w:rPr>
            </w:pPr>
            <w:r w:rsidRPr="009B11C4">
              <w:rPr>
                <w:rFonts w:eastAsia="Times New Roman" w:cstheme="minorHAnsi"/>
                <w:lang w:eastAsia="en-GB"/>
              </w:rPr>
              <w:t>+</w:t>
            </w:r>
            <w:r>
              <w:rPr>
                <w:rFonts w:eastAsia="Times New Roman" w:cstheme="minorHAnsi"/>
                <w:lang w:eastAsia="en-GB"/>
              </w:rPr>
              <w:t xml:space="preserve"> </w:t>
            </w:r>
            <w:r w:rsidRPr="009B11C4">
              <w:rPr>
                <w:rFonts w:eastAsia="Times New Roman" w:cstheme="minorHAnsi"/>
                <w:lang w:eastAsia="en-GB"/>
              </w:rPr>
              <w:t xml:space="preserve">72 </w:t>
            </w:r>
            <w:proofErr w:type="spellStart"/>
            <w:r w:rsidRPr="009B11C4">
              <w:rPr>
                <w:rFonts w:eastAsia="Times New Roman" w:cstheme="minorHAnsi"/>
                <w:lang w:eastAsia="en-GB"/>
              </w:rPr>
              <w:t>hours</w:t>
            </w:r>
            <w:r w:rsidRPr="009B11C4">
              <w:rPr>
                <w:rFonts w:eastAsia="Times New Roman" w:cstheme="minorHAnsi"/>
                <w:vertAlign w:val="superscript"/>
                <w:lang w:eastAsia="en-GB"/>
              </w:rPr>
              <w:t>a</w:t>
            </w:r>
            <w:proofErr w:type="spellEnd"/>
          </w:p>
        </w:tc>
        <w:tc>
          <w:tcPr>
            <w:tcW w:w="1843" w:type="dxa"/>
            <w:tcBorders>
              <w:top w:val="nil"/>
              <w:left w:val="nil"/>
              <w:bottom w:val="nil"/>
              <w:right w:val="nil"/>
            </w:tcBorders>
            <w:shd w:val="clear" w:color="auto" w:fill="auto"/>
            <w:noWrap/>
            <w:vAlign w:val="center"/>
            <w:hideMark/>
          </w:tcPr>
          <w:p w14:paraId="705F75BE" w14:textId="77777777" w:rsidR="00FB669F" w:rsidRPr="009B11C4" w:rsidRDefault="00FB669F" w:rsidP="008E64CC">
            <w:pPr>
              <w:spacing w:after="0" w:line="276" w:lineRule="auto"/>
              <w:jc w:val="center"/>
              <w:rPr>
                <w:rFonts w:eastAsia="Times New Roman" w:cstheme="minorHAnsi"/>
                <w:lang w:eastAsia="en-GB"/>
              </w:rPr>
            </w:pPr>
            <w:r w:rsidRPr="009B11C4">
              <w:rPr>
                <w:rFonts w:eastAsia="Times New Roman" w:cstheme="minorHAnsi"/>
                <w:lang w:eastAsia="en-GB"/>
              </w:rPr>
              <w:t>33.9 (-4.3-84.1)</w:t>
            </w:r>
            <w:r w:rsidRPr="009B11C4">
              <w:rPr>
                <w:rFonts w:eastAsia="Times New Roman" w:cstheme="minorHAnsi"/>
                <w:vertAlign w:val="superscript"/>
                <w:lang w:eastAsia="en-GB"/>
              </w:rPr>
              <w:t xml:space="preserve"> </w:t>
            </w:r>
          </w:p>
        </w:tc>
        <w:tc>
          <w:tcPr>
            <w:tcW w:w="1984" w:type="dxa"/>
            <w:tcBorders>
              <w:top w:val="nil"/>
              <w:left w:val="nil"/>
              <w:bottom w:val="nil"/>
              <w:right w:val="nil"/>
            </w:tcBorders>
            <w:shd w:val="clear" w:color="auto" w:fill="auto"/>
            <w:noWrap/>
            <w:vAlign w:val="center"/>
          </w:tcPr>
          <w:p w14:paraId="1934DD28" w14:textId="77777777" w:rsidR="00FB669F" w:rsidRPr="009B11C4" w:rsidRDefault="00FB669F" w:rsidP="008E64CC">
            <w:pPr>
              <w:spacing w:after="0" w:line="276" w:lineRule="auto"/>
              <w:jc w:val="center"/>
              <w:rPr>
                <w:rFonts w:eastAsia="Times New Roman" w:cstheme="minorHAnsi"/>
                <w:i/>
                <w:lang w:eastAsia="en-GB"/>
              </w:rPr>
            </w:pPr>
            <w:r w:rsidRPr="009B11C4">
              <w:rPr>
                <w:rFonts w:eastAsia="Times New Roman" w:cstheme="minorHAnsi"/>
                <w:i/>
                <w:lang w:eastAsia="en-GB"/>
              </w:rPr>
              <w:t>57.1 (19.8-84.8)</w:t>
            </w:r>
          </w:p>
        </w:tc>
        <w:tc>
          <w:tcPr>
            <w:tcW w:w="1985" w:type="dxa"/>
            <w:tcBorders>
              <w:top w:val="nil"/>
              <w:left w:val="nil"/>
              <w:bottom w:val="nil"/>
              <w:right w:val="nil"/>
            </w:tcBorders>
            <w:shd w:val="clear" w:color="auto" w:fill="auto"/>
            <w:noWrap/>
            <w:vAlign w:val="center"/>
          </w:tcPr>
          <w:p w14:paraId="1C1506FF" w14:textId="77777777" w:rsidR="00FB669F" w:rsidRPr="009B11C4" w:rsidRDefault="00FB669F" w:rsidP="008E64CC">
            <w:pPr>
              <w:spacing w:after="0" w:line="276" w:lineRule="auto"/>
              <w:jc w:val="center"/>
              <w:rPr>
                <w:rFonts w:eastAsia="Times New Roman" w:cstheme="minorHAnsi"/>
                <w:i/>
                <w:lang w:eastAsia="en-GB"/>
              </w:rPr>
            </w:pPr>
            <w:r w:rsidRPr="009B11C4">
              <w:rPr>
                <w:rFonts w:eastAsia="Times New Roman" w:cstheme="minorHAnsi"/>
                <w:i/>
                <w:lang w:eastAsia="en-GB"/>
              </w:rPr>
              <w:t>62.0 (31.6-95.5)</w:t>
            </w:r>
          </w:p>
        </w:tc>
        <w:tc>
          <w:tcPr>
            <w:tcW w:w="1938" w:type="dxa"/>
            <w:tcBorders>
              <w:top w:val="nil"/>
              <w:left w:val="nil"/>
              <w:bottom w:val="nil"/>
              <w:right w:val="nil"/>
            </w:tcBorders>
            <w:shd w:val="clear" w:color="auto" w:fill="auto"/>
            <w:noWrap/>
            <w:vAlign w:val="center"/>
            <w:hideMark/>
          </w:tcPr>
          <w:p w14:paraId="6DBA38B4" w14:textId="77777777" w:rsidR="00FB669F" w:rsidRPr="009B11C4" w:rsidRDefault="00FB669F" w:rsidP="008E64CC">
            <w:pPr>
              <w:spacing w:after="0" w:line="276" w:lineRule="auto"/>
              <w:jc w:val="center"/>
              <w:rPr>
                <w:rFonts w:eastAsia="Times New Roman" w:cstheme="minorHAnsi"/>
                <w:i/>
                <w:lang w:eastAsia="en-GB"/>
              </w:rPr>
            </w:pPr>
            <w:r w:rsidRPr="009B11C4">
              <w:rPr>
                <w:rFonts w:eastAsia="Times New Roman" w:cstheme="minorHAnsi"/>
                <w:i/>
                <w:lang w:eastAsia="en-GB"/>
              </w:rPr>
              <w:t>21.0 (-11.3-84.2)</w:t>
            </w:r>
          </w:p>
        </w:tc>
      </w:tr>
      <w:tr w:rsidR="00FB669F" w:rsidRPr="009B11C4" w14:paraId="4F2E333E" w14:textId="77777777" w:rsidTr="008E64CC">
        <w:trPr>
          <w:trHeight w:val="300"/>
        </w:trPr>
        <w:tc>
          <w:tcPr>
            <w:tcW w:w="1276" w:type="dxa"/>
            <w:tcBorders>
              <w:top w:val="nil"/>
              <w:left w:val="nil"/>
              <w:bottom w:val="nil"/>
              <w:right w:val="nil"/>
            </w:tcBorders>
            <w:shd w:val="clear" w:color="auto" w:fill="auto"/>
            <w:noWrap/>
            <w:vAlign w:val="bottom"/>
          </w:tcPr>
          <w:p w14:paraId="5107D328" w14:textId="77777777" w:rsidR="00FB669F" w:rsidRPr="009B11C4" w:rsidRDefault="00FB669F" w:rsidP="008E64CC">
            <w:pPr>
              <w:spacing w:after="0" w:line="276" w:lineRule="auto"/>
              <w:rPr>
                <w:rFonts w:eastAsia="Times New Roman" w:cstheme="minorHAnsi"/>
                <w:lang w:eastAsia="en-GB"/>
              </w:rPr>
            </w:pPr>
          </w:p>
        </w:tc>
        <w:tc>
          <w:tcPr>
            <w:tcW w:w="1843" w:type="dxa"/>
            <w:tcBorders>
              <w:top w:val="nil"/>
              <w:left w:val="nil"/>
              <w:bottom w:val="nil"/>
              <w:right w:val="nil"/>
            </w:tcBorders>
            <w:shd w:val="clear" w:color="auto" w:fill="auto"/>
            <w:noWrap/>
            <w:vAlign w:val="center"/>
          </w:tcPr>
          <w:p w14:paraId="343C843E" w14:textId="77777777" w:rsidR="00FB669F" w:rsidRPr="009B11C4" w:rsidRDefault="00FB669F" w:rsidP="008E64CC">
            <w:pPr>
              <w:spacing w:after="0" w:line="276" w:lineRule="auto"/>
              <w:jc w:val="center"/>
              <w:rPr>
                <w:rFonts w:eastAsia="Times New Roman" w:cstheme="minorHAnsi"/>
                <w:lang w:eastAsia="en-GB"/>
              </w:rPr>
            </w:pPr>
          </w:p>
        </w:tc>
        <w:tc>
          <w:tcPr>
            <w:tcW w:w="1984" w:type="dxa"/>
            <w:tcBorders>
              <w:top w:val="nil"/>
              <w:left w:val="nil"/>
              <w:bottom w:val="nil"/>
              <w:right w:val="nil"/>
            </w:tcBorders>
            <w:shd w:val="clear" w:color="auto" w:fill="auto"/>
            <w:noWrap/>
            <w:vAlign w:val="center"/>
          </w:tcPr>
          <w:p w14:paraId="10AA08C8" w14:textId="77777777" w:rsidR="00FB669F" w:rsidRPr="009B11C4" w:rsidRDefault="00FB669F" w:rsidP="008E64CC">
            <w:pPr>
              <w:spacing w:after="0" w:line="276" w:lineRule="auto"/>
              <w:jc w:val="center"/>
              <w:rPr>
                <w:rFonts w:eastAsia="Times New Roman" w:cstheme="minorHAnsi"/>
                <w:i/>
                <w:lang w:eastAsia="en-GB"/>
              </w:rPr>
            </w:pPr>
          </w:p>
        </w:tc>
        <w:tc>
          <w:tcPr>
            <w:tcW w:w="1985" w:type="dxa"/>
            <w:tcBorders>
              <w:top w:val="nil"/>
              <w:left w:val="nil"/>
              <w:bottom w:val="nil"/>
              <w:right w:val="nil"/>
            </w:tcBorders>
            <w:shd w:val="clear" w:color="auto" w:fill="auto"/>
            <w:noWrap/>
            <w:vAlign w:val="center"/>
          </w:tcPr>
          <w:p w14:paraId="661F945B" w14:textId="77777777" w:rsidR="00FB669F" w:rsidRPr="009B11C4" w:rsidRDefault="00FB669F" w:rsidP="008E64CC">
            <w:pPr>
              <w:spacing w:after="0" w:line="276" w:lineRule="auto"/>
              <w:jc w:val="center"/>
              <w:rPr>
                <w:rFonts w:eastAsia="Times New Roman" w:cstheme="minorHAnsi"/>
                <w:i/>
                <w:lang w:eastAsia="en-GB"/>
              </w:rPr>
            </w:pPr>
          </w:p>
        </w:tc>
        <w:tc>
          <w:tcPr>
            <w:tcW w:w="1938" w:type="dxa"/>
            <w:tcBorders>
              <w:top w:val="nil"/>
              <w:left w:val="nil"/>
              <w:bottom w:val="nil"/>
              <w:right w:val="nil"/>
            </w:tcBorders>
            <w:shd w:val="clear" w:color="auto" w:fill="auto"/>
            <w:noWrap/>
            <w:vAlign w:val="center"/>
          </w:tcPr>
          <w:p w14:paraId="648B4DA2" w14:textId="77777777" w:rsidR="00FB669F" w:rsidRPr="009B11C4" w:rsidRDefault="00FB669F" w:rsidP="008E64CC">
            <w:pPr>
              <w:spacing w:after="0" w:line="276" w:lineRule="auto"/>
              <w:jc w:val="center"/>
              <w:rPr>
                <w:rFonts w:eastAsia="Times New Roman" w:cstheme="minorHAnsi"/>
                <w:i/>
                <w:lang w:eastAsia="en-GB"/>
              </w:rPr>
            </w:pPr>
          </w:p>
        </w:tc>
      </w:tr>
      <w:tr w:rsidR="00FB669F" w:rsidRPr="009B11C4" w14:paraId="0DD87291" w14:textId="77777777" w:rsidTr="008E64CC">
        <w:trPr>
          <w:trHeight w:val="300"/>
        </w:trPr>
        <w:tc>
          <w:tcPr>
            <w:tcW w:w="9026" w:type="dxa"/>
            <w:gridSpan w:val="5"/>
            <w:tcBorders>
              <w:top w:val="nil"/>
              <w:left w:val="nil"/>
              <w:bottom w:val="nil"/>
              <w:right w:val="nil"/>
            </w:tcBorders>
            <w:shd w:val="clear" w:color="auto" w:fill="auto"/>
            <w:noWrap/>
            <w:vAlign w:val="bottom"/>
            <w:hideMark/>
          </w:tcPr>
          <w:p w14:paraId="3A70A0E0" w14:textId="77777777" w:rsidR="00FB669F" w:rsidRPr="009B11C4" w:rsidRDefault="00FB669F" w:rsidP="008E64CC">
            <w:pPr>
              <w:spacing w:after="0" w:line="276" w:lineRule="auto"/>
              <w:rPr>
                <w:rFonts w:eastAsia="Times New Roman" w:cstheme="minorHAnsi"/>
                <w:i/>
                <w:lang w:eastAsia="en-GB"/>
              </w:rPr>
            </w:pPr>
            <w:r w:rsidRPr="009B11C4">
              <w:rPr>
                <w:rFonts w:eastAsia="Times New Roman" w:cstheme="minorHAnsi"/>
                <w:i/>
                <w:vertAlign w:val="superscript"/>
                <w:lang w:eastAsia="en-GB"/>
              </w:rPr>
              <w:t xml:space="preserve">a </w:t>
            </w:r>
            <w:r w:rsidRPr="009B11C4">
              <w:rPr>
                <w:rFonts w:eastAsia="Times New Roman" w:cstheme="minorHAnsi"/>
                <w:i/>
                <w:lang w:eastAsia="en-GB"/>
              </w:rPr>
              <w:t>Data for 4 patients unavailable (3 deceased and 1 transferred to regional ECMO centre)</w:t>
            </w:r>
          </w:p>
        </w:tc>
      </w:tr>
    </w:tbl>
    <w:p w14:paraId="43AFD933" w14:textId="77777777" w:rsidR="00FB669F" w:rsidRPr="009D15ED" w:rsidRDefault="00FB669F" w:rsidP="00FB669F">
      <w:pPr>
        <w:spacing w:line="276" w:lineRule="auto"/>
        <w:rPr>
          <w:rFonts w:cstheme="minorHAnsi"/>
          <w:sz w:val="24"/>
          <w:szCs w:val="24"/>
        </w:rPr>
      </w:pPr>
    </w:p>
    <w:p w14:paraId="5D6CD8F6" w14:textId="77777777" w:rsidR="00FB669F" w:rsidRPr="009D15ED" w:rsidRDefault="00FB669F" w:rsidP="00FB669F">
      <w:pPr>
        <w:spacing w:line="276" w:lineRule="auto"/>
        <w:rPr>
          <w:rFonts w:cstheme="minorHAnsi"/>
          <w:sz w:val="24"/>
          <w:szCs w:val="24"/>
        </w:rPr>
      </w:pPr>
      <w:r w:rsidRPr="009D15ED">
        <w:rPr>
          <w:rFonts w:cstheme="minorHAnsi"/>
          <w:sz w:val="24"/>
          <w:szCs w:val="24"/>
        </w:rPr>
        <w:br w:type="page"/>
      </w:r>
    </w:p>
    <w:p w14:paraId="515C3F0E" w14:textId="77777777" w:rsidR="00FB669F" w:rsidRPr="009D15ED" w:rsidRDefault="00FB669F" w:rsidP="00FB669F">
      <w:pPr>
        <w:pStyle w:val="Heading2"/>
        <w:rPr>
          <w:rFonts w:asciiTheme="minorHAnsi" w:hAnsiTheme="minorHAnsi" w:cstheme="minorHAnsi"/>
          <w:color w:val="auto"/>
          <w:sz w:val="24"/>
          <w:szCs w:val="24"/>
        </w:rPr>
      </w:pPr>
      <w:r w:rsidRPr="009D15ED">
        <w:rPr>
          <w:rFonts w:asciiTheme="minorHAnsi" w:hAnsiTheme="minorHAnsi" w:cstheme="minorHAnsi"/>
          <w:color w:val="auto"/>
          <w:sz w:val="24"/>
          <w:szCs w:val="24"/>
        </w:rPr>
        <w:lastRenderedPageBreak/>
        <w:t xml:space="preserve">Table 3. Characteristics of survivors </w:t>
      </w:r>
      <w:r>
        <w:rPr>
          <w:rFonts w:asciiTheme="minorHAnsi" w:hAnsiTheme="minorHAnsi" w:cstheme="minorHAnsi"/>
          <w:color w:val="auto"/>
          <w:sz w:val="24"/>
          <w:szCs w:val="24"/>
        </w:rPr>
        <w:t>vs.</w:t>
      </w:r>
      <w:r w:rsidRPr="009D15ED">
        <w:rPr>
          <w:rFonts w:asciiTheme="minorHAnsi" w:hAnsiTheme="minorHAnsi" w:cstheme="minorHAnsi"/>
          <w:color w:val="auto"/>
          <w:sz w:val="24"/>
          <w:szCs w:val="24"/>
        </w:rPr>
        <w:t xml:space="preserve"> non-survivors in patients receiving IPVD therapy</w:t>
      </w:r>
    </w:p>
    <w:p w14:paraId="33CC4F34" w14:textId="414214FA" w:rsidR="00FB669F" w:rsidRDefault="00FB669F" w:rsidP="00FB669F">
      <w:pPr>
        <w:spacing w:line="276" w:lineRule="auto"/>
        <w:jc w:val="both"/>
        <w:rPr>
          <w:rFonts w:cstheme="minorHAnsi"/>
          <w:sz w:val="24"/>
          <w:szCs w:val="24"/>
        </w:rPr>
      </w:pPr>
    </w:p>
    <w:tbl>
      <w:tblPr>
        <w:tblW w:w="902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9"/>
        <w:gridCol w:w="2394"/>
        <w:gridCol w:w="2586"/>
        <w:gridCol w:w="1087"/>
      </w:tblGrid>
      <w:tr w:rsidR="00FB669F" w:rsidRPr="009D15ED" w14:paraId="11A90DFF" w14:textId="77777777" w:rsidTr="008E64CC">
        <w:trPr>
          <w:trHeight w:val="300"/>
          <w:jc w:val="center"/>
        </w:trPr>
        <w:tc>
          <w:tcPr>
            <w:tcW w:w="2959" w:type="dxa"/>
            <w:tcBorders>
              <w:top w:val="single" w:sz="18" w:space="0" w:color="auto"/>
              <w:left w:val="nil"/>
              <w:bottom w:val="single" w:sz="18" w:space="0" w:color="auto"/>
              <w:right w:val="nil"/>
            </w:tcBorders>
            <w:shd w:val="clear" w:color="auto" w:fill="auto"/>
            <w:vAlign w:val="bottom"/>
            <w:hideMark/>
          </w:tcPr>
          <w:p w14:paraId="40073EB4"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 </w:t>
            </w:r>
          </w:p>
        </w:tc>
        <w:tc>
          <w:tcPr>
            <w:tcW w:w="2394" w:type="dxa"/>
            <w:tcBorders>
              <w:top w:val="single" w:sz="18" w:space="0" w:color="auto"/>
              <w:left w:val="nil"/>
              <w:bottom w:val="single" w:sz="18" w:space="0" w:color="auto"/>
              <w:right w:val="nil"/>
            </w:tcBorders>
            <w:shd w:val="clear" w:color="auto" w:fill="auto"/>
            <w:vAlign w:val="bottom"/>
            <w:hideMark/>
          </w:tcPr>
          <w:p w14:paraId="70FD5DCC"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b/>
                <w:bCs/>
                <w:sz w:val="24"/>
                <w:szCs w:val="24"/>
                <w:lang w:eastAsia="en-GB"/>
              </w:rPr>
              <w:t>Survivors (n=33)</w:t>
            </w:r>
            <w:r w:rsidRPr="009D15ED">
              <w:rPr>
                <w:rFonts w:eastAsia="Times New Roman" w:cstheme="minorHAnsi"/>
                <w:sz w:val="24"/>
                <w:szCs w:val="24"/>
                <w:lang w:eastAsia="en-GB"/>
              </w:rPr>
              <w:t> </w:t>
            </w:r>
          </w:p>
        </w:tc>
        <w:tc>
          <w:tcPr>
            <w:tcW w:w="2586" w:type="dxa"/>
            <w:tcBorders>
              <w:top w:val="single" w:sz="18" w:space="0" w:color="auto"/>
              <w:left w:val="nil"/>
              <w:bottom w:val="single" w:sz="18" w:space="0" w:color="auto"/>
              <w:right w:val="nil"/>
            </w:tcBorders>
            <w:shd w:val="clear" w:color="auto" w:fill="auto"/>
            <w:vAlign w:val="bottom"/>
            <w:hideMark/>
          </w:tcPr>
          <w:p w14:paraId="43045637"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b/>
                <w:bCs/>
                <w:sz w:val="24"/>
                <w:szCs w:val="24"/>
                <w:lang w:eastAsia="en-GB"/>
              </w:rPr>
              <w:t>Non-survivors (n=26)</w:t>
            </w:r>
            <w:r w:rsidRPr="009D15ED">
              <w:rPr>
                <w:rFonts w:eastAsia="Times New Roman" w:cstheme="minorHAnsi"/>
                <w:sz w:val="24"/>
                <w:szCs w:val="24"/>
                <w:lang w:eastAsia="en-GB"/>
              </w:rPr>
              <w:t> </w:t>
            </w:r>
          </w:p>
        </w:tc>
        <w:tc>
          <w:tcPr>
            <w:tcW w:w="1087" w:type="dxa"/>
            <w:tcBorders>
              <w:top w:val="single" w:sz="18" w:space="0" w:color="auto"/>
              <w:left w:val="nil"/>
              <w:bottom w:val="single" w:sz="18" w:space="0" w:color="auto"/>
              <w:right w:val="nil"/>
            </w:tcBorders>
            <w:shd w:val="clear" w:color="auto" w:fill="auto"/>
            <w:vAlign w:val="bottom"/>
            <w:hideMark/>
          </w:tcPr>
          <w:p w14:paraId="186C669B"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b/>
                <w:bCs/>
                <w:sz w:val="24"/>
                <w:szCs w:val="24"/>
                <w:lang w:eastAsia="en-GB"/>
              </w:rPr>
              <w:t>p-value</w:t>
            </w:r>
            <w:r w:rsidRPr="009D15ED">
              <w:rPr>
                <w:rFonts w:eastAsia="Times New Roman" w:cstheme="minorHAnsi"/>
                <w:sz w:val="24"/>
                <w:szCs w:val="24"/>
                <w:lang w:eastAsia="en-GB"/>
              </w:rPr>
              <w:t> </w:t>
            </w:r>
          </w:p>
        </w:tc>
      </w:tr>
      <w:tr w:rsidR="00FB669F" w:rsidRPr="009D15ED" w14:paraId="34642C5A" w14:textId="77777777" w:rsidTr="008E64CC">
        <w:trPr>
          <w:trHeight w:val="300"/>
          <w:jc w:val="center"/>
        </w:trPr>
        <w:tc>
          <w:tcPr>
            <w:tcW w:w="2959" w:type="dxa"/>
            <w:tcBorders>
              <w:top w:val="single" w:sz="18" w:space="0" w:color="auto"/>
              <w:left w:val="nil"/>
              <w:bottom w:val="nil"/>
              <w:right w:val="nil"/>
            </w:tcBorders>
            <w:shd w:val="clear" w:color="auto" w:fill="auto"/>
            <w:vAlign w:val="bottom"/>
            <w:hideMark/>
          </w:tcPr>
          <w:p w14:paraId="1D8AA045" w14:textId="77777777" w:rsidR="00FB669F" w:rsidRPr="009D15ED" w:rsidRDefault="00FB669F" w:rsidP="008E64CC">
            <w:pPr>
              <w:spacing w:after="0" w:line="276" w:lineRule="auto"/>
              <w:textAlignment w:val="baseline"/>
              <w:rPr>
                <w:rFonts w:eastAsia="Times New Roman" w:cstheme="minorHAnsi"/>
                <w:b/>
                <w:sz w:val="24"/>
                <w:szCs w:val="24"/>
                <w:lang w:eastAsia="en-GB"/>
              </w:rPr>
            </w:pPr>
            <w:r w:rsidRPr="009D15ED">
              <w:rPr>
                <w:rFonts w:eastAsia="Times New Roman" w:cstheme="minorHAnsi"/>
                <w:b/>
                <w:bCs/>
                <w:sz w:val="24"/>
                <w:szCs w:val="24"/>
                <w:lang w:eastAsia="en-GB"/>
              </w:rPr>
              <w:t>Age</w:t>
            </w:r>
            <w:r w:rsidRPr="009D15ED">
              <w:rPr>
                <w:rFonts w:eastAsia="Times New Roman" w:cstheme="minorHAnsi"/>
                <w:b/>
                <w:sz w:val="24"/>
                <w:szCs w:val="24"/>
                <w:lang w:eastAsia="en-GB"/>
              </w:rPr>
              <w:t> (Years)</w:t>
            </w:r>
          </w:p>
        </w:tc>
        <w:tc>
          <w:tcPr>
            <w:tcW w:w="2394" w:type="dxa"/>
            <w:tcBorders>
              <w:top w:val="single" w:sz="18" w:space="0" w:color="auto"/>
              <w:left w:val="nil"/>
              <w:bottom w:val="nil"/>
              <w:right w:val="nil"/>
            </w:tcBorders>
            <w:shd w:val="clear" w:color="auto" w:fill="auto"/>
            <w:vAlign w:val="bottom"/>
            <w:hideMark/>
          </w:tcPr>
          <w:p w14:paraId="6A33261E"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57 (51-64) </w:t>
            </w:r>
          </w:p>
        </w:tc>
        <w:tc>
          <w:tcPr>
            <w:tcW w:w="2586" w:type="dxa"/>
            <w:tcBorders>
              <w:top w:val="single" w:sz="18" w:space="0" w:color="auto"/>
              <w:left w:val="nil"/>
              <w:bottom w:val="nil"/>
              <w:right w:val="nil"/>
            </w:tcBorders>
            <w:shd w:val="clear" w:color="auto" w:fill="auto"/>
            <w:vAlign w:val="bottom"/>
            <w:hideMark/>
          </w:tcPr>
          <w:p w14:paraId="474A4FCC"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61 (57-67) </w:t>
            </w:r>
          </w:p>
        </w:tc>
        <w:tc>
          <w:tcPr>
            <w:tcW w:w="1087" w:type="dxa"/>
            <w:tcBorders>
              <w:top w:val="single" w:sz="18" w:space="0" w:color="auto"/>
              <w:left w:val="nil"/>
              <w:bottom w:val="nil"/>
              <w:right w:val="nil"/>
            </w:tcBorders>
            <w:shd w:val="clear" w:color="auto" w:fill="auto"/>
            <w:vAlign w:val="bottom"/>
            <w:hideMark/>
          </w:tcPr>
          <w:p w14:paraId="08E42B77"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0.093</w:t>
            </w:r>
          </w:p>
        </w:tc>
      </w:tr>
      <w:tr w:rsidR="00FB669F" w:rsidRPr="009D15ED" w14:paraId="697A5011" w14:textId="77777777" w:rsidTr="008E64CC">
        <w:trPr>
          <w:trHeight w:val="300"/>
          <w:jc w:val="center"/>
        </w:trPr>
        <w:tc>
          <w:tcPr>
            <w:tcW w:w="2959" w:type="dxa"/>
            <w:tcBorders>
              <w:top w:val="nil"/>
              <w:left w:val="nil"/>
              <w:bottom w:val="nil"/>
              <w:right w:val="nil"/>
            </w:tcBorders>
            <w:shd w:val="clear" w:color="auto" w:fill="auto"/>
            <w:vAlign w:val="bottom"/>
            <w:hideMark/>
          </w:tcPr>
          <w:p w14:paraId="02065469" w14:textId="77777777" w:rsidR="00FB669F" w:rsidRPr="009D15ED" w:rsidRDefault="00FB669F" w:rsidP="008E64CC">
            <w:pPr>
              <w:spacing w:after="0" w:line="276" w:lineRule="auto"/>
              <w:textAlignment w:val="baseline"/>
              <w:rPr>
                <w:rFonts w:eastAsia="Times New Roman" w:cstheme="minorHAnsi"/>
                <w:b/>
                <w:sz w:val="24"/>
                <w:szCs w:val="24"/>
                <w:lang w:eastAsia="en-GB"/>
              </w:rPr>
            </w:pPr>
            <w:r w:rsidRPr="009D15ED">
              <w:rPr>
                <w:rFonts w:eastAsia="Times New Roman" w:cstheme="minorHAnsi"/>
                <w:b/>
                <w:bCs/>
                <w:sz w:val="24"/>
                <w:szCs w:val="24"/>
                <w:lang w:eastAsia="en-GB"/>
              </w:rPr>
              <w:t>Gender</w:t>
            </w:r>
            <w:r w:rsidRPr="009D15ED">
              <w:rPr>
                <w:rFonts w:eastAsia="Times New Roman" w:cstheme="minorHAnsi"/>
                <w:b/>
                <w:sz w:val="24"/>
                <w:szCs w:val="24"/>
                <w:lang w:eastAsia="en-GB"/>
              </w:rPr>
              <w:t> (n (%))</w:t>
            </w:r>
          </w:p>
        </w:tc>
        <w:tc>
          <w:tcPr>
            <w:tcW w:w="2394" w:type="dxa"/>
            <w:tcBorders>
              <w:top w:val="nil"/>
              <w:left w:val="nil"/>
              <w:bottom w:val="nil"/>
              <w:right w:val="nil"/>
            </w:tcBorders>
            <w:shd w:val="clear" w:color="auto" w:fill="auto"/>
            <w:vAlign w:val="bottom"/>
            <w:hideMark/>
          </w:tcPr>
          <w:p w14:paraId="47E10035"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 </w:t>
            </w:r>
          </w:p>
        </w:tc>
        <w:tc>
          <w:tcPr>
            <w:tcW w:w="2586" w:type="dxa"/>
            <w:tcBorders>
              <w:top w:val="nil"/>
              <w:left w:val="nil"/>
              <w:bottom w:val="nil"/>
              <w:right w:val="nil"/>
            </w:tcBorders>
            <w:shd w:val="clear" w:color="auto" w:fill="auto"/>
            <w:vAlign w:val="bottom"/>
            <w:hideMark/>
          </w:tcPr>
          <w:p w14:paraId="1DD1D6B6"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 </w:t>
            </w:r>
          </w:p>
        </w:tc>
        <w:tc>
          <w:tcPr>
            <w:tcW w:w="1087" w:type="dxa"/>
            <w:tcBorders>
              <w:top w:val="nil"/>
              <w:left w:val="nil"/>
              <w:bottom w:val="nil"/>
              <w:right w:val="nil"/>
            </w:tcBorders>
            <w:shd w:val="clear" w:color="auto" w:fill="auto"/>
            <w:vAlign w:val="bottom"/>
            <w:hideMark/>
          </w:tcPr>
          <w:p w14:paraId="1626CC5A"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 </w:t>
            </w:r>
          </w:p>
        </w:tc>
      </w:tr>
      <w:tr w:rsidR="00FB669F" w:rsidRPr="009D15ED" w14:paraId="7A3260F2" w14:textId="77777777" w:rsidTr="008E64CC">
        <w:trPr>
          <w:trHeight w:val="300"/>
          <w:jc w:val="center"/>
        </w:trPr>
        <w:tc>
          <w:tcPr>
            <w:tcW w:w="2959" w:type="dxa"/>
            <w:tcBorders>
              <w:top w:val="nil"/>
              <w:left w:val="nil"/>
              <w:bottom w:val="nil"/>
              <w:right w:val="nil"/>
            </w:tcBorders>
            <w:shd w:val="clear" w:color="auto" w:fill="auto"/>
            <w:vAlign w:val="bottom"/>
            <w:hideMark/>
          </w:tcPr>
          <w:p w14:paraId="145E7EEF" w14:textId="77777777" w:rsidR="00FB669F" w:rsidRPr="009D15ED" w:rsidRDefault="00FB669F" w:rsidP="008E64CC">
            <w:pPr>
              <w:spacing w:after="0" w:line="276" w:lineRule="auto"/>
              <w:textAlignment w:val="baseline"/>
              <w:rPr>
                <w:rFonts w:eastAsia="Times New Roman" w:cstheme="minorHAnsi"/>
                <w:i/>
                <w:sz w:val="24"/>
                <w:szCs w:val="24"/>
                <w:lang w:eastAsia="en-GB"/>
              </w:rPr>
            </w:pPr>
            <w:r w:rsidRPr="009D15ED">
              <w:rPr>
                <w:rFonts w:eastAsia="Times New Roman" w:cstheme="minorHAnsi"/>
                <w:i/>
                <w:sz w:val="24"/>
                <w:szCs w:val="24"/>
                <w:lang w:eastAsia="en-GB"/>
              </w:rPr>
              <w:t>   Male </w:t>
            </w:r>
          </w:p>
        </w:tc>
        <w:tc>
          <w:tcPr>
            <w:tcW w:w="2394" w:type="dxa"/>
            <w:tcBorders>
              <w:top w:val="nil"/>
              <w:left w:val="nil"/>
              <w:bottom w:val="nil"/>
              <w:right w:val="nil"/>
            </w:tcBorders>
            <w:shd w:val="clear" w:color="auto" w:fill="auto"/>
            <w:vAlign w:val="bottom"/>
            <w:hideMark/>
          </w:tcPr>
          <w:p w14:paraId="083859BD"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20 (60.6%) </w:t>
            </w:r>
          </w:p>
        </w:tc>
        <w:tc>
          <w:tcPr>
            <w:tcW w:w="2586" w:type="dxa"/>
            <w:tcBorders>
              <w:top w:val="nil"/>
              <w:left w:val="nil"/>
              <w:bottom w:val="nil"/>
              <w:right w:val="nil"/>
            </w:tcBorders>
            <w:shd w:val="clear" w:color="auto" w:fill="auto"/>
            <w:vAlign w:val="bottom"/>
            <w:hideMark/>
          </w:tcPr>
          <w:p w14:paraId="74D76300"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17 (65.4%) </w:t>
            </w:r>
          </w:p>
        </w:tc>
        <w:tc>
          <w:tcPr>
            <w:tcW w:w="1087" w:type="dxa"/>
            <w:tcBorders>
              <w:top w:val="nil"/>
              <w:left w:val="nil"/>
              <w:bottom w:val="nil"/>
              <w:right w:val="nil"/>
            </w:tcBorders>
            <w:shd w:val="clear" w:color="auto" w:fill="auto"/>
            <w:vAlign w:val="bottom"/>
            <w:hideMark/>
          </w:tcPr>
          <w:p w14:paraId="05FDF1D0"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0.706 </w:t>
            </w:r>
          </w:p>
        </w:tc>
      </w:tr>
      <w:tr w:rsidR="00FB669F" w:rsidRPr="009D15ED" w14:paraId="17EDAE68" w14:textId="77777777" w:rsidTr="008E64CC">
        <w:trPr>
          <w:trHeight w:val="300"/>
          <w:jc w:val="center"/>
        </w:trPr>
        <w:tc>
          <w:tcPr>
            <w:tcW w:w="2959" w:type="dxa"/>
            <w:tcBorders>
              <w:top w:val="nil"/>
              <w:left w:val="nil"/>
              <w:bottom w:val="nil"/>
              <w:right w:val="nil"/>
            </w:tcBorders>
            <w:shd w:val="clear" w:color="auto" w:fill="auto"/>
            <w:vAlign w:val="bottom"/>
            <w:hideMark/>
          </w:tcPr>
          <w:p w14:paraId="79BE2071" w14:textId="77777777" w:rsidR="00FB669F" w:rsidRPr="009D15ED" w:rsidRDefault="00FB669F" w:rsidP="008E64CC">
            <w:pPr>
              <w:spacing w:after="0" w:line="276" w:lineRule="auto"/>
              <w:textAlignment w:val="baseline"/>
              <w:rPr>
                <w:rFonts w:eastAsia="Times New Roman" w:cstheme="minorHAnsi"/>
                <w:i/>
                <w:sz w:val="24"/>
                <w:szCs w:val="24"/>
                <w:lang w:eastAsia="en-GB"/>
              </w:rPr>
            </w:pPr>
            <w:r w:rsidRPr="009D15ED">
              <w:rPr>
                <w:rFonts w:eastAsia="Times New Roman" w:cstheme="minorHAnsi"/>
                <w:i/>
                <w:sz w:val="24"/>
                <w:szCs w:val="24"/>
                <w:lang w:eastAsia="en-GB"/>
              </w:rPr>
              <w:t>   Female </w:t>
            </w:r>
          </w:p>
        </w:tc>
        <w:tc>
          <w:tcPr>
            <w:tcW w:w="2394" w:type="dxa"/>
            <w:tcBorders>
              <w:top w:val="nil"/>
              <w:left w:val="nil"/>
              <w:bottom w:val="nil"/>
              <w:right w:val="nil"/>
            </w:tcBorders>
            <w:shd w:val="clear" w:color="auto" w:fill="auto"/>
            <w:vAlign w:val="bottom"/>
            <w:hideMark/>
          </w:tcPr>
          <w:p w14:paraId="0DEF8B0F"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13 (39.4%) </w:t>
            </w:r>
          </w:p>
        </w:tc>
        <w:tc>
          <w:tcPr>
            <w:tcW w:w="2586" w:type="dxa"/>
            <w:tcBorders>
              <w:top w:val="nil"/>
              <w:left w:val="nil"/>
              <w:bottom w:val="nil"/>
              <w:right w:val="nil"/>
            </w:tcBorders>
            <w:shd w:val="clear" w:color="auto" w:fill="auto"/>
            <w:vAlign w:val="bottom"/>
            <w:hideMark/>
          </w:tcPr>
          <w:p w14:paraId="39B6899A"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9 (34.6%) </w:t>
            </w:r>
          </w:p>
        </w:tc>
        <w:tc>
          <w:tcPr>
            <w:tcW w:w="1087" w:type="dxa"/>
            <w:tcBorders>
              <w:top w:val="nil"/>
              <w:left w:val="nil"/>
              <w:bottom w:val="nil"/>
              <w:right w:val="nil"/>
            </w:tcBorders>
            <w:shd w:val="clear" w:color="auto" w:fill="auto"/>
            <w:vAlign w:val="bottom"/>
            <w:hideMark/>
          </w:tcPr>
          <w:p w14:paraId="2AC9B9E7"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 </w:t>
            </w:r>
          </w:p>
        </w:tc>
      </w:tr>
      <w:tr w:rsidR="00FB669F" w:rsidRPr="009D15ED" w14:paraId="75E91C8C" w14:textId="77777777" w:rsidTr="008E64CC">
        <w:trPr>
          <w:trHeight w:val="300"/>
          <w:jc w:val="center"/>
        </w:trPr>
        <w:tc>
          <w:tcPr>
            <w:tcW w:w="2959" w:type="dxa"/>
            <w:tcBorders>
              <w:top w:val="nil"/>
              <w:left w:val="nil"/>
              <w:bottom w:val="nil"/>
              <w:right w:val="nil"/>
            </w:tcBorders>
            <w:shd w:val="clear" w:color="auto" w:fill="auto"/>
            <w:vAlign w:val="bottom"/>
            <w:hideMark/>
          </w:tcPr>
          <w:p w14:paraId="14489D4E" w14:textId="77777777" w:rsidR="00FB669F" w:rsidRPr="009D15ED" w:rsidRDefault="00FB669F" w:rsidP="008E64CC">
            <w:pPr>
              <w:spacing w:after="0" w:line="276" w:lineRule="auto"/>
              <w:textAlignment w:val="baseline"/>
              <w:rPr>
                <w:rFonts w:eastAsia="Times New Roman" w:cstheme="minorHAnsi"/>
                <w:b/>
                <w:sz w:val="24"/>
                <w:szCs w:val="24"/>
                <w:lang w:eastAsia="en-GB"/>
              </w:rPr>
            </w:pPr>
            <w:r w:rsidRPr="009D15ED">
              <w:rPr>
                <w:rFonts w:eastAsia="Times New Roman" w:cstheme="minorHAnsi"/>
                <w:b/>
                <w:bCs/>
                <w:sz w:val="24"/>
                <w:szCs w:val="24"/>
                <w:lang w:eastAsia="en-GB"/>
              </w:rPr>
              <w:t>BMI</w:t>
            </w:r>
            <w:r w:rsidRPr="009D15ED">
              <w:rPr>
                <w:rFonts w:eastAsia="Times New Roman" w:cstheme="minorHAnsi"/>
                <w:b/>
                <w:sz w:val="24"/>
                <w:szCs w:val="24"/>
                <w:lang w:eastAsia="en-GB"/>
              </w:rPr>
              <w:t> (kg/m</w:t>
            </w:r>
            <w:r w:rsidRPr="009D15ED">
              <w:rPr>
                <w:rFonts w:eastAsia="Times New Roman" w:cstheme="minorHAnsi"/>
                <w:b/>
                <w:sz w:val="24"/>
                <w:szCs w:val="24"/>
                <w:vertAlign w:val="superscript"/>
                <w:lang w:eastAsia="en-GB"/>
              </w:rPr>
              <w:t>2</w:t>
            </w:r>
            <w:r w:rsidRPr="009D15ED">
              <w:rPr>
                <w:rFonts w:eastAsia="Times New Roman" w:cstheme="minorHAnsi"/>
                <w:b/>
                <w:sz w:val="24"/>
                <w:szCs w:val="24"/>
                <w:lang w:eastAsia="en-GB"/>
              </w:rPr>
              <w:t>)</w:t>
            </w:r>
          </w:p>
        </w:tc>
        <w:tc>
          <w:tcPr>
            <w:tcW w:w="2394" w:type="dxa"/>
            <w:tcBorders>
              <w:top w:val="nil"/>
              <w:left w:val="nil"/>
              <w:bottom w:val="nil"/>
              <w:right w:val="nil"/>
            </w:tcBorders>
            <w:shd w:val="clear" w:color="auto" w:fill="auto"/>
            <w:vAlign w:val="bottom"/>
            <w:hideMark/>
          </w:tcPr>
          <w:p w14:paraId="40C784CA"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29.7 (27.0-37.3) </w:t>
            </w:r>
          </w:p>
        </w:tc>
        <w:tc>
          <w:tcPr>
            <w:tcW w:w="2586" w:type="dxa"/>
            <w:tcBorders>
              <w:top w:val="nil"/>
              <w:left w:val="nil"/>
              <w:bottom w:val="nil"/>
              <w:right w:val="nil"/>
            </w:tcBorders>
            <w:shd w:val="clear" w:color="auto" w:fill="auto"/>
            <w:vAlign w:val="bottom"/>
            <w:hideMark/>
          </w:tcPr>
          <w:p w14:paraId="413E0FDA"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31.7 (27.0-36.1) </w:t>
            </w:r>
          </w:p>
        </w:tc>
        <w:tc>
          <w:tcPr>
            <w:tcW w:w="1087" w:type="dxa"/>
            <w:tcBorders>
              <w:top w:val="nil"/>
              <w:left w:val="nil"/>
              <w:bottom w:val="nil"/>
              <w:right w:val="nil"/>
            </w:tcBorders>
            <w:shd w:val="clear" w:color="auto" w:fill="auto"/>
            <w:vAlign w:val="bottom"/>
            <w:hideMark/>
          </w:tcPr>
          <w:p w14:paraId="04F2E934"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0.832 </w:t>
            </w:r>
          </w:p>
        </w:tc>
      </w:tr>
      <w:tr w:rsidR="00FB669F" w:rsidRPr="009D15ED" w14:paraId="6B0142BE" w14:textId="77777777" w:rsidTr="008E64CC">
        <w:trPr>
          <w:trHeight w:val="300"/>
          <w:jc w:val="center"/>
        </w:trPr>
        <w:tc>
          <w:tcPr>
            <w:tcW w:w="2959" w:type="dxa"/>
            <w:tcBorders>
              <w:top w:val="nil"/>
              <w:left w:val="nil"/>
              <w:bottom w:val="nil"/>
              <w:right w:val="nil"/>
            </w:tcBorders>
            <w:shd w:val="clear" w:color="auto" w:fill="auto"/>
            <w:vAlign w:val="bottom"/>
            <w:hideMark/>
          </w:tcPr>
          <w:p w14:paraId="0AF90A98" w14:textId="77777777" w:rsidR="00FB669F" w:rsidRPr="009D15ED" w:rsidRDefault="00FB669F" w:rsidP="008E64CC">
            <w:pPr>
              <w:spacing w:after="0" w:line="276" w:lineRule="auto"/>
              <w:textAlignment w:val="baseline"/>
              <w:rPr>
                <w:rFonts w:eastAsia="Times New Roman" w:cstheme="minorHAnsi"/>
                <w:b/>
                <w:sz w:val="24"/>
                <w:szCs w:val="24"/>
                <w:lang w:eastAsia="en-GB"/>
              </w:rPr>
            </w:pPr>
            <w:r w:rsidRPr="009D15ED">
              <w:rPr>
                <w:rFonts w:eastAsia="Times New Roman" w:cstheme="minorHAnsi"/>
                <w:b/>
                <w:bCs/>
                <w:sz w:val="24"/>
                <w:szCs w:val="24"/>
                <w:lang w:eastAsia="en-GB"/>
              </w:rPr>
              <w:t>Ethnicity</w:t>
            </w:r>
            <w:r w:rsidRPr="009D15ED">
              <w:rPr>
                <w:rFonts w:eastAsia="Times New Roman" w:cstheme="minorHAnsi"/>
                <w:b/>
                <w:sz w:val="24"/>
                <w:szCs w:val="24"/>
                <w:lang w:eastAsia="en-GB"/>
              </w:rPr>
              <w:t> (n (%))</w:t>
            </w:r>
          </w:p>
        </w:tc>
        <w:tc>
          <w:tcPr>
            <w:tcW w:w="2394" w:type="dxa"/>
            <w:tcBorders>
              <w:top w:val="nil"/>
              <w:left w:val="nil"/>
              <w:bottom w:val="nil"/>
              <w:right w:val="nil"/>
            </w:tcBorders>
            <w:shd w:val="clear" w:color="auto" w:fill="auto"/>
            <w:vAlign w:val="bottom"/>
            <w:hideMark/>
          </w:tcPr>
          <w:p w14:paraId="0F1813B5"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 </w:t>
            </w:r>
          </w:p>
        </w:tc>
        <w:tc>
          <w:tcPr>
            <w:tcW w:w="2586" w:type="dxa"/>
            <w:tcBorders>
              <w:top w:val="nil"/>
              <w:left w:val="nil"/>
              <w:bottom w:val="nil"/>
              <w:right w:val="nil"/>
            </w:tcBorders>
            <w:shd w:val="clear" w:color="auto" w:fill="auto"/>
            <w:vAlign w:val="bottom"/>
            <w:hideMark/>
          </w:tcPr>
          <w:p w14:paraId="29B8B9DB"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 </w:t>
            </w:r>
          </w:p>
        </w:tc>
        <w:tc>
          <w:tcPr>
            <w:tcW w:w="1087" w:type="dxa"/>
            <w:tcBorders>
              <w:top w:val="nil"/>
              <w:left w:val="nil"/>
              <w:bottom w:val="nil"/>
              <w:right w:val="nil"/>
            </w:tcBorders>
            <w:shd w:val="clear" w:color="auto" w:fill="auto"/>
            <w:vAlign w:val="bottom"/>
            <w:hideMark/>
          </w:tcPr>
          <w:p w14:paraId="2EBEDBC1"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 </w:t>
            </w:r>
          </w:p>
        </w:tc>
      </w:tr>
      <w:tr w:rsidR="00FB669F" w:rsidRPr="009D15ED" w14:paraId="640D98D5" w14:textId="77777777" w:rsidTr="008E64CC">
        <w:trPr>
          <w:trHeight w:val="300"/>
          <w:jc w:val="center"/>
        </w:trPr>
        <w:tc>
          <w:tcPr>
            <w:tcW w:w="2959" w:type="dxa"/>
            <w:tcBorders>
              <w:top w:val="nil"/>
              <w:left w:val="nil"/>
              <w:bottom w:val="nil"/>
              <w:right w:val="nil"/>
            </w:tcBorders>
            <w:shd w:val="clear" w:color="auto" w:fill="auto"/>
            <w:vAlign w:val="bottom"/>
            <w:hideMark/>
          </w:tcPr>
          <w:p w14:paraId="2A6A65BE" w14:textId="77777777" w:rsidR="00FB669F" w:rsidRPr="009D15ED" w:rsidRDefault="00FB669F" w:rsidP="008E64CC">
            <w:pPr>
              <w:spacing w:after="0" w:line="276" w:lineRule="auto"/>
              <w:textAlignment w:val="baseline"/>
              <w:rPr>
                <w:rFonts w:eastAsia="Times New Roman" w:cstheme="minorHAnsi"/>
                <w:i/>
                <w:sz w:val="24"/>
                <w:szCs w:val="24"/>
                <w:lang w:eastAsia="en-GB"/>
              </w:rPr>
            </w:pPr>
            <w:r w:rsidRPr="009D15ED">
              <w:rPr>
                <w:rFonts w:eastAsia="Times New Roman" w:cstheme="minorHAnsi"/>
                <w:i/>
                <w:sz w:val="24"/>
                <w:szCs w:val="24"/>
                <w:lang w:eastAsia="en-GB"/>
              </w:rPr>
              <w:t>   White </w:t>
            </w:r>
          </w:p>
        </w:tc>
        <w:tc>
          <w:tcPr>
            <w:tcW w:w="2394" w:type="dxa"/>
            <w:tcBorders>
              <w:top w:val="nil"/>
              <w:left w:val="nil"/>
              <w:bottom w:val="nil"/>
              <w:right w:val="nil"/>
            </w:tcBorders>
            <w:shd w:val="clear" w:color="auto" w:fill="auto"/>
            <w:vAlign w:val="bottom"/>
            <w:hideMark/>
          </w:tcPr>
          <w:p w14:paraId="4ECDE118"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24 (72.7%) </w:t>
            </w:r>
          </w:p>
        </w:tc>
        <w:tc>
          <w:tcPr>
            <w:tcW w:w="2586" w:type="dxa"/>
            <w:tcBorders>
              <w:top w:val="nil"/>
              <w:left w:val="nil"/>
              <w:bottom w:val="nil"/>
              <w:right w:val="nil"/>
            </w:tcBorders>
            <w:shd w:val="clear" w:color="auto" w:fill="auto"/>
            <w:vAlign w:val="bottom"/>
            <w:hideMark/>
          </w:tcPr>
          <w:p w14:paraId="4B4142F7"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17 (65.4%) </w:t>
            </w:r>
          </w:p>
        </w:tc>
        <w:tc>
          <w:tcPr>
            <w:tcW w:w="1087" w:type="dxa"/>
            <w:tcBorders>
              <w:top w:val="nil"/>
              <w:left w:val="nil"/>
              <w:bottom w:val="nil"/>
              <w:right w:val="nil"/>
            </w:tcBorders>
            <w:shd w:val="clear" w:color="auto" w:fill="auto"/>
            <w:vAlign w:val="bottom"/>
            <w:hideMark/>
          </w:tcPr>
          <w:p w14:paraId="21B2D121"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0.434 </w:t>
            </w:r>
          </w:p>
        </w:tc>
      </w:tr>
      <w:tr w:rsidR="00FB669F" w:rsidRPr="009D15ED" w14:paraId="1FDEFC01" w14:textId="77777777" w:rsidTr="008E64CC">
        <w:trPr>
          <w:trHeight w:val="300"/>
          <w:jc w:val="center"/>
        </w:trPr>
        <w:tc>
          <w:tcPr>
            <w:tcW w:w="2959" w:type="dxa"/>
            <w:tcBorders>
              <w:top w:val="nil"/>
              <w:left w:val="nil"/>
              <w:bottom w:val="nil"/>
              <w:right w:val="nil"/>
            </w:tcBorders>
            <w:shd w:val="clear" w:color="auto" w:fill="auto"/>
            <w:vAlign w:val="bottom"/>
            <w:hideMark/>
          </w:tcPr>
          <w:p w14:paraId="78AD05E8" w14:textId="77777777" w:rsidR="00FB669F" w:rsidRPr="009D15ED" w:rsidRDefault="00FB669F" w:rsidP="008E64CC">
            <w:pPr>
              <w:spacing w:after="0" w:line="276" w:lineRule="auto"/>
              <w:textAlignment w:val="baseline"/>
              <w:rPr>
                <w:rFonts w:eastAsia="Times New Roman" w:cstheme="minorHAnsi"/>
                <w:i/>
                <w:sz w:val="24"/>
                <w:szCs w:val="24"/>
                <w:lang w:eastAsia="en-GB"/>
              </w:rPr>
            </w:pPr>
            <w:r w:rsidRPr="009D15ED">
              <w:rPr>
                <w:rFonts w:eastAsia="Times New Roman" w:cstheme="minorHAnsi"/>
                <w:i/>
                <w:sz w:val="24"/>
                <w:szCs w:val="24"/>
                <w:lang w:eastAsia="en-GB"/>
              </w:rPr>
              <w:t>   Asian </w:t>
            </w:r>
          </w:p>
        </w:tc>
        <w:tc>
          <w:tcPr>
            <w:tcW w:w="2394" w:type="dxa"/>
            <w:tcBorders>
              <w:top w:val="nil"/>
              <w:left w:val="nil"/>
              <w:bottom w:val="nil"/>
              <w:right w:val="nil"/>
            </w:tcBorders>
            <w:shd w:val="clear" w:color="auto" w:fill="auto"/>
            <w:vAlign w:val="bottom"/>
            <w:hideMark/>
          </w:tcPr>
          <w:p w14:paraId="20C89004"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5 (15.2%) </w:t>
            </w:r>
          </w:p>
        </w:tc>
        <w:tc>
          <w:tcPr>
            <w:tcW w:w="2586" w:type="dxa"/>
            <w:tcBorders>
              <w:top w:val="nil"/>
              <w:left w:val="nil"/>
              <w:bottom w:val="nil"/>
              <w:right w:val="nil"/>
            </w:tcBorders>
            <w:shd w:val="clear" w:color="auto" w:fill="auto"/>
            <w:vAlign w:val="bottom"/>
            <w:hideMark/>
          </w:tcPr>
          <w:p w14:paraId="4949B14F"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7 (26.9%) </w:t>
            </w:r>
          </w:p>
        </w:tc>
        <w:tc>
          <w:tcPr>
            <w:tcW w:w="1087" w:type="dxa"/>
            <w:tcBorders>
              <w:top w:val="nil"/>
              <w:left w:val="nil"/>
              <w:bottom w:val="nil"/>
              <w:right w:val="nil"/>
            </w:tcBorders>
            <w:shd w:val="clear" w:color="auto" w:fill="auto"/>
            <w:vAlign w:val="bottom"/>
            <w:hideMark/>
          </w:tcPr>
          <w:p w14:paraId="2B2404F5"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 </w:t>
            </w:r>
          </w:p>
        </w:tc>
      </w:tr>
      <w:tr w:rsidR="00FB669F" w:rsidRPr="009D15ED" w14:paraId="6A0F5104" w14:textId="77777777" w:rsidTr="008E64CC">
        <w:trPr>
          <w:trHeight w:val="300"/>
          <w:jc w:val="center"/>
        </w:trPr>
        <w:tc>
          <w:tcPr>
            <w:tcW w:w="2959" w:type="dxa"/>
            <w:tcBorders>
              <w:top w:val="nil"/>
              <w:left w:val="nil"/>
              <w:bottom w:val="nil"/>
              <w:right w:val="nil"/>
            </w:tcBorders>
            <w:shd w:val="clear" w:color="auto" w:fill="auto"/>
            <w:vAlign w:val="bottom"/>
            <w:hideMark/>
          </w:tcPr>
          <w:p w14:paraId="48767367" w14:textId="77777777" w:rsidR="00FB669F" w:rsidRPr="009D15ED" w:rsidRDefault="00FB669F" w:rsidP="008E64CC">
            <w:pPr>
              <w:spacing w:after="0" w:line="276" w:lineRule="auto"/>
              <w:textAlignment w:val="baseline"/>
              <w:rPr>
                <w:rFonts w:eastAsia="Times New Roman" w:cstheme="minorHAnsi"/>
                <w:i/>
                <w:sz w:val="24"/>
                <w:szCs w:val="24"/>
                <w:lang w:eastAsia="en-GB"/>
              </w:rPr>
            </w:pPr>
            <w:r w:rsidRPr="009D15ED">
              <w:rPr>
                <w:rFonts w:eastAsia="Times New Roman" w:cstheme="minorHAnsi"/>
                <w:i/>
                <w:sz w:val="24"/>
                <w:szCs w:val="24"/>
                <w:lang w:eastAsia="en-GB"/>
              </w:rPr>
              <w:t>   Black </w:t>
            </w:r>
          </w:p>
        </w:tc>
        <w:tc>
          <w:tcPr>
            <w:tcW w:w="2394" w:type="dxa"/>
            <w:tcBorders>
              <w:top w:val="nil"/>
              <w:left w:val="nil"/>
              <w:bottom w:val="nil"/>
              <w:right w:val="nil"/>
            </w:tcBorders>
            <w:shd w:val="clear" w:color="auto" w:fill="auto"/>
            <w:vAlign w:val="bottom"/>
            <w:hideMark/>
          </w:tcPr>
          <w:p w14:paraId="03360360"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2 (6.1%) </w:t>
            </w:r>
          </w:p>
        </w:tc>
        <w:tc>
          <w:tcPr>
            <w:tcW w:w="2586" w:type="dxa"/>
            <w:tcBorders>
              <w:top w:val="nil"/>
              <w:left w:val="nil"/>
              <w:bottom w:val="nil"/>
              <w:right w:val="nil"/>
            </w:tcBorders>
            <w:shd w:val="clear" w:color="auto" w:fill="auto"/>
            <w:vAlign w:val="bottom"/>
            <w:hideMark/>
          </w:tcPr>
          <w:p w14:paraId="4A2C1BE4"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2 (7.7%) </w:t>
            </w:r>
          </w:p>
        </w:tc>
        <w:tc>
          <w:tcPr>
            <w:tcW w:w="1087" w:type="dxa"/>
            <w:tcBorders>
              <w:top w:val="nil"/>
              <w:left w:val="nil"/>
              <w:bottom w:val="nil"/>
              <w:right w:val="nil"/>
            </w:tcBorders>
            <w:shd w:val="clear" w:color="auto" w:fill="auto"/>
            <w:vAlign w:val="bottom"/>
            <w:hideMark/>
          </w:tcPr>
          <w:p w14:paraId="1936E581"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 </w:t>
            </w:r>
          </w:p>
        </w:tc>
      </w:tr>
      <w:tr w:rsidR="00FB669F" w:rsidRPr="009D15ED" w14:paraId="29EC84FC" w14:textId="77777777" w:rsidTr="008E64CC">
        <w:trPr>
          <w:trHeight w:val="300"/>
          <w:jc w:val="center"/>
        </w:trPr>
        <w:tc>
          <w:tcPr>
            <w:tcW w:w="2959" w:type="dxa"/>
            <w:tcBorders>
              <w:top w:val="nil"/>
              <w:left w:val="nil"/>
              <w:bottom w:val="nil"/>
              <w:right w:val="nil"/>
            </w:tcBorders>
            <w:shd w:val="clear" w:color="auto" w:fill="auto"/>
            <w:vAlign w:val="bottom"/>
            <w:hideMark/>
          </w:tcPr>
          <w:p w14:paraId="68A3E768" w14:textId="77777777" w:rsidR="00FB669F" w:rsidRPr="009D15ED" w:rsidRDefault="00FB669F" w:rsidP="008E64CC">
            <w:pPr>
              <w:spacing w:after="0" w:line="276" w:lineRule="auto"/>
              <w:textAlignment w:val="baseline"/>
              <w:rPr>
                <w:rFonts w:eastAsia="Times New Roman" w:cstheme="minorHAnsi"/>
                <w:i/>
                <w:sz w:val="24"/>
                <w:szCs w:val="24"/>
                <w:lang w:eastAsia="en-GB"/>
              </w:rPr>
            </w:pPr>
            <w:r w:rsidRPr="009D15ED">
              <w:rPr>
                <w:rFonts w:eastAsia="Times New Roman" w:cstheme="minorHAnsi"/>
                <w:i/>
                <w:sz w:val="24"/>
                <w:szCs w:val="24"/>
                <w:lang w:eastAsia="en-GB"/>
              </w:rPr>
              <w:t>   Mixed </w:t>
            </w:r>
          </w:p>
        </w:tc>
        <w:tc>
          <w:tcPr>
            <w:tcW w:w="2394" w:type="dxa"/>
            <w:tcBorders>
              <w:top w:val="nil"/>
              <w:left w:val="nil"/>
              <w:bottom w:val="nil"/>
              <w:right w:val="nil"/>
            </w:tcBorders>
            <w:shd w:val="clear" w:color="auto" w:fill="auto"/>
            <w:vAlign w:val="bottom"/>
            <w:hideMark/>
          </w:tcPr>
          <w:p w14:paraId="72F182A1"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2 (6.1%) </w:t>
            </w:r>
          </w:p>
        </w:tc>
        <w:tc>
          <w:tcPr>
            <w:tcW w:w="2586" w:type="dxa"/>
            <w:tcBorders>
              <w:top w:val="nil"/>
              <w:left w:val="nil"/>
              <w:bottom w:val="nil"/>
              <w:right w:val="nil"/>
            </w:tcBorders>
            <w:shd w:val="clear" w:color="auto" w:fill="auto"/>
            <w:vAlign w:val="bottom"/>
            <w:hideMark/>
          </w:tcPr>
          <w:p w14:paraId="362D5260"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 </w:t>
            </w:r>
          </w:p>
        </w:tc>
        <w:tc>
          <w:tcPr>
            <w:tcW w:w="1087" w:type="dxa"/>
            <w:tcBorders>
              <w:top w:val="nil"/>
              <w:left w:val="nil"/>
              <w:bottom w:val="nil"/>
              <w:right w:val="nil"/>
            </w:tcBorders>
            <w:shd w:val="clear" w:color="auto" w:fill="auto"/>
            <w:vAlign w:val="bottom"/>
            <w:hideMark/>
          </w:tcPr>
          <w:p w14:paraId="03BDF855"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 </w:t>
            </w:r>
          </w:p>
        </w:tc>
      </w:tr>
      <w:tr w:rsidR="00FB669F" w:rsidRPr="009D15ED" w14:paraId="70595974" w14:textId="77777777" w:rsidTr="008E64CC">
        <w:trPr>
          <w:trHeight w:val="300"/>
          <w:jc w:val="center"/>
        </w:trPr>
        <w:tc>
          <w:tcPr>
            <w:tcW w:w="2959" w:type="dxa"/>
            <w:tcBorders>
              <w:top w:val="nil"/>
              <w:left w:val="nil"/>
              <w:bottom w:val="nil"/>
              <w:right w:val="nil"/>
            </w:tcBorders>
            <w:shd w:val="clear" w:color="auto" w:fill="auto"/>
            <w:vAlign w:val="bottom"/>
            <w:hideMark/>
          </w:tcPr>
          <w:p w14:paraId="71B6828C" w14:textId="77777777" w:rsidR="00FB669F" w:rsidRPr="009D15ED" w:rsidRDefault="00FB669F" w:rsidP="008E64CC">
            <w:pPr>
              <w:spacing w:after="0" w:line="276" w:lineRule="auto"/>
              <w:textAlignment w:val="baseline"/>
              <w:rPr>
                <w:rFonts w:eastAsia="Times New Roman" w:cstheme="minorHAnsi"/>
                <w:b/>
                <w:sz w:val="24"/>
                <w:szCs w:val="24"/>
                <w:lang w:eastAsia="en-GB"/>
              </w:rPr>
            </w:pPr>
            <w:r w:rsidRPr="009D15ED">
              <w:rPr>
                <w:rFonts w:eastAsia="Times New Roman" w:cstheme="minorHAnsi"/>
                <w:b/>
                <w:bCs/>
                <w:sz w:val="24"/>
                <w:szCs w:val="24"/>
                <w:lang w:eastAsia="en-GB"/>
              </w:rPr>
              <w:t>Comorbidities</w:t>
            </w:r>
            <w:r w:rsidRPr="009D15ED">
              <w:rPr>
                <w:rFonts w:eastAsia="Times New Roman" w:cstheme="minorHAnsi"/>
                <w:b/>
                <w:sz w:val="24"/>
                <w:szCs w:val="24"/>
                <w:lang w:eastAsia="en-GB"/>
              </w:rPr>
              <w:t> (n (%))</w:t>
            </w:r>
          </w:p>
        </w:tc>
        <w:tc>
          <w:tcPr>
            <w:tcW w:w="2394" w:type="dxa"/>
            <w:tcBorders>
              <w:top w:val="nil"/>
              <w:left w:val="nil"/>
              <w:bottom w:val="nil"/>
              <w:right w:val="nil"/>
            </w:tcBorders>
            <w:shd w:val="clear" w:color="auto" w:fill="auto"/>
            <w:vAlign w:val="bottom"/>
            <w:hideMark/>
          </w:tcPr>
          <w:p w14:paraId="01BB2E3F"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 </w:t>
            </w:r>
          </w:p>
        </w:tc>
        <w:tc>
          <w:tcPr>
            <w:tcW w:w="2586" w:type="dxa"/>
            <w:tcBorders>
              <w:top w:val="nil"/>
              <w:left w:val="nil"/>
              <w:bottom w:val="nil"/>
              <w:right w:val="nil"/>
            </w:tcBorders>
            <w:shd w:val="clear" w:color="auto" w:fill="auto"/>
            <w:vAlign w:val="bottom"/>
            <w:hideMark/>
          </w:tcPr>
          <w:p w14:paraId="04E9E442"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 </w:t>
            </w:r>
          </w:p>
        </w:tc>
        <w:tc>
          <w:tcPr>
            <w:tcW w:w="1087" w:type="dxa"/>
            <w:tcBorders>
              <w:top w:val="nil"/>
              <w:left w:val="nil"/>
              <w:bottom w:val="nil"/>
              <w:right w:val="nil"/>
            </w:tcBorders>
            <w:shd w:val="clear" w:color="auto" w:fill="auto"/>
            <w:vAlign w:val="bottom"/>
            <w:hideMark/>
          </w:tcPr>
          <w:p w14:paraId="1BE66264"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 </w:t>
            </w:r>
          </w:p>
        </w:tc>
      </w:tr>
      <w:tr w:rsidR="00FB669F" w:rsidRPr="009D15ED" w14:paraId="7F26AAD1" w14:textId="77777777" w:rsidTr="008E64CC">
        <w:trPr>
          <w:trHeight w:val="300"/>
          <w:jc w:val="center"/>
        </w:trPr>
        <w:tc>
          <w:tcPr>
            <w:tcW w:w="2959" w:type="dxa"/>
            <w:tcBorders>
              <w:top w:val="nil"/>
              <w:left w:val="nil"/>
              <w:bottom w:val="nil"/>
              <w:right w:val="nil"/>
            </w:tcBorders>
            <w:shd w:val="clear" w:color="auto" w:fill="auto"/>
            <w:vAlign w:val="bottom"/>
            <w:hideMark/>
          </w:tcPr>
          <w:p w14:paraId="2EC99E81" w14:textId="77777777" w:rsidR="00FB669F" w:rsidRPr="009D15ED" w:rsidRDefault="00FB669F" w:rsidP="008E64CC">
            <w:pPr>
              <w:spacing w:after="0" w:line="276" w:lineRule="auto"/>
              <w:textAlignment w:val="baseline"/>
              <w:rPr>
                <w:rFonts w:eastAsia="Times New Roman" w:cstheme="minorHAnsi"/>
                <w:i/>
                <w:sz w:val="24"/>
                <w:szCs w:val="24"/>
                <w:lang w:eastAsia="en-GB"/>
              </w:rPr>
            </w:pPr>
            <w:r w:rsidRPr="009D15ED">
              <w:rPr>
                <w:rFonts w:eastAsia="Times New Roman" w:cstheme="minorHAnsi"/>
                <w:i/>
                <w:sz w:val="24"/>
                <w:szCs w:val="24"/>
                <w:lang w:eastAsia="en-GB"/>
              </w:rPr>
              <w:t>   T2DM </w:t>
            </w:r>
          </w:p>
        </w:tc>
        <w:tc>
          <w:tcPr>
            <w:tcW w:w="2394" w:type="dxa"/>
            <w:tcBorders>
              <w:top w:val="nil"/>
              <w:left w:val="nil"/>
              <w:bottom w:val="nil"/>
              <w:right w:val="nil"/>
            </w:tcBorders>
            <w:shd w:val="clear" w:color="auto" w:fill="auto"/>
            <w:vAlign w:val="bottom"/>
            <w:hideMark/>
          </w:tcPr>
          <w:p w14:paraId="07D2978E"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8 (24.2%) </w:t>
            </w:r>
          </w:p>
        </w:tc>
        <w:tc>
          <w:tcPr>
            <w:tcW w:w="2586" w:type="dxa"/>
            <w:tcBorders>
              <w:top w:val="nil"/>
              <w:left w:val="nil"/>
              <w:bottom w:val="nil"/>
              <w:right w:val="nil"/>
            </w:tcBorders>
            <w:shd w:val="clear" w:color="auto" w:fill="auto"/>
            <w:vAlign w:val="bottom"/>
            <w:hideMark/>
          </w:tcPr>
          <w:p w14:paraId="350CCA26"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9 (34.6%) </w:t>
            </w:r>
          </w:p>
        </w:tc>
        <w:tc>
          <w:tcPr>
            <w:tcW w:w="1087" w:type="dxa"/>
            <w:tcBorders>
              <w:top w:val="nil"/>
              <w:left w:val="nil"/>
              <w:bottom w:val="nil"/>
              <w:right w:val="nil"/>
            </w:tcBorders>
            <w:shd w:val="clear" w:color="auto" w:fill="auto"/>
            <w:vAlign w:val="bottom"/>
            <w:hideMark/>
          </w:tcPr>
          <w:p w14:paraId="46B3EA0C"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0.382 </w:t>
            </w:r>
          </w:p>
        </w:tc>
      </w:tr>
      <w:tr w:rsidR="00FB669F" w:rsidRPr="009D15ED" w14:paraId="269C9639" w14:textId="77777777" w:rsidTr="008E64CC">
        <w:trPr>
          <w:trHeight w:val="300"/>
          <w:jc w:val="center"/>
        </w:trPr>
        <w:tc>
          <w:tcPr>
            <w:tcW w:w="2959" w:type="dxa"/>
            <w:tcBorders>
              <w:top w:val="nil"/>
              <w:left w:val="nil"/>
              <w:bottom w:val="nil"/>
              <w:right w:val="nil"/>
            </w:tcBorders>
            <w:shd w:val="clear" w:color="auto" w:fill="auto"/>
            <w:vAlign w:val="bottom"/>
            <w:hideMark/>
          </w:tcPr>
          <w:p w14:paraId="097419AD" w14:textId="77777777" w:rsidR="00FB669F" w:rsidRPr="009D15ED" w:rsidRDefault="00FB669F" w:rsidP="008E64CC">
            <w:pPr>
              <w:spacing w:after="0" w:line="276" w:lineRule="auto"/>
              <w:textAlignment w:val="baseline"/>
              <w:rPr>
                <w:rFonts w:eastAsia="Times New Roman" w:cstheme="minorHAnsi"/>
                <w:i/>
                <w:sz w:val="24"/>
                <w:szCs w:val="24"/>
                <w:lang w:eastAsia="en-GB"/>
              </w:rPr>
            </w:pPr>
            <w:r w:rsidRPr="009D15ED">
              <w:rPr>
                <w:rFonts w:eastAsia="Times New Roman" w:cstheme="minorHAnsi"/>
                <w:i/>
                <w:sz w:val="24"/>
                <w:szCs w:val="24"/>
                <w:lang w:eastAsia="en-GB"/>
              </w:rPr>
              <w:t>   COPD </w:t>
            </w:r>
          </w:p>
        </w:tc>
        <w:tc>
          <w:tcPr>
            <w:tcW w:w="2394" w:type="dxa"/>
            <w:tcBorders>
              <w:top w:val="nil"/>
              <w:left w:val="nil"/>
              <w:bottom w:val="nil"/>
              <w:right w:val="nil"/>
            </w:tcBorders>
            <w:shd w:val="clear" w:color="auto" w:fill="auto"/>
            <w:vAlign w:val="bottom"/>
            <w:hideMark/>
          </w:tcPr>
          <w:p w14:paraId="4609BE2A"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2 (6.1%) </w:t>
            </w:r>
          </w:p>
        </w:tc>
        <w:tc>
          <w:tcPr>
            <w:tcW w:w="2586" w:type="dxa"/>
            <w:tcBorders>
              <w:top w:val="nil"/>
              <w:left w:val="nil"/>
              <w:bottom w:val="nil"/>
              <w:right w:val="nil"/>
            </w:tcBorders>
            <w:shd w:val="clear" w:color="auto" w:fill="auto"/>
            <w:vAlign w:val="bottom"/>
            <w:hideMark/>
          </w:tcPr>
          <w:p w14:paraId="7ED1338F"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1 (3.8%) </w:t>
            </w:r>
          </w:p>
        </w:tc>
        <w:tc>
          <w:tcPr>
            <w:tcW w:w="1087" w:type="dxa"/>
            <w:tcBorders>
              <w:top w:val="nil"/>
              <w:left w:val="nil"/>
              <w:bottom w:val="nil"/>
              <w:right w:val="nil"/>
            </w:tcBorders>
            <w:shd w:val="clear" w:color="auto" w:fill="auto"/>
            <w:vAlign w:val="bottom"/>
            <w:hideMark/>
          </w:tcPr>
          <w:p w14:paraId="3AB40124"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0.590 </w:t>
            </w:r>
          </w:p>
        </w:tc>
      </w:tr>
      <w:tr w:rsidR="00FB669F" w:rsidRPr="009D15ED" w14:paraId="453704C0" w14:textId="77777777" w:rsidTr="008E64CC">
        <w:trPr>
          <w:trHeight w:val="300"/>
          <w:jc w:val="center"/>
        </w:trPr>
        <w:tc>
          <w:tcPr>
            <w:tcW w:w="2959" w:type="dxa"/>
            <w:tcBorders>
              <w:top w:val="nil"/>
              <w:left w:val="nil"/>
              <w:bottom w:val="nil"/>
              <w:right w:val="nil"/>
            </w:tcBorders>
            <w:shd w:val="clear" w:color="auto" w:fill="auto"/>
            <w:vAlign w:val="bottom"/>
            <w:hideMark/>
          </w:tcPr>
          <w:p w14:paraId="603BE1DF" w14:textId="77777777" w:rsidR="00FB669F" w:rsidRPr="009D15ED" w:rsidRDefault="00FB669F" w:rsidP="008E64CC">
            <w:pPr>
              <w:spacing w:after="0" w:line="276" w:lineRule="auto"/>
              <w:textAlignment w:val="baseline"/>
              <w:rPr>
                <w:rFonts w:eastAsia="Times New Roman" w:cstheme="minorHAnsi"/>
                <w:i/>
                <w:sz w:val="24"/>
                <w:szCs w:val="24"/>
                <w:lang w:eastAsia="en-GB"/>
              </w:rPr>
            </w:pPr>
            <w:r w:rsidRPr="009D15ED">
              <w:rPr>
                <w:rFonts w:eastAsia="Times New Roman" w:cstheme="minorHAnsi"/>
                <w:i/>
                <w:sz w:val="24"/>
                <w:szCs w:val="24"/>
                <w:lang w:eastAsia="en-GB"/>
              </w:rPr>
              <w:t>   Hypertension </w:t>
            </w:r>
          </w:p>
        </w:tc>
        <w:tc>
          <w:tcPr>
            <w:tcW w:w="2394" w:type="dxa"/>
            <w:tcBorders>
              <w:top w:val="nil"/>
              <w:left w:val="nil"/>
              <w:bottom w:val="nil"/>
              <w:right w:val="nil"/>
            </w:tcBorders>
            <w:shd w:val="clear" w:color="auto" w:fill="auto"/>
            <w:vAlign w:val="bottom"/>
            <w:hideMark/>
          </w:tcPr>
          <w:p w14:paraId="745507B1"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13 (39.4%) </w:t>
            </w:r>
          </w:p>
        </w:tc>
        <w:tc>
          <w:tcPr>
            <w:tcW w:w="2586" w:type="dxa"/>
            <w:tcBorders>
              <w:top w:val="nil"/>
              <w:left w:val="nil"/>
              <w:bottom w:val="nil"/>
              <w:right w:val="nil"/>
            </w:tcBorders>
            <w:shd w:val="clear" w:color="auto" w:fill="auto"/>
            <w:vAlign w:val="bottom"/>
            <w:hideMark/>
          </w:tcPr>
          <w:p w14:paraId="7D150FC7"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15 (57.7%) </w:t>
            </w:r>
          </w:p>
        </w:tc>
        <w:tc>
          <w:tcPr>
            <w:tcW w:w="1087" w:type="dxa"/>
            <w:tcBorders>
              <w:top w:val="nil"/>
              <w:left w:val="nil"/>
              <w:bottom w:val="nil"/>
              <w:right w:val="nil"/>
            </w:tcBorders>
            <w:shd w:val="clear" w:color="auto" w:fill="auto"/>
            <w:vAlign w:val="bottom"/>
            <w:hideMark/>
          </w:tcPr>
          <w:p w14:paraId="2C0B3683"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0.162 </w:t>
            </w:r>
          </w:p>
        </w:tc>
      </w:tr>
      <w:tr w:rsidR="00FB669F" w:rsidRPr="009D15ED" w14:paraId="108F25AB" w14:textId="77777777" w:rsidTr="008E64CC">
        <w:trPr>
          <w:trHeight w:val="300"/>
          <w:jc w:val="center"/>
        </w:trPr>
        <w:tc>
          <w:tcPr>
            <w:tcW w:w="2959" w:type="dxa"/>
            <w:tcBorders>
              <w:top w:val="nil"/>
              <w:left w:val="nil"/>
              <w:bottom w:val="nil"/>
              <w:right w:val="nil"/>
            </w:tcBorders>
            <w:shd w:val="clear" w:color="auto" w:fill="auto"/>
            <w:vAlign w:val="bottom"/>
            <w:hideMark/>
          </w:tcPr>
          <w:p w14:paraId="6ABE0653" w14:textId="77777777" w:rsidR="00FB669F" w:rsidRPr="009D15ED" w:rsidRDefault="00FB669F" w:rsidP="008E64CC">
            <w:pPr>
              <w:spacing w:after="0" w:line="276" w:lineRule="auto"/>
              <w:textAlignment w:val="baseline"/>
              <w:rPr>
                <w:rFonts w:eastAsia="Times New Roman" w:cstheme="minorHAnsi"/>
                <w:i/>
                <w:sz w:val="24"/>
                <w:szCs w:val="24"/>
                <w:lang w:eastAsia="en-GB"/>
              </w:rPr>
            </w:pPr>
            <w:r w:rsidRPr="009D15ED">
              <w:rPr>
                <w:rFonts w:eastAsia="Times New Roman" w:cstheme="minorHAnsi"/>
                <w:i/>
                <w:sz w:val="24"/>
                <w:szCs w:val="24"/>
                <w:lang w:eastAsia="en-GB"/>
              </w:rPr>
              <w:t>   Ischaemic heart disease </w:t>
            </w:r>
          </w:p>
        </w:tc>
        <w:tc>
          <w:tcPr>
            <w:tcW w:w="2394" w:type="dxa"/>
            <w:tcBorders>
              <w:top w:val="nil"/>
              <w:left w:val="nil"/>
              <w:bottom w:val="nil"/>
              <w:right w:val="nil"/>
            </w:tcBorders>
            <w:shd w:val="clear" w:color="auto" w:fill="auto"/>
            <w:vAlign w:val="bottom"/>
            <w:hideMark/>
          </w:tcPr>
          <w:p w14:paraId="1705906C"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3 (9.1%) </w:t>
            </w:r>
          </w:p>
        </w:tc>
        <w:tc>
          <w:tcPr>
            <w:tcW w:w="2586" w:type="dxa"/>
            <w:tcBorders>
              <w:top w:val="nil"/>
              <w:left w:val="nil"/>
              <w:bottom w:val="nil"/>
              <w:right w:val="nil"/>
            </w:tcBorders>
            <w:shd w:val="clear" w:color="auto" w:fill="auto"/>
            <w:vAlign w:val="bottom"/>
            <w:hideMark/>
          </w:tcPr>
          <w:p w14:paraId="4B8232C9"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 </w:t>
            </w:r>
          </w:p>
        </w:tc>
        <w:tc>
          <w:tcPr>
            <w:tcW w:w="1087" w:type="dxa"/>
            <w:tcBorders>
              <w:top w:val="nil"/>
              <w:left w:val="nil"/>
              <w:bottom w:val="nil"/>
              <w:right w:val="nil"/>
            </w:tcBorders>
            <w:shd w:val="clear" w:color="auto" w:fill="auto"/>
            <w:vAlign w:val="bottom"/>
            <w:hideMark/>
          </w:tcPr>
          <w:p w14:paraId="5CE321A9"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0.168 </w:t>
            </w:r>
          </w:p>
        </w:tc>
      </w:tr>
      <w:tr w:rsidR="00FB669F" w:rsidRPr="009D15ED" w14:paraId="05570D22" w14:textId="77777777" w:rsidTr="008E64CC">
        <w:trPr>
          <w:trHeight w:val="300"/>
          <w:jc w:val="center"/>
        </w:trPr>
        <w:tc>
          <w:tcPr>
            <w:tcW w:w="2959" w:type="dxa"/>
            <w:tcBorders>
              <w:top w:val="nil"/>
              <w:left w:val="nil"/>
              <w:bottom w:val="nil"/>
              <w:right w:val="nil"/>
            </w:tcBorders>
            <w:shd w:val="clear" w:color="auto" w:fill="auto"/>
            <w:vAlign w:val="bottom"/>
            <w:hideMark/>
          </w:tcPr>
          <w:p w14:paraId="5EA4B95B" w14:textId="77777777" w:rsidR="00FB669F" w:rsidRPr="009D15ED" w:rsidRDefault="00FB669F" w:rsidP="008E64CC">
            <w:pPr>
              <w:spacing w:after="0" w:line="276" w:lineRule="auto"/>
              <w:textAlignment w:val="baseline"/>
              <w:rPr>
                <w:rFonts w:eastAsia="Times New Roman" w:cstheme="minorHAnsi"/>
                <w:i/>
                <w:sz w:val="24"/>
                <w:szCs w:val="24"/>
                <w:lang w:eastAsia="en-GB"/>
              </w:rPr>
            </w:pPr>
            <w:r w:rsidRPr="009D15ED">
              <w:rPr>
                <w:rFonts w:eastAsia="Times New Roman" w:cstheme="minorHAnsi"/>
                <w:i/>
                <w:sz w:val="24"/>
                <w:szCs w:val="24"/>
                <w:lang w:eastAsia="en-GB"/>
              </w:rPr>
              <w:t>   Heart failure </w:t>
            </w:r>
          </w:p>
        </w:tc>
        <w:tc>
          <w:tcPr>
            <w:tcW w:w="2394" w:type="dxa"/>
            <w:tcBorders>
              <w:top w:val="nil"/>
              <w:left w:val="nil"/>
              <w:bottom w:val="nil"/>
              <w:right w:val="nil"/>
            </w:tcBorders>
            <w:shd w:val="clear" w:color="auto" w:fill="auto"/>
            <w:vAlign w:val="bottom"/>
            <w:hideMark/>
          </w:tcPr>
          <w:p w14:paraId="7067C6A6"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1 (3.0%) </w:t>
            </w:r>
          </w:p>
        </w:tc>
        <w:tc>
          <w:tcPr>
            <w:tcW w:w="2586" w:type="dxa"/>
            <w:tcBorders>
              <w:top w:val="nil"/>
              <w:left w:val="nil"/>
              <w:bottom w:val="nil"/>
              <w:right w:val="nil"/>
            </w:tcBorders>
            <w:shd w:val="clear" w:color="auto" w:fill="auto"/>
            <w:vAlign w:val="bottom"/>
            <w:hideMark/>
          </w:tcPr>
          <w:p w14:paraId="583CD267"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 </w:t>
            </w:r>
          </w:p>
        </w:tc>
        <w:tc>
          <w:tcPr>
            <w:tcW w:w="1087" w:type="dxa"/>
            <w:tcBorders>
              <w:top w:val="nil"/>
              <w:left w:val="nil"/>
              <w:bottom w:val="nil"/>
              <w:right w:val="nil"/>
            </w:tcBorders>
            <w:shd w:val="clear" w:color="auto" w:fill="auto"/>
            <w:vAlign w:val="bottom"/>
            <w:hideMark/>
          </w:tcPr>
          <w:p w14:paraId="30609C40"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0.559 </w:t>
            </w:r>
          </w:p>
        </w:tc>
      </w:tr>
      <w:tr w:rsidR="00FB669F" w:rsidRPr="009D15ED" w14:paraId="27EB1C3A" w14:textId="77777777" w:rsidTr="008E64CC">
        <w:trPr>
          <w:trHeight w:val="300"/>
          <w:jc w:val="center"/>
        </w:trPr>
        <w:tc>
          <w:tcPr>
            <w:tcW w:w="2959" w:type="dxa"/>
            <w:tcBorders>
              <w:top w:val="nil"/>
              <w:left w:val="nil"/>
              <w:bottom w:val="nil"/>
              <w:right w:val="nil"/>
            </w:tcBorders>
            <w:shd w:val="clear" w:color="auto" w:fill="auto"/>
            <w:vAlign w:val="bottom"/>
            <w:hideMark/>
          </w:tcPr>
          <w:p w14:paraId="779F8892" w14:textId="77777777" w:rsidR="00FB669F" w:rsidRPr="009D15ED" w:rsidRDefault="00FB669F" w:rsidP="008E64CC">
            <w:pPr>
              <w:spacing w:after="0" w:line="276" w:lineRule="auto"/>
              <w:textAlignment w:val="baseline"/>
              <w:rPr>
                <w:rFonts w:eastAsia="Times New Roman" w:cstheme="minorHAnsi"/>
                <w:i/>
                <w:sz w:val="24"/>
                <w:szCs w:val="24"/>
                <w:lang w:eastAsia="en-GB"/>
              </w:rPr>
            </w:pPr>
            <w:r w:rsidRPr="009D15ED">
              <w:rPr>
                <w:rFonts w:eastAsia="Times New Roman" w:cstheme="minorHAnsi"/>
                <w:i/>
                <w:sz w:val="24"/>
                <w:szCs w:val="24"/>
                <w:lang w:eastAsia="en-GB"/>
              </w:rPr>
              <w:t>   ACEI/ARB </w:t>
            </w:r>
          </w:p>
        </w:tc>
        <w:tc>
          <w:tcPr>
            <w:tcW w:w="2394" w:type="dxa"/>
            <w:tcBorders>
              <w:top w:val="nil"/>
              <w:left w:val="nil"/>
              <w:bottom w:val="nil"/>
              <w:right w:val="nil"/>
            </w:tcBorders>
            <w:shd w:val="clear" w:color="auto" w:fill="auto"/>
            <w:vAlign w:val="bottom"/>
            <w:hideMark/>
          </w:tcPr>
          <w:p w14:paraId="3E474439"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8 (24.2%) </w:t>
            </w:r>
          </w:p>
        </w:tc>
        <w:tc>
          <w:tcPr>
            <w:tcW w:w="2586" w:type="dxa"/>
            <w:tcBorders>
              <w:top w:val="nil"/>
              <w:left w:val="nil"/>
              <w:bottom w:val="nil"/>
              <w:right w:val="nil"/>
            </w:tcBorders>
            <w:shd w:val="clear" w:color="auto" w:fill="auto"/>
            <w:vAlign w:val="bottom"/>
            <w:hideMark/>
          </w:tcPr>
          <w:p w14:paraId="4F1109DC"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7 (26.9%) </w:t>
            </w:r>
          </w:p>
        </w:tc>
        <w:tc>
          <w:tcPr>
            <w:tcW w:w="1087" w:type="dxa"/>
            <w:tcBorders>
              <w:top w:val="nil"/>
              <w:left w:val="nil"/>
              <w:bottom w:val="nil"/>
              <w:right w:val="nil"/>
            </w:tcBorders>
            <w:shd w:val="clear" w:color="auto" w:fill="auto"/>
            <w:vAlign w:val="bottom"/>
            <w:hideMark/>
          </w:tcPr>
          <w:p w14:paraId="5BB41DE1"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0.814 </w:t>
            </w:r>
          </w:p>
        </w:tc>
      </w:tr>
      <w:tr w:rsidR="00FB669F" w:rsidRPr="009D15ED" w14:paraId="58A4AC1F" w14:textId="77777777" w:rsidTr="008E64CC">
        <w:trPr>
          <w:trHeight w:val="300"/>
          <w:jc w:val="center"/>
        </w:trPr>
        <w:tc>
          <w:tcPr>
            <w:tcW w:w="2959" w:type="dxa"/>
            <w:tcBorders>
              <w:top w:val="nil"/>
              <w:left w:val="nil"/>
              <w:bottom w:val="nil"/>
              <w:right w:val="nil"/>
            </w:tcBorders>
            <w:shd w:val="clear" w:color="auto" w:fill="auto"/>
            <w:vAlign w:val="bottom"/>
            <w:hideMark/>
          </w:tcPr>
          <w:p w14:paraId="01A6AE99" w14:textId="77777777" w:rsidR="00FB669F" w:rsidRPr="009D15ED" w:rsidRDefault="00FB669F" w:rsidP="008E64CC">
            <w:pPr>
              <w:spacing w:after="0" w:line="276" w:lineRule="auto"/>
              <w:textAlignment w:val="baseline"/>
              <w:rPr>
                <w:rFonts w:eastAsia="Times New Roman" w:cstheme="minorHAnsi"/>
                <w:i/>
                <w:sz w:val="24"/>
                <w:szCs w:val="24"/>
                <w:lang w:eastAsia="en-GB"/>
              </w:rPr>
            </w:pPr>
            <w:r w:rsidRPr="009D15ED">
              <w:rPr>
                <w:rFonts w:eastAsia="Times New Roman" w:cstheme="minorHAnsi"/>
                <w:i/>
                <w:sz w:val="24"/>
                <w:szCs w:val="24"/>
                <w:lang w:eastAsia="en-GB"/>
              </w:rPr>
              <w:t>   Immunosuppressed </w:t>
            </w:r>
          </w:p>
        </w:tc>
        <w:tc>
          <w:tcPr>
            <w:tcW w:w="2394" w:type="dxa"/>
            <w:tcBorders>
              <w:top w:val="nil"/>
              <w:left w:val="nil"/>
              <w:bottom w:val="nil"/>
              <w:right w:val="nil"/>
            </w:tcBorders>
            <w:shd w:val="clear" w:color="auto" w:fill="auto"/>
            <w:vAlign w:val="bottom"/>
            <w:hideMark/>
          </w:tcPr>
          <w:p w14:paraId="7284C8AB"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2 (6.1%) </w:t>
            </w:r>
          </w:p>
        </w:tc>
        <w:tc>
          <w:tcPr>
            <w:tcW w:w="2586" w:type="dxa"/>
            <w:tcBorders>
              <w:top w:val="nil"/>
              <w:left w:val="nil"/>
              <w:bottom w:val="nil"/>
              <w:right w:val="nil"/>
            </w:tcBorders>
            <w:shd w:val="clear" w:color="auto" w:fill="auto"/>
            <w:vAlign w:val="bottom"/>
            <w:hideMark/>
          </w:tcPr>
          <w:p w14:paraId="6B1344F3"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6 (23.1%) </w:t>
            </w:r>
          </w:p>
        </w:tc>
        <w:tc>
          <w:tcPr>
            <w:tcW w:w="1087" w:type="dxa"/>
            <w:tcBorders>
              <w:top w:val="nil"/>
              <w:left w:val="nil"/>
              <w:bottom w:val="nil"/>
              <w:right w:val="nil"/>
            </w:tcBorders>
            <w:shd w:val="clear" w:color="auto" w:fill="auto"/>
            <w:vAlign w:val="bottom"/>
            <w:hideMark/>
          </w:tcPr>
          <w:p w14:paraId="5D491B2E"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0.065 </w:t>
            </w:r>
          </w:p>
        </w:tc>
      </w:tr>
      <w:tr w:rsidR="00FB669F" w:rsidRPr="009D15ED" w14:paraId="2B772E5F" w14:textId="77777777" w:rsidTr="008E64CC">
        <w:trPr>
          <w:trHeight w:val="300"/>
          <w:jc w:val="center"/>
        </w:trPr>
        <w:tc>
          <w:tcPr>
            <w:tcW w:w="2959" w:type="dxa"/>
            <w:tcBorders>
              <w:top w:val="nil"/>
              <w:left w:val="nil"/>
              <w:bottom w:val="nil"/>
              <w:right w:val="nil"/>
            </w:tcBorders>
            <w:shd w:val="clear" w:color="auto" w:fill="auto"/>
            <w:vAlign w:val="bottom"/>
            <w:hideMark/>
          </w:tcPr>
          <w:p w14:paraId="406BF721" w14:textId="77777777" w:rsidR="00FB669F" w:rsidRPr="009D15ED" w:rsidRDefault="00FB669F" w:rsidP="008E64CC">
            <w:pPr>
              <w:spacing w:after="0" w:line="276" w:lineRule="auto"/>
              <w:textAlignment w:val="baseline"/>
              <w:rPr>
                <w:rFonts w:eastAsia="Times New Roman" w:cstheme="minorHAnsi"/>
                <w:i/>
                <w:sz w:val="24"/>
                <w:szCs w:val="24"/>
                <w:lang w:eastAsia="en-GB"/>
              </w:rPr>
            </w:pPr>
            <w:r w:rsidRPr="009D15ED">
              <w:rPr>
                <w:rFonts w:eastAsia="Times New Roman" w:cstheme="minorHAnsi"/>
                <w:i/>
                <w:sz w:val="24"/>
                <w:szCs w:val="24"/>
                <w:lang w:eastAsia="en-GB"/>
              </w:rPr>
              <w:t>   CKD </w:t>
            </w:r>
          </w:p>
        </w:tc>
        <w:tc>
          <w:tcPr>
            <w:tcW w:w="2394" w:type="dxa"/>
            <w:tcBorders>
              <w:top w:val="nil"/>
              <w:left w:val="nil"/>
              <w:bottom w:val="nil"/>
              <w:right w:val="nil"/>
            </w:tcBorders>
            <w:shd w:val="clear" w:color="auto" w:fill="auto"/>
            <w:vAlign w:val="bottom"/>
            <w:hideMark/>
          </w:tcPr>
          <w:p w14:paraId="08F48CFA"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2 (6.1%) </w:t>
            </w:r>
          </w:p>
        </w:tc>
        <w:tc>
          <w:tcPr>
            <w:tcW w:w="2586" w:type="dxa"/>
            <w:tcBorders>
              <w:top w:val="nil"/>
              <w:left w:val="nil"/>
              <w:bottom w:val="nil"/>
              <w:right w:val="nil"/>
            </w:tcBorders>
            <w:shd w:val="clear" w:color="auto" w:fill="auto"/>
            <w:vAlign w:val="bottom"/>
            <w:hideMark/>
          </w:tcPr>
          <w:p w14:paraId="28D0FA16"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3 (11.5%) </w:t>
            </w:r>
          </w:p>
        </w:tc>
        <w:tc>
          <w:tcPr>
            <w:tcW w:w="1087" w:type="dxa"/>
            <w:tcBorders>
              <w:top w:val="nil"/>
              <w:left w:val="nil"/>
              <w:bottom w:val="nil"/>
              <w:right w:val="nil"/>
            </w:tcBorders>
            <w:shd w:val="clear" w:color="auto" w:fill="auto"/>
            <w:vAlign w:val="bottom"/>
            <w:hideMark/>
          </w:tcPr>
          <w:p w14:paraId="7416D85C"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0.386 </w:t>
            </w:r>
          </w:p>
        </w:tc>
      </w:tr>
      <w:tr w:rsidR="00FB669F" w:rsidRPr="009D15ED" w14:paraId="484DB9EA" w14:textId="77777777" w:rsidTr="008E64CC">
        <w:trPr>
          <w:trHeight w:val="300"/>
          <w:jc w:val="center"/>
        </w:trPr>
        <w:tc>
          <w:tcPr>
            <w:tcW w:w="2959" w:type="dxa"/>
            <w:tcBorders>
              <w:top w:val="nil"/>
              <w:left w:val="nil"/>
              <w:bottom w:val="nil"/>
              <w:right w:val="nil"/>
            </w:tcBorders>
            <w:shd w:val="clear" w:color="auto" w:fill="auto"/>
            <w:vAlign w:val="bottom"/>
            <w:hideMark/>
          </w:tcPr>
          <w:p w14:paraId="163AAA30" w14:textId="77777777" w:rsidR="00FB669F" w:rsidRPr="009D15ED" w:rsidRDefault="00FB669F" w:rsidP="008E64CC">
            <w:pPr>
              <w:spacing w:after="0" w:line="276" w:lineRule="auto"/>
              <w:textAlignment w:val="baseline"/>
              <w:rPr>
                <w:rFonts w:eastAsia="Times New Roman" w:cstheme="minorHAnsi"/>
                <w:sz w:val="24"/>
                <w:szCs w:val="24"/>
                <w:lang w:eastAsia="en-GB"/>
              </w:rPr>
            </w:pPr>
            <w:r w:rsidRPr="009D15ED">
              <w:rPr>
                <w:rFonts w:eastAsia="Times New Roman" w:cstheme="minorHAnsi"/>
                <w:b/>
                <w:bCs/>
                <w:sz w:val="24"/>
                <w:szCs w:val="24"/>
                <w:lang w:eastAsia="en-GB"/>
              </w:rPr>
              <w:t>Illness severity scores</w:t>
            </w:r>
            <w:r w:rsidRPr="009D15ED">
              <w:rPr>
                <w:rFonts w:eastAsia="Times New Roman" w:cstheme="minorHAnsi"/>
                <w:sz w:val="24"/>
                <w:szCs w:val="24"/>
                <w:lang w:eastAsia="en-GB"/>
              </w:rPr>
              <w:t> </w:t>
            </w:r>
          </w:p>
        </w:tc>
        <w:tc>
          <w:tcPr>
            <w:tcW w:w="2394" w:type="dxa"/>
            <w:tcBorders>
              <w:top w:val="nil"/>
              <w:left w:val="nil"/>
              <w:bottom w:val="nil"/>
              <w:right w:val="nil"/>
            </w:tcBorders>
            <w:shd w:val="clear" w:color="auto" w:fill="auto"/>
            <w:vAlign w:val="bottom"/>
            <w:hideMark/>
          </w:tcPr>
          <w:p w14:paraId="639FA557"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 </w:t>
            </w:r>
          </w:p>
        </w:tc>
        <w:tc>
          <w:tcPr>
            <w:tcW w:w="2586" w:type="dxa"/>
            <w:tcBorders>
              <w:top w:val="nil"/>
              <w:left w:val="nil"/>
              <w:bottom w:val="nil"/>
              <w:right w:val="nil"/>
            </w:tcBorders>
            <w:shd w:val="clear" w:color="auto" w:fill="auto"/>
            <w:vAlign w:val="bottom"/>
            <w:hideMark/>
          </w:tcPr>
          <w:p w14:paraId="7E96D364"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 </w:t>
            </w:r>
          </w:p>
        </w:tc>
        <w:tc>
          <w:tcPr>
            <w:tcW w:w="1087" w:type="dxa"/>
            <w:tcBorders>
              <w:top w:val="nil"/>
              <w:left w:val="nil"/>
              <w:bottom w:val="nil"/>
              <w:right w:val="nil"/>
            </w:tcBorders>
            <w:shd w:val="clear" w:color="auto" w:fill="auto"/>
            <w:vAlign w:val="bottom"/>
            <w:hideMark/>
          </w:tcPr>
          <w:p w14:paraId="7B38ACE5"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 </w:t>
            </w:r>
          </w:p>
        </w:tc>
      </w:tr>
      <w:tr w:rsidR="00FB669F" w:rsidRPr="009D15ED" w14:paraId="2EA42B34" w14:textId="77777777" w:rsidTr="008E64CC">
        <w:trPr>
          <w:trHeight w:val="300"/>
          <w:jc w:val="center"/>
        </w:trPr>
        <w:tc>
          <w:tcPr>
            <w:tcW w:w="2959" w:type="dxa"/>
            <w:tcBorders>
              <w:top w:val="nil"/>
              <w:left w:val="nil"/>
              <w:bottom w:val="nil"/>
              <w:right w:val="nil"/>
            </w:tcBorders>
            <w:shd w:val="clear" w:color="auto" w:fill="auto"/>
            <w:vAlign w:val="bottom"/>
            <w:hideMark/>
          </w:tcPr>
          <w:p w14:paraId="68E20F10" w14:textId="77777777" w:rsidR="00FB669F" w:rsidRPr="009D15ED" w:rsidRDefault="00FB669F" w:rsidP="008E64CC">
            <w:pPr>
              <w:spacing w:after="0" w:line="276" w:lineRule="auto"/>
              <w:textAlignment w:val="baseline"/>
              <w:rPr>
                <w:rFonts w:eastAsia="Times New Roman" w:cstheme="minorHAnsi"/>
                <w:i/>
                <w:sz w:val="24"/>
                <w:szCs w:val="24"/>
                <w:lang w:eastAsia="en-GB"/>
              </w:rPr>
            </w:pPr>
            <w:r w:rsidRPr="009D15ED">
              <w:rPr>
                <w:rFonts w:eastAsia="Times New Roman" w:cstheme="minorHAnsi"/>
                <w:sz w:val="24"/>
                <w:szCs w:val="24"/>
                <w:lang w:eastAsia="en-GB"/>
              </w:rPr>
              <w:t>   </w:t>
            </w:r>
            <w:r w:rsidRPr="009D15ED">
              <w:rPr>
                <w:rFonts w:eastAsia="Times New Roman" w:cstheme="minorHAnsi"/>
                <w:i/>
                <w:sz w:val="24"/>
                <w:szCs w:val="24"/>
                <w:lang w:eastAsia="en-GB"/>
              </w:rPr>
              <w:t>APACHE-II </w:t>
            </w:r>
          </w:p>
        </w:tc>
        <w:tc>
          <w:tcPr>
            <w:tcW w:w="2394" w:type="dxa"/>
            <w:tcBorders>
              <w:top w:val="nil"/>
              <w:left w:val="nil"/>
              <w:bottom w:val="nil"/>
              <w:right w:val="nil"/>
            </w:tcBorders>
            <w:shd w:val="clear" w:color="auto" w:fill="auto"/>
            <w:vAlign w:val="bottom"/>
            <w:hideMark/>
          </w:tcPr>
          <w:p w14:paraId="4368B679"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14 (11.5-23.5) </w:t>
            </w:r>
          </w:p>
        </w:tc>
        <w:tc>
          <w:tcPr>
            <w:tcW w:w="2586" w:type="dxa"/>
            <w:tcBorders>
              <w:top w:val="nil"/>
              <w:left w:val="nil"/>
              <w:bottom w:val="nil"/>
              <w:right w:val="nil"/>
            </w:tcBorders>
            <w:shd w:val="clear" w:color="auto" w:fill="auto"/>
            <w:vAlign w:val="bottom"/>
            <w:hideMark/>
          </w:tcPr>
          <w:p w14:paraId="232D1BBF"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18 (12.8-22.3) </w:t>
            </w:r>
          </w:p>
        </w:tc>
        <w:tc>
          <w:tcPr>
            <w:tcW w:w="1087" w:type="dxa"/>
            <w:tcBorders>
              <w:top w:val="nil"/>
              <w:left w:val="nil"/>
              <w:bottom w:val="nil"/>
              <w:right w:val="nil"/>
            </w:tcBorders>
            <w:shd w:val="clear" w:color="auto" w:fill="auto"/>
            <w:vAlign w:val="bottom"/>
            <w:hideMark/>
          </w:tcPr>
          <w:p w14:paraId="148E356C"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0.435 </w:t>
            </w:r>
          </w:p>
        </w:tc>
      </w:tr>
      <w:tr w:rsidR="00FB669F" w:rsidRPr="009D15ED" w14:paraId="47773908" w14:textId="77777777" w:rsidTr="008E64CC">
        <w:trPr>
          <w:trHeight w:val="300"/>
          <w:jc w:val="center"/>
        </w:trPr>
        <w:tc>
          <w:tcPr>
            <w:tcW w:w="2959" w:type="dxa"/>
            <w:tcBorders>
              <w:top w:val="nil"/>
              <w:left w:val="nil"/>
              <w:bottom w:val="nil"/>
              <w:right w:val="nil"/>
            </w:tcBorders>
            <w:shd w:val="clear" w:color="auto" w:fill="auto"/>
            <w:vAlign w:val="bottom"/>
            <w:hideMark/>
          </w:tcPr>
          <w:p w14:paraId="6B1A41DB" w14:textId="77777777" w:rsidR="00FB669F" w:rsidRPr="009D15ED" w:rsidRDefault="00FB669F" w:rsidP="008E64CC">
            <w:pPr>
              <w:spacing w:after="0" w:line="276" w:lineRule="auto"/>
              <w:textAlignment w:val="baseline"/>
              <w:rPr>
                <w:rFonts w:eastAsia="Times New Roman" w:cstheme="minorHAnsi"/>
                <w:sz w:val="24"/>
                <w:szCs w:val="24"/>
                <w:lang w:eastAsia="en-GB"/>
              </w:rPr>
            </w:pPr>
            <w:r w:rsidRPr="009D15ED">
              <w:rPr>
                <w:rFonts w:eastAsia="Times New Roman" w:cstheme="minorHAnsi"/>
                <w:b/>
                <w:bCs/>
                <w:sz w:val="24"/>
                <w:szCs w:val="24"/>
                <w:lang w:eastAsia="en-GB"/>
              </w:rPr>
              <w:t>Oxygenation indices</w:t>
            </w:r>
            <w:r w:rsidRPr="009D15ED">
              <w:rPr>
                <w:rFonts w:eastAsia="Times New Roman" w:cstheme="minorHAnsi"/>
                <w:b/>
                <w:sz w:val="24"/>
                <w:szCs w:val="24"/>
                <w:lang w:eastAsia="en-GB"/>
              </w:rPr>
              <w:t> at admission</w:t>
            </w:r>
          </w:p>
        </w:tc>
        <w:tc>
          <w:tcPr>
            <w:tcW w:w="2394" w:type="dxa"/>
            <w:tcBorders>
              <w:top w:val="nil"/>
              <w:left w:val="nil"/>
              <w:bottom w:val="nil"/>
              <w:right w:val="nil"/>
            </w:tcBorders>
            <w:shd w:val="clear" w:color="auto" w:fill="auto"/>
            <w:vAlign w:val="bottom"/>
            <w:hideMark/>
          </w:tcPr>
          <w:p w14:paraId="695D51D6"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 </w:t>
            </w:r>
          </w:p>
        </w:tc>
        <w:tc>
          <w:tcPr>
            <w:tcW w:w="2586" w:type="dxa"/>
            <w:tcBorders>
              <w:top w:val="nil"/>
              <w:left w:val="nil"/>
              <w:bottom w:val="nil"/>
              <w:right w:val="nil"/>
            </w:tcBorders>
            <w:shd w:val="clear" w:color="auto" w:fill="auto"/>
            <w:vAlign w:val="bottom"/>
            <w:hideMark/>
          </w:tcPr>
          <w:p w14:paraId="3C197282"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 </w:t>
            </w:r>
          </w:p>
        </w:tc>
        <w:tc>
          <w:tcPr>
            <w:tcW w:w="1087" w:type="dxa"/>
            <w:tcBorders>
              <w:top w:val="nil"/>
              <w:left w:val="nil"/>
              <w:bottom w:val="nil"/>
              <w:right w:val="nil"/>
            </w:tcBorders>
            <w:shd w:val="clear" w:color="auto" w:fill="auto"/>
            <w:vAlign w:val="bottom"/>
            <w:hideMark/>
          </w:tcPr>
          <w:p w14:paraId="374AB10E"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 </w:t>
            </w:r>
          </w:p>
        </w:tc>
      </w:tr>
      <w:tr w:rsidR="00FB669F" w:rsidRPr="009D15ED" w14:paraId="350A2407" w14:textId="77777777" w:rsidTr="008E64CC">
        <w:trPr>
          <w:trHeight w:val="300"/>
          <w:jc w:val="center"/>
        </w:trPr>
        <w:tc>
          <w:tcPr>
            <w:tcW w:w="2959" w:type="dxa"/>
            <w:tcBorders>
              <w:top w:val="nil"/>
              <w:left w:val="nil"/>
              <w:bottom w:val="nil"/>
              <w:right w:val="nil"/>
            </w:tcBorders>
            <w:shd w:val="clear" w:color="auto" w:fill="auto"/>
            <w:vAlign w:val="bottom"/>
            <w:hideMark/>
          </w:tcPr>
          <w:p w14:paraId="43D3C4AB" w14:textId="77777777" w:rsidR="00FB669F" w:rsidRPr="009D15ED" w:rsidRDefault="00FB669F" w:rsidP="008E64CC">
            <w:pPr>
              <w:spacing w:after="0" w:line="276" w:lineRule="auto"/>
              <w:textAlignment w:val="baseline"/>
              <w:rPr>
                <w:rFonts w:eastAsia="Times New Roman" w:cstheme="minorHAnsi"/>
                <w:i/>
                <w:sz w:val="24"/>
                <w:szCs w:val="24"/>
                <w:lang w:eastAsia="en-GB"/>
              </w:rPr>
            </w:pPr>
            <w:r w:rsidRPr="009D15ED">
              <w:rPr>
                <w:rFonts w:eastAsia="Times New Roman" w:cstheme="minorHAnsi"/>
                <w:i/>
                <w:sz w:val="24"/>
                <w:szCs w:val="24"/>
                <w:lang w:eastAsia="en-GB"/>
              </w:rPr>
              <w:t>   FiO</w:t>
            </w:r>
            <w:r w:rsidRPr="009D15ED">
              <w:rPr>
                <w:rFonts w:eastAsia="Times New Roman" w:cstheme="minorHAnsi"/>
                <w:i/>
                <w:sz w:val="24"/>
                <w:szCs w:val="24"/>
                <w:vertAlign w:val="subscript"/>
                <w:lang w:eastAsia="en-GB"/>
              </w:rPr>
              <w:t>2</w:t>
            </w:r>
            <w:r w:rsidRPr="009D15ED">
              <w:rPr>
                <w:rFonts w:eastAsia="Times New Roman" w:cstheme="minorHAnsi"/>
                <w:i/>
                <w:sz w:val="24"/>
                <w:szCs w:val="24"/>
                <w:lang w:eastAsia="en-GB"/>
              </w:rPr>
              <w:t> </w:t>
            </w:r>
          </w:p>
        </w:tc>
        <w:tc>
          <w:tcPr>
            <w:tcW w:w="2394" w:type="dxa"/>
            <w:tcBorders>
              <w:top w:val="nil"/>
              <w:left w:val="nil"/>
              <w:bottom w:val="nil"/>
              <w:right w:val="nil"/>
            </w:tcBorders>
            <w:shd w:val="clear" w:color="auto" w:fill="auto"/>
            <w:vAlign w:val="bottom"/>
            <w:hideMark/>
          </w:tcPr>
          <w:p w14:paraId="2E2CA904"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0.7 (0.6-0.83) </w:t>
            </w:r>
          </w:p>
        </w:tc>
        <w:tc>
          <w:tcPr>
            <w:tcW w:w="2586" w:type="dxa"/>
            <w:tcBorders>
              <w:top w:val="nil"/>
              <w:left w:val="nil"/>
              <w:bottom w:val="nil"/>
              <w:right w:val="nil"/>
            </w:tcBorders>
            <w:shd w:val="clear" w:color="auto" w:fill="auto"/>
            <w:vAlign w:val="bottom"/>
            <w:hideMark/>
          </w:tcPr>
          <w:p w14:paraId="025CD094"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0.65 (0.5-0.76) </w:t>
            </w:r>
          </w:p>
        </w:tc>
        <w:tc>
          <w:tcPr>
            <w:tcW w:w="1087" w:type="dxa"/>
            <w:tcBorders>
              <w:top w:val="nil"/>
              <w:left w:val="nil"/>
              <w:bottom w:val="nil"/>
              <w:right w:val="nil"/>
            </w:tcBorders>
            <w:shd w:val="clear" w:color="auto" w:fill="auto"/>
            <w:vAlign w:val="bottom"/>
            <w:hideMark/>
          </w:tcPr>
          <w:p w14:paraId="3DBA743D"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0.160 </w:t>
            </w:r>
          </w:p>
        </w:tc>
      </w:tr>
      <w:tr w:rsidR="00FB669F" w:rsidRPr="009D15ED" w14:paraId="1A668381" w14:textId="77777777" w:rsidTr="008E64CC">
        <w:trPr>
          <w:trHeight w:val="300"/>
          <w:jc w:val="center"/>
        </w:trPr>
        <w:tc>
          <w:tcPr>
            <w:tcW w:w="2959" w:type="dxa"/>
            <w:tcBorders>
              <w:top w:val="nil"/>
              <w:left w:val="nil"/>
              <w:bottom w:val="nil"/>
              <w:right w:val="nil"/>
            </w:tcBorders>
            <w:shd w:val="clear" w:color="auto" w:fill="auto"/>
            <w:vAlign w:val="bottom"/>
            <w:hideMark/>
          </w:tcPr>
          <w:p w14:paraId="6114DF2E" w14:textId="77777777" w:rsidR="00FB669F" w:rsidRPr="009D15ED" w:rsidRDefault="00FB669F" w:rsidP="008E64CC">
            <w:pPr>
              <w:spacing w:after="0" w:line="276" w:lineRule="auto"/>
              <w:textAlignment w:val="baseline"/>
              <w:rPr>
                <w:rFonts w:eastAsia="Times New Roman" w:cstheme="minorHAnsi"/>
                <w:i/>
                <w:sz w:val="24"/>
                <w:szCs w:val="24"/>
                <w:lang w:eastAsia="en-GB"/>
              </w:rPr>
            </w:pPr>
            <w:r w:rsidRPr="009D15ED">
              <w:rPr>
                <w:rFonts w:eastAsia="Times New Roman" w:cstheme="minorHAnsi"/>
                <w:i/>
                <w:sz w:val="24"/>
                <w:szCs w:val="24"/>
                <w:lang w:eastAsia="en-GB"/>
              </w:rPr>
              <w:t>   PaO</w:t>
            </w:r>
            <w:r w:rsidRPr="009D15ED">
              <w:rPr>
                <w:rFonts w:eastAsia="Times New Roman" w:cstheme="minorHAnsi"/>
                <w:i/>
                <w:sz w:val="24"/>
                <w:szCs w:val="24"/>
                <w:vertAlign w:val="subscript"/>
                <w:lang w:eastAsia="en-GB"/>
              </w:rPr>
              <w:t>2 </w:t>
            </w:r>
            <w:r w:rsidRPr="009D15ED">
              <w:rPr>
                <w:rFonts w:eastAsia="Times New Roman" w:cstheme="minorHAnsi"/>
                <w:i/>
                <w:sz w:val="24"/>
                <w:szCs w:val="24"/>
                <w:lang w:eastAsia="en-GB"/>
              </w:rPr>
              <w:t>(</w:t>
            </w:r>
            <w:proofErr w:type="spellStart"/>
            <w:r w:rsidRPr="009D15ED">
              <w:rPr>
                <w:rFonts w:eastAsia="Times New Roman" w:cstheme="minorHAnsi"/>
                <w:i/>
                <w:sz w:val="24"/>
                <w:szCs w:val="24"/>
                <w:lang w:eastAsia="en-GB"/>
              </w:rPr>
              <w:t>kPa</w:t>
            </w:r>
            <w:proofErr w:type="spellEnd"/>
            <w:r w:rsidRPr="009D15ED">
              <w:rPr>
                <w:rFonts w:eastAsia="Times New Roman" w:cstheme="minorHAnsi"/>
                <w:i/>
                <w:sz w:val="24"/>
                <w:szCs w:val="24"/>
                <w:lang w:eastAsia="en-GB"/>
              </w:rPr>
              <w:t>)</w:t>
            </w:r>
          </w:p>
        </w:tc>
        <w:tc>
          <w:tcPr>
            <w:tcW w:w="2394" w:type="dxa"/>
            <w:tcBorders>
              <w:top w:val="nil"/>
              <w:left w:val="nil"/>
              <w:bottom w:val="nil"/>
              <w:right w:val="nil"/>
            </w:tcBorders>
            <w:shd w:val="clear" w:color="auto" w:fill="auto"/>
            <w:vAlign w:val="bottom"/>
            <w:hideMark/>
          </w:tcPr>
          <w:p w14:paraId="78C2E237"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9.31 (8.33-11.25) </w:t>
            </w:r>
          </w:p>
        </w:tc>
        <w:tc>
          <w:tcPr>
            <w:tcW w:w="2586" w:type="dxa"/>
            <w:tcBorders>
              <w:top w:val="nil"/>
              <w:left w:val="nil"/>
              <w:bottom w:val="nil"/>
              <w:right w:val="nil"/>
            </w:tcBorders>
            <w:shd w:val="clear" w:color="auto" w:fill="auto"/>
            <w:vAlign w:val="bottom"/>
            <w:hideMark/>
          </w:tcPr>
          <w:p w14:paraId="676D5782"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9.69 (8.87-9.96) </w:t>
            </w:r>
          </w:p>
        </w:tc>
        <w:tc>
          <w:tcPr>
            <w:tcW w:w="1087" w:type="dxa"/>
            <w:tcBorders>
              <w:top w:val="nil"/>
              <w:left w:val="nil"/>
              <w:bottom w:val="nil"/>
              <w:right w:val="nil"/>
            </w:tcBorders>
            <w:shd w:val="clear" w:color="auto" w:fill="auto"/>
            <w:vAlign w:val="bottom"/>
            <w:hideMark/>
          </w:tcPr>
          <w:p w14:paraId="68C2F60F"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0.541 </w:t>
            </w:r>
          </w:p>
        </w:tc>
      </w:tr>
      <w:tr w:rsidR="00FB669F" w:rsidRPr="009D15ED" w14:paraId="053B5644" w14:textId="77777777" w:rsidTr="008E64CC">
        <w:trPr>
          <w:trHeight w:val="300"/>
          <w:jc w:val="center"/>
        </w:trPr>
        <w:tc>
          <w:tcPr>
            <w:tcW w:w="2959" w:type="dxa"/>
            <w:tcBorders>
              <w:top w:val="nil"/>
              <w:left w:val="nil"/>
              <w:bottom w:val="nil"/>
              <w:right w:val="nil"/>
            </w:tcBorders>
            <w:shd w:val="clear" w:color="auto" w:fill="auto"/>
            <w:vAlign w:val="bottom"/>
            <w:hideMark/>
          </w:tcPr>
          <w:p w14:paraId="69CFAE79" w14:textId="77777777" w:rsidR="00FB669F" w:rsidRPr="009D15ED" w:rsidRDefault="00FB669F" w:rsidP="008E64CC">
            <w:pPr>
              <w:spacing w:after="0" w:line="276" w:lineRule="auto"/>
              <w:textAlignment w:val="baseline"/>
              <w:rPr>
                <w:rFonts w:eastAsia="Times New Roman" w:cstheme="minorHAnsi"/>
                <w:i/>
                <w:sz w:val="24"/>
                <w:szCs w:val="24"/>
                <w:lang w:eastAsia="en-GB"/>
              </w:rPr>
            </w:pPr>
            <w:r w:rsidRPr="009D15ED">
              <w:rPr>
                <w:rFonts w:eastAsia="Times New Roman" w:cstheme="minorHAnsi"/>
                <w:i/>
                <w:sz w:val="24"/>
                <w:szCs w:val="24"/>
                <w:lang w:eastAsia="en-GB"/>
              </w:rPr>
              <w:t>   PF ratio (</w:t>
            </w:r>
            <w:proofErr w:type="spellStart"/>
            <w:r w:rsidRPr="009D15ED">
              <w:rPr>
                <w:rFonts w:eastAsia="Times New Roman" w:cstheme="minorHAnsi"/>
                <w:i/>
                <w:sz w:val="24"/>
                <w:szCs w:val="24"/>
                <w:lang w:eastAsia="en-GB"/>
              </w:rPr>
              <w:t>kPa</w:t>
            </w:r>
            <w:proofErr w:type="spellEnd"/>
            <w:r w:rsidRPr="009D15ED">
              <w:rPr>
                <w:rFonts w:eastAsia="Times New Roman" w:cstheme="minorHAnsi"/>
                <w:i/>
                <w:sz w:val="24"/>
                <w:szCs w:val="24"/>
                <w:lang w:eastAsia="en-GB"/>
              </w:rPr>
              <w:t>)</w:t>
            </w:r>
          </w:p>
        </w:tc>
        <w:tc>
          <w:tcPr>
            <w:tcW w:w="2394" w:type="dxa"/>
            <w:tcBorders>
              <w:top w:val="nil"/>
              <w:left w:val="nil"/>
              <w:bottom w:val="nil"/>
              <w:right w:val="nil"/>
            </w:tcBorders>
            <w:shd w:val="clear" w:color="auto" w:fill="auto"/>
            <w:vAlign w:val="bottom"/>
            <w:hideMark/>
          </w:tcPr>
          <w:p w14:paraId="5F654427"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13.75 (10.49-17.36) </w:t>
            </w:r>
          </w:p>
        </w:tc>
        <w:tc>
          <w:tcPr>
            <w:tcW w:w="2586" w:type="dxa"/>
            <w:tcBorders>
              <w:top w:val="nil"/>
              <w:left w:val="nil"/>
              <w:bottom w:val="nil"/>
              <w:right w:val="nil"/>
            </w:tcBorders>
            <w:shd w:val="clear" w:color="auto" w:fill="auto"/>
            <w:vAlign w:val="bottom"/>
            <w:hideMark/>
          </w:tcPr>
          <w:p w14:paraId="4AF47119"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15.52 (12.41-18.57) </w:t>
            </w:r>
          </w:p>
        </w:tc>
        <w:tc>
          <w:tcPr>
            <w:tcW w:w="1087" w:type="dxa"/>
            <w:tcBorders>
              <w:top w:val="nil"/>
              <w:left w:val="nil"/>
              <w:bottom w:val="nil"/>
              <w:right w:val="nil"/>
            </w:tcBorders>
            <w:shd w:val="clear" w:color="auto" w:fill="auto"/>
            <w:vAlign w:val="bottom"/>
            <w:hideMark/>
          </w:tcPr>
          <w:p w14:paraId="1EA39943"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0.133 </w:t>
            </w:r>
          </w:p>
        </w:tc>
      </w:tr>
      <w:tr w:rsidR="00FB669F" w:rsidRPr="009D15ED" w14:paraId="238CE202" w14:textId="77777777" w:rsidTr="008E64CC">
        <w:trPr>
          <w:trHeight w:val="300"/>
          <w:jc w:val="center"/>
        </w:trPr>
        <w:tc>
          <w:tcPr>
            <w:tcW w:w="2959" w:type="dxa"/>
            <w:tcBorders>
              <w:top w:val="nil"/>
              <w:left w:val="nil"/>
              <w:bottom w:val="nil"/>
              <w:right w:val="nil"/>
            </w:tcBorders>
            <w:shd w:val="clear" w:color="auto" w:fill="auto"/>
            <w:vAlign w:val="bottom"/>
            <w:hideMark/>
          </w:tcPr>
          <w:p w14:paraId="506927A6" w14:textId="77777777" w:rsidR="00FB669F" w:rsidRPr="009D15ED" w:rsidRDefault="00FB669F" w:rsidP="008E64CC">
            <w:pPr>
              <w:spacing w:after="0" w:line="276" w:lineRule="auto"/>
              <w:textAlignment w:val="baseline"/>
              <w:rPr>
                <w:rFonts w:eastAsia="Times New Roman" w:cstheme="minorHAnsi"/>
                <w:sz w:val="24"/>
                <w:szCs w:val="24"/>
                <w:lang w:eastAsia="en-GB"/>
              </w:rPr>
            </w:pPr>
            <w:r w:rsidRPr="009D15ED">
              <w:rPr>
                <w:rFonts w:eastAsia="Times New Roman" w:cstheme="minorHAnsi"/>
                <w:b/>
                <w:bCs/>
                <w:sz w:val="24"/>
                <w:szCs w:val="24"/>
                <w:lang w:eastAsia="en-GB"/>
              </w:rPr>
              <w:t>Bloods at admission</w:t>
            </w:r>
            <w:r w:rsidRPr="009D15ED">
              <w:rPr>
                <w:rFonts w:eastAsia="Times New Roman" w:cstheme="minorHAnsi"/>
                <w:sz w:val="24"/>
                <w:szCs w:val="24"/>
                <w:lang w:eastAsia="en-GB"/>
              </w:rPr>
              <w:t> </w:t>
            </w:r>
          </w:p>
        </w:tc>
        <w:tc>
          <w:tcPr>
            <w:tcW w:w="2394" w:type="dxa"/>
            <w:tcBorders>
              <w:top w:val="nil"/>
              <w:left w:val="nil"/>
              <w:bottom w:val="nil"/>
              <w:right w:val="nil"/>
            </w:tcBorders>
            <w:shd w:val="clear" w:color="auto" w:fill="auto"/>
            <w:vAlign w:val="bottom"/>
            <w:hideMark/>
          </w:tcPr>
          <w:p w14:paraId="6D22E6F1"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 </w:t>
            </w:r>
          </w:p>
        </w:tc>
        <w:tc>
          <w:tcPr>
            <w:tcW w:w="2586" w:type="dxa"/>
            <w:tcBorders>
              <w:top w:val="nil"/>
              <w:left w:val="nil"/>
              <w:bottom w:val="nil"/>
              <w:right w:val="nil"/>
            </w:tcBorders>
            <w:shd w:val="clear" w:color="auto" w:fill="auto"/>
            <w:vAlign w:val="bottom"/>
            <w:hideMark/>
          </w:tcPr>
          <w:p w14:paraId="6F028B02"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 </w:t>
            </w:r>
          </w:p>
        </w:tc>
        <w:tc>
          <w:tcPr>
            <w:tcW w:w="1087" w:type="dxa"/>
            <w:tcBorders>
              <w:top w:val="nil"/>
              <w:left w:val="nil"/>
              <w:bottom w:val="nil"/>
              <w:right w:val="nil"/>
            </w:tcBorders>
            <w:shd w:val="clear" w:color="auto" w:fill="auto"/>
            <w:vAlign w:val="bottom"/>
            <w:hideMark/>
          </w:tcPr>
          <w:p w14:paraId="4F9BB573"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 </w:t>
            </w:r>
          </w:p>
        </w:tc>
      </w:tr>
      <w:tr w:rsidR="00FB669F" w:rsidRPr="009D15ED" w14:paraId="1CBCD0F3" w14:textId="77777777" w:rsidTr="008E64CC">
        <w:trPr>
          <w:trHeight w:val="300"/>
          <w:jc w:val="center"/>
        </w:trPr>
        <w:tc>
          <w:tcPr>
            <w:tcW w:w="2959" w:type="dxa"/>
            <w:tcBorders>
              <w:top w:val="nil"/>
              <w:left w:val="nil"/>
              <w:bottom w:val="nil"/>
              <w:right w:val="nil"/>
            </w:tcBorders>
            <w:shd w:val="clear" w:color="auto" w:fill="auto"/>
            <w:vAlign w:val="bottom"/>
            <w:hideMark/>
          </w:tcPr>
          <w:p w14:paraId="6EC72969" w14:textId="77777777" w:rsidR="00FB669F" w:rsidRPr="009D15ED" w:rsidRDefault="00FB669F" w:rsidP="008E64CC">
            <w:pPr>
              <w:spacing w:after="0" w:line="276" w:lineRule="auto"/>
              <w:textAlignment w:val="baseline"/>
              <w:rPr>
                <w:rFonts w:eastAsia="Times New Roman" w:cstheme="minorHAnsi"/>
                <w:i/>
                <w:sz w:val="24"/>
                <w:szCs w:val="24"/>
                <w:lang w:eastAsia="en-GB"/>
              </w:rPr>
            </w:pPr>
            <w:r w:rsidRPr="009D15ED">
              <w:rPr>
                <w:rFonts w:eastAsia="Times New Roman" w:cstheme="minorHAnsi"/>
                <w:i/>
                <w:sz w:val="24"/>
                <w:szCs w:val="24"/>
                <w:lang w:eastAsia="en-GB"/>
              </w:rPr>
              <w:t>   Lactate (</w:t>
            </w:r>
            <w:proofErr w:type="spellStart"/>
            <w:r w:rsidRPr="009D15ED">
              <w:rPr>
                <w:rFonts w:eastAsia="Times New Roman" w:cstheme="minorHAnsi"/>
                <w:i/>
                <w:sz w:val="24"/>
                <w:szCs w:val="24"/>
                <w:lang w:eastAsia="en-GB"/>
              </w:rPr>
              <w:t>mmol</w:t>
            </w:r>
            <w:proofErr w:type="spellEnd"/>
            <w:r w:rsidRPr="009D15ED">
              <w:rPr>
                <w:rFonts w:eastAsia="Times New Roman" w:cstheme="minorHAnsi"/>
                <w:i/>
                <w:sz w:val="24"/>
                <w:szCs w:val="24"/>
                <w:lang w:eastAsia="en-GB"/>
              </w:rPr>
              <w:t>/L)</w:t>
            </w:r>
            <w:r w:rsidRPr="009D15ED" w:rsidDel="00471A2F">
              <w:rPr>
                <w:rFonts w:eastAsia="Times New Roman" w:cstheme="minorHAnsi"/>
                <w:i/>
                <w:sz w:val="24"/>
                <w:szCs w:val="24"/>
                <w:lang w:eastAsia="en-GB"/>
              </w:rPr>
              <w:t xml:space="preserve"> </w:t>
            </w:r>
          </w:p>
        </w:tc>
        <w:tc>
          <w:tcPr>
            <w:tcW w:w="2394" w:type="dxa"/>
            <w:tcBorders>
              <w:top w:val="nil"/>
              <w:left w:val="nil"/>
              <w:bottom w:val="nil"/>
              <w:right w:val="nil"/>
            </w:tcBorders>
            <w:shd w:val="clear" w:color="auto" w:fill="auto"/>
            <w:vAlign w:val="bottom"/>
            <w:hideMark/>
          </w:tcPr>
          <w:p w14:paraId="698C944F"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1.2 (0.95-1.55) </w:t>
            </w:r>
          </w:p>
        </w:tc>
        <w:tc>
          <w:tcPr>
            <w:tcW w:w="2586" w:type="dxa"/>
            <w:tcBorders>
              <w:top w:val="nil"/>
              <w:left w:val="nil"/>
              <w:bottom w:val="nil"/>
              <w:right w:val="nil"/>
            </w:tcBorders>
            <w:shd w:val="clear" w:color="auto" w:fill="auto"/>
            <w:vAlign w:val="bottom"/>
            <w:hideMark/>
          </w:tcPr>
          <w:p w14:paraId="51227B95"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1.40 (0.98-1.83) </w:t>
            </w:r>
          </w:p>
        </w:tc>
        <w:tc>
          <w:tcPr>
            <w:tcW w:w="1087" w:type="dxa"/>
            <w:tcBorders>
              <w:top w:val="nil"/>
              <w:left w:val="nil"/>
              <w:bottom w:val="nil"/>
              <w:right w:val="nil"/>
            </w:tcBorders>
            <w:shd w:val="clear" w:color="auto" w:fill="auto"/>
            <w:vAlign w:val="bottom"/>
            <w:hideMark/>
          </w:tcPr>
          <w:p w14:paraId="32EBD7A6"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0.287</w:t>
            </w:r>
          </w:p>
        </w:tc>
      </w:tr>
      <w:tr w:rsidR="00FB669F" w:rsidRPr="009D15ED" w14:paraId="127BD180" w14:textId="77777777" w:rsidTr="008E64CC">
        <w:trPr>
          <w:trHeight w:val="300"/>
          <w:jc w:val="center"/>
        </w:trPr>
        <w:tc>
          <w:tcPr>
            <w:tcW w:w="2959" w:type="dxa"/>
            <w:tcBorders>
              <w:top w:val="nil"/>
              <w:left w:val="nil"/>
              <w:bottom w:val="nil"/>
              <w:right w:val="nil"/>
            </w:tcBorders>
            <w:shd w:val="clear" w:color="auto" w:fill="auto"/>
            <w:vAlign w:val="bottom"/>
            <w:hideMark/>
          </w:tcPr>
          <w:p w14:paraId="12A8C55C" w14:textId="77777777" w:rsidR="00FB669F" w:rsidRPr="009D15ED" w:rsidRDefault="00FB669F" w:rsidP="008E64CC">
            <w:pPr>
              <w:spacing w:after="0" w:line="276" w:lineRule="auto"/>
              <w:textAlignment w:val="baseline"/>
              <w:rPr>
                <w:rFonts w:eastAsia="Times New Roman" w:cstheme="minorHAnsi"/>
                <w:i/>
                <w:sz w:val="24"/>
                <w:szCs w:val="24"/>
                <w:lang w:eastAsia="en-GB"/>
              </w:rPr>
            </w:pPr>
            <w:r w:rsidRPr="009D15ED">
              <w:rPr>
                <w:rFonts w:eastAsia="Times New Roman" w:cstheme="minorHAnsi"/>
                <w:i/>
                <w:sz w:val="24"/>
                <w:szCs w:val="24"/>
                <w:lang w:eastAsia="en-GB"/>
              </w:rPr>
              <w:t>   WCC (10</w:t>
            </w:r>
            <w:r w:rsidRPr="009D15ED">
              <w:rPr>
                <w:rFonts w:eastAsia="Times New Roman" w:cstheme="minorHAnsi"/>
                <w:i/>
                <w:sz w:val="24"/>
                <w:szCs w:val="24"/>
                <w:vertAlign w:val="superscript"/>
                <w:lang w:eastAsia="en-GB"/>
              </w:rPr>
              <w:t>9</w:t>
            </w:r>
            <w:r w:rsidRPr="009D15ED">
              <w:rPr>
                <w:rFonts w:eastAsia="Times New Roman" w:cstheme="minorHAnsi"/>
                <w:i/>
                <w:sz w:val="24"/>
                <w:szCs w:val="24"/>
                <w:lang w:eastAsia="en-GB"/>
              </w:rPr>
              <w:t>/L)</w:t>
            </w:r>
          </w:p>
        </w:tc>
        <w:tc>
          <w:tcPr>
            <w:tcW w:w="2394" w:type="dxa"/>
            <w:tcBorders>
              <w:top w:val="nil"/>
              <w:left w:val="nil"/>
              <w:bottom w:val="nil"/>
              <w:right w:val="nil"/>
            </w:tcBorders>
            <w:shd w:val="clear" w:color="auto" w:fill="auto"/>
            <w:vAlign w:val="bottom"/>
            <w:hideMark/>
          </w:tcPr>
          <w:p w14:paraId="6FA80E0B"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8.2 (6.9-10.5) </w:t>
            </w:r>
          </w:p>
        </w:tc>
        <w:tc>
          <w:tcPr>
            <w:tcW w:w="2586" w:type="dxa"/>
            <w:tcBorders>
              <w:top w:val="nil"/>
              <w:left w:val="nil"/>
              <w:bottom w:val="nil"/>
              <w:right w:val="nil"/>
            </w:tcBorders>
            <w:shd w:val="clear" w:color="auto" w:fill="auto"/>
            <w:vAlign w:val="bottom"/>
            <w:hideMark/>
          </w:tcPr>
          <w:p w14:paraId="1D2FC1F8"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8.1 (5.3-11.3) </w:t>
            </w:r>
          </w:p>
        </w:tc>
        <w:tc>
          <w:tcPr>
            <w:tcW w:w="1087" w:type="dxa"/>
            <w:tcBorders>
              <w:top w:val="nil"/>
              <w:left w:val="nil"/>
              <w:bottom w:val="nil"/>
              <w:right w:val="nil"/>
            </w:tcBorders>
            <w:shd w:val="clear" w:color="auto" w:fill="auto"/>
            <w:vAlign w:val="bottom"/>
            <w:hideMark/>
          </w:tcPr>
          <w:p w14:paraId="4C31183E"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0.778</w:t>
            </w:r>
          </w:p>
        </w:tc>
      </w:tr>
      <w:tr w:rsidR="00FB669F" w:rsidRPr="009D15ED" w14:paraId="52255DAB" w14:textId="77777777" w:rsidTr="008E64CC">
        <w:trPr>
          <w:trHeight w:val="300"/>
          <w:jc w:val="center"/>
        </w:trPr>
        <w:tc>
          <w:tcPr>
            <w:tcW w:w="2959" w:type="dxa"/>
            <w:tcBorders>
              <w:top w:val="nil"/>
              <w:left w:val="nil"/>
              <w:bottom w:val="nil"/>
              <w:right w:val="nil"/>
            </w:tcBorders>
            <w:shd w:val="clear" w:color="auto" w:fill="auto"/>
            <w:vAlign w:val="bottom"/>
            <w:hideMark/>
          </w:tcPr>
          <w:p w14:paraId="3320E036" w14:textId="77777777" w:rsidR="00FB669F" w:rsidRPr="009D15ED" w:rsidRDefault="00FB669F" w:rsidP="008E64CC">
            <w:pPr>
              <w:spacing w:after="0" w:line="276" w:lineRule="auto"/>
              <w:textAlignment w:val="baseline"/>
              <w:rPr>
                <w:rFonts w:eastAsia="Times New Roman" w:cstheme="minorHAnsi"/>
                <w:i/>
                <w:sz w:val="24"/>
                <w:szCs w:val="24"/>
                <w:lang w:eastAsia="en-GB"/>
              </w:rPr>
            </w:pPr>
            <w:r w:rsidRPr="009D15ED">
              <w:rPr>
                <w:rFonts w:eastAsia="Times New Roman" w:cstheme="minorHAnsi"/>
                <w:i/>
                <w:sz w:val="24"/>
                <w:szCs w:val="24"/>
                <w:lang w:eastAsia="en-GB"/>
              </w:rPr>
              <w:t>   Neutrophils (10</w:t>
            </w:r>
            <w:r w:rsidRPr="009D15ED">
              <w:rPr>
                <w:rFonts w:eastAsia="Times New Roman" w:cstheme="minorHAnsi"/>
                <w:i/>
                <w:sz w:val="24"/>
                <w:szCs w:val="24"/>
                <w:vertAlign w:val="superscript"/>
                <w:lang w:eastAsia="en-GB"/>
              </w:rPr>
              <w:t>9</w:t>
            </w:r>
            <w:r w:rsidRPr="009D15ED">
              <w:rPr>
                <w:rFonts w:eastAsia="Times New Roman" w:cstheme="minorHAnsi"/>
                <w:i/>
                <w:sz w:val="24"/>
                <w:szCs w:val="24"/>
                <w:lang w:eastAsia="en-GB"/>
              </w:rPr>
              <w:t>/L)</w:t>
            </w:r>
          </w:p>
        </w:tc>
        <w:tc>
          <w:tcPr>
            <w:tcW w:w="2394" w:type="dxa"/>
            <w:tcBorders>
              <w:top w:val="nil"/>
              <w:left w:val="nil"/>
              <w:bottom w:val="nil"/>
              <w:right w:val="nil"/>
            </w:tcBorders>
            <w:shd w:val="clear" w:color="auto" w:fill="auto"/>
            <w:vAlign w:val="bottom"/>
            <w:hideMark/>
          </w:tcPr>
          <w:p w14:paraId="0F4640C0"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7.1 (5.9-9.0) </w:t>
            </w:r>
          </w:p>
        </w:tc>
        <w:tc>
          <w:tcPr>
            <w:tcW w:w="2586" w:type="dxa"/>
            <w:tcBorders>
              <w:top w:val="nil"/>
              <w:left w:val="nil"/>
              <w:bottom w:val="nil"/>
              <w:right w:val="nil"/>
            </w:tcBorders>
            <w:shd w:val="clear" w:color="auto" w:fill="auto"/>
            <w:vAlign w:val="bottom"/>
            <w:hideMark/>
          </w:tcPr>
          <w:p w14:paraId="152EC405"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7.4 (4.5-10.1) </w:t>
            </w:r>
          </w:p>
        </w:tc>
        <w:tc>
          <w:tcPr>
            <w:tcW w:w="1087" w:type="dxa"/>
            <w:tcBorders>
              <w:top w:val="nil"/>
              <w:left w:val="nil"/>
              <w:bottom w:val="nil"/>
              <w:right w:val="nil"/>
            </w:tcBorders>
            <w:shd w:val="clear" w:color="auto" w:fill="auto"/>
            <w:vAlign w:val="bottom"/>
            <w:hideMark/>
          </w:tcPr>
          <w:p w14:paraId="3E22A51F"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0.963 </w:t>
            </w:r>
          </w:p>
        </w:tc>
      </w:tr>
      <w:tr w:rsidR="00FB669F" w:rsidRPr="009D15ED" w14:paraId="1005F3FC" w14:textId="77777777" w:rsidTr="008E64CC">
        <w:trPr>
          <w:trHeight w:val="300"/>
          <w:jc w:val="center"/>
        </w:trPr>
        <w:tc>
          <w:tcPr>
            <w:tcW w:w="2959" w:type="dxa"/>
            <w:tcBorders>
              <w:top w:val="nil"/>
              <w:left w:val="nil"/>
              <w:bottom w:val="nil"/>
              <w:right w:val="nil"/>
            </w:tcBorders>
            <w:shd w:val="clear" w:color="auto" w:fill="auto"/>
            <w:vAlign w:val="bottom"/>
            <w:hideMark/>
          </w:tcPr>
          <w:p w14:paraId="7E8746EE" w14:textId="77777777" w:rsidR="00FB669F" w:rsidRPr="009D15ED" w:rsidRDefault="00FB669F" w:rsidP="008E64CC">
            <w:pPr>
              <w:spacing w:after="0" w:line="276" w:lineRule="auto"/>
              <w:textAlignment w:val="baseline"/>
              <w:rPr>
                <w:rFonts w:eastAsia="Times New Roman" w:cstheme="minorHAnsi"/>
                <w:i/>
                <w:sz w:val="24"/>
                <w:szCs w:val="24"/>
                <w:lang w:eastAsia="en-GB"/>
              </w:rPr>
            </w:pPr>
            <w:r w:rsidRPr="009D15ED">
              <w:rPr>
                <w:rFonts w:eastAsia="Times New Roman" w:cstheme="minorHAnsi"/>
                <w:i/>
                <w:sz w:val="24"/>
                <w:szCs w:val="24"/>
                <w:lang w:eastAsia="en-GB"/>
              </w:rPr>
              <w:t>   Lymphocytes (10</w:t>
            </w:r>
            <w:r w:rsidRPr="009D15ED">
              <w:rPr>
                <w:rFonts w:eastAsia="Times New Roman" w:cstheme="minorHAnsi"/>
                <w:i/>
                <w:sz w:val="24"/>
                <w:szCs w:val="24"/>
                <w:vertAlign w:val="superscript"/>
                <w:lang w:eastAsia="en-GB"/>
              </w:rPr>
              <w:t>9</w:t>
            </w:r>
            <w:r w:rsidRPr="009D15ED">
              <w:rPr>
                <w:rFonts w:eastAsia="Times New Roman" w:cstheme="minorHAnsi"/>
                <w:i/>
                <w:sz w:val="24"/>
                <w:szCs w:val="24"/>
                <w:lang w:eastAsia="en-GB"/>
              </w:rPr>
              <w:t>/L)</w:t>
            </w:r>
          </w:p>
        </w:tc>
        <w:tc>
          <w:tcPr>
            <w:tcW w:w="2394" w:type="dxa"/>
            <w:tcBorders>
              <w:top w:val="nil"/>
              <w:left w:val="nil"/>
              <w:bottom w:val="nil"/>
              <w:right w:val="nil"/>
            </w:tcBorders>
            <w:shd w:val="clear" w:color="auto" w:fill="auto"/>
            <w:vAlign w:val="bottom"/>
            <w:hideMark/>
          </w:tcPr>
          <w:p w14:paraId="26B90230"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0.7 (0.4-0.9) </w:t>
            </w:r>
          </w:p>
        </w:tc>
        <w:tc>
          <w:tcPr>
            <w:tcW w:w="2586" w:type="dxa"/>
            <w:tcBorders>
              <w:top w:val="nil"/>
              <w:left w:val="nil"/>
              <w:bottom w:val="nil"/>
              <w:right w:val="nil"/>
            </w:tcBorders>
            <w:shd w:val="clear" w:color="auto" w:fill="auto"/>
            <w:vAlign w:val="bottom"/>
            <w:hideMark/>
          </w:tcPr>
          <w:p w14:paraId="2295AA4E"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0.6 (0.5-0.8) </w:t>
            </w:r>
          </w:p>
        </w:tc>
        <w:tc>
          <w:tcPr>
            <w:tcW w:w="1087" w:type="dxa"/>
            <w:tcBorders>
              <w:top w:val="nil"/>
              <w:left w:val="nil"/>
              <w:bottom w:val="nil"/>
              <w:right w:val="nil"/>
            </w:tcBorders>
            <w:shd w:val="clear" w:color="auto" w:fill="auto"/>
            <w:vAlign w:val="bottom"/>
            <w:hideMark/>
          </w:tcPr>
          <w:p w14:paraId="62B33505"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0.628 </w:t>
            </w:r>
          </w:p>
        </w:tc>
      </w:tr>
      <w:tr w:rsidR="00FB669F" w:rsidRPr="009D15ED" w14:paraId="5C8F18E9" w14:textId="77777777" w:rsidTr="008E64CC">
        <w:trPr>
          <w:trHeight w:val="300"/>
          <w:jc w:val="center"/>
        </w:trPr>
        <w:tc>
          <w:tcPr>
            <w:tcW w:w="2959" w:type="dxa"/>
            <w:tcBorders>
              <w:top w:val="nil"/>
              <w:left w:val="nil"/>
              <w:bottom w:val="nil"/>
              <w:right w:val="nil"/>
            </w:tcBorders>
            <w:shd w:val="clear" w:color="auto" w:fill="auto"/>
            <w:vAlign w:val="bottom"/>
            <w:hideMark/>
          </w:tcPr>
          <w:p w14:paraId="4F6DC4FE" w14:textId="77777777" w:rsidR="00FB669F" w:rsidRPr="009D15ED" w:rsidRDefault="00FB669F" w:rsidP="008E64CC">
            <w:pPr>
              <w:spacing w:after="0" w:line="276" w:lineRule="auto"/>
              <w:textAlignment w:val="baseline"/>
              <w:rPr>
                <w:rFonts w:eastAsia="Times New Roman" w:cstheme="minorHAnsi"/>
                <w:i/>
                <w:sz w:val="24"/>
                <w:szCs w:val="24"/>
                <w:lang w:eastAsia="en-GB"/>
              </w:rPr>
            </w:pPr>
            <w:r w:rsidRPr="009D15ED">
              <w:rPr>
                <w:rFonts w:eastAsia="Times New Roman" w:cstheme="minorHAnsi"/>
                <w:i/>
                <w:sz w:val="24"/>
                <w:szCs w:val="24"/>
                <w:lang w:eastAsia="en-GB"/>
              </w:rPr>
              <w:t>   CRP (mg/L)</w:t>
            </w:r>
          </w:p>
        </w:tc>
        <w:tc>
          <w:tcPr>
            <w:tcW w:w="2394" w:type="dxa"/>
            <w:tcBorders>
              <w:top w:val="nil"/>
              <w:left w:val="nil"/>
              <w:bottom w:val="nil"/>
              <w:right w:val="nil"/>
            </w:tcBorders>
            <w:shd w:val="clear" w:color="auto" w:fill="auto"/>
            <w:vAlign w:val="bottom"/>
            <w:hideMark/>
          </w:tcPr>
          <w:p w14:paraId="412B11D3"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147 (78-250) </w:t>
            </w:r>
          </w:p>
        </w:tc>
        <w:tc>
          <w:tcPr>
            <w:tcW w:w="2586" w:type="dxa"/>
            <w:tcBorders>
              <w:top w:val="nil"/>
              <w:left w:val="nil"/>
              <w:bottom w:val="nil"/>
              <w:right w:val="nil"/>
            </w:tcBorders>
            <w:shd w:val="clear" w:color="auto" w:fill="auto"/>
            <w:vAlign w:val="bottom"/>
            <w:hideMark/>
          </w:tcPr>
          <w:p w14:paraId="2C57A56B"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129 (68-165) </w:t>
            </w:r>
          </w:p>
        </w:tc>
        <w:tc>
          <w:tcPr>
            <w:tcW w:w="1087" w:type="dxa"/>
            <w:tcBorders>
              <w:top w:val="nil"/>
              <w:left w:val="nil"/>
              <w:bottom w:val="nil"/>
              <w:right w:val="nil"/>
            </w:tcBorders>
            <w:shd w:val="clear" w:color="auto" w:fill="auto"/>
            <w:vAlign w:val="bottom"/>
            <w:hideMark/>
          </w:tcPr>
          <w:p w14:paraId="3971C493"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0.167</w:t>
            </w:r>
          </w:p>
        </w:tc>
      </w:tr>
      <w:tr w:rsidR="00FB669F" w:rsidRPr="009D15ED" w14:paraId="07AFC9C1" w14:textId="77777777" w:rsidTr="008E64CC">
        <w:trPr>
          <w:trHeight w:val="300"/>
          <w:jc w:val="center"/>
        </w:trPr>
        <w:tc>
          <w:tcPr>
            <w:tcW w:w="2959" w:type="dxa"/>
            <w:tcBorders>
              <w:top w:val="nil"/>
              <w:left w:val="nil"/>
              <w:bottom w:val="nil"/>
              <w:right w:val="nil"/>
            </w:tcBorders>
            <w:shd w:val="clear" w:color="auto" w:fill="auto"/>
            <w:vAlign w:val="bottom"/>
            <w:hideMark/>
          </w:tcPr>
          <w:p w14:paraId="78BB96DB" w14:textId="77777777" w:rsidR="00FB669F" w:rsidRPr="009D15ED" w:rsidRDefault="00FB669F" w:rsidP="008E64CC">
            <w:pPr>
              <w:spacing w:after="0" w:line="276" w:lineRule="auto"/>
              <w:textAlignment w:val="baseline"/>
              <w:rPr>
                <w:rFonts w:eastAsia="Times New Roman" w:cstheme="minorHAnsi"/>
                <w:i/>
                <w:sz w:val="24"/>
                <w:szCs w:val="24"/>
                <w:lang w:eastAsia="en-GB"/>
              </w:rPr>
            </w:pPr>
            <w:r w:rsidRPr="009D15ED">
              <w:rPr>
                <w:rFonts w:eastAsia="Times New Roman" w:cstheme="minorHAnsi"/>
                <w:i/>
                <w:sz w:val="24"/>
                <w:szCs w:val="24"/>
                <w:lang w:eastAsia="en-GB"/>
              </w:rPr>
              <w:t>   Ferritin (</w:t>
            </w:r>
            <w:proofErr w:type="spellStart"/>
            <w:r w:rsidRPr="009D15ED">
              <w:rPr>
                <w:rFonts w:eastAsia="Times New Roman" w:cstheme="minorHAnsi"/>
                <w:i/>
                <w:sz w:val="24"/>
                <w:szCs w:val="24"/>
                <w:lang w:eastAsia="en-GB"/>
              </w:rPr>
              <w:t>μg</w:t>
            </w:r>
            <w:proofErr w:type="spellEnd"/>
            <w:r w:rsidRPr="009D15ED">
              <w:rPr>
                <w:rFonts w:eastAsia="Times New Roman" w:cstheme="minorHAnsi"/>
                <w:i/>
                <w:sz w:val="24"/>
                <w:szCs w:val="24"/>
                <w:lang w:eastAsia="en-GB"/>
              </w:rPr>
              <w:t>/L)</w:t>
            </w:r>
          </w:p>
        </w:tc>
        <w:tc>
          <w:tcPr>
            <w:tcW w:w="2394" w:type="dxa"/>
            <w:tcBorders>
              <w:top w:val="nil"/>
              <w:left w:val="nil"/>
              <w:bottom w:val="nil"/>
              <w:right w:val="nil"/>
            </w:tcBorders>
            <w:shd w:val="clear" w:color="auto" w:fill="auto"/>
            <w:vAlign w:val="bottom"/>
            <w:hideMark/>
          </w:tcPr>
          <w:p w14:paraId="4F974532"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772 (443-1163) </w:t>
            </w:r>
          </w:p>
        </w:tc>
        <w:tc>
          <w:tcPr>
            <w:tcW w:w="2586" w:type="dxa"/>
            <w:tcBorders>
              <w:top w:val="nil"/>
              <w:left w:val="nil"/>
              <w:bottom w:val="nil"/>
              <w:right w:val="nil"/>
            </w:tcBorders>
            <w:shd w:val="clear" w:color="auto" w:fill="auto"/>
            <w:vAlign w:val="bottom"/>
            <w:hideMark/>
          </w:tcPr>
          <w:p w14:paraId="79466FE5"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790 (582-1383) </w:t>
            </w:r>
          </w:p>
        </w:tc>
        <w:tc>
          <w:tcPr>
            <w:tcW w:w="1087" w:type="dxa"/>
            <w:tcBorders>
              <w:top w:val="nil"/>
              <w:left w:val="nil"/>
              <w:bottom w:val="nil"/>
              <w:right w:val="nil"/>
            </w:tcBorders>
            <w:shd w:val="clear" w:color="auto" w:fill="auto"/>
            <w:vAlign w:val="bottom"/>
            <w:hideMark/>
          </w:tcPr>
          <w:p w14:paraId="1E3F9124"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0.535 </w:t>
            </w:r>
          </w:p>
        </w:tc>
      </w:tr>
      <w:tr w:rsidR="00FB669F" w:rsidRPr="009D15ED" w14:paraId="29560DFD" w14:textId="77777777" w:rsidTr="008E64CC">
        <w:trPr>
          <w:trHeight w:val="300"/>
          <w:jc w:val="center"/>
        </w:trPr>
        <w:tc>
          <w:tcPr>
            <w:tcW w:w="2959" w:type="dxa"/>
            <w:tcBorders>
              <w:top w:val="nil"/>
              <w:left w:val="nil"/>
              <w:bottom w:val="nil"/>
              <w:right w:val="nil"/>
            </w:tcBorders>
            <w:shd w:val="clear" w:color="auto" w:fill="auto"/>
            <w:vAlign w:val="bottom"/>
            <w:hideMark/>
          </w:tcPr>
          <w:p w14:paraId="7DDBA303" w14:textId="77777777" w:rsidR="00FB669F" w:rsidRPr="009D15ED" w:rsidRDefault="00FB669F" w:rsidP="008E64CC">
            <w:pPr>
              <w:spacing w:after="0" w:line="276" w:lineRule="auto"/>
              <w:textAlignment w:val="baseline"/>
              <w:rPr>
                <w:rFonts w:eastAsia="Times New Roman" w:cstheme="minorHAnsi"/>
                <w:i/>
                <w:sz w:val="24"/>
                <w:szCs w:val="24"/>
                <w:lang w:eastAsia="en-GB"/>
              </w:rPr>
            </w:pPr>
            <w:r w:rsidRPr="009D15ED">
              <w:rPr>
                <w:rFonts w:eastAsia="Times New Roman" w:cstheme="minorHAnsi"/>
                <w:i/>
                <w:sz w:val="24"/>
                <w:szCs w:val="24"/>
                <w:lang w:eastAsia="en-GB"/>
              </w:rPr>
              <w:t>   Troponin (ng/L)</w:t>
            </w:r>
          </w:p>
        </w:tc>
        <w:tc>
          <w:tcPr>
            <w:tcW w:w="2394" w:type="dxa"/>
            <w:tcBorders>
              <w:top w:val="nil"/>
              <w:left w:val="nil"/>
              <w:bottom w:val="nil"/>
              <w:right w:val="nil"/>
            </w:tcBorders>
            <w:shd w:val="clear" w:color="auto" w:fill="auto"/>
            <w:vAlign w:val="bottom"/>
            <w:hideMark/>
          </w:tcPr>
          <w:p w14:paraId="6E09A93E"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15.5 (7.0-47.8) </w:t>
            </w:r>
          </w:p>
        </w:tc>
        <w:tc>
          <w:tcPr>
            <w:tcW w:w="2586" w:type="dxa"/>
            <w:tcBorders>
              <w:top w:val="nil"/>
              <w:left w:val="nil"/>
              <w:bottom w:val="nil"/>
              <w:right w:val="nil"/>
            </w:tcBorders>
            <w:shd w:val="clear" w:color="auto" w:fill="auto"/>
            <w:vAlign w:val="bottom"/>
            <w:hideMark/>
          </w:tcPr>
          <w:p w14:paraId="03AE92CF"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13.0 (9.0-44.0) </w:t>
            </w:r>
          </w:p>
        </w:tc>
        <w:tc>
          <w:tcPr>
            <w:tcW w:w="1087" w:type="dxa"/>
            <w:tcBorders>
              <w:top w:val="nil"/>
              <w:left w:val="nil"/>
              <w:bottom w:val="nil"/>
              <w:right w:val="nil"/>
            </w:tcBorders>
            <w:shd w:val="clear" w:color="auto" w:fill="auto"/>
            <w:vAlign w:val="bottom"/>
            <w:hideMark/>
          </w:tcPr>
          <w:p w14:paraId="5B42B63C"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0.766 </w:t>
            </w:r>
          </w:p>
        </w:tc>
      </w:tr>
      <w:tr w:rsidR="00FB669F" w:rsidRPr="009D15ED" w14:paraId="03F10181" w14:textId="77777777" w:rsidTr="008E64CC">
        <w:trPr>
          <w:trHeight w:val="300"/>
          <w:jc w:val="center"/>
        </w:trPr>
        <w:tc>
          <w:tcPr>
            <w:tcW w:w="2959" w:type="dxa"/>
            <w:tcBorders>
              <w:top w:val="nil"/>
              <w:left w:val="nil"/>
              <w:bottom w:val="nil"/>
              <w:right w:val="nil"/>
            </w:tcBorders>
            <w:shd w:val="clear" w:color="auto" w:fill="auto"/>
            <w:vAlign w:val="bottom"/>
            <w:hideMark/>
          </w:tcPr>
          <w:p w14:paraId="656375DB" w14:textId="77777777" w:rsidR="00FB669F" w:rsidRPr="009D15ED" w:rsidRDefault="00FB669F" w:rsidP="008E64CC">
            <w:pPr>
              <w:spacing w:after="0" w:line="276" w:lineRule="auto"/>
              <w:textAlignment w:val="baseline"/>
              <w:rPr>
                <w:rFonts w:eastAsia="Times New Roman" w:cstheme="minorHAnsi"/>
                <w:i/>
                <w:sz w:val="24"/>
                <w:szCs w:val="24"/>
                <w:lang w:eastAsia="en-GB"/>
              </w:rPr>
            </w:pPr>
            <w:r w:rsidRPr="009D15ED">
              <w:rPr>
                <w:rFonts w:eastAsia="Times New Roman" w:cstheme="minorHAnsi"/>
                <w:i/>
                <w:sz w:val="24"/>
                <w:szCs w:val="24"/>
                <w:lang w:eastAsia="en-GB"/>
              </w:rPr>
              <w:t>   LDH (U/L)</w:t>
            </w:r>
          </w:p>
        </w:tc>
        <w:tc>
          <w:tcPr>
            <w:tcW w:w="2394" w:type="dxa"/>
            <w:tcBorders>
              <w:top w:val="nil"/>
              <w:left w:val="nil"/>
              <w:bottom w:val="nil"/>
              <w:right w:val="nil"/>
            </w:tcBorders>
            <w:shd w:val="clear" w:color="auto" w:fill="auto"/>
            <w:vAlign w:val="bottom"/>
            <w:hideMark/>
          </w:tcPr>
          <w:p w14:paraId="33AD2F52"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975 (810-1391) </w:t>
            </w:r>
          </w:p>
        </w:tc>
        <w:tc>
          <w:tcPr>
            <w:tcW w:w="2586" w:type="dxa"/>
            <w:tcBorders>
              <w:top w:val="nil"/>
              <w:left w:val="nil"/>
              <w:bottom w:val="nil"/>
              <w:right w:val="nil"/>
            </w:tcBorders>
            <w:shd w:val="clear" w:color="auto" w:fill="auto"/>
            <w:vAlign w:val="bottom"/>
            <w:hideMark/>
          </w:tcPr>
          <w:p w14:paraId="15FD31B0"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1081 (865-1411) </w:t>
            </w:r>
          </w:p>
        </w:tc>
        <w:tc>
          <w:tcPr>
            <w:tcW w:w="1087" w:type="dxa"/>
            <w:tcBorders>
              <w:top w:val="nil"/>
              <w:left w:val="nil"/>
              <w:bottom w:val="nil"/>
              <w:right w:val="nil"/>
            </w:tcBorders>
            <w:shd w:val="clear" w:color="auto" w:fill="auto"/>
            <w:vAlign w:val="bottom"/>
            <w:hideMark/>
          </w:tcPr>
          <w:p w14:paraId="2D67D8B2"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0.718 </w:t>
            </w:r>
          </w:p>
        </w:tc>
      </w:tr>
      <w:tr w:rsidR="00FB669F" w:rsidRPr="009D15ED" w14:paraId="0B06C2B1" w14:textId="77777777" w:rsidTr="008E64CC">
        <w:trPr>
          <w:trHeight w:val="300"/>
          <w:jc w:val="center"/>
        </w:trPr>
        <w:tc>
          <w:tcPr>
            <w:tcW w:w="2959" w:type="dxa"/>
            <w:tcBorders>
              <w:top w:val="nil"/>
              <w:left w:val="nil"/>
              <w:bottom w:val="nil"/>
              <w:right w:val="nil"/>
            </w:tcBorders>
            <w:shd w:val="clear" w:color="auto" w:fill="auto"/>
            <w:vAlign w:val="bottom"/>
            <w:hideMark/>
          </w:tcPr>
          <w:p w14:paraId="4FD3675D" w14:textId="77777777" w:rsidR="00FB669F" w:rsidRPr="009D15ED" w:rsidRDefault="00FB669F" w:rsidP="008E64CC">
            <w:pPr>
              <w:spacing w:after="0" w:line="276" w:lineRule="auto"/>
              <w:textAlignment w:val="baseline"/>
              <w:rPr>
                <w:rFonts w:eastAsia="Times New Roman" w:cstheme="minorHAnsi"/>
                <w:i/>
                <w:sz w:val="24"/>
                <w:szCs w:val="24"/>
                <w:lang w:eastAsia="en-GB"/>
              </w:rPr>
            </w:pPr>
            <w:r w:rsidRPr="009D15ED">
              <w:rPr>
                <w:rFonts w:eastAsia="Times New Roman" w:cstheme="minorHAnsi"/>
                <w:i/>
                <w:sz w:val="24"/>
                <w:szCs w:val="24"/>
                <w:lang w:eastAsia="en-GB"/>
              </w:rPr>
              <w:t>   D-Dimer (</w:t>
            </w:r>
            <w:proofErr w:type="spellStart"/>
            <w:r w:rsidRPr="009D15ED">
              <w:rPr>
                <w:rFonts w:eastAsia="Times New Roman" w:cstheme="minorHAnsi"/>
                <w:i/>
                <w:sz w:val="24"/>
                <w:szCs w:val="24"/>
                <w:lang w:eastAsia="en-GB"/>
              </w:rPr>
              <w:t>μg</w:t>
            </w:r>
            <w:proofErr w:type="spellEnd"/>
            <w:r w:rsidRPr="009D15ED">
              <w:rPr>
                <w:rFonts w:eastAsia="Times New Roman" w:cstheme="minorHAnsi"/>
                <w:i/>
                <w:sz w:val="24"/>
                <w:szCs w:val="24"/>
                <w:lang w:eastAsia="en-GB"/>
              </w:rPr>
              <w:t>/L)</w:t>
            </w:r>
          </w:p>
        </w:tc>
        <w:tc>
          <w:tcPr>
            <w:tcW w:w="2394" w:type="dxa"/>
            <w:tcBorders>
              <w:top w:val="nil"/>
              <w:left w:val="nil"/>
              <w:bottom w:val="nil"/>
              <w:right w:val="nil"/>
            </w:tcBorders>
            <w:shd w:val="clear" w:color="auto" w:fill="auto"/>
            <w:vAlign w:val="bottom"/>
            <w:hideMark/>
          </w:tcPr>
          <w:p w14:paraId="7C3128C8"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583 (269-1039) </w:t>
            </w:r>
          </w:p>
        </w:tc>
        <w:tc>
          <w:tcPr>
            <w:tcW w:w="2586" w:type="dxa"/>
            <w:tcBorders>
              <w:top w:val="nil"/>
              <w:left w:val="nil"/>
              <w:bottom w:val="nil"/>
              <w:right w:val="nil"/>
            </w:tcBorders>
            <w:shd w:val="clear" w:color="auto" w:fill="auto"/>
            <w:vAlign w:val="bottom"/>
            <w:hideMark/>
          </w:tcPr>
          <w:p w14:paraId="04F6843C"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582 (328-1453) </w:t>
            </w:r>
          </w:p>
        </w:tc>
        <w:tc>
          <w:tcPr>
            <w:tcW w:w="1087" w:type="dxa"/>
            <w:tcBorders>
              <w:top w:val="nil"/>
              <w:left w:val="nil"/>
              <w:bottom w:val="nil"/>
              <w:right w:val="nil"/>
            </w:tcBorders>
            <w:shd w:val="clear" w:color="auto" w:fill="auto"/>
            <w:vAlign w:val="bottom"/>
            <w:hideMark/>
          </w:tcPr>
          <w:p w14:paraId="003BA3C7"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0.698 </w:t>
            </w:r>
          </w:p>
        </w:tc>
      </w:tr>
      <w:tr w:rsidR="00FB669F" w:rsidRPr="009D15ED" w14:paraId="66497322" w14:textId="77777777" w:rsidTr="008E64CC">
        <w:trPr>
          <w:trHeight w:val="300"/>
          <w:jc w:val="center"/>
        </w:trPr>
        <w:tc>
          <w:tcPr>
            <w:tcW w:w="2959" w:type="dxa"/>
            <w:tcBorders>
              <w:top w:val="nil"/>
              <w:left w:val="nil"/>
              <w:bottom w:val="nil"/>
              <w:right w:val="nil"/>
            </w:tcBorders>
            <w:shd w:val="clear" w:color="auto" w:fill="auto"/>
            <w:vAlign w:val="bottom"/>
            <w:hideMark/>
          </w:tcPr>
          <w:p w14:paraId="1D67B907" w14:textId="77777777" w:rsidR="00FB669F" w:rsidRPr="009D15ED" w:rsidRDefault="00FB669F" w:rsidP="008E64CC">
            <w:pPr>
              <w:spacing w:after="0" w:line="276" w:lineRule="auto"/>
              <w:textAlignment w:val="baseline"/>
              <w:rPr>
                <w:rFonts w:eastAsia="Times New Roman" w:cstheme="minorHAnsi"/>
                <w:i/>
                <w:sz w:val="24"/>
                <w:szCs w:val="24"/>
                <w:lang w:eastAsia="en-GB"/>
              </w:rPr>
            </w:pPr>
            <w:r w:rsidRPr="009D15ED">
              <w:rPr>
                <w:rFonts w:eastAsia="Times New Roman" w:cstheme="minorHAnsi"/>
                <w:i/>
                <w:sz w:val="24"/>
                <w:szCs w:val="24"/>
                <w:lang w:eastAsia="en-GB"/>
              </w:rPr>
              <w:t>   Creatinine Kinase (U/L)</w:t>
            </w:r>
          </w:p>
        </w:tc>
        <w:tc>
          <w:tcPr>
            <w:tcW w:w="2394" w:type="dxa"/>
            <w:tcBorders>
              <w:top w:val="nil"/>
              <w:left w:val="nil"/>
              <w:bottom w:val="nil"/>
              <w:right w:val="nil"/>
            </w:tcBorders>
            <w:shd w:val="clear" w:color="auto" w:fill="auto"/>
            <w:vAlign w:val="bottom"/>
            <w:hideMark/>
          </w:tcPr>
          <w:p w14:paraId="2F31F04A"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172 (102-582) </w:t>
            </w:r>
          </w:p>
        </w:tc>
        <w:tc>
          <w:tcPr>
            <w:tcW w:w="2586" w:type="dxa"/>
            <w:tcBorders>
              <w:top w:val="nil"/>
              <w:left w:val="nil"/>
              <w:bottom w:val="nil"/>
              <w:right w:val="nil"/>
            </w:tcBorders>
            <w:shd w:val="clear" w:color="auto" w:fill="auto"/>
            <w:vAlign w:val="bottom"/>
            <w:hideMark/>
          </w:tcPr>
          <w:p w14:paraId="29DC1EAA"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55 (31-286) </w:t>
            </w:r>
          </w:p>
        </w:tc>
        <w:tc>
          <w:tcPr>
            <w:tcW w:w="1087" w:type="dxa"/>
            <w:tcBorders>
              <w:top w:val="nil"/>
              <w:left w:val="nil"/>
              <w:bottom w:val="nil"/>
              <w:right w:val="nil"/>
            </w:tcBorders>
            <w:shd w:val="clear" w:color="auto" w:fill="auto"/>
            <w:vAlign w:val="bottom"/>
            <w:hideMark/>
          </w:tcPr>
          <w:p w14:paraId="7C911E6F"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b/>
                <w:bCs/>
                <w:sz w:val="24"/>
                <w:szCs w:val="24"/>
                <w:lang w:eastAsia="en-GB"/>
              </w:rPr>
              <w:t>0.008*</w:t>
            </w:r>
            <w:r w:rsidRPr="009D15ED">
              <w:rPr>
                <w:rFonts w:eastAsia="Times New Roman" w:cstheme="minorHAnsi"/>
                <w:sz w:val="24"/>
                <w:szCs w:val="24"/>
                <w:lang w:eastAsia="en-GB"/>
              </w:rPr>
              <w:t> </w:t>
            </w:r>
          </w:p>
        </w:tc>
      </w:tr>
      <w:tr w:rsidR="00FB669F" w:rsidRPr="009D15ED" w14:paraId="67BC2BD3" w14:textId="77777777" w:rsidTr="008E64CC">
        <w:trPr>
          <w:trHeight w:val="300"/>
          <w:jc w:val="center"/>
        </w:trPr>
        <w:tc>
          <w:tcPr>
            <w:tcW w:w="2959" w:type="dxa"/>
            <w:tcBorders>
              <w:top w:val="nil"/>
              <w:left w:val="nil"/>
              <w:bottom w:val="nil"/>
              <w:right w:val="nil"/>
            </w:tcBorders>
            <w:shd w:val="clear" w:color="auto" w:fill="auto"/>
            <w:vAlign w:val="bottom"/>
            <w:hideMark/>
          </w:tcPr>
          <w:p w14:paraId="2AD2C9AD" w14:textId="77777777" w:rsidR="00FB669F" w:rsidRPr="009D15ED" w:rsidRDefault="00FB669F" w:rsidP="008E64CC">
            <w:pPr>
              <w:spacing w:after="0" w:line="276" w:lineRule="auto"/>
              <w:textAlignment w:val="baseline"/>
              <w:rPr>
                <w:rFonts w:eastAsia="Times New Roman" w:cstheme="minorHAnsi"/>
                <w:sz w:val="24"/>
                <w:szCs w:val="24"/>
                <w:lang w:eastAsia="en-GB"/>
              </w:rPr>
            </w:pPr>
            <w:r w:rsidRPr="009D15ED">
              <w:rPr>
                <w:rFonts w:eastAsia="Times New Roman" w:cstheme="minorHAnsi"/>
                <w:b/>
                <w:bCs/>
                <w:sz w:val="24"/>
                <w:szCs w:val="24"/>
                <w:lang w:eastAsia="en-GB"/>
              </w:rPr>
              <w:lastRenderedPageBreak/>
              <w:t>ICU Treatments</w:t>
            </w:r>
            <w:r w:rsidRPr="009D15ED">
              <w:rPr>
                <w:rFonts w:eastAsia="Times New Roman" w:cstheme="minorHAnsi"/>
                <w:b/>
                <w:sz w:val="24"/>
                <w:szCs w:val="24"/>
                <w:lang w:eastAsia="en-GB"/>
              </w:rPr>
              <w:t> (n (%))</w:t>
            </w:r>
          </w:p>
        </w:tc>
        <w:tc>
          <w:tcPr>
            <w:tcW w:w="2394" w:type="dxa"/>
            <w:tcBorders>
              <w:top w:val="nil"/>
              <w:left w:val="nil"/>
              <w:bottom w:val="nil"/>
              <w:right w:val="nil"/>
            </w:tcBorders>
            <w:shd w:val="clear" w:color="auto" w:fill="auto"/>
            <w:vAlign w:val="bottom"/>
            <w:hideMark/>
          </w:tcPr>
          <w:p w14:paraId="738FC205"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 </w:t>
            </w:r>
          </w:p>
        </w:tc>
        <w:tc>
          <w:tcPr>
            <w:tcW w:w="2586" w:type="dxa"/>
            <w:tcBorders>
              <w:top w:val="nil"/>
              <w:left w:val="nil"/>
              <w:bottom w:val="nil"/>
              <w:right w:val="nil"/>
            </w:tcBorders>
            <w:shd w:val="clear" w:color="auto" w:fill="auto"/>
            <w:vAlign w:val="bottom"/>
            <w:hideMark/>
          </w:tcPr>
          <w:p w14:paraId="6D13214A"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 </w:t>
            </w:r>
          </w:p>
        </w:tc>
        <w:tc>
          <w:tcPr>
            <w:tcW w:w="1087" w:type="dxa"/>
            <w:tcBorders>
              <w:top w:val="nil"/>
              <w:left w:val="nil"/>
              <w:bottom w:val="nil"/>
              <w:right w:val="nil"/>
            </w:tcBorders>
            <w:shd w:val="clear" w:color="auto" w:fill="auto"/>
            <w:vAlign w:val="bottom"/>
            <w:hideMark/>
          </w:tcPr>
          <w:p w14:paraId="11F10E3E"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 </w:t>
            </w:r>
          </w:p>
        </w:tc>
      </w:tr>
      <w:tr w:rsidR="00FB669F" w:rsidRPr="009D15ED" w14:paraId="0C319542" w14:textId="77777777" w:rsidTr="008E64CC">
        <w:trPr>
          <w:trHeight w:val="300"/>
          <w:jc w:val="center"/>
        </w:trPr>
        <w:tc>
          <w:tcPr>
            <w:tcW w:w="2959" w:type="dxa"/>
            <w:tcBorders>
              <w:top w:val="nil"/>
              <w:left w:val="nil"/>
              <w:bottom w:val="nil"/>
              <w:right w:val="nil"/>
            </w:tcBorders>
            <w:shd w:val="clear" w:color="auto" w:fill="auto"/>
            <w:vAlign w:val="bottom"/>
            <w:hideMark/>
          </w:tcPr>
          <w:p w14:paraId="38EA2C8C" w14:textId="77777777" w:rsidR="00FB669F" w:rsidRPr="009D15ED" w:rsidRDefault="00FB669F" w:rsidP="008E64CC">
            <w:pPr>
              <w:spacing w:after="0" w:line="276" w:lineRule="auto"/>
              <w:textAlignment w:val="baseline"/>
              <w:rPr>
                <w:rFonts w:eastAsia="Times New Roman" w:cstheme="minorHAnsi"/>
                <w:i/>
                <w:sz w:val="24"/>
                <w:szCs w:val="24"/>
                <w:lang w:eastAsia="en-GB"/>
              </w:rPr>
            </w:pPr>
            <w:r w:rsidRPr="009D15ED">
              <w:rPr>
                <w:rFonts w:eastAsia="Times New Roman" w:cstheme="minorHAnsi"/>
                <w:i/>
                <w:sz w:val="24"/>
                <w:szCs w:val="24"/>
                <w:lang w:eastAsia="en-GB"/>
              </w:rPr>
              <w:t>   Dexamethasone </w:t>
            </w:r>
          </w:p>
        </w:tc>
        <w:tc>
          <w:tcPr>
            <w:tcW w:w="2394" w:type="dxa"/>
            <w:tcBorders>
              <w:top w:val="nil"/>
              <w:left w:val="nil"/>
              <w:bottom w:val="nil"/>
              <w:right w:val="nil"/>
            </w:tcBorders>
            <w:shd w:val="clear" w:color="auto" w:fill="auto"/>
            <w:vAlign w:val="bottom"/>
            <w:hideMark/>
          </w:tcPr>
          <w:p w14:paraId="0ABBCA1C"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26 (78.8%) </w:t>
            </w:r>
          </w:p>
        </w:tc>
        <w:tc>
          <w:tcPr>
            <w:tcW w:w="2586" w:type="dxa"/>
            <w:tcBorders>
              <w:top w:val="nil"/>
              <w:left w:val="nil"/>
              <w:bottom w:val="nil"/>
              <w:right w:val="nil"/>
            </w:tcBorders>
            <w:shd w:val="clear" w:color="auto" w:fill="auto"/>
            <w:vAlign w:val="bottom"/>
            <w:hideMark/>
          </w:tcPr>
          <w:p w14:paraId="61454014"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19 (73.1%) </w:t>
            </w:r>
          </w:p>
        </w:tc>
        <w:tc>
          <w:tcPr>
            <w:tcW w:w="1087" w:type="dxa"/>
            <w:tcBorders>
              <w:top w:val="nil"/>
              <w:left w:val="nil"/>
              <w:bottom w:val="nil"/>
              <w:right w:val="nil"/>
            </w:tcBorders>
            <w:shd w:val="clear" w:color="auto" w:fill="auto"/>
            <w:vAlign w:val="bottom"/>
            <w:hideMark/>
          </w:tcPr>
          <w:p w14:paraId="38B82A0A"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0.609 </w:t>
            </w:r>
          </w:p>
        </w:tc>
      </w:tr>
      <w:tr w:rsidR="00FB669F" w:rsidRPr="009D15ED" w14:paraId="018C0ECB" w14:textId="77777777" w:rsidTr="008E64CC">
        <w:trPr>
          <w:trHeight w:val="300"/>
          <w:jc w:val="center"/>
        </w:trPr>
        <w:tc>
          <w:tcPr>
            <w:tcW w:w="2959" w:type="dxa"/>
            <w:tcBorders>
              <w:top w:val="nil"/>
              <w:left w:val="nil"/>
              <w:bottom w:val="nil"/>
              <w:right w:val="nil"/>
            </w:tcBorders>
            <w:shd w:val="clear" w:color="auto" w:fill="auto"/>
            <w:vAlign w:val="bottom"/>
            <w:hideMark/>
          </w:tcPr>
          <w:p w14:paraId="6537AD5C" w14:textId="77777777" w:rsidR="00FB669F" w:rsidRPr="009D15ED" w:rsidRDefault="00FB669F" w:rsidP="008E64CC">
            <w:pPr>
              <w:spacing w:after="0" w:line="276" w:lineRule="auto"/>
              <w:textAlignment w:val="baseline"/>
              <w:rPr>
                <w:rFonts w:eastAsia="Times New Roman" w:cstheme="minorHAnsi"/>
                <w:i/>
                <w:sz w:val="24"/>
                <w:szCs w:val="24"/>
                <w:lang w:eastAsia="en-GB"/>
              </w:rPr>
            </w:pPr>
            <w:r w:rsidRPr="009D15ED">
              <w:rPr>
                <w:rFonts w:eastAsia="Times New Roman" w:cstheme="minorHAnsi"/>
                <w:i/>
                <w:sz w:val="24"/>
                <w:szCs w:val="24"/>
                <w:lang w:eastAsia="en-GB"/>
              </w:rPr>
              <w:t>   Methyl prednisolone </w:t>
            </w:r>
          </w:p>
        </w:tc>
        <w:tc>
          <w:tcPr>
            <w:tcW w:w="2394" w:type="dxa"/>
            <w:tcBorders>
              <w:top w:val="nil"/>
              <w:left w:val="nil"/>
              <w:bottom w:val="nil"/>
              <w:right w:val="nil"/>
            </w:tcBorders>
            <w:shd w:val="clear" w:color="auto" w:fill="auto"/>
            <w:vAlign w:val="bottom"/>
            <w:hideMark/>
          </w:tcPr>
          <w:p w14:paraId="24029EF4"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20 (60.6%) </w:t>
            </w:r>
          </w:p>
        </w:tc>
        <w:tc>
          <w:tcPr>
            <w:tcW w:w="2586" w:type="dxa"/>
            <w:tcBorders>
              <w:top w:val="nil"/>
              <w:left w:val="nil"/>
              <w:bottom w:val="nil"/>
              <w:right w:val="nil"/>
            </w:tcBorders>
            <w:shd w:val="clear" w:color="auto" w:fill="auto"/>
            <w:vAlign w:val="bottom"/>
            <w:hideMark/>
          </w:tcPr>
          <w:p w14:paraId="1398CC23"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13 (50.0%) </w:t>
            </w:r>
          </w:p>
        </w:tc>
        <w:tc>
          <w:tcPr>
            <w:tcW w:w="1087" w:type="dxa"/>
            <w:tcBorders>
              <w:top w:val="nil"/>
              <w:left w:val="nil"/>
              <w:bottom w:val="nil"/>
              <w:right w:val="nil"/>
            </w:tcBorders>
            <w:shd w:val="clear" w:color="auto" w:fill="auto"/>
            <w:vAlign w:val="bottom"/>
            <w:hideMark/>
          </w:tcPr>
          <w:p w14:paraId="67DC17DB"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0.415 </w:t>
            </w:r>
          </w:p>
        </w:tc>
      </w:tr>
      <w:tr w:rsidR="00FB669F" w:rsidRPr="009D15ED" w14:paraId="51670BE1" w14:textId="77777777" w:rsidTr="008E64CC">
        <w:trPr>
          <w:trHeight w:val="300"/>
          <w:jc w:val="center"/>
        </w:trPr>
        <w:tc>
          <w:tcPr>
            <w:tcW w:w="2959" w:type="dxa"/>
            <w:tcBorders>
              <w:top w:val="nil"/>
              <w:left w:val="nil"/>
              <w:bottom w:val="nil"/>
              <w:right w:val="nil"/>
            </w:tcBorders>
            <w:shd w:val="clear" w:color="auto" w:fill="auto"/>
            <w:vAlign w:val="bottom"/>
            <w:hideMark/>
          </w:tcPr>
          <w:p w14:paraId="75203A3D" w14:textId="77777777" w:rsidR="00FB669F" w:rsidRPr="009D15ED" w:rsidRDefault="00FB669F" w:rsidP="008E64CC">
            <w:pPr>
              <w:spacing w:after="0" w:line="276" w:lineRule="auto"/>
              <w:textAlignment w:val="baseline"/>
              <w:rPr>
                <w:rFonts w:eastAsia="Times New Roman" w:cstheme="minorHAnsi"/>
                <w:i/>
                <w:sz w:val="24"/>
                <w:szCs w:val="24"/>
                <w:lang w:eastAsia="en-GB"/>
              </w:rPr>
            </w:pPr>
            <w:r w:rsidRPr="009D15ED">
              <w:rPr>
                <w:rFonts w:eastAsia="Times New Roman" w:cstheme="minorHAnsi"/>
                <w:i/>
                <w:sz w:val="24"/>
                <w:szCs w:val="24"/>
                <w:lang w:eastAsia="en-GB"/>
              </w:rPr>
              <w:t>   Any steroid </w:t>
            </w:r>
          </w:p>
        </w:tc>
        <w:tc>
          <w:tcPr>
            <w:tcW w:w="2394" w:type="dxa"/>
            <w:tcBorders>
              <w:top w:val="nil"/>
              <w:left w:val="nil"/>
              <w:bottom w:val="nil"/>
              <w:right w:val="nil"/>
            </w:tcBorders>
            <w:shd w:val="clear" w:color="auto" w:fill="auto"/>
            <w:vAlign w:val="bottom"/>
            <w:hideMark/>
          </w:tcPr>
          <w:p w14:paraId="706734B6"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29 (87.9%) </w:t>
            </w:r>
          </w:p>
        </w:tc>
        <w:tc>
          <w:tcPr>
            <w:tcW w:w="2586" w:type="dxa"/>
            <w:tcBorders>
              <w:top w:val="nil"/>
              <w:left w:val="nil"/>
              <w:bottom w:val="nil"/>
              <w:right w:val="nil"/>
            </w:tcBorders>
            <w:shd w:val="clear" w:color="auto" w:fill="auto"/>
            <w:vAlign w:val="bottom"/>
            <w:hideMark/>
          </w:tcPr>
          <w:p w14:paraId="425E2DEB"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24 (92.3%) </w:t>
            </w:r>
          </w:p>
        </w:tc>
        <w:tc>
          <w:tcPr>
            <w:tcW w:w="1087" w:type="dxa"/>
            <w:tcBorders>
              <w:top w:val="nil"/>
              <w:left w:val="nil"/>
              <w:bottom w:val="nil"/>
              <w:right w:val="nil"/>
            </w:tcBorders>
            <w:shd w:val="clear" w:color="auto" w:fill="auto"/>
            <w:vAlign w:val="bottom"/>
            <w:hideMark/>
          </w:tcPr>
          <w:p w14:paraId="32145754"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0.457 </w:t>
            </w:r>
          </w:p>
        </w:tc>
      </w:tr>
      <w:tr w:rsidR="00FB669F" w:rsidRPr="009D15ED" w14:paraId="33BE2099" w14:textId="77777777" w:rsidTr="008E64CC">
        <w:trPr>
          <w:trHeight w:val="300"/>
          <w:jc w:val="center"/>
        </w:trPr>
        <w:tc>
          <w:tcPr>
            <w:tcW w:w="2959" w:type="dxa"/>
            <w:tcBorders>
              <w:top w:val="nil"/>
              <w:left w:val="nil"/>
              <w:bottom w:val="nil"/>
              <w:right w:val="nil"/>
            </w:tcBorders>
            <w:shd w:val="clear" w:color="auto" w:fill="auto"/>
            <w:vAlign w:val="bottom"/>
            <w:hideMark/>
          </w:tcPr>
          <w:p w14:paraId="793F92D2" w14:textId="77777777" w:rsidR="00FB669F" w:rsidRPr="009D15ED" w:rsidRDefault="00FB669F" w:rsidP="008E64CC">
            <w:pPr>
              <w:spacing w:after="0" w:line="276" w:lineRule="auto"/>
              <w:textAlignment w:val="baseline"/>
              <w:rPr>
                <w:rFonts w:eastAsia="Times New Roman" w:cstheme="minorHAnsi"/>
                <w:i/>
                <w:sz w:val="24"/>
                <w:szCs w:val="24"/>
                <w:lang w:eastAsia="en-GB"/>
              </w:rPr>
            </w:pPr>
            <w:r w:rsidRPr="009D15ED">
              <w:rPr>
                <w:rFonts w:eastAsia="Times New Roman" w:cstheme="minorHAnsi"/>
                <w:i/>
                <w:sz w:val="24"/>
                <w:szCs w:val="24"/>
                <w:lang w:eastAsia="en-GB"/>
              </w:rPr>
              <w:t>   Prone position ventilation</w:t>
            </w:r>
          </w:p>
        </w:tc>
        <w:tc>
          <w:tcPr>
            <w:tcW w:w="2394" w:type="dxa"/>
            <w:tcBorders>
              <w:top w:val="nil"/>
              <w:left w:val="nil"/>
              <w:bottom w:val="nil"/>
              <w:right w:val="nil"/>
            </w:tcBorders>
            <w:shd w:val="clear" w:color="auto" w:fill="auto"/>
            <w:vAlign w:val="bottom"/>
            <w:hideMark/>
          </w:tcPr>
          <w:p w14:paraId="16F08B8F"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30 (90.9%) </w:t>
            </w:r>
          </w:p>
        </w:tc>
        <w:tc>
          <w:tcPr>
            <w:tcW w:w="2586" w:type="dxa"/>
            <w:tcBorders>
              <w:top w:val="nil"/>
              <w:left w:val="nil"/>
              <w:bottom w:val="nil"/>
              <w:right w:val="nil"/>
            </w:tcBorders>
            <w:shd w:val="clear" w:color="auto" w:fill="auto"/>
            <w:vAlign w:val="bottom"/>
            <w:hideMark/>
          </w:tcPr>
          <w:p w14:paraId="2526BDCC"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25 (96.2%) </w:t>
            </w:r>
          </w:p>
        </w:tc>
        <w:tc>
          <w:tcPr>
            <w:tcW w:w="1087" w:type="dxa"/>
            <w:tcBorders>
              <w:top w:val="nil"/>
              <w:left w:val="nil"/>
              <w:bottom w:val="nil"/>
              <w:right w:val="nil"/>
            </w:tcBorders>
            <w:shd w:val="clear" w:color="auto" w:fill="auto"/>
            <w:vAlign w:val="bottom"/>
            <w:hideMark/>
          </w:tcPr>
          <w:p w14:paraId="5A4C1493"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0.402 </w:t>
            </w:r>
          </w:p>
        </w:tc>
      </w:tr>
      <w:tr w:rsidR="00FB669F" w:rsidRPr="009D15ED" w14:paraId="6D1DC334" w14:textId="77777777" w:rsidTr="008E64CC">
        <w:trPr>
          <w:trHeight w:val="300"/>
          <w:jc w:val="center"/>
        </w:trPr>
        <w:tc>
          <w:tcPr>
            <w:tcW w:w="2959" w:type="dxa"/>
            <w:tcBorders>
              <w:top w:val="nil"/>
              <w:left w:val="nil"/>
              <w:bottom w:val="nil"/>
              <w:right w:val="nil"/>
            </w:tcBorders>
            <w:shd w:val="clear" w:color="auto" w:fill="auto"/>
            <w:vAlign w:val="bottom"/>
            <w:hideMark/>
          </w:tcPr>
          <w:p w14:paraId="1FF55537" w14:textId="77777777" w:rsidR="00FB669F" w:rsidRPr="009D15ED" w:rsidRDefault="00FB669F" w:rsidP="008E64CC">
            <w:pPr>
              <w:spacing w:after="0" w:line="276" w:lineRule="auto"/>
              <w:textAlignment w:val="baseline"/>
              <w:rPr>
                <w:rFonts w:eastAsia="Times New Roman" w:cstheme="minorHAnsi"/>
                <w:i/>
                <w:sz w:val="24"/>
                <w:szCs w:val="24"/>
                <w:lang w:eastAsia="en-GB"/>
              </w:rPr>
            </w:pPr>
            <w:r w:rsidRPr="009D15ED">
              <w:rPr>
                <w:rFonts w:eastAsia="Times New Roman" w:cstheme="minorHAnsi"/>
                <w:i/>
                <w:sz w:val="24"/>
                <w:szCs w:val="24"/>
                <w:lang w:eastAsia="en-GB"/>
              </w:rPr>
              <w:t>   Transfer for ECMO </w:t>
            </w:r>
          </w:p>
        </w:tc>
        <w:tc>
          <w:tcPr>
            <w:tcW w:w="2394" w:type="dxa"/>
            <w:tcBorders>
              <w:top w:val="nil"/>
              <w:left w:val="nil"/>
              <w:bottom w:val="nil"/>
              <w:right w:val="nil"/>
            </w:tcBorders>
            <w:shd w:val="clear" w:color="auto" w:fill="auto"/>
            <w:vAlign w:val="bottom"/>
            <w:hideMark/>
          </w:tcPr>
          <w:p w14:paraId="21D2EB56"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1 (3.0%) </w:t>
            </w:r>
          </w:p>
        </w:tc>
        <w:tc>
          <w:tcPr>
            <w:tcW w:w="2586" w:type="dxa"/>
            <w:tcBorders>
              <w:top w:val="nil"/>
              <w:left w:val="nil"/>
              <w:bottom w:val="nil"/>
              <w:right w:val="nil"/>
            </w:tcBorders>
            <w:shd w:val="clear" w:color="auto" w:fill="auto"/>
            <w:vAlign w:val="bottom"/>
            <w:hideMark/>
          </w:tcPr>
          <w:p w14:paraId="339AF93E"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 </w:t>
            </w:r>
          </w:p>
        </w:tc>
        <w:tc>
          <w:tcPr>
            <w:tcW w:w="1087" w:type="dxa"/>
            <w:tcBorders>
              <w:top w:val="nil"/>
              <w:left w:val="nil"/>
              <w:bottom w:val="nil"/>
              <w:right w:val="nil"/>
            </w:tcBorders>
            <w:shd w:val="clear" w:color="auto" w:fill="auto"/>
            <w:vAlign w:val="bottom"/>
            <w:hideMark/>
          </w:tcPr>
          <w:p w14:paraId="5B587F70"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0.569 </w:t>
            </w:r>
          </w:p>
        </w:tc>
      </w:tr>
      <w:tr w:rsidR="00FB669F" w:rsidRPr="009D15ED" w14:paraId="06A72D2B" w14:textId="77777777" w:rsidTr="008E64CC">
        <w:trPr>
          <w:trHeight w:val="300"/>
          <w:jc w:val="center"/>
        </w:trPr>
        <w:tc>
          <w:tcPr>
            <w:tcW w:w="2959" w:type="dxa"/>
            <w:tcBorders>
              <w:top w:val="nil"/>
              <w:left w:val="nil"/>
              <w:bottom w:val="nil"/>
              <w:right w:val="nil"/>
            </w:tcBorders>
            <w:shd w:val="clear" w:color="auto" w:fill="auto"/>
            <w:vAlign w:val="bottom"/>
            <w:hideMark/>
          </w:tcPr>
          <w:p w14:paraId="29D681BA" w14:textId="77777777" w:rsidR="00FB669F" w:rsidRPr="009D15ED" w:rsidRDefault="00FB669F" w:rsidP="008E64CC">
            <w:pPr>
              <w:spacing w:after="0" w:line="276" w:lineRule="auto"/>
              <w:textAlignment w:val="baseline"/>
              <w:rPr>
                <w:rFonts w:eastAsia="Times New Roman" w:cstheme="minorHAnsi"/>
                <w:i/>
                <w:sz w:val="24"/>
                <w:szCs w:val="24"/>
                <w:lang w:eastAsia="en-GB"/>
              </w:rPr>
            </w:pPr>
            <w:r w:rsidRPr="009D15ED">
              <w:rPr>
                <w:rFonts w:eastAsia="Times New Roman" w:cstheme="minorHAnsi"/>
                <w:i/>
                <w:sz w:val="24"/>
                <w:szCs w:val="24"/>
                <w:lang w:eastAsia="en-GB"/>
              </w:rPr>
              <w:t>   Renal replacement therapy </w:t>
            </w:r>
          </w:p>
        </w:tc>
        <w:tc>
          <w:tcPr>
            <w:tcW w:w="2394" w:type="dxa"/>
            <w:tcBorders>
              <w:top w:val="nil"/>
              <w:left w:val="nil"/>
              <w:bottom w:val="nil"/>
              <w:right w:val="nil"/>
            </w:tcBorders>
            <w:shd w:val="clear" w:color="auto" w:fill="auto"/>
            <w:vAlign w:val="bottom"/>
            <w:hideMark/>
          </w:tcPr>
          <w:p w14:paraId="253B7C56"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5 (15.2%) </w:t>
            </w:r>
          </w:p>
        </w:tc>
        <w:tc>
          <w:tcPr>
            <w:tcW w:w="2586" w:type="dxa"/>
            <w:tcBorders>
              <w:top w:val="nil"/>
              <w:left w:val="nil"/>
              <w:bottom w:val="nil"/>
              <w:right w:val="nil"/>
            </w:tcBorders>
            <w:shd w:val="clear" w:color="auto" w:fill="auto"/>
            <w:vAlign w:val="bottom"/>
            <w:hideMark/>
          </w:tcPr>
          <w:p w14:paraId="761DB8D2"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10 (38.5%) </w:t>
            </w:r>
          </w:p>
        </w:tc>
        <w:tc>
          <w:tcPr>
            <w:tcW w:w="1087" w:type="dxa"/>
            <w:tcBorders>
              <w:top w:val="nil"/>
              <w:left w:val="nil"/>
              <w:bottom w:val="nil"/>
              <w:right w:val="nil"/>
            </w:tcBorders>
            <w:shd w:val="clear" w:color="auto" w:fill="auto"/>
            <w:vAlign w:val="bottom"/>
            <w:hideMark/>
          </w:tcPr>
          <w:p w14:paraId="6D48385D"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b/>
                <w:bCs/>
                <w:sz w:val="24"/>
                <w:szCs w:val="24"/>
                <w:lang w:eastAsia="en-GB"/>
              </w:rPr>
              <w:t>0.041*</w:t>
            </w:r>
            <w:r w:rsidRPr="009D15ED">
              <w:rPr>
                <w:rFonts w:eastAsia="Times New Roman" w:cstheme="minorHAnsi"/>
                <w:sz w:val="24"/>
                <w:szCs w:val="24"/>
                <w:lang w:eastAsia="en-GB"/>
              </w:rPr>
              <w:t> </w:t>
            </w:r>
          </w:p>
        </w:tc>
      </w:tr>
    </w:tbl>
    <w:p w14:paraId="567C74F4" w14:textId="77777777" w:rsidR="00FB669F" w:rsidRPr="009D15ED" w:rsidRDefault="00FB669F" w:rsidP="00FB669F">
      <w:pPr>
        <w:spacing w:line="276" w:lineRule="auto"/>
        <w:jc w:val="center"/>
        <w:rPr>
          <w:rFonts w:cstheme="minorHAnsi"/>
          <w:sz w:val="24"/>
          <w:szCs w:val="24"/>
        </w:rPr>
      </w:pPr>
    </w:p>
    <w:p w14:paraId="2AC48CD8" w14:textId="77777777" w:rsidR="00FB669F" w:rsidRPr="009D15ED" w:rsidRDefault="00FB669F" w:rsidP="00FB669F">
      <w:pPr>
        <w:spacing w:line="276" w:lineRule="auto"/>
        <w:jc w:val="center"/>
        <w:rPr>
          <w:rFonts w:cstheme="minorHAnsi"/>
          <w:sz w:val="24"/>
          <w:szCs w:val="24"/>
        </w:rPr>
      </w:pPr>
    </w:p>
    <w:p w14:paraId="515C016D" w14:textId="77777777" w:rsidR="00FB669F" w:rsidRPr="009D15ED" w:rsidRDefault="00FB669F" w:rsidP="00FB669F">
      <w:pPr>
        <w:spacing w:line="276" w:lineRule="auto"/>
        <w:rPr>
          <w:rFonts w:cstheme="minorHAnsi"/>
          <w:sz w:val="24"/>
          <w:szCs w:val="24"/>
        </w:rPr>
      </w:pPr>
    </w:p>
    <w:p w14:paraId="51AF8CF6" w14:textId="0F30B0C5" w:rsidR="00FB669F" w:rsidRDefault="00FB669F" w:rsidP="00FB669F">
      <w:pPr>
        <w:spacing w:line="276" w:lineRule="auto"/>
        <w:rPr>
          <w:rFonts w:cstheme="minorHAnsi"/>
          <w:sz w:val="24"/>
          <w:szCs w:val="24"/>
        </w:rPr>
      </w:pPr>
      <w:r w:rsidRPr="009D15ED">
        <w:rPr>
          <w:rFonts w:cstheme="minorHAnsi"/>
          <w:sz w:val="24"/>
          <w:szCs w:val="24"/>
        </w:rPr>
        <w:br w:type="page"/>
      </w:r>
    </w:p>
    <w:p w14:paraId="59FA24FF" w14:textId="37BF9562" w:rsidR="00904B8D" w:rsidRPr="00904B8D" w:rsidRDefault="00904B8D" w:rsidP="00904B8D">
      <w:pPr>
        <w:pStyle w:val="Heading2"/>
        <w:rPr>
          <w:rFonts w:asciiTheme="minorHAnsi" w:hAnsiTheme="minorHAnsi" w:cstheme="minorHAnsi"/>
          <w:color w:val="auto"/>
          <w:sz w:val="24"/>
          <w:szCs w:val="24"/>
        </w:rPr>
      </w:pPr>
      <w:r w:rsidRPr="009D15ED">
        <w:rPr>
          <w:rFonts w:asciiTheme="minorHAnsi" w:hAnsiTheme="minorHAnsi" w:cstheme="minorHAnsi"/>
          <w:color w:val="auto"/>
          <w:sz w:val="24"/>
          <w:szCs w:val="24"/>
        </w:rPr>
        <w:lastRenderedPageBreak/>
        <w:t>Table 4. Response to IPVD therapy in survivors vs. non-survivors</w:t>
      </w:r>
    </w:p>
    <w:p w14:paraId="48FACF36" w14:textId="77777777" w:rsidR="00904B8D" w:rsidRPr="009D15ED" w:rsidRDefault="00904B8D" w:rsidP="00FB669F">
      <w:pPr>
        <w:spacing w:line="276" w:lineRule="auto"/>
        <w:rPr>
          <w:rFonts w:cstheme="minorHAnsi"/>
          <w:sz w:val="24"/>
          <w:szCs w:val="24"/>
        </w:rPr>
      </w:pPr>
    </w:p>
    <w:tbl>
      <w:tblPr>
        <w:tblW w:w="5000"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253"/>
        <w:gridCol w:w="1984"/>
        <w:gridCol w:w="1986"/>
        <w:gridCol w:w="803"/>
      </w:tblGrid>
      <w:tr w:rsidR="00FB669F" w:rsidRPr="009D15ED" w14:paraId="46EF0D0A" w14:textId="77777777" w:rsidTr="00FF0268">
        <w:trPr>
          <w:trHeight w:val="313"/>
        </w:trPr>
        <w:tc>
          <w:tcPr>
            <w:tcW w:w="2356" w:type="pct"/>
            <w:tcBorders>
              <w:top w:val="single" w:sz="18" w:space="0" w:color="auto"/>
              <w:left w:val="nil"/>
              <w:bottom w:val="single" w:sz="18" w:space="0" w:color="auto"/>
              <w:right w:val="nil"/>
            </w:tcBorders>
            <w:shd w:val="clear" w:color="auto" w:fill="auto"/>
            <w:vAlign w:val="center"/>
            <w:hideMark/>
          </w:tcPr>
          <w:p w14:paraId="1E64D18D" w14:textId="77777777" w:rsidR="00FB669F" w:rsidRDefault="00FB669F" w:rsidP="008E64CC">
            <w:pPr>
              <w:spacing w:after="0" w:line="276" w:lineRule="auto"/>
              <w:jc w:val="center"/>
              <w:textAlignment w:val="baseline"/>
              <w:rPr>
                <w:rFonts w:eastAsia="Times New Roman" w:cstheme="minorHAnsi"/>
                <w:sz w:val="24"/>
                <w:szCs w:val="24"/>
                <w:lang w:eastAsia="en-GB"/>
              </w:rPr>
            </w:pPr>
          </w:p>
          <w:p w14:paraId="56BF9574" w14:textId="7F1331A7" w:rsidR="00904B8D" w:rsidRPr="009D15ED" w:rsidRDefault="00904B8D" w:rsidP="008E64CC">
            <w:pPr>
              <w:spacing w:after="0" w:line="276" w:lineRule="auto"/>
              <w:jc w:val="center"/>
              <w:textAlignment w:val="baseline"/>
              <w:rPr>
                <w:rFonts w:eastAsia="Times New Roman" w:cstheme="minorHAnsi"/>
                <w:sz w:val="24"/>
                <w:szCs w:val="24"/>
                <w:lang w:eastAsia="en-GB"/>
              </w:rPr>
            </w:pPr>
          </w:p>
        </w:tc>
        <w:tc>
          <w:tcPr>
            <w:tcW w:w="1099" w:type="pct"/>
            <w:tcBorders>
              <w:top w:val="single" w:sz="18" w:space="0" w:color="auto"/>
              <w:left w:val="nil"/>
              <w:bottom w:val="single" w:sz="18" w:space="0" w:color="auto"/>
              <w:right w:val="nil"/>
            </w:tcBorders>
            <w:shd w:val="clear" w:color="auto" w:fill="auto"/>
            <w:vAlign w:val="bottom"/>
            <w:hideMark/>
          </w:tcPr>
          <w:p w14:paraId="0ED5660D"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b/>
                <w:bCs/>
                <w:sz w:val="24"/>
                <w:szCs w:val="24"/>
                <w:lang w:eastAsia="en-GB"/>
              </w:rPr>
              <w:t>Survivors (n=33)</w:t>
            </w:r>
          </w:p>
        </w:tc>
        <w:tc>
          <w:tcPr>
            <w:tcW w:w="1100" w:type="pct"/>
            <w:tcBorders>
              <w:top w:val="single" w:sz="18" w:space="0" w:color="auto"/>
              <w:left w:val="nil"/>
              <w:bottom w:val="single" w:sz="18" w:space="0" w:color="auto"/>
              <w:right w:val="nil"/>
            </w:tcBorders>
            <w:shd w:val="clear" w:color="auto" w:fill="auto"/>
            <w:vAlign w:val="bottom"/>
            <w:hideMark/>
          </w:tcPr>
          <w:p w14:paraId="2BB8AB35"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b/>
                <w:bCs/>
                <w:sz w:val="24"/>
                <w:szCs w:val="24"/>
                <w:lang w:eastAsia="en-GB"/>
              </w:rPr>
              <w:t>Non-survivors (n=26)</w:t>
            </w:r>
          </w:p>
        </w:tc>
        <w:tc>
          <w:tcPr>
            <w:tcW w:w="445" w:type="pct"/>
            <w:tcBorders>
              <w:top w:val="single" w:sz="18" w:space="0" w:color="auto"/>
              <w:left w:val="nil"/>
              <w:bottom w:val="single" w:sz="18" w:space="0" w:color="auto"/>
              <w:right w:val="nil"/>
            </w:tcBorders>
            <w:shd w:val="clear" w:color="auto" w:fill="auto"/>
            <w:vAlign w:val="bottom"/>
            <w:hideMark/>
          </w:tcPr>
          <w:p w14:paraId="668CE9B7"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b/>
                <w:bCs/>
                <w:sz w:val="24"/>
                <w:szCs w:val="24"/>
                <w:lang w:eastAsia="en-GB"/>
              </w:rPr>
              <w:t>p-value</w:t>
            </w:r>
          </w:p>
        </w:tc>
      </w:tr>
      <w:tr w:rsidR="00FB669F" w:rsidRPr="009D15ED" w14:paraId="04DF63A3" w14:textId="77777777" w:rsidTr="00FF0268">
        <w:trPr>
          <w:trHeight w:val="300"/>
        </w:trPr>
        <w:tc>
          <w:tcPr>
            <w:tcW w:w="2356" w:type="pct"/>
            <w:tcBorders>
              <w:top w:val="nil"/>
              <w:left w:val="nil"/>
              <w:bottom w:val="nil"/>
              <w:right w:val="nil"/>
            </w:tcBorders>
            <w:shd w:val="clear" w:color="auto" w:fill="auto"/>
            <w:vAlign w:val="bottom"/>
          </w:tcPr>
          <w:p w14:paraId="5BD40043" w14:textId="77777777" w:rsidR="00FB669F" w:rsidRPr="009D15ED" w:rsidRDefault="00FB669F" w:rsidP="008E64CC">
            <w:pPr>
              <w:spacing w:after="0" w:line="276" w:lineRule="auto"/>
              <w:textAlignment w:val="baseline"/>
              <w:rPr>
                <w:rFonts w:eastAsia="Times New Roman" w:cstheme="minorHAnsi"/>
                <w:b/>
                <w:bCs/>
                <w:sz w:val="24"/>
                <w:szCs w:val="24"/>
                <w:lang w:eastAsia="en-GB"/>
              </w:rPr>
            </w:pPr>
            <w:r w:rsidRPr="009D15ED">
              <w:rPr>
                <w:rFonts w:eastAsia="Times New Roman" w:cstheme="minorHAnsi"/>
                <w:b/>
                <w:bCs/>
                <w:sz w:val="24"/>
                <w:szCs w:val="24"/>
                <w:lang w:eastAsia="en-GB"/>
              </w:rPr>
              <w:t>Days from admission to IPVD</w:t>
            </w:r>
          </w:p>
        </w:tc>
        <w:tc>
          <w:tcPr>
            <w:tcW w:w="1099" w:type="pct"/>
            <w:tcBorders>
              <w:top w:val="nil"/>
              <w:left w:val="nil"/>
              <w:bottom w:val="nil"/>
              <w:right w:val="nil"/>
            </w:tcBorders>
            <w:shd w:val="clear" w:color="auto" w:fill="auto"/>
            <w:vAlign w:val="bottom"/>
          </w:tcPr>
          <w:p w14:paraId="6F1AFD0D"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6 (2-9)</w:t>
            </w:r>
          </w:p>
        </w:tc>
        <w:tc>
          <w:tcPr>
            <w:tcW w:w="1100" w:type="pct"/>
            <w:tcBorders>
              <w:top w:val="nil"/>
              <w:left w:val="nil"/>
              <w:bottom w:val="nil"/>
              <w:right w:val="nil"/>
            </w:tcBorders>
            <w:shd w:val="clear" w:color="auto" w:fill="auto"/>
            <w:vAlign w:val="bottom"/>
          </w:tcPr>
          <w:p w14:paraId="796ADF72"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6 (3-9)</w:t>
            </w:r>
          </w:p>
        </w:tc>
        <w:tc>
          <w:tcPr>
            <w:tcW w:w="445" w:type="pct"/>
            <w:tcBorders>
              <w:top w:val="nil"/>
              <w:left w:val="nil"/>
              <w:bottom w:val="nil"/>
              <w:right w:val="nil"/>
            </w:tcBorders>
            <w:shd w:val="clear" w:color="auto" w:fill="auto"/>
            <w:vAlign w:val="bottom"/>
          </w:tcPr>
          <w:p w14:paraId="140AFED8"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0.742</w:t>
            </w:r>
          </w:p>
        </w:tc>
      </w:tr>
      <w:tr w:rsidR="00FB669F" w:rsidRPr="009D15ED" w14:paraId="3B82DD73" w14:textId="77777777" w:rsidTr="00FF0268">
        <w:trPr>
          <w:trHeight w:val="300"/>
        </w:trPr>
        <w:tc>
          <w:tcPr>
            <w:tcW w:w="2356" w:type="pct"/>
            <w:tcBorders>
              <w:top w:val="nil"/>
              <w:left w:val="nil"/>
              <w:bottom w:val="nil"/>
              <w:right w:val="nil"/>
            </w:tcBorders>
            <w:shd w:val="clear" w:color="auto" w:fill="auto"/>
            <w:vAlign w:val="bottom"/>
            <w:hideMark/>
          </w:tcPr>
          <w:p w14:paraId="08FE1C6A" w14:textId="77777777" w:rsidR="00FB669F" w:rsidRPr="009D15ED" w:rsidRDefault="00FB669F" w:rsidP="008E64CC">
            <w:pPr>
              <w:spacing w:after="0" w:line="276" w:lineRule="auto"/>
              <w:textAlignment w:val="baseline"/>
              <w:rPr>
                <w:rFonts w:eastAsia="Times New Roman" w:cstheme="minorHAnsi"/>
                <w:sz w:val="24"/>
                <w:szCs w:val="24"/>
                <w:lang w:eastAsia="en-GB"/>
              </w:rPr>
            </w:pPr>
            <w:r w:rsidRPr="009D15ED">
              <w:rPr>
                <w:rFonts w:eastAsia="Times New Roman" w:cstheme="minorHAnsi"/>
                <w:b/>
                <w:bCs/>
                <w:sz w:val="24"/>
                <w:szCs w:val="24"/>
                <w:lang w:eastAsia="en-GB"/>
              </w:rPr>
              <w:t>PF ratio at commencing therapy</w:t>
            </w:r>
            <w:r w:rsidRPr="009D15ED">
              <w:rPr>
                <w:rFonts w:eastAsia="Times New Roman" w:cstheme="minorHAnsi"/>
                <w:b/>
                <w:sz w:val="24"/>
                <w:szCs w:val="24"/>
                <w:lang w:eastAsia="en-GB"/>
              </w:rPr>
              <w:t xml:space="preserve"> (</w:t>
            </w:r>
            <w:proofErr w:type="spellStart"/>
            <w:r w:rsidRPr="009D15ED">
              <w:rPr>
                <w:rFonts w:eastAsia="Times New Roman" w:cstheme="minorHAnsi"/>
                <w:b/>
                <w:sz w:val="24"/>
                <w:szCs w:val="24"/>
                <w:lang w:eastAsia="en-GB"/>
              </w:rPr>
              <w:t>kPa</w:t>
            </w:r>
            <w:proofErr w:type="spellEnd"/>
            <w:r w:rsidRPr="009D15ED">
              <w:rPr>
                <w:rFonts w:eastAsia="Times New Roman" w:cstheme="minorHAnsi"/>
                <w:b/>
                <w:sz w:val="24"/>
                <w:szCs w:val="24"/>
                <w:lang w:eastAsia="en-GB"/>
              </w:rPr>
              <w:t>)</w:t>
            </w:r>
          </w:p>
        </w:tc>
        <w:tc>
          <w:tcPr>
            <w:tcW w:w="1099" w:type="pct"/>
            <w:tcBorders>
              <w:top w:val="nil"/>
              <w:left w:val="nil"/>
              <w:bottom w:val="nil"/>
              <w:right w:val="nil"/>
            </w:tcBorders>
            <w:shd w:val="clear" w:color="auto" w:fill="auto"/>
            <w:vAlign w:val="bottom"/>
            <w:hideMark/>
          </w:tcPr>
          <w:p w14:paraId="1794CAD4"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11.39 (9.90-12.92) </w:t>
            </w:r>
          </w:p>
        </w:tc>
        <w:tc>
          <w:tcPr>
            <w:tcW w:w="1100" w:type="pct"/>
            <w:tcBorders>
              <w:top w:val="nil"/>
              <w:left w:val="nil"/>
              <w:bottom w:val="nil"/>
              <w:right w:val="nil"/>
            </w:tcBorders>
            <w:shd w:val="clear" w:color="auto" w:fill="auto"/>
            <w:vAlign w:val="bottom"/>
            <w:hideMark/>
          </w:tcPr>
          <w:p w14:paraId="4235E2F5"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11.28 (9.74-12.71) </w:t>
            </w:r>
          </w:p>
        </w:tc>
        <w:tc>
          <w:tcPr>
            <w:tcW w:w="445" w:type="pct"/>
            <w:tcBorders>
              <w:top w:val="nil"/>
              <w:left w:val="nil"/>
              <w:bottom w:val="nil"/>
              <w:right w:val="nil"/>
            </w:tcBorders>
            <w:shd w:val="clear" w:color="auto" w:fill="auto"/>
            <w:vAlign w:val="bottom"/>
            <w:hideMark/>
          </w:tcPr>
          <w:p w14:paraId="2850B6D5"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1.000 </w:t>
            </w:r>
          </w:p>
        </w:tc>
      </w:tr>
      <w:tr w:rsidR="00FB669F" w:rsidRPr="009D15ED" w14:paraId="75B3500D" w14:textId="77777777" w:rsidTr="00FF0268">
        <w:trPr>
          <w:trHeight w:val="300"/>
        </w:trPr>
        <w:tc>
          <w:tcPr>
            <w:tcW w:w="2356" w:type="pct"/>
            <w:tcBorders>
              <w:top w:val="nil"/>
              <w:left w:val="nil"/>
              <w:bottom w:val="nil"/>
              <w:right w:val="nil"/>
            </w:tcBorders>
            <w:shd w:val="clear" w:color="auto" w:fill="auto"/>
            <w:vAlign w:val="bottom"/>
          </w:tcPr>
          <w:p w14:paraId="267656FA" w14:textId="77777777" w:rsidR="00FB669F" w:rsidRPr="009D15ED" w:rsidRDefault="00FB669F" w:rsidP="008E64CC">
            <w:pPr>
              <w:spacing w:after="0" w:line="276" w:lineRule="auto"/>
              <w:textAlignment w:val="baseline"/>
              <w:rPr>
                <w:rFonts w:eastAsia="Times New Roman" w:cstheme="minorHAnsi"/>
                <w:b/>
                <w:bCs/>
                <w:sz w:val="24"/>
                <w:szCs w:val="24"/>
                <w:lang w:eastAsia="en-GB"/>
              </w:rPr>
            </w:pPr>
            <w:r w:rsidRPr="009D15ED">
              <w:rPr>
                <w:rFonts w:eastAsia="Times New Roman" w:cstheme="minorHAnsi"/>
                <w:b/>
                <w:bCs/>
                <w:sz w:val="24"/>
                <w:szCs w:val="24"/>
                <w:lang w:eastAsia="en-GB"/>
              </w:rPr>
              <w:t xml:space="preserve">Therapy received </w:t>
            </w:r>
            <w:r w:rsidRPr="009D15ED">
              <w:rPr>
                <w:rFonts w:eastAsia="Times New Roman" w:cstheme="minorHAnsi"/>
                <w:b/>
                <w:sz w:val="24"/>
                <w:szCs w:val="24"/>
                <w:lang w:eastAsia="en-GB"/>
              </w:rPr>
              <w:t>(n (%))</w:t>
            </w:r>
          </w:p>
        </w:tc>
        <w:tc>
          <w:tcPr>
            <w:tcW w:w="1099" w:type="pct"/>
            <w:tcBorders>
              <w:top w:val="nil"/>
              <w:left w:val="nil"/>
              <w:bottom w:val="nil"/>
              <w:right w:val="nil"/>
            </w:tcBorders>
            <w:shd w:val="clear" w:color="auto" w:fill="auto"/>
            <w:vAlign w:val="bottom"/>
          </w:tcPr>
          <w:p w14:paraId="24F37243"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p>
        </w:tc>
        <w:tc>
          <w:tcPr>
            <w:tcW w:w="1100" w:type="pct"/>
            <w:tcBorders>
              <w:top w:val="nil"/>
              <w:left w:val="nil"/>
              <w:bottom w:val="nil"/>
              <w:right w:val="nil"/>
            </w:tcBorders>
            <w:shd w:val="clear" w:color="auto" w:fill="auto"/>
            <w:vAlign w:val="bottom"/>
          </w:tcPr>
          <w:p w14:paraId="2A734C15"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p>
        </w:tc>
        <w:tc>
          <w:tcPr>
            <w:tcW w:w="445" w:type="pct"/>
            <w:tcBorders>
              <w:top w:val="nil"/>
              <w:left w:val="nil"/>
              <w:bottom w:val="nil"/>
              <w:right w:val="nil"/>
            </w:tcBorders>
            <w:shd w:val="clear" w:color="auto" w:fill="auto"/>
            <w:vAlign w:val="bottom"/>
          </w:tcPr>
          <w:p w14:paraId="243A9002"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p>
        </w:tc>
      </w:tr>
      <w:tr w:rsidR="00FB669F" w:rsidRPr="009D15ED" w14:paraId="1815493A" w14:textId="77777777" w:rsidTr="00FF0268">
        <w:trPr>
          <w:trHeight w:val="300"/>
        </w:trPr>
        <w:tc>
          <w:tcPr>
            <w:tcW w:w="2356" w:type="pct"/>
            <w:tcBorders>
              <w:top w:val="nil"/>
              <w:left w:val="nil"/>
              <w:bottom w:val="nil"/>
              <w:right w:val="nil"/>
            </w:tcBorders>
            <w:shd w:val="clear" w:color="auto" w:fill="auto"/>
            <w:vAlign w:val="bottom"/>
          </w:tcPr>
          <w:p w14:paraId="7B12ECD1" w14:textId="77777777" w:rsidR="00FB669F" w:rsidRPr="009D15ED" w:rsidRDefault="00FB669F" w:rsidP="008E64CC">
            <w:pPr>
              <w:spacing w:after="0" w:line="276" w:lineRule="auto"/>
              <w:textAlignment w:val="baseline"/>
              <w:rPr>
                <w:rFonts w:eastAsia="Times New Roman" w:cstheme="minorHAnsi"/>
                <w:bCs/>
                <w:sz w:val="24"/>
                <w:szCs w:val="24"/>
                <w:lang w:eastAsia="en-GB"/>
              </w:rPr>
            </w:pPr>
            <w:r w:rsidRPr="009D15ED">
              <w:rPr>
                <w:rFonts w:eastAsia="Times New Roman" w:cstheme="minorHAnsi"/>
                <w:bCs/>
                <w:sz w:val="24"/>
                <w:szCs w:val="24"/>
                <w:lang w:eastAsia="en-GB"/>
              </w:rPr>
              <w:t xml:space="preserve">   Iloprost</w:t>
            </w:r>
          </w:p>
        </w:tc>
        <w:tc>
          <w:tcPr>
            <w:tcW w:w="1099" w:type="pct"/>
            <w:tcBorders>
              <w:top w:val="nil"/>
              <w:left w:val="nil"/>
              <w:bottom w:val="nil"/>
              <w:right w:val="nil"/>
            </w:tcBorders>
            <w:shd w:val="clear" w:color="auto" w:fill="auto"/>
            <w:vAlign w:val="bottom"/>
          </w:tcPr>
          <w:p w14:paraId="201415EC"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8 (24.2%)</w:t>
            </w:r>
          </w:p>
        </w:tc>
        <w:tc>
          <w:tcPr>
            <w:tcW w:w="1100" w:type="pct"/>
            <w:tcBorders>
              <w:top w:val="nil"/>
              <w:left w:val="nil"/>
              <w:bottom w:val="nil"/>
              <w:right w:val="nil"/>
            </w:tcBorders>
            <w:shd w:val="clear" w:color="auto" w:fill="auto"/>
            <w:vAlign w:val="bottom"/>
          </w:tcPr>
          <w:p w14:paraId="3D99CC49"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3 (11.5%)</w:t>
            </w:r>
          </w:p>
        </w:tc>
        <w:tc>
          <w:tcPr>
            <w:tcW w:w="445" w:type="pct"/>
            <w:tcBorders>
              <w:top w:val="nil"/>
              <w:left w:val="nil"/>
              <w:bottom w:val="nil"/>
              <w:right w:val="nil"/>
            </w:tcBorders>
            <w:shd w:val="clear" w:color="auto" w:fill="auto"/>
            <w:vAlign w:val="bottom"/>
          </w:tcPr>
          <w:p w14:paraId="503EE648"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0.405</w:t>
            </w:r>
          </w:p>
        </w:tc>
      </w:tr>
      <w:tr w:rsidR="00FB669F" w:rsidRPr="009D15ED" w14:paraId="1FD98714" w14:textId="77777777" w:rsidTr="00FF0268">
        <w:trPr>
          <w:trHeight w:val="300"/>
        </w:trPr>
        <w:tc>
          <w:tcPr>
            <w:tcW w:w="2356" w:type="pct"/>
            <w:tcBorders>
              <w:top w:val="nil"/>
              <w:left w:val="nil"/>
              <w:bottom w:val="nil"/>
              <w:right w:val="nil"/>
            </w:tcBorders>
            <w:shd w:val="clear" w:color="auto" w:fill="auto"/>
            <w:vAlign w:val="bottom"/>
          </w:tcPr>
          <w:p w14:paraId="03A6ED39" w14:textId="77777777" w:rsidR="00FB669F" w:rsidRPr="009D15ED" w:rsidRDefault="00FB669F" w:rsidP="008E64CC">
            <w:pPr>
              <w:spacing w:after="0" w:line="276" w:lineRule="auto"/>
              <w:textAlignment w:val="baseline"/>
              <w:rPr>
                <w:rFonts w:eastAsia="Times New Roman" w:cstheme="minorHAnsi"/>
                <w:bCs/>
                <w:sz w:val="24"/>
                <w:szCs w:val="24"/>
                <w:lang w:eastAsia="en-GB"/>
              </w:rPr>
            </w:pPr>
            <w:r w:rsidRPr="009D15ED">
              <w:rPr>
                <w:rFonts w:eastAsia="Times New Roman" w:cstheme="minorHAnsi"/>
                <w:bCs/>
                <w:sz w:val="24"/>
                <w:szCs w:val="24"/>
                <w:lang w:eastAsia="en-GB"/>
              </w:rPr>
              <w:t xml:space="preserve">   NO</w:t>
            </w:r>
          </w:p>
        </w:tc>
        <w:tc>
          <w:tcPr>
            <w:tcW w:w="1099" w:type="pct"/>
            <w:tcBorders>
              <w:top w:val="nil"/>
              <w:left w:val="nil"/>
              <w:bottom w:val="nil"/>
              <w:right w:val="nil"/>
            </w:tcBorders>
            <w:shd w:val="clear" w:color="auto" w:fill="auto"/>
            <w:vAlign w:val="bottom"/>
          </w:tcPr>
          <w:p w14:paraId="35E74B32"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4 (12.1%)</w:t>
            </w:r>
          </w:p>
        </w:tc>
        <w:tc>
          <w:tcPr>
            <w:tcW w:w="1100" w:type="pct"/>
            <w:tcBorders>
              <w:top w:val="nil"/>
              <w:left w:val="nil"/>
              <w:bottom w:val="nil"/>
              <w:right w:val="nil"/>
            </w:tcBorders>
            <w:shd w:val="clear" w:color="auto" w:fill="auto"/>
            <w:vAlign w:val="bottom"/>
          </w:tcPr>
          <w:p w14:paraId="053C8C71"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5 (19.2%)</w:t>
            </w:r>
          </w:p>
        </w:tc>
        <w:tc>
          <w:tcPr>
            <w:tcW w:w="445" w:type="pct"/>
            <w:tcBorders>
              <w:top w:val="nil"/>
              <w:left w:val="nil"/>
              <w:bottom w:val="nil"/>
              <w:right w:val="nil"/>
            </w:tcBorders>
            <w:shd w:val="clear" w:color="auto" w:fill="auto"/>
            <w:vAlign w:val="bottom"/>
          </w:tcPr>
          <w:p w14:paraId="7EE48544"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p>
        </w:tc>
      </w:tr>
      <w:tr w:rsidR="00FB669F" w:rsidRPr="009D15ED" w14:paraId="28EC751D" w14:textId="77777777" w:rsidTr="00FF0268">
        <w:trPr>
          <w:trHeight w:val="300"/>
        </w:trPr>
        <w:tc>
          <w:tcPr>
            <w:tcW w:w="2356" w:type="pct"/>
            <w:tcBorders>
              <w:top w:val="nil"/>
              <w:left w:val="nil"/>
              <w:bottom w:val="nil"/>
              <w:right w:val="nil"/>
            </w:tcBorders>
            <w:shd w:val="clear" w:color="auto" w:fill="auto"/>
            <w:vAlign w:val="bottom"/>
          </w:tcPr>
          <w:p w14:paraId="771FCA07" w14:textId="77777777" w:rsidR="00FB669F" w:rsidRPr="009D15ED" w:rsidRDefault="00FB669F" w:rsidP="008E64CC">
            <w:pPr>
              <w:spacing w:after="0" w:line="276" w:lineRule="auto"/>
              <w:textAlignment w:val="baseline"/>
              <w:rPr>
                <w:rFonts w:eastAsia="Times New Roman" w:cstheme="minorHAnsi"/>
                <w:bCs/>
                <w:sz w:val="24"/>
                <w:szCs w:val="24"/>
                <w:lang w:eastAsia="en-GB"/>
              </w:rPr>
            </w:pPr>
            <w:r w:rsidRPr="009D15ED">
              <w:rPr>
                <w:rFonts w:eastAsia="Times New Roman" w:cstheme="minorHAnsi"/>
                <w:bCs/>
                <w:sz w:val="24"/>
                <w:szCs w:val="24"/>
                <w:lang w:eastAsia="en-GB"/>
              </w:rPr>
              <w:t xml:space="preserve">   NO and Iloprost</w:t>
            </w:r>
          </w:p>
        </w:tc>
        <w:tc>
          <w:tcPr>
            <w:tcW w:w="1099" w:type="pct"/>
            <w:tcBorders>
              <w:top w:val="nil"/>
              <w:left w:val="nil"/>
              <w:bottom w:val="nil"/>
              <w:right w:val="nil"/>
            </w:tcBorders>
            <w:shd w:val="clear" w:color="auto" w:fill="auto"/>
            <w:vAlign w:val="bottom"/>
          </w:tcPr>
          <w:p w14:paraId="19965E7D"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21 (63.6%)</w:t>
            </w:r>
          </w:p>
        </w:tc>
        <w:tc>
          <w:tcPr>
            <w:tcW w:w="1100" w:type="pct"/>
            <w:tcBorders>
              <w:top w:val="nil"/>
              <w:left w:val="nil"/>
              <w:bottom w:val="nil"/>
              <w:right w:val="nil"/>
            </w:tcBorders>
            <w:shd w:val="clear" w:color="auto" w:fill="auto"/>
            <w:vAlign w:val="bottom"/>
          </w:tcPr>
          <w:p w14:paraId="38B3A346"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18 (69.2%)</w:t>
            </w:r>
          </w:p>
        </w:tc>
        <w:tc>
          <w:tcPr>
            <w:tcW w:w="445" w:type="pct"/>
            <w:tcBorders>
              <w:top w:val="nil"/>
              <w:left w:val="nil"/>
              <w:bottom w:val="nil"/>
              <w:right w:val="nil"/>
            </w:tcBorders>
            <w:shd w:val="clear" w:color="auto" w:fill="auto"/>
            <w:vAlign w:val="bottom"/>
          </w:tcPr>
          <w:p w14:paraId="5E8B814E"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p>
        </w:tc>
      </w:tr>
      <w:tr w:rsidR="00FB669F" w:rsidRPr="009D15ED" w14:paraId="03E4E202" w14:textId="77777777" w:rsidTr="00FF0268">
        <w:trPr>
          <w:trHeight w:val="300"/>
        </w:trPr>
        <w:tc>
          <w:tcPr>
            <w:tcW w:w="2356" w:type="pct"/>
            <w:tcBorders>
              <w:top w:val="nil"/>
              <w:left w:val="nil"/>
              <w:bottom w:val="nil"/>
              <w:right w:val="nil"/>
            </w:tcBorders>
            <w:shd w:val="clear" w:color="auto" w:fill="auto"/>
            <w:vAlign w:val="bottom"/>
          </w:tcPr>
          <w:p w14:paraId="1255A2F8" w14:textId="77777777" w:rsidR="00FB669F" w:rsidRPr="009D15ED" w:rsidRDefault="00FB669F" w:rsidP="008E64CC">
            <w:pPr>
              <w:spacing w:after="0" w:line="276" w:lineRule="auto"/>
              <w:textAlignment w:val="baseline"/>
              <w:rPr>
                <w:rFonts w:eastAsia="Times New Roman" w:cstheme="minorHAnsi"/>
                <w:b/>
                <w:bCs/>
                <w:sz w:val="24"/>
                <w:szCs w:val="24"/>
                <w:lang w:eastAsia="en-GB"/>
              </w:rPr>
            </w:pPr>
            <w:r w:rsidRPr="009D15ED">
              <w:rPr>
                <w:rFonts w:eastAsia="Times New Roman" w:cstheme="minorHAnsi"/>
                <w:b/>
                <w:bCs/>
                <w:sz w:val="24"/>
                <w:szCs w:val="24"/>
                <w:lang w:eastAsia="en-GB"/>
              </w:rPr>
              <w:t xml:space="preserve">NIV or MV at initiation of IPVD </w:t>
            </w:r>
            <w:r w:rsidRPr="009D15ED">
              <w:rPr>
                <w:rFonts w:eastAsia="Times New Roman" w:cstheme="minorHAnsi"/>
                <w:b/>
                <w:sz w:val="24"/>
                <w:szCs w:val="24"/>
                <w:lang w:eastAsia="en-GB"/>
              </w:rPr>
              <w:t>(n (%))</w:t>
            </w:r>
          </w:p>
        </w:tc>
        <w:tc>
          <w:tcPr>
            <w:tcW w:w="1099" w:type="pct"/>
            <w:tcBorders>
              <w:top w:val="nil"/>
              <w:left w:val="nil"/>
              <w:bottom w:val="nil"/>
              <w:right w:val="nil"/>
            </w:tcBorders>
            <w:shd w:val="clear" w:color="auto" w:fill="auto"/>
            <w:vAlign w:val="bottom"/>
          </w:tcPr>
          <w:p w14:paraId="7A59B7DE"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p>
        </w:tc>
        <w:tc>
          <w:tcPr>
            <w:tcW w:w="1100" w:type="pct"/>
            <w:tcBorders>
              <w:top w:val="nil"/>
              <w:left w:val="nil"/>
              <w:bottom w:val="nil"/>
              <w:right w:val="nil"/>
            </w:tcBorders>
            <w:shd w:val="clear" w:color="auto" w:fill="auto"/>
            <w:vAlign w:val="bottom"/>
          </w:tcPr>
          <w:p w14:paraId="5EEFAD31"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p>
        </w:tc>
        <w:tc>
          <w:tcPr>
            <w:tcW w:w="445" w:type="pct"/>
            <w:tcBorders>
              <w:top w:val="nil"/>
              <w:left w:val="nil"/>
              <w:bottom w:val="nil"/>
              <w:right w:val="nil"/>
            </w:tcBorders>
            <w:shd w:val="clear" w:color="auto" w:fill="auto"/>
            <w:vAlign w:val="bottom"/>
          </w:tcPr>
          <w:p w14:paraId="2BD42039"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p>
        </w:tc>
      </w:tr>
      <w:tr w:rsidR="00FB669F" w:rsidRPr="009D15ED" w14:paraId="6AB97EBE" w14:textId="77777777" w:rsidTr="00FF0268">
        <w:trPr>
          <w:trHeight w:val="300"/>
        </w:trPr>
        <w:tc>
          <w:tcPr>
            <w:tcW w:w="2356" w:type="pct"/>
            <w:tcBorders>
              <w:top w:val="nil"/>
              <w:left w:val="nil"/>
              <w:bottom w:val="nil"/>
              <w:right w:val="nil"/>
            </w:tcBorders>
            <w:shd w:val="clear" w:color="auto" w:fill="auto"/>
            <w:vAlign w:val="bottom"/>
          </w:tcPr>
          <w:p w14:paraId="7EBF1C26" w14:textId="77777777" w:rsidR="00FB669F" w:rsidRPr="009D15ED" w:rsidRDefault="00FB669F" w:rsidP="008E64CC">
            <w:pPr>
              <w:spacing w:after="0" w:line="276" w:lineRule="auto"/>
              <w:textAlignment w:val="baseline"/>
              <w:rPr>
                <w:rFonts w:eastAsia="Times New Roman" w:cstheme="minorHAnsi"/>
                <w:bCs/>
                <w:sz w:val="24"/>
                <w:szCs w:val="24"/>
                <w:lang w:eastAsia="en-GB"/>
              </w:rPr>
            </w:pPr>
            <w:r w:rsidRPr="009D15ED">
              <w:rPr>
                <w:rFonts w:eastAsia="Times New Roman" w:cstheme="minorHAnsi"/>
                <w:bCs/>
                <w:sz w:val="24"/>
                <w:szCs w:val="24"/>
                <w:lang w:eastAsia="en-GB"/>
              </w:rPr>
              <w:t xml:space="preserve">   NIV</w:t>
            </w:r>
          </w:p>
        </w:tc>
        <w:tc>
          <w:tcPr>
            <w:tcW w:w="1099" w:type="pct"/>
            <w:tcBorders>
              <w:top w:val="nil"/>
              <w:left w:val="nil"/>
              <w:bottom w:val="nil"/>
              <w:right w:val="nil"/>
            </w:tcBorders>
            <w:shd w:val="clear" w:color="auto" w:fill="auto"/>
            <w:vAlign w:val="bottom"/>
          </w:tcPr>
          <w:p w14:paraId="04A7CB34"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5 (15.2%)</w:t>
            </w:r>
          </w:p>
        </w:tc>
        <w:tc>
          <w:tcPr>
            <w:tcW w:w="1100" w:type="pct"/>
            <w:tcBorders>
              <w:top w:val="nil"/>
              <w:left w:val="nil"/>
              <w:bottom w:val="nil"/>
              <w:right w:val="nil"/>
            </w:tcBorders>
            <w:shd w:val="clear" w:color="auto" w:fill="auto"/>
            <w:vAlign w:val="bottom"/>
          </w:tcPr>
          <w:p w14:paraId="342B44DC"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3 (11.5%)</w:t>
            </w:r>
          </w:p>
        </w:tc>
        <w:tc>
          <w:tcPr>
            <w:tcW w:w="445" w:type="pct"/>
            <w:tcBorders>
              <w:top w:val="nil"/>
              <w:left w:val="nil"/>
              <w:bottom w:val="nil"/>
              <w:right w:val="nil"/>
            </w:tcBorders>
            <w:shd w:val="clear" w:color="auto" w:fill="auto"/>
            <w:vAlign w:val="bottom"/>
          </w:tcPr>
          <w:p w14:paraId="7AFD83E2"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1.000</w:t>
            </w:r>
          </w:p>
        </w:tc>
      </w:tr>
      <w:tr w:rsidR="00FB669F" w:rsidRPr="009D15ED" w14:paraId="0F2C9BCD" w14:textId="77777777" w:rsidTr="00FF0268">
        <w:trPr>
          <w:trHeight w:val="300"/>
        </w:trPr>
        <w:tc>
          <w:tcPr>
            <w:tcW w:w="2356" w:type="pct"/>
            <w:tcBorders>
              <w:top w:val="nil"/>
              <w:left w:val="nil"/>
              <w:bottom w:val="nil"/>
              <w:right w:val="nil"/>
            </w:tcBorders>
            <w:shd w:val="clear" w:color="auto" w:fill="auto"/>
            <w:vAlign w:val="bottom"/>
          </w:tcPr>
          <w:p w14:paraId="694032C9" w14:textId="77777777" w:rsidR="00FB669F" w:rsidRPr="009D15ED" w:rsidRDefault="00FB669F" w:rsidP="008E64CC">
            <w:pPr>
              <w:spacing w:after="0" w:line="276" w:lineRule="auto"/>
              <w:textAlignment w:val="baseline"/>
              <w:rPr>
                <w:rFonts w:eastAsia="Times New Roman" w:cstheme="minorHAnsi"/>
                <w:bCs/>
                <w:sz w:val="24"/>
                <w:szCs w:val="24"/>
                <w:lang w:eastAsia="en-GB"/>
              </w:rPr>
            </w:pPr>
            <w:r w:rsidRPr="009D15ED">
              <w:rPr>
                <w:rFonts w:eastAsia="Times New Roman" w:cstheme="minorHAnsi"/>
                <w:bCs/>
                <w:sz w:val="24"/>
                <w:szCs w:val="24"/>
                <w:lang w:eastAsia="en-GB"/>
              </w:rPr>
              <w:t xml:space="preserve">   MV</w:t>
            </w:r>
          </w:p>
        </w:tc>
        <w:tc>
          <w:tcPr>
            <w:tcW w:w="1099" w:type="pct"/>
            <w:tcBorders>
              <w:top w:val="nil"/>
              <w:left w:val="nil"/>
              <w:bottom w:val="nil"/>
              <w:right w:val="nil"/>
            </w:tcBorders>
            <w:shd w:val="clear" w:color="auto" w:fill="auto"/>
            <w:vAlign w:val="bottom"/>
          </w:tcPr>
          <w:p w14:paraId="5EE93B35"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28 (84.8%)</w:t>
            </w:r>
          </w:p>
        </w:tc>
        <w:tc>
          <w:tcPr>
            <w:tcW w:w="1100" w:type="pct"/>
            <w:tcBorders>
              <w:top w:val="nil"/>
              <w:left w:val="nil"/>
              <w:bottom w:val="nil"/>
              <w:right w:val="nil"/>
            </w:tcBorders>
            <w:shd w:val="clear" w:color="auto" w:fill="auto"/>
            <w:vAlign w:val="bottom"/>
          </w:tcPr>
          <w:p w14:paraId="34915990"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23 (88.5%)</w:t>
            </w:r>
          </w:p>
        </w:tc>
        <w:tc>
          <w:tcPr>
            <w:tcW w:w="445" w:type="pct"/>
            <w:tcBorders>
              <w:top w:val="nil"/>
              <w:left w:val="nil"/>
              <w:bottom w:val="nil"/>
              <w:right w:val="nil"/>
            </w:tcBorders>
            <w:shd w:val="clear" w:color="auto" w:fill="auto"/>
            <w:vAlign w:val="bottom"/>
          </w:tcPr>
          <w:p w14:paraId="4725C613"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p>
        </w:tc>
      </w:tr>
      <w:tr w:rsidR="00FB669F" w:rsidRPr="009D15ED" w14:paraId="047F0D15" w14:textId="77777777" w:rsidTr="00FF0268">
        <w:trPr>
          <w:trHeight w:val="300"/>
        </w:trPr>
        <w:tc>
          <w:tcPr>
            <w:tcW w:w="2356" w:type="pct"/>
            <w:tcBorders>
              <w:top w:val="nil"/>
              <w:left w:val="nil"/>
              <w:bottom w:val="nil"/>
              <w:right w:val="nil"/>
            </w:tcBorders>
            <w:shd w:val="clear" w:color="auto" w:fill="auto"/>
            <w:vAlign w:val="bottom"/>
            <w:hideMark/>
          </w:tcPr>
          <w:p w14:paraId="3D61B33B" w14:textId="77777777" w:rsidR="00FB669F" w:rsidRPr="009D15ED" w:rsidRDefault="00FB669F" w:rsidP="008E64CC">
            <w:pPr>
              <w:spacing w:after="0" w:line="276" w:lineRule="auto"/>
              <w:textAlignment w:val="baseline"/>
              <w:rPr>
                <w:rFonts w:eastAsia="Times New Roman" w:cstheme="minorHAnsi"/>
                <w:sz w:val="24"/>
                <w:szCs w:val="24"/>
                <w:lang w:eastAsia="en-GB"/>
              </w:rPr>
            </w:pPr>
            <w:r w:rsidRPr="009D15ED">
              <w:rPr>
                <w:rFonts w:eastAsia="Times New Roman" w:cstheme="minorHAnsi"/>
                <w:b/>
                <w:bCs/>
                <w:sz w:val="24"/>
                <w:szCs w:val="24"/>
                <w:lang w:eastAsia="en-GB"/>
              </w:rPr>
              <w:t>Percentage change PaO</w:t>
            </w:r>
            <w:r w:rsidRPr="009D15ED">
              <w:rPr>
                <w:rFonts w:eastAsia="Times New Roman" w:cstheme="minorHAnsi"/>
                <w:b/>
                <w:bCs/>
                <w:sz w:val="24"/>
                <w:szCs w:val="24"/>
                <w:vertAlign w:val="subscript"/>
                <w:lang w:eastAsia="en-GB"/>
              </w:rPr>
              <w:t>2</w:t>
            </w:r>
            <w:r w:rsidRPr="009D15ED">
              <w:rPr>
                <w:rFonts w:eastAsia="Times New Roman" w:cstheme="minorHAnsi"/>
                <w:b/>
                <w:bCs/>
                <w:sz w:val="24"/>
                <w:szCs w:val="24"/>
                <w:lang w:eastAsia="en-GB"/>
              </w:rPr>
              <w:t>/FiO</w:t>
            </w:r>
            <w:r w:rsidRPr="009D15ED">
              <w:rPr>
                <w:rFonts w:eastAsia="Times New Roman" w:cstheme="minorHAnsi"/>
                <w:b/>
                <w:bCs/>
                <w:sz w:val="24"/>
                <w:szCs w:val="24"/>
                <w:vertAlign w:val="subscript"/>
                <w:lang w:eastAsia="en-GB"/>
              </w:rPr>
              <w:t>2</w:t>
            </w:r>
            <w:r w:rsidRPr="009D15ED">
              <w:rPr>
                <w:rFonts w:eastAsia="Times New Roman" w:cstheme="minorHAnsi"/>
                <w:b/>
                <w:bCs/>
                <w:sz w:val="24"/>
                <w:szCs w:val="24"/>
                <w:lang w:eastAsia="en-GB"/>
              </w:rPr>
              <w:t xml:space="preserve"> </w:t>
            </w:r>
            <w:r w:rsidRPr="009D15ED">
              <w:rPr>
                <w:rFonts w:eastAsia="Times New Roman" w:cstheme="minorHAnsi"/>
                <w:b/>
                <w:sz w:val="24"/>
                <w:szCs w:val="24"/>
                <w:lang w:eastAsia="en-GB"/>
              </w:rPr>
              <w:t>(%)</w:t>
            </w:r>
          </w:p>
        </w:tc>
        <w:tc>
          <w:tcPr>
            <w:tcW w:w="1099" w:type="pct"/>
            <w:tcBorders>
              <w:top w:val="nil"/>
              <w:left w:val="nil"/>
              <w:bottom w:val="nil"/>
              <w:right w:val="nil"/>
            </w:tcBorders>
            <w:shd w:val="clear" w:color="auto" w:fill="auto"/>
            <w:vAlign w:val="bottom"/>
            <w:hideMark/>
          </w:tcPr>
          <w:p w14:paraId="6825BB45"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 </w:t>
            </w:r>
          </w:p>
        </w:tc>
        <w:tc>
          <w:tcPr>
            <w:tcW w:w="1100" w:type="pct"/>
            <w:tcBorders>
              <w:top w:val="nil"/>
              <w:left w:val="nil"/>
              <w:bottom w:val="nil"/>
              <w:right w:val="nil"/>
            </w:tcBorders>
            <w:shd w:val="clear" w:color="auto" w:fill="auto"/>
            <w:vAlign w:val="bottom"/>
            <w:hideMark/>
          </w:tcPr>
          <w:p w14:paraId="0A8E21EF"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 </w:t>
            </w:r>
          </w:p>
        </w:tc>
        <w:tc>
          <w:tcPr>
            <w:tcW w:w="445" w:type="pct"/>
            <w:tcBorders>
              <w:top w:val="nil"/>
              <w:left w:val="nil"/>
              <w:bottom w:val="nil"/>
              <w:right w:val="nil"/>
            </w:tcBorders>
            <w:shd w:val="clear" w:color="auto" w:fill="auto"/>
            <w:vAlign w:val="bottom"/>
            <w:hideMark/>
          </w:tcPr>
          <w:p w14:paraId="09B87577"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 </w:t>
            </w:r>
          </w:p>
        </w:tc>
      </w:tr>
      <w:tr w:rsidR="00FB669F" w:rsidRPr="009D15ED" w14:paraId="1A18A05D" w14:textId="77777777" w:rsidTr="00FF0268">
        <w:trPr>
          <w:trHeight w:val="300"/>
        </w:trPr>
        <w:tc>
          <w:tcPr>
            <w:tcW w:w="2356" w:type="pct"/>
            <w:tcBorders>
              <w:top w:val="nil"/>
              <w:left w:val="nil"/>
              <w:bottom w:val="nil"/>
              <w:right w:val="nil"/>
            </w:tcBorders>
            <w:shd w:val="clear" w:color="auto" w:fill="auto"/>
            <w:vAlign w:val="bottom"/>
            <w:hideMark/>
          </w:tcPr>
          <w:p w14:paraId="1925909C" w14:textId="77777777" w:rsidR="00FB669F" w:rsidRPr="009D15ED" w:rsidRDefault="00FB669F" w:rsidP="008E64CC">
            <w:pPr>
              <w:spacing w:after="0" w:line="276" w:lineRule="auto"/>
              <w:textAlignment w:val="baseline"/>
              <w:rPr>
                <w:rFonts w:eastAsia="Times New Roman" w:cstheme="minorHAnsi"/>
                <w:i/>
                <w:sz w:val="24"/>
                <w:szCs w:val="24"/>
                <w:lang w:eastAsia="en-GB"/>
              </w:rPr>
            </w:pPr>
            <w:r w:rsidRPr="009D15ED">
              <w:rPr>
                <w:rFonts w:eastAsia="Times New Roman" w:cstheme="minorHAnsi"/>
                <w:i/>
                <w:sz w:val="24"/>
                <w:szCs w:val="24"/>
                <w:lang w:eastAsia="en-GB"/>
              </w:rPr>
              <w:t>   + 2 hours </w:t>
            </w:r>
          </w:p>
        </w:tc>
        <w:tc>
          <w:tcPr>
            <w:tcW w:w="1099" w:type="pct"/>
            <w:tcBorders>
              <w:top w:val="nil"/>
              <w:left w:val="nil"/>
              <w:bottom w:val="nil"/>
              <w:right w:val="nil"/>
            </w:tcBorders>
            <w:shd w:val="clear" w:color="auto" w:fill="auto"/>
            <w:vAlign w:val="bottom"/>
            <w:hideMark/>
          </w:tcPr>
          <w:p w14:paraId="51296A11"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cstheme="minorHAnsi"/>
                <w:sz w:val="24"/>
                <w:szCs w:val="24"/>
              </w:rPr>
              <w:t>14.2 (-5.4-40.6)</w:t>
            </w:r>
          </w:p>
        </w:tc>
        <w:tc>
          <w:tcPr>
            <w:tcW w:w="1100" w:type="pct"/>
            <w:tcBorders>
              <w:top w:val="nil"/>
              <w:left w:val="nil"/>
              <w:bottom w:val="nil"/>
              <w:right w:val="nil"/>
            </w:tcBorders>
            <w:shd w:val="clear" w:color="auto" w:fill="auto"/>
            <w:vAlign w:val="bottom"/>
            <w:hideMark/>
          </w:tcPr>
          <w:p w14:paraId="3CD6ED43"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cstheme="minorHAnsi"/>
                <w:sz w:val="24"/>
                <w:szCs w:val="24"/>
              </w:rPr>
              <w:t>-2.3 (-17.3-20.5)</w:t>
            </w:r>
          </w:p>
        </w:tc>
        <w:tc>
          <w:tcPr>
            <w:tcW w:w="445" w:type="pct"/>
            <w:tcBorders>
              <w:top w:val="nil"/>
              <w:left w:val="nil"/>
              <w:bottom w:val="nil"/>
              <w:right w:val="nil"/>
            </w:tcBorders>
            <w:shd w:val="clear" w:color="auto" w:fill="auto"/>
            <w:vAlign w:val="bottom"/>
            <w:hideMark/>
          </w:tcPr>
          <w:p w14:paraId="1C58EA13"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cstheme="minorHAnsi"/>
                <w:b/>
                <w:bCs/>
                <w:sz w:val="24"/>
                <w:szCs w:val="24"/>
              </w:rPr>
              <w:t>0.022*</w:t>
            </w:r>
          </w:p>
        </w:tc>
      </w:tr>
      <w:tr w:rsidR="00FB669F" w:rsidRPr="009D15ED" w14:paraId="5573BA5A" w14:textId="77777777" w:rsidTr="00FF0268">
        <w:trPr>
          <w:trHeight w:val="300"/>
        </w:trPr>
        <w:tc>
          <w:tcPr>
            <w:tcW w:w="2356" w:type="pct"/>
            <w:tcBorders>
              <w:top w:val="nil"/>
              <w:left w:val="nil"/>
              <w:bottom w:val="nil"/>
              <w:right w:val="nil"/>
            </w:tcBorders>
            <w:shd w:val="clear" w:color="auto" w:fill="auto"/>
            <w:vAlign w:val="bottom"/>
            <w:hideMark/>
          </w:tcPr>
          <w:p w14:paraId="3DCCD1DF" w14:textId="77777777" w:rsidR="00FB669F" w:rsidRPr="009D15ED" w:rsidRDefault="00FB669F" w:rsidP="008E64CC">
            <w:pPr>
              <w:spacing w:after="0" w:line="276" w:lineRule="auto"/>
              <w:textAlignment w:val="baseline"/>
              <w:rPr>
                <w:rFonts w:eastAsia="Times New Roman" w:cstheme="minorHAnsi"/>
                <w:i/>
                <w:sz w:val="24"/>
                <w:szCs w:val="24"/>
                <w:lang w:eastAsia="en-GB"/>
              </w:rPr>
            </w:pPr>
            <w:r w:rsidRPr="009D15ED">
              <w:rPr>
                <w:rFonts w:eastAsia="Times New Roman" w:cstheme="minorHAnsi"/>
                <w:i/>
                <w:sz w:val="24"/>
                <w:szCs w:val="24"/>
                <w:lang w:eastAsia="en-GB"/>
              </w:rPr>
              <w:t>   + 6 hours </w:t>
            </w:r>
          </w:p>
        </w:tc>
        <w:tc>
          <w:tcPr>
            <w:tcW w:w="1099" w:type="pct"/>
            <w:tcBorders>
              <w:top w:val="nil"/>
              <w:left w:val="nil"/>
              <w:bottom w:val="nil"/>
              <w:right w:val="nil"/>
            </w:tcBorders>
            <w:shd w:val="clear" w:color="auto" w:fill="auto"/>
            <w:vAlign w:val="bottom"/>
            <w:hideMark/>
          </w:tcPr>
          <w:p w14:paraId="759C39CA"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cstheme="minorHAnsi"/>
                <w:sz w:val="24"/>
                <w:szCs w:val="24"/>
              </w:rPr>
              <w:t>20.0 (3.0-54.4)</w:t>
            </w:r>
          </w:p>
        </w:tc>
        <w:tc>
          <w:tcPr>
            <w:tcW w:w="1100" w:type="pct"/>
            <w:tcBorders>
              <w:top w:val="nil"/>
              <w:left w:val="nil"/>
              <w:bottom w:val="nil"/>
              <w:right w:val="nil"/>
            </w:tcBorders>
            <w:shd w:val="clear" w:color="auto" w:fill="auto"/>
            <w:vAlign w:val="bottom"/>
            <w:hideMark/>
          </w:tcPr>
          <w:p w14:paraId="0561FC2A"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cstheme="minorHAnsi"/>
                <w:sz w:val="24"/>
                <w:szCs w:val="24"/>
              </w:rPr>
              <w:t>9.6 (-2.9-25.2)</w:t>
            </w:r>
          </w:p>
        </w:tc>
        <w:tc>
          <w:tcPr>
            <w:tcW w:w="445" w:type="pct"/>
            <w:tcBorders>
              <w:top w:val="nil"/>
              <w:left w:val="nil"/>
              <w:bottom w:val="nil"/>
              <w:right w:val="nil"/>
            </w:tcBorders>
            <w:shd w:val="clear" w:color="auto" w:fill="auto"/>
            <w:vAlign w:val="bottom"/>
            <w:hideMark/>
          </w:tcPr>
          <w:p w14:paraId="1B137B73"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cstheme="minorHAnsi"/>
                <w:sz w:val="24"/>
                <w:szCs w:val="24"/>
              </w:rPr>
              <w:t>0.106</w:t>
            </w:r>
          </w:p>
        </w:tc>
      </w:tr>
      <w:tr w:rsidR="00FB669F" w:rsidRPr="009D15ED" w14:paraId="0097351A" w14:textId="77777777" w:rsidTr="00FF0268">
        <w:trPr>
          <w:trHeight w:val="300"/>
        </w:trPr>
        <w:tc>
          <w:tcPr>
            <w:tcW w:w="2356" w:type="pct"/>
            <w:tcBorders>
              <w:top w:val="nil"/>
              <w:left w:val="nil"/>
              <w:bottom w:val="nil"/>
              <w:right w:val="nil"/>
            </w:tcBorders>
            <w:shd w:val="clear" w:color="auto" w:fill="auto"/>
            <w:vAlign w:val="bottom"/>
            <w:hideMark/>
          </w:tcPr>
          <w:p w14:paraId="53C0E4C9" w14:textId="77777777" w:rsidR="00FB669F" w:rsidRPr="009D15ED" w:rsidRDefault="00FB669F" w:rsidP="008E64CC">
            <w:pPr>
              <w:spacing w:after="0" w:line="276" w:lineRule="auto"/>
              <w:textAlignment w:val="baseline"/>
              <w:rPr>
                <w:rFonts w:eastAsia="Times New Roman" w:cstheme="minorHAnsi"/>
                <w:i/>
                <w:sz w:val="24"/>
                <w:szCs w:val="24"/>
                <w:lang w:eastAsia="en-GB"/>
              </w:rPr>
            </w:pPr>
            <w:r w:rsidRPr="009D15ED">
              <w:rPr>
                <w:rFonts w:eastAsia="Times New Roman" w:cstheme="minorHAnsi"/>
                <w:i/>
                <w:sz w:val="24"/>
                <w:szCs w:val="24"/>
                <w:lang w:eastAsia="en-GB"/>
              </w:rPr>
              <w:t>   + 12 hours </w:t>
            </w:r>
          </w:p>
        </w:tc>
        <w:tc>
          <w:tcPr>
            <w:tcW w:w="1099" w:type="pct"/>
            <w:tcBorders>
              <w:top w:val="nil"/>
              <w:left w:val="nil"/>
              <w:bottom w:val="nil"/>
              <w:right w:val="nil"/>
            </w:tcBorders>
            <w:shd w:val="clear" w:color="auto" w:fill="auto"/>
            <w:vAlign w:val="bottom"/>
            <w:hideMark/>
          </w:tcPr>
          <w:p w14:paraId="2A15E7E9"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cstheme="minorHAnsi"/>
                <w:sz w:val="24"/>
                <w:szCs w:val="24"/>
              </w:rPr>
              <w:t>31.6 (-0.4-80.4)</w:t>
            </w:r>
          </w:p>
        </w:tc>
        <w:tc>
          <w:tcPr>
            <w:tcW w:w="1100" w:type="pct"/>
            <w:tcBorders>
              <w:top w:val="nil"/>
              <w:left w:val="nil"/>
              <w:bottom w:val="nil"/>
              <w:right w:val="nil"/>
            </w:tcBorders>
            <w:shd w:val="clear" w:color="auto" w:fill="auto"/>
            <w:vAlign w:val="bottom"/>
            <w:hideMark/>
          </w:tcPr>
          <w:p w14:paraId="256E96E9"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cstheme="minorHAnsi"/>
                <w:sz w:val="24"/>
                <w:szCs w:val="24"/>
              </w:rPr>
              <w:t>18.1 (-7.2-46.7)</w:t>
            </w:r>
          </w:p>
        </w:tc>
        <w:tc>
          <w:tcPr>
            <w:tcW w:w="445" w:type="pct"/>
            <w:tcBorders>
              <w:top w:val="nil"/>
              <w:left w:val="nil"/>
              <w:bottom w:val="nil"/>
              <w:right w:val="nil"/>
            </w:tcBorders>
            <w:shd w:val="clear" w:color="auto" w:fill="auto"/>
            <w:vAlign w:val="bottom"/>
            <w:hideMark/>
          </w:tcPr>
          <w:p w14:paraId="1EA02424"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cstheme="minorHAnsi"/>
                <w:sz w:val="24"/>
                <w:szCs w:val="24"/>
              </w:rPr>
              <w:t>0.174</w:t>
            </w:r>
          </w:p>
        </w:tc>
      </w:tr>
      <w:tr w:rsidR="00FB669F" w:rsidRPr="009D15ED" w14:paraId="6A2B9112" w14:textId="77777777" w:rsidTr="00FF0268">
        <w:trPr>
          <w:trHeight w:val="300"/>
        </w:trPr>
        <w:tc>
          <w:tcPr>
            <w:tcW w:w="2356" w:type="pct"/>
            <w:tcBorders>
              <w:top w:val="nil"/>
              <w:left w:val="nil"/>
              <w:bottom w:val="nil"/>
              <w:right w:val="nil"/>
            </w:tcBorders>
            <w:shd w:val="clear" w:color="auto" w:fill="auto"/>
            <w:vAlign w:val="bottom"/>
            <w:hideMark/>
          </w:tcPr>
          <w:p w14:paraId="43DCC684" w14:textId="77777777" w:rsidR="00FB669F" w:rsidRPr="009D15ED" w:rsidRDefault="00FB669F" w:rsidP="008E64CC">
            <w:pPr>
              <w:spacing w:after="0" w:line="276" w:lineRule="auto"/>
              <w:textAlignment w:val="baseline"/>
              <w:rPr>
                <w:rFonts w:eastAsia="Times New Roman" w:cstheme="minorHAnsi"/>
                <w:i/>
                <w:sz w:val="24"/>
                <w:szCs w:val="24"/>
                <w:lang w:eastAsia="en-GB"/>
              </w:rPr>
            </w:pPr>
            <w:r w:rsidRPr="009D15ED">
              <w:rPr>
                <w:rFonts w:eastAsia="Times New Roman" w:cstheme="minorHAnsi"/>
                <w:i/>
                <w:sz w:val="24"/>
                <w:szCs w:val="24"/>
                <w:lang w:eastAsia="en-GB"/>
              </w:rPr>
              <w:t>   + 24 hours </w:t>
            </w:r>
          </w:p>
        </w:tc>
        <w:tc>
          <w:tcPr>
            <w:tcW w:w="1099" w:type="pct"/>
            <w:tcBorders>
              <w:top w:val="nil"/>
              <w:left w:val="nil"/>
              <w:bottom w:val="nil"/>
              <w:right w:val="nil"/>
            </w:tcBorders>
            <w:shd w:val="clear" w:color="auto" w:fill="auto"/>
            <w:vAlign w:val="bottom"/>
            <w:hideMark/>
          </w:tcPr>
          <w:p w14:paraId="07B885E8"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cstheme="minorHAnsi"/>
                <w:sz w:val="24"/>
                <w:szCs w:val="24"/>
              </w:rPr>
              <w:t>34.0 (3.3-60.4)</w:t>
            </w:r>
          </w:p>
        </w:tc>
        <w:tc>
          <w:tcPr>
            <w:tcW w:w="1100" w:type="pct"/>
            <w:tcBorders>
              <w:top w:val="nil"/>
              <w:left w:val="nil"/>
              <w:bottom w:val="nil"/>
              <w:right w:val="nil"/>
            </w:tcBorders>
            <w:shd w:val="clear" w:color="auto" w:fill="auto"/>
            <w:vAlign w:val="bottom"/>
            <w:hideMark/>
          </w:tcPr>
          <w:p w14:paraId="4CF5CCF4"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cstheme="minorHAnsi"/>
                <w:sz w:val="24"/>
                <w:szCs w:val="24"/>
              </w:rPr>
              <w:t>17.6 (-7.1-44.7)</w:t>
            </w:r>
          </w:p>
        </w:tc>
        <w:tc>
          <w:tcPr>
            <w:tcW w:w="445" w:type="pct"/>
            <w:tcBorders>
              <w:top w:val="nil"/>
              <w:left w:val="nil"/>
              <w:bottom w:val="nil"/>
              <w:right w:val="nil"/>
            </w:tcBorders>
            <w:shd w:val="clear" w:color="auto" w:fill="auto"/>
            <w:vAlign w:val="bottom"/>
            <w:hideMark/>
          </w:tcPr>
          <w:p w14:paraId="0CC484E9"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cstheme="minorHAnsi"/>
                <w:b/>
                <w:bCs/>
                <w:sz w:val="24"/>
                <w:szCs w:val="24"/>
              </w:rPr>
              <w:t>0.045*</w:t>
            </w:r>
          </w:p>
        </w:tc>
      </w:tr>
      <w:tr w:rsidR="00FB669F" w:rsidRPr="009D15ED" w14:paraId="618116C1" w14:textId="77777777" w:rsidTr="00FF0268">
        <w:trPr>
          <w:trHeight w:val="80"/>
        </w:trPr>
        <w:tc>
          <w:tcPr>
            <w:tcW w:w="2356" w:type="pct"/>
            <w:tcBorders>
              <w:top w:val="nil"/>
              <w:left w:val="nil"/>
              <w:bottom w:val="nil"/>
              <w:right w:val="nil"/>
            </w:tcBorders>
            <w:shd w:val="clear" w:color="auto" w:fill="auto"/>
            <w:vAlign w:val="bottom"/>
            <w:hideMark/>
          </w:tcPr>
          <w:p w14:paraId="246942BF" w14:textId="77777777" w:rsidR="00FB669F" w:rsidRPr="009D15ED" w:rsidRDefault="00FB669F" w:rsidP="008E64CC">
            <w:pPr>
              <w:spacing w:after="0" w:line="276" w:lineRule="auto"/>
              <w:textAlignment w:val="baseline"/>
              <w:rPr>
                <w:rFonts w:eastAsia="Times New Roman" w:cstheme="minorHAnsi"/>
                <w:i/>
                <w:sz w:val="24"/>
                <w:szCs w:val="24"/>
                <w:lang w:eastAsia="en-GB"/>
              </w:rPr>
            </w:pPr>
            <w:r w:rsidRPr="009D15ED">
              <w:rPr>
                <w:rFonts w:eastAsia="Times New Roman" w:cstheme="minorHAnsi"/>
                <w:i/>
                <w:sz w:val="24"/>
                <w:szCs w:val="24"/>
                <w:lang w:eastAsia="en-GB"/>
              </w:rPr>
              <w:t>   + 48 hours </w:t>
            </w:r>
          </w:p>
        </w:tc>
        <w:tc>
          <w:tcPr>
            <w:tcW w:w="1099" w:type="pct"/>
            <w:tcBorders>
              <w:top w:val="nil"/>
              <w:left w:val="nil"/>
              <w:bottom w:val="nil"/>
              <w:right w:val="nil"/>
            </w:tcBorders>
            <w:shd w:val="clear" w:color="auto" w:fill="auto"/>
            <w:vAlign w:val="bottom"/>
            <w:hideMark/>
          </w:tcPr>
          <w:p w14:paraId="75325FBE"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cstheme="minorHAnsi"/>
                <w:sz w:val="24"/>
                <w:szCs w:val="24"/>
              </w:rPr>
              <w:t>59.5 (9.7-108.1)</w:t>
            </w:r>
          </w:p>
        </w:tc>
        <w:tc>
          <w:tcPr>
            <w:tcW w:w="1100" w:type="pct"/>
            <w:tcBorders>
              <w:top w:val="nil"/>
              <w:left w:val="nil"/>
              <w:bottom w:val="nil"/>
              <w:right w:val="nil"/>
            </w:tcBorders>
            <w:shd w:val="clear" w:color="auto" w:fill="auto"/>
            <w:vAlign w:val="bottom"/>
            <w:hideMark/>
          </w:tcPr>
          <w:p w14:paraId="288FEB5E"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cstheme="minorHAnsi"/>
                <w:sz w:val="24"/>
                <w:szCs w:val="24"/>
              </w:rPr>
              <w:t>6.5 (12.4-27.4)</w:t>
            </w:r>
          </w:p>
        </w:tc>
        <w:tc>
          <w:tcPr>
            <w:tcW w:w="445" w:type="pct"/>
            <w:tcBorders>
              <w:top w:val="nil"/>
              <w:left w:val="nil"/>
              <w:bottom w:val="nil"/>
              <w:right w:val="nil"/>
            </w:tcBorders>
            <w:shd w:val="clear" w:color="auto" w:fill="auto"/>
            <w:vAlign w:val="bottom"/>
            <w:hideMark/>
          </w:tcPr>
          <w:p w14:paraId="34454BFE"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cstheme="minorHAnsi"/>
                <w:b/>
                <w:bCs/>
                <w:sz w:val="24"/>
                <w:szCs w:val="24"/>
              </w:rPr>
              <w:t>&lt;0.001*</w:t>
            </w:r>
          </w:p>
        </w:tc>
      </w:tr>
      <w:tr w:rsidR="00FB669F" w:rsidRPr="009D15ED" w14:paraId="00FB28A6" w14:textId="77777777" w:rsidTr="00FF0268">
        <w:trPr>
          <w:trHeight w:val="300"/>
        </w:trPr>
        <w:tc>
          <w:tcPr>
            <w:tcW w:w="2356" w:type="pct"/>
            <w:tcBorders>
              <w:top w:val="nil"/>
              <w:left w:val="nil"/>
              <w:bottom w:val="nil"/>
              <w:right w:val="nil"/>
            </w:tcBorders>
            <w:shd w:val="clear" w:color="auto" w:fill="auto"/>
            <w:vAlign w:val="bottom"/>
            <w:hideMark/>
          </w:tcPr>
          <w:p w14:paraId="3052CEE5" w14:textId="77777777" w:rsidR="00FB669F" w:rsidRPr="009D15ED" w:rsidRDefault="00FB669F" w:rsidP="008E64CC">
            <w:pPr>
              <w:spacing w:after="0" w:line="276" w:lineRule="auto"/>
              <w:textAlignment w:val="baseline"/>
              <w:rPr>
                <w:rFonts w:eastAsia="Times New Roman" w:cstheme="minorHAnsi"/>
                <w:i/>
                <w:sz w:val="24"/>
                <w:szCs w:val="24"/>
                <w:lang w:eastAsia="en-GB"/>
              </w:rPr>
            </w:pPr>
            <w:r w:rsidRPr="009D15ED">
              <w:rPr>
                <w:rFonts w:eastAsia="Times New Roman" w:cstheme="minorHAnsi"/>
                <w:i/>
                <w:sz w:val="24"/>
                <w:szCs w:val="24"/>
                <w:lang w:eastAsia="en-GB"/>
              </w:rPr>
              <w:t>   + 72 hours </w:t>
            </w:r>
          </w:p>
        </w:tc>
        <w:tc>
          <w:tcPr>
            <w:tcW w:w="1099" w:type="pct"/>
            <w:tcBorders>
              <w:top w:val="nil"/>
              <w:left w:val="nil"/>
              <w:bottom w:val="nil"/>
              <w:right w:val="nil"/>
            </w:tcBorders>
            <w:shd w:val="clear" w:color="auto" w:fill="auto"/>
            <w:vAlign w:val="bottom"/>
            <w:hideMark/>
          </w:tcPr>
          <w:p w14:paraId="73D7E66E"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cstheme="minorHAnsi"/>
                <w:sz w:val="24"/>
                <w:szCs w:val="24"/>
              </w:rPr>
              <w:t>70.8 (35.2-95.5)</w:t>
            </w:r>
          </w:p>
        </w:tc>
        <w:tc>
          <w:tcPr>
            <w:tcW w:w="1100" w:type="pct"/>
            <w:tcBorders>
              <w:top w:val="nil"/>
              <w:left w:val="nil"/>
              <w:bottom w:val="nil"/>
              <w:right w:val="nil"/>
            </w:tcBorders>
            <w:shd w:val="clear" w:color="auto" w:fill="auto"/>
            <w:vAlign w:val="bottom"/>
            <w:hideMark/>
          </w:tcPr>
          <w:p w14:paraId="3CAFEF7D"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cstheme="minorHAnsi"/>
                <w:sz w:val="24"/>
                <w:szCs w:val="24"/>
              </w:rPr>
              <w:t>-4.1 (-19.9-21.3)</w:t>
            </w:r>
          </w:p>
        </w:tc>
        <w:tc>
          <w:tcPr>
            <w:tcW w:w="445" w:type="pct"/>
            <w:tcBorders>
              <w:top w:val="nil"/>
              <w:left w:val="nil"/>
              <w:bottom w:val="nil"/>
              <w:right w:val="nil"/>
            </w:tcBorders>
            <w:shd w:val="clear" w:color="auto" w:fill="auto"/>
            <w:vAlign w:val="bottom"/>
            <w:hideMark/>
          </w:tcPr>
          <w:p w14:paraId="44836D0B"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cstheme="minorHAnsi"/>
                <w:b/>
                <w:bCs/>
                <w:sz w:val="24"/>
                <w:szCs w:val="24"/>
              </w:rPr>
              <w:t>&lt;0.001*</w:t>
            </w:r>
          </w:p>
        </w:tc>
      </w:tr>
      <w:tr w:rsidR="00FB669F" w:rsidRPr="009D15ED" w14:paraId="77E189A6" w14:textId="77777777" w:rsidTr="00FF0268">
        <w:trPr>
          <w:trHeight w:val="300"/>
        </w:trPr>
        <w:tc>
          <w:tcPr>
            <w:tcW w:w="2356" w:type="pct"/>
            <w:tcBorders>
              <w:top w:val="nil"/>
              <w:left w:val="nil"/>
              <w:bottom w:val="nil"/>
              <w:right w:val="nil"/>
            </w:tcBorders>
            <w:shd w:val="clear" w:color="auto" w:fill="auto"/>
            <w:vAlign w:val="bottom"/>
          </w:tcPr>
          <w:p w14:paraId="3E532020" w14:textId="77777777" w:rsidR="00FB669F" w:rsidRPr="009D15ED" w:rsidRDefault="00FB669F" w:rsidP="008E64CC">
            <w:pPr>
              <w:spacing w:after="0" w:line="276" w:lineRule="auto"/>
              <w:textAlignment w:val="baseline"/>
              <w:rPr>
                <w:rFonts w:eastAsia="Times New Roman" w:cstheme="minorHAnsi"/>
                <w:sz w:val="24"/>
                <w:szCs w:val="24"/>
                <w:lang w:eastAsia="en-GB"/>
              </w:rPr>
            </w:pPr>
            <w:r w:rsidRPr="009D15ED">
              <w:rPr>
                <w:rFonts w:eastAsia="Times New Roman" w:cstheme="minorHAnsi"/>
                <w:b/>
                <w:bCs/>
                <w:sz w:val="24"/>
                <w:szCs w:val="24"/>
                <w:lang w:eastAsia="en-GB"/>
              </w:rPr>
              <w:t>A-a gradient at commencing therapy (</w:t>
            </w:r>
            <w:proofErr w:type="spellStart"/>
            <w:r w:rsidRPr="009D15ED">
              <w:rPr>
                <w:rFonts w:eastAsia="Times New Roman" w:cstheme="minorHAnsi"/>
                <w:b/>
                <w:bCs/>
                <w:sz w:val="24"/>
                <w:szCs w:val="24"/>
                <w:lang w:eastAsia="en-GB"/>
              </w:rPr>
              <w:t>kPa</w:t>
            </w:r>
            <w:proofErr w:type="spellEnd"/>
            <w:r w:rsidRPr="009D15ED">
              <w:rPr>
                <w:rFonts w:eastAsia="Times New Roman" w:cstheme="minorHAnsi"/>
                <w:b/>
                <w:bCs/>
                <w:sz w:val="24"/>
                <w:szCs w:val="24"/>
                <w:lang w:eastAsia="en-GB"/>
              </w:rPr>
              <w:t>)</w:t>
            </w:r>
            <w:r w:rsidRPr="009D15ED">
              <w:rPr>
                <w:rFonts w:eastAsia="Times New Roman" w:cstheme="minorHAnsi"/>
                <w:sz w:val="24"/>
                <w:szCs w:val="24"/>
                <w:lang w:eastAsia="en-GB"/>
              </w:rPr>
              <w:t> </w:t>
            </w:r>
          </w:p>
        </w:tc>
        <w:tc>
          <w:tcPr>
            <w:tcW w:w="1099" w:type="pct"/>
            <w:tcBorders>
              <w:top w:val="nil"/>
              <w:left w:val="nil"/>
              <w:bottom w:val="nil"/>
              <w:right w:val="nil"/>
            </w:tcBorders>
            <w:shd w:val="clear" w:color="auto" w:fill="auto"/>
          </w:tcPr>
          <w:p w14:paraId="160451D5" w14:textId="763BBB75" w:rsidR="00FB669F" w:rsidRPr="009D15ED" w:rsidRDefault="00FB669F" w:rsidP="00FF0268">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54.3 (48.6-67.0)</w:t>
            </w:r>
          </w:p>
        </w:tc>
        <w:tc>
          <w:tcPr>
            <w:tcW w:w="1100" w:type="pct"/>
            <w:tcBorders>
              <w:top w:val="nil"/>
              <w:left w:val="nil"/>
              <w:bottom w:val="nil"/>
              <w:right w:val="nil"/>
            </w:tcBorders>
            <w:shd w:val="clear" w:color="auto" w:fill="auto"/>
          </w:tcPr>
          <w:p w14:paraId="3EC40E07" w14:textId="6C937502" w:rsidR="00FB669F" w:rsidRPr="009D15ED" w:rsidRDefault="00FB669F" w:rsidP="00FF0268">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58.9 (50.0-70.3)</w:t>
            </w:r>
          </w:p>
        </w:tc>
        <w:tc>
          <w:tcPr>
            <w:tcW w:w="445" w:type="pct"/>
            <w:tcBorders>
              <w:top w:val="nil"/>
              <w:left w:val="nil"/>
              <w:bottom w:val="nil"/>
              <w:right w:val="nil"/>
            </w:tcBorders>
            <w:shd w:val="clear" w:color="auto" w:fill="auto"/>
          </w:tcPr>
          <w:p w14:paraId="025AFE7C" w14:textId="6FFCB127" w:rsidR="00FB669F" w:rsidRPr="009D15ED" w:rsidRDefault="00FB669F" w:rsidP="00FF0268">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0.376</w:t>
            </w:r>
          </w:p>
        </w:tc>
      </w:tr>
      <w:tr w:rsidR="00FB669F" w:rsidRPr="009D15ED" w14:paraId="757E4021" w14:textId="77777777" w:rsidTr="00FF0268">
        <w:trPr>
          <w:trHeight w:val="300"/>
        </w:trPr>
        <w:tc>
          <w:tcPr>
            <w:tcW w:w="2356" w:type="pct"/>
            <w:tcBorders>
              <w:top w:val="nil"/>
              <w:left w:val="nil"/>
              <w:bottom w:val="nil"/>
              <w:right w:val="nil"/>
            </w:tcBorders>
            <w:shd w:val="clear" w:color="auto" w:fill="auto"/>
            <w:vAlign w:val="bottom"/>
          </w:tcPr>
          <w:p w14:paraId="226AA4C3" w14:textId="77777777" w:rsidR="00FB669F" w:rsidRPr="009D15ED" w:rsidRDefault="00FB669F" w:rsidP="008E64CC">
            <w:pPr>
              <w:spacing w:after="0" w:line="276" w:lineRule="auto"/>
              <w:textAlignment w:val="baseline"/>
              <w:rPr>
                <w:rFonts w:eastAsia="Times New Roman" w:cstheme="minorHAnsi"/>
                <w:sz w:val="24"/>
                <w:szCs w:val="24"/>
                <w:lang w:eastAsia="en-GB"/>
              </w:rPr>
            </w:pPr>
            <w:r w:rsidRPr="009D15ED">
              <w:rPr>
                <w:rFonts w:eastAsia="Times New Roman" w:cstheme="minorHAnsi"/>
                <w:b/>
                <w:bCs/>
                <w:sz w:val="24"/>
                <w:szCs w:val="24"/>
                <w:lang w:eastAsia="en-GB"/>
              </w:rPr>
              <w:t>Percentage reduction A-a gradient (</w:t>
            </w:r>
            <w:proofErr w:type="spellStart"/>
            <w:r w:rsidRPr="009D15ED">
              <w:rPr>
                <w:rFonts w:eastAsia="Times New Roman" w:cstheme="minorHAnsi"/>
                <w:b/>
                <w:bCs/>
                <w:sz w:val="24"/>
                <w:szCs w:val="24"/>
                <w:lang w:eastAsia="en-GB"/>
              </w:rPr>
              <w:t>kPa</w:t>
            </w:r>
            <w:proofErr w:type="spellEnd"/>
            <w:r w:rsidRPr="009D15ED">
              <w:rPr>
                <w:rFonts w:eastAsia="Times New Roman" w:cstheme="minorHAnsi"/>
                <w:b/>
                <w:bCs/>
                <w:sz w:val="24"/>
                <w:szCs w:val="24"/>
                <w:lang w:eastAsia="en-GB"/>
              </w:rPr>
              <w:t>)</w:t>
            </w:r>
            <w:r w:rsidRPr="009D15ED">
              <w:rPr>
                <w:rFonts w:eastAsia="Times New Roman" w:cstheme="minorHAnsi"/>
                <w:sz w:val="24"/>
                <w:szCs w:val="24"/>
                <w:lang w:eastAsia="en-GB"/>
              </w:rPr>
              <w:t> </w:t>
            </w:r>
            <w:r w:rsidRPr="009D15ED">
              <w:rPr>
                <w:rFonts w:eastAsia="Times New Roman" w:cstheme="minorHAnsi"/>
                <w:b/>
                <w:sz w:val="24"/>
                <w:szCs w:val="24"/>
                <w:lang w:eastAsia="en-GB"/>
              </w:rPr>
              <w:t>(%)</w:t>
            </w:r>
          </w:p>
        </w:tc>
        <w:tc>
          <w:tcPr>
            <w:tcW w:w="1099" w:type="pct"/>
            <w:tcBorders>
              <w:top w:val="nil"/>
              <w:left w:val="nil"/>
              <w:bottom w:val="nil"/>
              <w:right w:val="nil"/>
            </w:tcBorders>
            <w:shd w:val="clear" w:color="auto" w:fill="auto"/>
            <w:vAlign w:val="bottom"/>
          </w:tcPr>
          <w:p w14:paraId="703F9631"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 </w:t>
            </w:r>
          </w:p>
        </w:tc>
        <w:tc>
          <w:tcPr>
            <w:tcW w:w="1100" w:type="pct"/>
            <w:tcBorders>
              <w:top w:val="nil"/>
              <w:left w:val="nil"/>
              <w:bottom w:val="nil"/>
              <w:right w:val="nil"/>
            </w:tcBorders>
            <w:shd w:val="clear" w:color="auto" w:fill="auto"/>
            <w:vAlign w:val="bottom"/>
          </w:tcPr>
          <w:p w14:paraId="5271CF55"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 </w:t>
            </w:r>
          </w:p>
        </w:tc>
        <w:tc>
          <w:tcPr>
            <w:tcW w:w="445" w:type="pct"/>
            <w:tcBorders>
              <w:top w:val="nil"/>
              <w:left w:val="nil"/>
              <w:bottom w:val="nil"/>
              <w:right w:val="nil"/>
            </w:tcBorders>
            <w:shd w:val="clear" w:color="auto" w:fill="auto"/>
          </w:tcPr>
          <w:p w14:paraId="732BE1B1"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eastAsia="Times New Roman" w:cstheme="minorHAnsi"/>
                <w:sz w:val="24"/>
                <w:szCs w:val="24"/>
                <w:lang w:eastAsia="en-GB"/>
              </w:rPr>
              <w:t> </w:t>
            </w:r>
          </w:p>
        </w:tc>
      </w:tr>
      <w:tr w:rsidR="00FB669F" w:rsidRPr="009D15ED" w14:paraId="56156B95" w14:textId="77777777" w:rsidTr="00FF0268">
        <w:trPr>
          <w:trHeight w:val="300"/>
        </w:trPr>
        <w:tc>
          <w:tcPr>
            <w:tcW w:w="2356" w:type="pct"/>
            <w:tcBorders>
              <w:top w:val="nil"/>
              <w:left w:val="nil"/>
              <w:bottom w:val="nil"/>
              <w:right w:val="nil"/>
            </w:tcBorders>
            <w:shd w:val="clear" w:color="auto" w:fill="auto"/>
            <w:vAlign w:val="bottom"/>
          </w:tcPr>
          <w:p w14:paraId="076F2382" w14:textId="77777777" w:rsidR="00FB669F" w:rsidRPr="009D15ED" w:rsidRDefault="00FB669F" w:rsidP="008E64CC">
            <w:pPr>
              <w:spacing w:after="0" w:line="276" w:lineRule="auto"/>
              <w:textAlignment w:val="baseline"/>
              <w:rPr>
                <w:rFonts w:eastAsia="Times New Roman" w:cstheme="minorHAnsi"/>
                <w:sz w:val="24"/>
                <w:szCs w:val="24"/>
                <w:lang w:eastAsia="en-GB"/>
              </w:rPr>
            </w:pPr>
            <w:r w:rsidRPr="009D15ED">
              <w:rPr>
                <w:rFonts w:eastAsia="Times New Roman" w:cstheme="minorHAnsi"/>
                <w:sz w:val="24"/>
                <w:szCs w:val="24"/>
                <w:lang w:eastAsia="en-GB"/>
              </w:rPr>
              <w:t>   + 2 hours </w:t>
            </w:r>
          </w:p>
        </w:tc>
        <w:tc>
          <w:tcPr>
            <w:tcW w:w="1099" w:type="pct"/>
            <w:tcBorders>
              <w:top w:val="nil"/>
              <w:left w:val="nil"/>
              <w:bottom w:val="nil"/>
              <w:right w:val="nil"/>
            </w:tcBorders>
            <w:shd w:val="clear" w:color="auto" w:fill="auto"/>
            <w:vAlign w:val="bottom"/>
          </w:tcPr>
          <w:p w14:paraId="4DB1ECE5"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cstheme="minorHAnsi"/>
                <w:sz w:val="24"/>
                <w:szCs w:val="24"/>
              </w:rPr>
              <w:t>4.9 (-7.8-15.5)</w:t>
            </w:r>
          </w:p>
        </w:tc>
        <w:tc>
          <w:tcPr>
            <w:tcW w:w="1100" w:type="pct"/>
            <w:tcBorders>
              <w:top w:val="nil"/>
              <w:left w:val="nil"/>
              <w:bottom w:val="nil"/>
              <w:right w:val="nil"/>
            </w:tcBorders>
            <w:shd w:val="clear" w:color="auto" w:fill="auto"/>
            <w:vAlign w:val="bottom"/>
          </w:tcPr>
          <w:p w14:paraId="3DD9EFA6"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cstheme="minorHAnsi"/>
                <w:sz w:val="24"/>
                <w:szCs w:val="24"/>
              </w:rPr>
              <w:t>1.8 (-7.8-7.0)</w:t>
            </w:r>
          </w:p>
        </w:tc>
        <w:tc>
          <w:tcPr>
            <w:tcW w:w="445" w:type="pct"/>
            <w:tcBorders>
              <w:top w:val="nil"/>
              <w:left w:val="nil"/>
              <w:bottom w:val="nil"/>
              <w:right w:val="nil"/>
            </w:tcBorders>
            <w:shd w:val="clear" w:color="auto" w:fill="auto"/>
            <w:vAlign w:val="bottom"/>
          </w:tcPr>
          <w:p w14:paraId="6CCB80B4"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cstheme="minorHAnsi"/>
                <w:sz w:val="24"/>
                <w:szCs w:val="24"/>
              </w:rPr>
              <w:t>0.418</w:t>
            </w:r>
          </w:p>
        </w:tc>
      </w:tr>
      <w:tr w:rsidR="00FB669F" w:rsidRPr="009D15ED" w14:paraId="2F264738" w14:textId="77777777" w:rsidTr="00FF0268">
        <w:trPr>
          <w:trHeight w:val="300"/>
        </w:trPr>
        <w:tc>
          <w:tcPr>
            <w:tcW w:w="2356" w:type="pct"/>
            <w:tcBorders>
              <w:top w:val="nil"/>
              <w:left w:val="nil"/>
              <w:bottom w:val="nil"/>
              <w:right w:val="nil"/>
            </w:tcBorders>
            <w:shd w:val="clear" w:color="auto" w:fill="auto"/>
            <w:vAlign w:val="bottom"/>
          </w:tcPr>
          <w:p w14:paraId="0ECD0614" w14:textId="77777777" w:rsidR="00FB669F" w:rsidRPr="009D15ED" w:rsidRDefault="00FB669F" w:rsidP="008E64CC">
            <w:pPr>
              <w:spacing w:after="0" w:line="276" w:lineRule="auto"/>
              <w:textAlignment w:val="baseline"/>
              <w:rPr>
                <w:rFonts w:eastAsia="Times New Roman" w:cstheme="minorHAnsi"/>
                <w:sz w:val="24"/>
                <w:szCs w:val="24"/>
                <w:lang w:eastAsia="en-GB"/>
              </w:rPr>
            </w:pPr>
            <w:r w:rsidRPr="009D15ED">
              <w:rPr>
                <w:rFonts w:eastAsia="Times New Roman" w:cstheme="minorHAnsi"/>
                <w:sz w:val="24"/>
                <w:szCs w:val="24"/>
                <w:lang w:eastAsia="en-GB"/>
              </w:rPr>
              <w:t>   + 6 hours </w:t>
            </w:r>
          </w:p>
        </w:tc>
        <w:tc>
          <w:tcPr>
            <w:tcW w:w="1099" w:type="pct"/>
            <w:tcBorders>
              <w:top w:val="nil"/>
              <w:left w:val="nil"/>
              <w:bottom w:val="nil"/>
              <w:right w:val="nil"/>
            </w:tcBorders>
            <w:shd w:val="clear" w:color="auto" w:fill="auto"/>
            <w:vAlign w:val="bottom"/>
          </w:tcPr>
          <w:p w14:paraId="6A6EE3A9"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cstheme="minorHAnsi"/>
                <w:sz w:val="24"/>
                <w:szCs w:val="24"/>
              </w:rPr>
              <w:t>19.7 (1.8-35.2)</w:t>
            </w:r>
          </w:p>
        </w:tc>
        <w:tc>
          <w:tcPr>
            <w:tcW w:w="1100" w:type="pct"/>
            <w:tcBorders>
              <w:top w:val="nil"/>
              <w:left w:val="nil"/>
              <w:bottom w:val="nil"/>
              <w:right w:val="nil"/>
            </w:tcBorders>
            <w:shd w:val="clear" w:color="auto" w:fill="auto"/>
            <w:vAlign w:val="bottom"/>
          </w:tcPr>
          <w:p w14:paraId="3B20C5A7"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cstheme="minorHAnsi"/>
                <w:sz w:val="24"/>
                <w:szCs w:val="24"/>
              </w:rPr>
              <w:t>7.3 (-2.9-23.6)</w:t>
            </w:r>
          </w:p>
        </w:tc>
        <w:tc>
          <w:tcPr>
            <w:tcW w:w="445" w:type="pct"/>
            <w:tcBorders>
              <w:top w:val="nil"/>
              <w:left w:val="nil"/>
              <w:bottom w:val="nil"/>
              <w:right w:val="nil"/>
            </w:tcBorders>
            <w:shd w:val="clear" w:color="auto" w:fill="auto"/>
            <w:vAlign w:val="bottom"/>
          </w:tcPr>
          <w:p w14:paraId="734B69C9"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cstheme="minorHAnsi"/>
                <w:sz w:val="24"/>
                <w:szCs w:val="24"/>
              </w:rPr>
              <w:t>0.109</w:t>
            </w:r>
          </w:p>
        </w:tc>
      </w:tr>
      <w:tr w:rsidR="00FB669F" w:rsidRPr="009D15ED" w14:paraId="4C3C4567" w14:textId="77777777" w:rsidTr="00FF0268">
        <w:trPr>
          <w:trHeight w:val="300"/>
        </w:trPr>
        <w:tc>
          <w:tcPr>
            <w:tcW w:w="2356" w:type="pct"/>
            <w:tcBorders>
              <w:top w:val="nil"/>
              <w:left w:val="nil"/>
              <w:bottom w:val="nil"/>
              <w:right w:val="nil"/>
            </w:tcBorders>
            <w:shd w:val="clear" w:color="auto" w:fill="auto"/>
            <w:vAlign w:val="bottom"/>
          </w:tcPr>
          <w:p w14:paraId="6A870B47" w14:textId="77777777" w:rsidR="00FB669F" w:rsidRPr="009D15ED" w:rsidRDefault="00FB669F" w:rsidP="008E64CC">
            <w:pPr>
              <w:spacing w:after="0" w:line="276" w:lineRule="auto"/>
              <w:textAlignment w:val="baseline"/>
              <w:rPr>
                <w:rFonts w:eastAsia="Times New Roman" w:cstheme="minorHAnsi"/>
                <w:sz w:val="24"/>
                <w:szCs w:val="24"/>
                <w:lang w:eastAsia="en-GB"/>
              </w:rPr>
            </w:pPr>
            <w:r w:rsidRPr="009D15ED">
              <w:rPr>
                <w:rFonts w:eastAsia="Times New Roman" w:cstheme="minorHAnsi"/>
                <w:sz w:val="24"/>
                <w:szCs w:val="24"/>
                <w:lang w:eastAsia="en-GB"/>
              </w:rPr>
              <w:t>   + 12 hours </w:t>
            </w:r>
          </w:p>
        </w:tc>
        <w:tc>
          <w:tcPr>
            <w:tcW w:w="1099" w:type="pct"/>
            <w:tcBorders>
              <w:top w:val="nil"/>
              <w:left w:val="nil"/>
              <w:bottom w:val="nil"/>
              <w:right w:val="nil"/>
            </w:tcBorders>
            <w:shd w:val="clear" w:color="auto" w:fill="auto"/>
            <w:vAlign w:val="bottom"/>
          </w:tcPr>
          <w:p w14:paraId="59C89E20"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cstheme="minorHAnsi"/>
                <w:sz w:val="24"/>
                <w:szCs w:val="24"/>
              </w:rPr>
              <w:t>26.4 (3.3-40.9)</w:t>
            </w:r>
          </w:p>
        </w:tc>
        <w:tc>
          <w:tcPr>
            <w:tcW w:w="1100" w:type="pct"/>
            <w:tcBorders>
              <w:top w:val="nil"/>
              <w:left w:val="nil"/>
              <w:bottom w:val="nil"/>
              <w:right w:val="nil"/>
            </w:tcBorders>
            <w:shd w:val="clear" w:color="auto" w:fill="auto"/>
            <w:vAlign w:val="bottom"/>
          </w:tcPr>
          <w:p w14:paraId="00670AB8"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cstheme="minorHAnsi"/>
                <w:sz w:val="24"/>
                <w:szCs w:val="24"/>
              </w:rPr>
              <w:t>21.1 (2.4-32.7)</w:t>
            </w:r>
          </w:p>
        </w:tc>
        <w:tc>
          <w:tcPr>
            <w:tcW w:w="445" w:type="pct"/>
            <w:tcBorders>
              <w:top w:val="nil"/>
              <w:left w:val="nil"/>
              <w:bottom w:val="nil"/>
              <w:right w:val="nil"/>
            </w:tcBorders>
            <w:shd w:val="clear" w:color="auto" w:fill="auto"/>
            <w:vAlign w:val="bottom"/>
          </w:tcPr>
          <w:p w14:paraId="0C12E733"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cstheme="minorHAnsi"/>
                <w:sz w:val="24"/>
                <w:szCs w:val="24"/>
              </w:rPr>
              <w:t>0.246</w:t>
            </w:r>
          </w:p>
        </w:tc>
      </w:tr>
      <w:tr w:rsidR="00FB669F" w:rsidRPr="009D15ED" w14:paraId="3161E3CA" w14:textId="77777777" w:rsidTr="00FF0268">
        <w:trPr>
          <w:trHeight w:val="300"/>
        </w:trPr>
        <w:tc>
          <w:tcPr>
            <w:tcW w:w="2356" w:type="pct"/>
            <w:tcBorders>
              <w:top w:val="nil"/>
              <w:left w:val="nil"/>
              <w:bottom w:val="nil"/>
              <w:right w:val="nil"/>
            </w:tcBorders>
            <w:shd w:val="clear" w:color="auto" w:fill="auto"/>
            <w:vAlign w:val="bottom"/>
          </w:tcPr>
          <w:p w14:paraId="3F3F5946" w14:textId="77777777" w:rsidR="00FB669F" w:rsidRPr="009D15ED" w:rsidRDefault="00FB669F" w:rsidP="008E64CC">
            <w:pPr>
              <w:spacing w:after="0" w:line="276" w:lineRule="auto"/>
              <w:textAlignment w:val="baseline"/>
              <w:rPr>
                <w:rFonts w:eastAsia="Times New Roman" w:cstheme="minorHAnsi"/>
                <w:sz w:val="24"/>
                <w:szCs w:val="24"/>
                <w:lang w:eastAsia="en-GB"/>
              </w:rPr>
            </w:pPr>
            <w:r w:rsidRPr="009D15ED">
              <w:rPr>
                <w:rFonts w:eastAsia="Times New Roman" w:cstheme="minorHAnsi"/>
                <w:sz w:val="24"/>
                <w:szCs w:val="24"/>
                <w:lang w:eastAsia="en-GB"/>
              </w:rPr>
              <w:t>   + 24 hours </w:t>
            </w:r>
          </w:p>
        </w:tc>
        <w:tc>
          <w:tcPr>
            <w:tcW w:w="1099" w:type="pct"/>
            <w:tcBorders>
              <w:top w:val="nil"/>
              <w:left w:val="nil"/>
              <w:bottom w:val="nil"/>
              <w:right w:val="nil"/>
            </w:tcBorders>
            <w:shd w:val="clear" w:color="auto" w:fill="auto"/>
            <w:vAlign w:val="bottom"/>
          </w:tcPr>
          <w:p w14:paraId="7C50AD50"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cstheme="minorHAnsi"/>
                <w:sz w:val="24"/>
                <w:szCs w:val="24"/>
              </w:rPr>
              <w:t>23.8 (2.5-48.7)</w:t>
            </w:r>
          </w:p>
        </w:tc>
        <w:tc>
          <w:tcPr>
            <w:tcW w:w="1100" w:type="pct"/>
            <w:tcBorders>
              <w:top w:val="nil"/>
              <w:left w:val="nil"/>
              <w:bottom w:val="nil"/>
              <w:right w:val="nil"/>
            </w:tcBorders>
            <w:shd w:val="clear" w:color="auto" w:fill="auto"/>
            <w:vAlign w:val="bottom"/>
          </w:tcPr>
          <w:p w14:paraId="3E15E2EE"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cstheme="minorHAnsi"/>
                <w:sz w:val="24"/>
                <w:szCs w:val="24"/>
              </w:rPr>
              <w:t>21.3 (4.4-29.3)</w:t>
            </w:r>
          </w:p>
        </w:tc>
        <w:tc>
          <w:tcPr>
            <w:tcW w:w="445" w:type="pct"/>
            <w:tcBorders>
              <w:top w:val="nil"/>
              <w:left w:val="nil"/>
              <w:bottom w:val="nil"/>
              <w:right w:val="nil"/>
            </w:tcBorders>
            <w:shd w:val="clear" w:color="auto" w:fill="auto"/>
            <w:vAlign w:val="bottom"/>
          </w:tcPr>
          <w:p w14:paraId="68AF8A84"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cstheme="minorHAnsi"/>
                <w:sz w:val="24"/>
                <w:szCs w:val="24"/>
              </w:rPr>
              <w:t>0.200</w:t>
            </w:r>
          </w:p>
        </w:tc>
      </w:tr>
      <w:tr w:rsidR="00FB669F" w:rsidRPr="009D15ED" w14:paraId="4232E4FD" w14:textId="77777777" w:rsidTr="00FF0268">
        <w:trPr>
          <w:trHeight w:val="300"/>
        </w:trPr>
        <w:tc>
          <w:tcPr>
            <w:tcW w:w="2356" w:type="pct"/>
            <w:tcBorders>
              <w:top w:val="nil"/>
              <w:left w:val="nil"/>
              <w:bottom w:val="nil"/>
              <w:right w:val="nil"/>
            </w:tcBorders>
            <w:shd w:val="clear" w:color="auto" w:fill="auto"/>
            <w:vAlign w:val="bottom"/>
          </w:tcPr>
          <w:p w14:paraId="136C7D33" w14:textId="77777777" w:rsidR="00FB669F" w:rsidRPr="009D15ED" w:rsidRDefault="00FB669F" w:rsidP="008E64CC">
            <w:pPr>
              <w:spacing w:after="0" w:line="276" w:lineRule="auto"/>
              <w:textAlignment w:val="baseline"/>
              <w:rPr>
                <w:rFonts w:eastAsia="Times New Roman" w:cstheme="minorHAnsi"/>
                <w:sz w:val="24"/>
                <w:szCs w:val="24"/>
                <w:lang w:eastAsia="en-GB"/>
              </w:rPr>
            </w:pPr>
            <w:r w:rsidRPr="009D15ED">
              <w:rPr>
                <w:rFonts w:eastAsia="Times New Roman" w:cstheme="minorHAnsi"/>
                <w:sz w:val="24"/>
                <w:szCs w:val="24"/>
                <w:lang w:eastAsia="en-GB"/>
              </w:rPr>
              <w:t>   + 48 hours </w:t>
            </w:r>
          </w:p>
        </w:tc>
        <w:tc>
          <w:tcPr>
            <w:tcW w:w="1099" w:type="pct"/>
            <w:tcBorders>
              <w:top w:val="nil"/>
              <w:left w:val="nil"/>
              <w:bottom w:val="nil"/>
              <w:right w:val="nil"/>
            </w:tcBorders>
            <w:shd w:val="clear" w:color="auto" w:fill="auto"/>
            <w:vAlign w:val="bottom"/>
          </w:tcPr>
          <w:p w14:paraId="440BC593"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cstheme="minorHAnsi"/>
                <w:sz w:val="24"/>
                <w:szCs w:val="24"/>
              </w:rPr>
              <w:t>38.4 (16.1-62.6)</w:t>
            </w:r>
          </w:p>
        </w:tc>
        <w:tc>
          <w:tcPr>
            <w:tcW w:w="1100" w:type="pct"/>
            <w:tcBorders>
              <w:top w:val="nil"/>
              <w:left w:val="nil"/>
              <w:bottom w:val="nil"/>
              <w:right w:val="nil"/>
            </w:tcBorders>
            <w:shd w:val="clear" w:color="auto" w:fill="auto"/>
            <w:vAlign w:val="bottom"/>
          </w:tcPr>
          <w:p w14:paraId="12A76D26"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cstheme="minorHAnsi"/>
                <w:sz w:val="24"/>
                <w:szCs w:val="24"/>
              </w:rPr>
              <w:t>11.7 (-5.3-25.8)</w:t>
            </w:r>
          </w:p>
        </w:tc>
        <w:tc>
          <w:tcPr>
            <w:tcW w:w="445" w:type="pct"/>
            <w:tcBorders>
              <w:top w:val="nil"/>
              <w:left w:val="nil"/>
              <w:bottom w:val="nil"/>
              <w:right w:val="nil"/>
            </w:tcBorders>
            <w:shd w:val="clear" w:color="auto" w:fill="auto"/>
            <w:vAlign w:val="bottom"/>
          </w:tcPr>
          <w:p w14:paraId="3C130EFD"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cstheme="minorHAnsi"/>
                <w:b/>
                <w:bCs/>
                <w:sz w:val="24"/>
                <w:szCs w:val="24"/>
              </w:rPr>
              <w:t>&lt;0.001*</w:t>
            </w:r>
          </w:p>
        </w:tc>
      </w:tr>
      <w:tr w:rsidR="00FB669F" w:rsidRPr="009D15ED" w14:paraId="2AC3BFB9" w14:textId="77777777" w:rsidTr="00FF0268">
        <w:trPr>
          <w:trHeight w:val="300"/>
        </w:trPr>
        <w:tc>
          <w:tcPr>
            <w:tcW w:w="2356" w:type="pct"/>
            <w:tcBorders>
              <w:top w:val="nil"/>
              <w:left w:val="nil"/>
              <w:bottom w:val="nil"/>
              <w:right w:val="nil"/>
            </w:tcBorders>
            <w:shd w:val="clear" w:color="auto" w:fill="auto"/>
            <w:vAlign w:val="bottom"/>
          </w:tcPr>
          <w:p w14:paraId="35879906" w14:textId="77777777" w:rsidR="00FB669F" w:rsidRPr="009D15ED" w:rsidRDefault="00FB669F" w:rsidP="008E64CC">
            <w:pPr>
              <w:spacing w:after="0" w:line="276" w:lineRule="auto"/>
              <w:textAlignment w:val="baseline"/>
              <w:rPr>
                <w:rFonts w:eastAsia="Times New Roman" w:cstheme="minorHAnsi"/>
                <w:sz w:val="24"/>
                <w:szCs w:val="24"/>
                <w:lang w:eastAsia="en-GB"/>
              </w:rPr>
            </w:pPr>
            <w:r w:rsidRPr="009D15ED">
              <w:rPr>
                <w:rFonts w:eastAsia="Times New Roman" w:cstheme="minorHAnsi"/>
                <w:sz w:val="24"/>
                <w:szCs w:val="24"/>
                <w:lang w:eastAsia="en-GB"/>
              </w:rPr>
              <w:t>   + 72 hours </w:t>
            </w:r>
          </w:p>
        </w:tc>
        <w:tc>
          <w:tcPr>
            <w:tcW w:w="1099" w:type="pct"/>
            <w:tcBorders>
              <w:top w:val="nil"/>
              <w:left w:val="nil"/>
              <w:bottom w:val="nil"/>
              <w:right w:val="nil"/>
            </w:tcBorders>
            <w:shd w:val="clear" w:color="auto" w:fill="auto"/>
            <w:vAlign w:val="bottom"/>
          </w:tcPr>
          <w:p w14:paraId="2E06503A"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cstheme="minorHAnsi"/>
                <w:sz w:val="24"/>
                <w:szCs w:val="24"/>
              </w:rPr>
              <w:t>44.7 (28.4-58.0)</w:t>
            </w:r>
          </w:p>
        </w:tc>
        <w:tc>
          <w:tcPr>
            <w:tcW w:w="1100" w:type="pct"/>
            <w:tcBorders>
              <w:top w:val="nil"/>
              <w:left w:val="nil"/>
              <w:bottom w:val="nil"/>
              <w:right w:val="nil"/>
            </w:tcBorders>
            <w:shd w:val="clear" w:color="auto" w:fill="auto"/>
            <w:vAlign w:val="bottom"/>
          </w:tcPr>
          <w:p w14:paraId="43407AC4"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cstheme="minorHAnsi"/>
                <w:sz w:val="24"/>
                <w:szCs w:val="24"/>
              </w:rPr>
              <w:t>14.8 (-7.6-31.1)</w:t>
            </w:r>
          </w:p>
        </w:tc>
        <w:tc>
          <w:tcPr>
            <w:tcW w:w="445" w:type="pct"/>
            <w:tcBorders>
              <w:top w:val="nil"/>
              <w:left w:val="nil"/>
              <w:bottom w:val="nil"/>
              <w:right w:val="nil"/>
            </w:tcBorders>
            <w:shd w:val="clear" w:color="auto" w:fill="auto"/>
            <w:vAlign w:val="bottom"/>
          </w:tcPr>
          <w:p w14:paraId="1BB285CD" w14:textId="77777777" w:rsidR="00FB669F" w:rsidRPr="009D15ED" w:rsidRDefault="00FB669F" w:rsidP="008E64CC">
            <w:pPr>
              <w:spacing w:after="0" w:line="276" w:lineRule="auto"/>
              <w:jc w:val="center"/>
              <w:textAlignment w:val="baseline"/>
              <w:rPr>
                <w:rFonts w:eastAsia="Times New Roman" w:cstheme="minorHAnsi"/>
                <w:sz w:val="24"/>
                <w:szCs w:val="24"/>
                <w:lang w:eastAsia="en-GB"/>
              </w:rPr>
            </w:pPr>
            <w:r w:rsidRPr="009D15ED">
              <w:rPr>
                <w:rFonts w:cstheme="minorHAnsi"/>
                <w:b/>
                <w:bCs/>
                <w:sz w:val="24"/>
                <w:szCs w:val="24"/>
              </w:rPr>
              <w:t>&lt;0.001*</w:t>
            </w:r>
          </w:p>
        </w:tc>
      </w:tr>
    </w:tbl>
    <w:p w14:paraId="329EE32A" w14:textId="77777777" w:rsidR="00FB669F" w:rsidRPr="009D15ED" w:rsidRDefault="00FB669F" w:rsidP="00FB669F">
      <w:pPr>
        <w:spacing w:line="276" w:lineRule="auto"/>
        <w:rPr>
          <w:rFonts w:cstheme="minorHAnsi"/>
          <w:sz w:val="24"/>
          <w:szCs w:val="24"/>
        </w:rPr>
      </w:pPr>
    </w:p>
    <w:p w14:paraId="31EE5BDA" w14:textId="77777777" w:rsidR="00FB669F" w:rsidRPr="009D15ED" w:rsidRDefault="00FB669F" w:rsidP="00FB669F">
      <w:pPr>
        <w:spacing w:line="276" w:lineRule="auto"/>
        <w:rPr>
          <w:rFonts w:cstheme="minorHAnsi"/>
          <w:sz w:val="24"/>
          <w:szCs w:val="24"/>
        </w:rPr>
      </w:pPr>
      <w:r w:rsidRPr="009D15ED">
        <w:rPr>
          <w:rFonts w:cstheme="minorHAnsi"/>
          <w:sz w:val="24"/>
          <w:szCs w:val="24"/>
        </w:rPr>
        <w:br w:type="page"/>
      </w:r>
    </w:p>
    <w:p w14:paraId="204676BD" w14:textId="248A9CC3" w:rsidR="00FB669F" w:rsidRPr="00EF094C" w:rsidRDefault="00EF094C" w:rsidP="00EF094C">
      <w:pPr>
        <w:pStyle w:val="Heading2"/>
        <w:rPr>
          <w:rFonts w:asciiTheme="minorHAnsi" w:hAnsiTheme="minorHAnsi" w:cstheme="minorHAnsi"/>
          <w:color w:val="auto"/>
          <w:sz w:val="24"/>
          <w:szCs w:val="24"/>
        </w:rPr>
      </w:pPr>
      <w:r w:rsidRPr="009D15ED">
        <w:rPr>
          <w:rFonts w:asciiTheme="minorHAnsi" w:hAnsiTheme="minorHAnsi" w:cstheme="minorHAnsi"/>
          <w:color w:val="auto"/>
          <w:sz w:val="24"/>
          <w:szCs w:val="24"/>
        </w:rPr>
        <w:lastRenderedPageBreak/>
        <w:t>Table 5. 10%, 20% and 50% increments in PF ratio and survival</w:t>
      </w:r>
    </w:p>
    <w:p w14:paraId="692609C6" w14:textId="77777777" w:rsidR="00EF094C" w:rsidRPr="009D15ED" w:rsidRDefault="00EF094C" w:rsidP="00FB669F">
      <w:pPr>
        <w:spacing w:line="276" w:lineRule="auto"/>
        <w:jc w:val="both"/>
        <w:rPr>
          <w:rFonts w:cstheme="minorHAnsi"/>
          <w:sz w:val="24"/>
          <w:szCs w:val="24"/>
        </w:rPr>
      </w:pPr>
    </w:p>
    <w:tbl>
      <w:tblPr>
        <w:tblW w:w="5000" w:type="pct"/>
        <w:tblLayout w:type="fixed"/>
        <w:tblLook w:val="04A0" w:firstRow="1" w:lastRow="0" w:firstColumn="1" w:lastColumn="0" w:noHBand="0" w:noVBand="1"/>
      </w:tblPr>
      <w:tblGrid>
        <w:gridCol w:w="2268"/>
        <w:gridCol w:w="1720"/>
        <w:gridCol w:w="1682"/>
        <w:gridCol w:w="1986"/>
        <w:gridCol w:w="1370"/>
      </w:tblGrid>
      <w:tr w:rsidR="00FB669F" w:rsidRPr="009D15ED" w14:paraId="3140C620" w14:textId="77777777" w:rsidTr="008E64CC">
        <w:trPr>
          <w:trHeight w:val="300"/>
        </w:trPr>
        <w:tc>
          <w:tcPr>
            <w:tcW w:w="1256" w:type="pct"/>
            <w:tcBorders>
              <w:top w:val="single" w:sz="18" w:space="0" w:color="auto"/>
              <w:left w:val="nil"/>
              <w:bottom w:val="single" w:sz="18" w:space="0" w:color="auto"/>
              <w:right w:val="nil"/>
            </w:tcBorders>
            <w:shd w:val="clear" w:color="auto" w:fill="auto"/>
            <w:noWrap/>
            <w:vAlign w:val="center"/>
            <w:hideMark/>
          </w:tcPr>
          <w:p w14:paraId="4A460182" w14:textId="77777777" w:rsidR="00FB669F" w:rsidRPr="009D15ED" w:rsidRDefault="00FB669F" w:rsidP="008E64CC">
            <w:pPr>
              <w:spacing w:after="0" w:line="276" w:lineRule="auto"/>
              <w:rPr>
                <w:rFonts w:eastAsia="Times New Roman" w:cstheme="minorHAnsi"/>
                <w:b/>
                <w:sz w:val="24"/>
                <w:szCs w:val="24"/>
                <w:lang w:eastAsia="en-GB"/>
              </w:rPr>
            </w:pPr>
            <w:r w:rsidRPr="009D15ED">
              <w:rPr>
                <w:rFonts w:eastAsia="Times New Roman" w:cstheme="minorHAnsi"/>
                <w:b/>
                <w:sz w:val="24"/>
                <w:szCs w:val="24"/>
                <w:lang w:eastAsia="en-GB"/>
              </w:rPr>
              <w:t xml:space="preserve">Change in PF ratio </w:t>
            </w:r>
          </w:p>
        </w:tc>
        <w:tc>
          <w:tcPr>
            <w:tcW w:w="953" w:type="pct"/>
            <w:tcBorders>
              <w:top w:val="single" w:sz="18" w:space="0" w:color="auto"/>
              <w:left w:val="nil"/>
              <w:bottom w:val="single" w:sz="18" w:space="0" w:color="auto"/>
              <w:right w:val="nil"/>
            </w:tcBorders>
            <w:vAlign w:val="center"/>
          </w:tcPr>
          <w:p w14:paraId="7AB4B1B0" w14:textId="77777777" w:rsidR="00FB669F" w:rsidRPr="009D15ED" w:rsidRDefault="00FB669F" w:rsidP="008E64CC">
            <w:pPr>
              <w:spacing w:after="0" w:line="276" w:lineRule="auto"/>
              <w:jc w:val="center"/>
              <w:rPr>
                <w:rFonts w:eastAsia="Times New Roman" w:cstheme="minorHAnsi"/>
                <w:b/>
                <w:bCs/>
                <w:sz w:val="24"/>
                <w:szCs w:val="24"/>
                <w:lang w:eastAsia="en-GB"/>
              </w:rPr>
            </w:pPr>
            <w:r w:rsidRPr="009D15ED">
              <w:rPr>
                <w:rFonts w:eastAsia="Times New Roman" w:cstheme="minorHAnsi"/>
                <w:b/>
                <w:bCs/>
                <w:sz w:val="24"/>
                <w:szCs w:val="24"/>
                <w:lang w:eastAsia="en-GB"/>
              </w:rPr>
              <w:t>All patient (n=59)</w:t>
            </w:r>
          </w:p>
        </w:tc>
        <w:tc>
          <w:tcPr>
            <w:tcW w:w="932" w:type="pct"/>
            <w:tcBorders>
              <w:top w:val="single" w:sz="18" w:space="0" w:color="auto"/>
              <w:left w:val="nil"/>
              <w:bottom w:val="single" w:sz="18" w:space="0" w:color="auto"/>
              <w:right w:val="nil"/>
            </w:tcBorders>
            <w:shd w:val="clear" w:color="auto" w:fill="auto"/>
            <w:noWrap/>
            <w:vAlign w:val="center"/>
            <w:hideMark/>
          </w:tcPr>
          <w:p w14:paraId="0111A880" w14:textId="77777777" w:rsidR="00FB669F" w:rsidRPr="009D15ED" w:rsidRDefault="00FB669F" w:rsidP="008E64CC">
            <w:pPr>
              <w:spacing w:after="0" w:line="276" w:lineRule="auto"/>
              <w:jc w:val="center"/>
              <w:rPr>
                <w:rFonts w:eastAsia="Times New Roman" w:cstheme="minorHAnsi"/>
                <w:b/>
                <w:bCs/>
                <w:i/>
                <w:sz w:val="24"/>
                <w:szCs w:val="24"/>
                <w:lang w:eastAsia="en-GB"/>
              </w:rPr>
            </w:pPr>
            <w:r w:rsidRPr="009D15ED">
              <w:rPr>
                <w:rFonts w:eastAsia="Times New Roman" w:cstheme="minorHAnsi"/>
                <w:b/>
                <w:bCs/>
                <w:i/>
                <w:sz w:val="24"/>
                <w:szCs w:val="24"/>
                <w:lang w:eastAsia="en-GB"/>
              </w:rPr>
              <w:t>Survivors (n=33)</w:t>
            </w:r>
          </w:p>
        </w:tc>
        <w:tc>
          <w:tcPr>
            <w:tcW w:w="1100" w:type="pct"/>
            <w:tcBorders>
              <w:top w:val="single" w:sz="18" w:space="0" w:color="auto"/>
              <w:left w:val="nil"/>
              <w:bottom w:val="single" w:sz="18" w:space="0" w:color="auto"/>
              <w:right w:val="nil"/>
            </w:tcBorders>
            <w:shd w:val="clear" w:color="auto" w:fill="auto"/>
            <w:noWrap/>
            <w:vAlign w:val="center"/>
            <w:hideMark/>
          </w:tcPr>
          <w:p w14:paraId="1D79D7D8" w14:textId="77777777" w:rsidR="00FB669F" w:rsidRPr="009D15ED" w:rsidRDefault="00FB669F" w:rsidP="008E64CC">
            <w:pPr>
              <w:spacing w:after="0" w:line="276" w:lineRule="auto"/>
              <w:jc w:val="center"/>
              <w:rPr>
                <w:rFonts w:eastAsia="Times New Roman" w:cstheme="minorHAnsi"/>
                <w:b/>
                <w:bCs/>
                <w:i/>
                <w:sz w:val="24"/>
                <w:szCs w:val="24"/>
                <w:lang w:eastAsia="en-GB"/>
              </w:rPr>
            </w:pPr>
            <w:r w:rsidRPr="009D15ED">
              <w:rPr>
                <w:rFonts w:eastAsia="Times New Roman" w:cstheme="minorHAnsi"/>
                <w:b/>
                <w:bCs/>
                <w:i/>
                <w:sz w:val="24"/>
                <w:szCs w:val="24"/>
                <w:lang w:eastAsia="en-GB"/>
              </w:rPr>
              <w:t>Non-survivors (n=26)</w:t>
            </w:r>
          </w:p>
        </w:tc>
        <w:tc>
          <w:tcPr>
            <w:tcW w:w="759" w:type="pct"/>
            <w:tcBorders>
              <w:top w:val="single" w:sz="18" w:space="0" w:color="auto"/>
              <w:left w:val="nil"/>
              <w:bottom w:val="single" w:sz="18" w:space="0" w:color="auto"/>
              <w:right w:val="nil"/>
            </w:tcBorders>
            <w:shd w:val="clear" w:color="auto" w:fill="auto"/>
            <w:noWrap/>
            <w:vAlign w:val="center"/>
            <w:hideMark/>
          </w:tcPr>
          <w:p w14:paraId="665A4CCA" w14:textId="77777777" w:rsidR="00FB669F" w:rsidRPr="009D15ED" w:rsidRDefault="00FB669F" w:rsidP="008E64CC">
            <w:pPr>
              <w:spacing w:after="0" w:line="276" w:lineRule="auto"/>
              <w:jc w:val="center"/>
              <w:rPr>
                <w:rFonts w:eastAsia="Times New Roman" w:cstheme="minorHAnsi"/>
                <w:b/>
                <w:bCs/>
                <w:sz w:val="24"/>
                <w:szCs w:val="24"/>
                <w:lang w:eastAsia="en-GB"/>
              </w:rPr>
            </w:pPr>
            <w:r w:rsidRPr="009D15ED">
              <w:rPr>
                <w:rFonts w:eastAsia="Times New Roman" w:cstheme="minorHAnsi"/>
                <w:b/>
                <w:bCs/>
                <w:sz w:val="24"/>
                <w:szCs w:val="24"/>
                <w:lang w:eastAsia="en-GB"/>
              </w:rPr>
              <w:t>p-value</w:t>
            </w:r>
          </w:p>
        </w:tc>
      </w:tr>
      <w:tr w:rsidR="00FB669F" w:rsidRPr="009D15ED" w14:paraId="5C5EF8BD" w14:textId="77777777" w:rsidTr="008E64CC">
        <w:trPr>
          <w:trHeight w:val="300"/>
        </w:trPr>
        <w:tc>
          <w:tcPr>
            <w:tcW w:w="1256" w:type="pct"/>
            <w:tcBorders>
              <w:top w:val="single" w:sz="18" w:space="0" w:color="auto"/>
              <w:left w:val="nil"/>
              <w:bottom w:val="nil"/>
              <w:right w:val="nil"/>
            </w:tcBorders>
            <w:shd w:val="clear" w:color="auto" w:fill="auto"/>
            <w:noWrap/>
            <w:vAlign w:val="center"/>
            <w:hideMark/>
          </w:tcPr>
          <w:p w14:paraId="1CFD889A" w14:textId="77777777" w:rsidR="00FB669F" w:rsidRPr="009D15ED" w:rsidRDefault="00FB669F" w:rsidP="008E64CC">
            <w:pPr>
              <w:spacing w:after="0" w:line="276" w:lineRule="auto"/>
              <w:rPr>
                <w:rFonts w:eastAsia="Times New Roman" w:cstheme="minorHAnsi"/>
                <w:b/>
                <w:bCs/>
                <w:sz w:val="24"/>
                <w:szCs w:val="24"/>
                <w:lang w:eastAsia="en-GB"/>
              </w:rPr>
            </w:pPr>
            <w:r w:rsidRPr="009D15ED">
              <w:rPr>
                <w:rFonts w:eastAsia="Times New Roman" w:cstheme="minorHAnsi"/>
                <w:b/>
                <w:bCs/>
                <w:sz w:val="24"/>
                <w:szCs w:val="24"/>
                <w:lang w:eastAsia="en-GB"/>
              </w:rPr>
              <w:t>10% increase</w:t>
            </w:r>
          </w:p>
        </w:tc>
        <w:tc>
          <w:tcPr>
            <w:tcW w:w="953" w:type="pct"/>
            <w:tcBorders>
              <w:top w:val="single" w:sz="18" w:space="0" w:color="auto"/>
              <w:left w:val="nil"/>
              <w:bottom w:val="nil"/>
              <w:right w:val="nil"/>
            </w:tcBorders>
            <w:vAlign w:val="bottom"/>
          </w:tcPr>
          <w:p w14:paraId="456E40A8" w14:textId="77777777" w:rsidR="00FB669F" w:rsidRPr="009D15ED" w:rsidRDefault="00FB669F" w:rsidP="008E64CC">
            <w:pPr>
              <w:spacing w:after="0" w:line="276" w:lineRule="auto"/>
              <w:jc w:val="center"/>
              <w:rPr>
                <w:rFonts w:eastAsia="Times New Roman" w:cstheme="minorHAnsi"/>
                <w:b/>
                <w:bCs/>
                <w:sz w:val="24"/>
                <w:szCs w:val="24"/>
                <w:lang w:eastAsia="en-GB"/>
              </w:rPr>
            </w:pPr>
          </w:p>
        </w:tc>
        <w:tc>
          <w:tcPr>
            <w:tcW w:w="932" w:type="pct"/>
            <w:tcBorders>
              <w:top w:val="single" w:sz="18" w:space="0" w:color="auto"/>
              <w:left w:val="nil"/>
              <w:bottom w:val="nil"/>
              <w:right w:val="nil"/>
            </w:tcBorders>
            <w:shd w:val="clear" w:color="auto" w:fill="auto"/>
            <w:noWrap/>
            <w:vAlign w:val="bottom"/>
            <w:hideMark/>
          </w:tcPr>
          <w:p w14:paraId="31B3362A" w14:textId="77777777" w:rsidR="00FB669F" w:rsidRPr="009D15ED" w:rsidRDefault="00FB669F" w:rsidP="008E64CC">
            <w:pPr>
              <w:spacing w:after="0" w:line="276" w:lineRule="auto"/>
              <w:jc w:val="center"/>
              <w:rPr>
                <w:rFonts w:eastAsia="Times New Roman" w:cstheme="minorHAnsi"/>
                <w:b/>
                <w:bCs/>
                <w:i/>
                <w:sz w:val="24"/>
                <w:szCs w:val="24"/>
                <w:lang w:eastAsia="en-GB"/>
              </w:rPr>
            </w:pPr>
          </w:p>
        </w:tc>
        <w:tc>
          <w:tcPr>
            <w:tcW w:w="1100" w:type="pct"/>
            <w:tcBorders>
              <w:top w:val="single" w:sz="18" w:space="0" w:color="auto"/>
              <w:left w:val="nil"/>
              <w:bottom w:val="nil"/>
              <w:right w:val="nil"/>
            </w:tcBorders>
            <w:shd w:val="clear" w:color="auto" w:fill="auto"/>
            <w:noWrap/>
            <w:vAlign w:val="bottom"/>
            <w:hideMark/>
          </w:tcPr>
          <w:p w14:paraId="4331A786" w14:textId="77777777" w:rsidR="00FB669F" w:rsidRPr="009D15ED" w:rsidRDefault="00FB669F" w:rsidP="008E64CC">
            <w:pPr>
              <w:spacing w:after="0" w:line="276" w:lineRule="auto"/>
              <w:jc w:val="center"/>
              <w:rPr>
                <w:rFonts w:eastAsia="Times New Roman" w:cstheme="minorHAnsi"/>
                <w:i/>
                <w:sz w:val="24"/>
                <w:szCs w:val="24"/>
                <w:lang w:eastAsia="en-GB"/>
              </w:rPr>
            </w:pPr>
          </w:p>
        </w:tc>
        <w:tc>
          <w:tcPr>
            <w:tcW w:w="759" w:type="pct"/>
            <w:tcBorders>
              <w:top w:val="single" w:sz="18" w:space="0" w:color="auto"/>
              <w:left w:val="nil"/>
              <w:bottom w:val="nil"/>
              <w:right w:val="nil"/>
            </w:tcBorders>
            <w:shd w:val="clear" w:color="auto" w:fill="auto"/>
            <w:noWrap/>
            <w:vAlign w:val="bottom"/>
            <w:hideMark/>
          </w:tcPr>
          <w:p w14:paraId="62F49758" w14:textId="77777777" w:rsidR="00FB669F" w:rsidRPr="009D15ED" w:rsidRDefault="00FB669F" w:rsidP="008E64CC">
            <w:pPr>
              <w:spacing w:after="0" w:line="276" w:lineRule="auto"/>
              <w:jc w:val="center"/>
              <w:rPr>
                <w:rFonts w:eastAsia="Times New Roman" w:cstheme="minorHAnsi"/>
                <w:sz w:val="24"/>
                <w:szCs w:val="24"/>
                <w:lang w:eastAsia="en-GB"/>
              </w:rPr>
            </w:pPr>
          </w:p>
        </w:tc>
      </w:tr>
      <w:tr w:rsidR="00FB669F" w:rsidRPr="009D15ED" w14:paraId="021D196C" w14:textId="77777777" w:rsidTr="008E64CC">
        <w:trPr>
          <w:trHeight w:val="300"/>
        </w:trPr>
        <w:tc>
          <w:tcPr>
            <w:tcW w:w="1256" w:type="pct"/>
            <w:tcBorders>
              <w:top w:val="nil"/>
              <w:left w:val="nil"/>
              <w:bottom w:val="nil"/>
              <w:right w:val="nil"/>
            </w:tcBorders>
            <w:shd w:val="clear" w:color="auto" w:fill="auto"/>
            <w:noWrap/>
            <w:vAlign w:val="center"/>
            <w:hideMark/>
          </w:tcPr>
          <w:p w14:paraId="42794878" w14:textId="77777777" w:rsidR="00FB669F" w:rsidRPr="009D15ED" w:rsidRDefault="00FB669F" w:rsidP="008E64CC">
            <w:pPr>
              <w:spacing w:after="0" w:line="276" w:lineRule="auto"/>
              <w:rPr>
                <w:rFonts w:eastAsia="Times New Roman" w:cstheme="minorHAnsi"/>
                <w:sz w:val="24"/>
                <w:szCs w:val="24"/>
                <w:lang w:eastAsia="en-GB"/>
              </w:rPr>
            </w:pPr>
            <w:r w:rsidRPr="009D15ED">
              <w:rPr>
                <w:rFonts w:eastAsia="Times New Roman" w:cstheme="minorHAnsi"/>
                <w:sz w:val="24"/>
                <w:szCs w:val="24"/>
                <w:lang w:eastAsia="en-GB"/>
              </w:rPr>
              <w:t xml:space="preserve">   + 2 hours</w:t>
            </w:r>
          </w:p>
        </w:tc>
        <w:tc>
          <w:tcPr>
            <w:tcW w:w="953" w:type="pct"/>
            <w:tcBorders>
              <w:top w:val="nil"/>
              <w:left w:val="nil"/>
              <w:bottom w:val="nil"/>
              <w:right w:val="nil"/>
            </w:tcBorders>
            <w:vAlign w:val="bottom"/>
          </w:tcPr>
          <w:p w14:paraId="41DE0D51" w14:textId="77777777" w:rsidR="00FB669F" w:rsidRPr="009D15ED" w:rsidRDefault="00FB669F" w:rsidP="008E64CC">
            <w:pPr>
              <w:spacing w:after="0" w:line="276" w:lineRule="auto"/>
              <w:jc w:val="center"/>
              <w:rPr>
                <w:rFonts w:eastAsia="Times New Roman" w:cstheme="minorHAnsi"/>
                <w:sz w:val="24"/>
                <w:szCs w:val="24"/>
                <w:lang w:eastAsia="en-GB"/>
              </w:rPr>
            </w:pPr>
            <w:r w:rsidRPr="009D15ED">
              <w:rPr>
                <w:rFonts w:eastAsia="Times New Roman" w:cstheme="minorHAnsi"/>
                <w:sz w:val="24"/>
                <w:szCs w:val="24"/>
                <w:lang w:eastAsia="en-GB"/>
              </w:rPr>
              <w:t>27 (45.8%)</w:t>
            </w:r>
          </w:p>
        </w:tc>
        <w:tc>
          <w:tcPr>
            <w:tcW w:w="932" w:type="pct"/>
            <w:tcBorders>
              <w:top w:val="nil"/>
              <w:left w:val="nil"/>
              <w:bottom w:val="nil"/>
              <w:right w:val="nil"/>
            </w:tcBorders>
            <w:shd w:val="clear" w:color="auto" w:fill="auto"/>
            <w:noWrap/>
            <w:vAlign w:val="bottom"/>
            <w:hideMark/>
          </w:tcPr>
          <w:p w14:paraId="7EB1C193" w14:textId="77777777" w:rsidR="00FB669F" w:rsidRPr="009D15ED" w:rsidRDefault="00FB669F" w:rsidP="008E64CC">
            <w:pPr>
              <w:spacing w:after="0" w:line="276" w:lineRule="auto"/>
              <w:jc w:val="center"/>
              <w:rPr>
                <w:rFonts w:eastAsia="Times New Roman" w:cstheme="minorHAnsi"/>
                <w:i/>
                <w:sz w:val="24"/>
                <w:szCs w:val="24"/>
                <w:lang w:eastAsia="en-GB"/>
              </w:rPr>
            </w:pPr>
            <w:r w:rsidRPr="009D15ED">
              <w:rPr>
                <w:rFonts w:eastAsia="Times New Roman" w:cstheme="minorHAnsi"/>
                <w:i/>
                <w:sz w:val="24"/>
                <w:szCs w:val="24"/>
                <w:lang w:eastAsia="en-GB"/>
              </w:rPr>
              <w:t>19 (57.6%)</w:t>
            </w:r>
          </w:p>
        </w:tc>
        <w:tc>
          <w:tcPr>
            <w:tcW w:w="1100" w:type="pct"/>
            <w:tcBorders>
              <w:top w:val="nil"/>
              <w:left w:val="nil"/>
              <w:bottom w:val="nil"/>
              <w:right w:val="nil"/>
            </w:tcBorders>
            <w:shd w:val="clear" w:color="auto" w:fill="auto"/>
            <w:noWrap/>
            <w:vAlign w:val="bottom"/>
            <w:hideMark/>
          </w:tcPr>
          <w:p w14:paraId="045C2CDA" w14:textId="77777777" w:rsidR="00FB669F" w:rsidRPr="009D15ED" w:rsidRDefault="00FB669F" w:rsidP="008E64CC">
            <w:pPr>
              <w:spacing w:after="0" w:line="276" w:lineRule="auto"/>
              <w:jc w:val="center"/>
              <w:rPr>
                <w:rFonts w:eastAsia="Times New Roman" w:cstheme="minorHAnsi"/>
                <w:i/>
                <w:sz w:val="24"/>
                <w:szCs w:val="24"/>
                <w:lang w:eastAsia="en-GB"/>
              </w:rPr>
            </w:pPr>
            <w:r w:rsidRPr="009D15ED">
              <w:rPr>
                <w:rFonts w:eastAsia="Times New Roman" w:cstheme="minorHAnsi"/>
                <w:i/>
                <w:sz w:val="24"/>
                <w:szCs w:val="24"/>
                <w:lang w:eastAsia="en-GB"/>
              </w:rPr>
              <w:t>8 (30.8%)</w:t>
            </w:r>
          </w:p>
        </w:tc>
        <w:tc>
          <w:tcPr>
            <w:tcW w:w="759" w:type="pct"/>
            <w:tcBorders>
              <w:top w:val="nil"/>
              <w:left w:val="nil"/>
              <w:bottom w:val="nil"/>
              <w:right w:val="nil"/>
            </w:tcBorders>
            <w:shd w:val="clear" w:color="auto" w:fill="auto"/>
            <w:noWrap/>
            <w:vAlign w:val="bottom"/>
            <w:hideMark/>
          </w:tcPr>
          <w:p w14:paraId="5F3151D4" w14:textId="77777777" w:rsidR="00FB669F" w:rsidRPr="009D15ED" w:rsidRDefault="00FB669F" w:rsidP="008E64CC">
            <w:pPr>
              <w:spacing w:after="0" w:line="276" w:lineRule="auto"/>
              <w:jc w:val="center"/>
              <w:rPr>
                <w:rFonts w:eastAsia="Times New Roman" w:cstheme="minorHAnsi"/>
                <w:b/>
                <w:bCs/>
                <w:sz w:val="24"/>
                <w:szCs w:val="24"/>
                <w:lang w:eastAsia="en-GB"/>
              </w:rPr>
            </w:pPr>
            <w:r w:rsidRPr="009D15ED">
              <w:rPr>
                <w:rFonts w:eastAsia="Times New Roman" w:cstheme="minorHAnsi"/>
                <w:b/>
                <w:bCs/>
                <w:sz w:val="24"/>
                <w:szCs w:val="24"/>
                <w:lang w:eastAsia="en-GB"/>
              </w:rPr>
              <w:t>0.040*</w:t>
            </w:r>
          </w:p>
        </w:tc>
      </w:tr>
      <w:tr w:rsidR="00FB669F" w:rsidRPr="009D15ED" w14:paraId="21450AB6" w14:textId="77777777" w:rsidTr="008E64CC">
        <w:trPr>
          <w:trHeight w:val="300"/>
        </w:trPr>
        <w:tc>
          <w:tcPr>
            <w:tcW w:w="1256" w:type="pct"/>
            <w:tcBorders>
              <w:top w:val="nil"/>
              <w:left w:val="nil"/>
              <w:bottom w:val="nil"/>
              <w:right w:val="nil"/>
            </w:tcBorders>
            <w:shd w:val="clear" w:color="auto" w:fill="auto"/>
            <w:noWrap/>
            <w:vAlign w:val="center"/>
            <w:hideMark/>
          </w:tcPr>
          <w:p w14:paraId="3164EAD3" w14:textId="77777777" w:rsidR="00FB669F" w:rsidRPr="009D15ED" w:rsidRDefault="00FB669F" w:rsidP="008E64CC">
            <w:pPr>
              <w:spacing w:after="0" w:line="276" w:lineRule="auto"/>
              <w:rPr>
                <w:rFonts w:eastAsia="Times New Roman" w:cstheme="minorHAnsi"/>
                <w:sz w:val="24"/>
                <w:szCs w:val="24"/>
                <w:lang w:eastAsia="en-GB"/>
              </w:rPr>
            </w:pPr>
            <w:r w:rsidRPr="009D15ED">
              <w:rPr>
                <w:rFonts w:eastAsia="Times New Roman" w:cstheme="minorHAnsi"/>
                <w:sz w:val="24"/>
                <w:szCs w:val="24"/>
                <w:lang w:eastAsia="en-GB"/>
              </w:rPr>
              <w:t xml:space="preserve">   + 6 hours </w:t>
            </w:r>
          </w:p>
        </w:tc>
        <w:tc>
          <w:tcPr>
            <w:tcW w:w="953" w:type="pct"/>
            <w:tcBorders>
              <w:top w:val="nil"/>
              <w:left w:val="nil"/>
              <w:bottom w:val="nil"/>
              <w:right w:val="nil"/>
            </w:tcBorders>
            <w:vAlign w:val="bottom"/>
          </w:tcPr>
          <w:p w14:paraId="0791690A" w14:textId="77777777" w:rsidR="00FB669F" w:rsidRPr="009D15ED" w:rsidRDefault="00FB669F" w:rsidP="008E64CC">
            <w:pPr>
              <w:spacing w:after="0" w:line="276" w:lineRule="auto"/>
              <w:jc w:val="center"/>
              <w:rPr>
                <w:rFonts w:eastAsia="Times New Roman" w:cstheme="minorHAnsi"/>
                <w:sz w:val="24"/>
                <w:szCs w:val="24"/>
                <w:lang w:eastAsia="en-GB"/>
              </w:rPr>
            </w:pPr>
            <w:r w:rsidRPr="009D15ED">
              <w:rPr>
                <w:rFonts w:eastAsia="Times New Roman" w:cstheme="minorHAnsi"/>
                <w:sz w:val="24"/>
                <w:szCs w:val="24"/>
                <w:lang w:eastAsia="en-GB"/>
              </w:rPr>
              <w:t>35 (53.9%)</w:t>
            </w:r>
          </w:p>
        </w:tc>
        <w:tc>
          <w:tcPr>
            <w:tcW w:w="932" w:type="pct"/>
            <w:tcBorders>
              <w:top w:val="nil"/>
              <w:left w:val="nil"/>
              <w:bottom w:val="nil"/>
              <w:right w:val="nil"/>
            </w:tcBorders>
            <w:shd w:val="clear" w:color="auto" w:fill="auto"/>
            <w:noWrap/>
            <w:vAlign w:val="bottom"/>
            <w:hideMark/>
          </w:tcPr>
          <w:p w14:paraId="70775A94" w14:textId="77777777" w:rsidR="00FB669F" w:rsidRPr="009D15ED" w:rsidRDefault="00FB669F" w:rsidP="008E64CC">
            <w:pPr>
              <w:spacing w:after="0" w:line="276" w:lineRule="auto"/>
              <w:jc w:val="center"/>
              <w:rPr>
                <w:rFonts w:eastAsia="Times New Roman" w:cstheme="minorHAnsi"/>
                <w:i/>
                <w:sz w:val="24"/>
                <w:szCs w:val="24"/>
                <w:lang w:eastAsia="en-GB"/>
              </w:rPr>
            </w:pPr>
            <w:r w:rsidRPr="009D15ED">
              <w:rPr>
                <w:rFonts w:eastAsia="Times New Roman" w:cstheme="minorHAnsi"/>
                <w:i/>
                <w:sz w:val="24"/>
                <w:szCs w:val="24"/>
                <w:lang w:eastAsia="en-GB"/>
              </w:rPr>
              <w:t>23 (69.7%)</w:t>
            </w:r>
          </w:p>
        </w:tc>
        <w:tc>
          <w:tcPr>
            <w:tcW w:w="1100" w:type="pct"/>
            <w:tcBorders>
              <w:top w:val="nil"/>
              <w:left w:val="nil"/>
              <w:bottom w:val="nil"/>
              <w:right w:val="nil"/>
            </w:tcBorders>
            <w:shd w:val="clear" w:color="auto" w:fill="auto"/>
            <w:noWrap/>
            <w:vAlign w:val="bottom"/>
            <w:hideMark/>
          </w:tcPr>
          <w:p w14:paraId="2DDAD794" w14:textId="77777777" w:rsidR="00FB669F" w:rsidRPr="009D15ED" w:rsidRDefault="00FB669F" w:rsidP="008E64CC">
            <w:pPr>
              <w:spacing w:after="0" w:line="276" w:lineRule="auto"/>
              <w:jc w:val="center"/>
              <w:rPr>
                <w:rFonts w:eastAsia="Times New Roman" w:cstheme="minorHAnsi"/>
                <w:i/>
                <w:sz w:val="24"/>
                <w:szCs w:val="24"/>
                <w:lang w:eastAsia="en-GB"/>
              </w:rPr>
            </w:pPr>
            <w:r w:rsidRPr="009D15ED">
              <w:rPr>
                <w:rFonts w:eastAsia="Times New Roman" w:cstheme="minorHAnsi"/>
                <w:i/>
                <w:sz w:val="24"/>
                <w:szCs w:val="24"/>
                <w:lang w:eastAsia="en-GB"/>
              </w:rPr>
              <w:t>12 (46.2%)</w:t>
            </w:r>
          </w:p>
        </w:tc>
        <w:tc>
          <w:tcPr>
            <w:tcW w:w="759" w:type="pct"/>
            <w:tcBorders>
              <w:top w:val="nil"/>
              <w:left w:val="nil"/>
              <w:bottom w:val="nil"/>
              <w:right w:val="nil"/>
            </w:tcBorders>
            <w:shd w:val="clear" w:color="auto" w:fill="auto"/>
            <w:noWrap/>
            <w:vAlign w:val="bottom"/>
            <w:hideMark/>
          </w:tcPr>
          <w:p w14:paraId="3F8D0D53" w14:textId="77777777" w:rsidR="00FB669F" w:rsidRPr="009D15ED" w:rsidRDefault="00FB669F" w:rsidP="008E64CC">
            <w:pPr>
              <w:spacing w:after="0" w:line="276" w:lineRule="auto"/>
              <w:jc w:val="center"/>
              <w:rPr>
                <w:rFonts w:eastAsia="Times New Roman" w:cstheme="minorHAnsi"/>
                <w:sz w:val="24"/>
                <w:szCs w:val="24"/>
                <w:lang w:eastAsia="en-GB"/>
              </w:rPr>
            </w:pPr>
            <w:r w:rsidRPr="009D15ED">
              <w:rPr>
                <w:rFonts w:eastAsia="Times New Roman" w:cstheme="minorHAnsi"/>
                <w:sz w:val="24"/>
                <w:szCs w:val="24"/>
                <w:lang w:eastAsia="en-GB"/>
              </w:rPr>
              <w:t>0.068</w:t>
            </w:r>
          </w:p>
        </w:tc>
      </w:tr>
      <w:tr w:rsidR="00FB669F" w:rsidRPr="009D15ED" w14:paraId="67946CD9" w14:textId="77777777" w:rsidTr="008E64CC">
        <w:trPr>
          <w:trHeight w:val="300"/>
        </w:trPr>
        <w:tc>
          <w:tcPr>
            <w:tcW w:w="1256" w:type="pct"/>
            <w:tcBorders>
              <w:top w:val="nil"/>
              <w:left w:val="nil"/>
              <w:bottom w:val="nil"/>
              <w:right w:val="nil"/>
            </w:tcBorders>
            <w:shd w:val="clear" w:color="auto" w:fill="auto"/>
            <w:noWrap/>
            <w:vAlign w:val="center"/>
            <w:hideMark/>
          </w:tcPr>
          <w:p w14:paraId="70B8AE9F" w14:textId="77777777" w:rsidR="00FB669F" w:rsidRPr="009D15ED" w:rsidRDefault="00FB669F" w:rsidP="008E64CC">
            <w:pPr>
              <w:spacing w:after="0" w:line="276" w:lineRule="auto"/>
              <w:rPr>
                <w:rFonts w:eastAsia="Times New Roman" w:cstheme="minorHAnsi"/>
                <w:sz w:val="24"/>
                <w:szCs w:val="24"/>
                <w:lang w:eastAsia="en-GB"/>
              </w:rPr>
            </w:pPr>
            <w:r w:rsidRPr="009D15ED">
              <w:rPr>
                <w:rFonts w:eastAsia="Times New Roman" w:cstheme="minorHAnsi"/>
                <w:sz w:val="24"/>
                <w:szCs w:val="24"/>
                <w:lang w:eastAsia="en-GB"/>
              </w:rPr>
              <w:t xml:space="preserve">   + 12 hours</w:t>
            </w:r>
          </w:p>
        </w:tc>
        <w:tc>
          <w:tcPr>
            <w:tcW w:w="953" w:type="pct"/>
            <w:tcBorders>
              <w:top w:val="nil"/>
              <w:left w:val="nil"/>
              <w:bottom w:val="nil"/>
              <w:right w:val="nil"/>
            </w:tcBorders>
            <w:vAlign w:val="bottom"/>
          </w:tcPr>
          <w:p w14:paraId="7810070A" w14:textId="77777777" w:rsidR="00FB669F" w:rsidRPr="009D15ED" w:rsidRDefault="00FB669F" w:rsidP="008E64CC">
            <w:pPr>
              <w:spacing w:after="0" w:line="276" w:lineRule="auto"/>
              <w:jc w:val="center"/>
              <w:rPr>
                <w:rFonts w:eastAsia="Times New Roman" w:cstheme="minorHAnsi"/>
                <w:sz w:val="24"/>
                <w:szCs w:val="24"/>
                <w:lang w:eastAsia="en-GB"/>
              </w:rPr>
            </w:pPr>
            <w:r w:rsidRPr="009D15ED">
              <w:rPr>
                <w:rFonts w:eastAsia="Times New Roman" w:cstheme="minorHAnsi"/>
                <w:sz w:val="24"/>
                <w:szCs w:val="24"/>
                <w:lang w:eastAsia="en-GB"/>
              </w:rPr>
              <w:t>38 (64.4%)</w:t>
            </w:r>
          </w:p>
        </w:tc>
        <w:tc>
          <w:tcPr>
            <w:tcW w:w="932" w:type="pct"/>
            <w:tcBorders>
              <w:top w:val="nil"/>
              <w:left w:val="nil"/>
              <w:bottom w:val="nil"/>
              <w:right w:val="nil"/>
            </w:tcBorders>
            <w:shd w:val="clear" w:color="auto" w:fill="auto"/>
            <w:noWrap/>
            <w:vAlign w:val="bottom"/>
            <w:hideMark/>
          </w:tcPr>
          <w:p w14:paraId="19EAFF73" w14:textId="77777777" w:rsidR="00FB669F" w:rsidRPr="009D15ED" w:rsidRDefault="00FB669F" w:rsidP="008E64CC">
            <w:pPr>
              <w:spacing w:after="0" w:line="276" w:lineRule="auto"/>
              <w:jc w:val="center"/>
              <w:rPr>
                <w:rFonts w:eastAsia="Times New Roman" w:cstheme="minorHAnsi"/>
                <w:i/>
                <w:sz w:val="24"/>
                <w:szCs w:val="24"/>
                <w:lang w:eastAsia="en-GB"/>
              </w:rPr>
            </w:pPr>
            <w:r w:rsidRPr="009D15ED">
              <w:rPr>
                <w:rFonts w:eastAsia="Times New Roman" w:cstheme="minorHAnsi"/>
                <w:i/>
                <w:sz w:val="24"/>
                <w:szCs w:val="24"/>
                <w:lang w:eastAsia="en-GB"/>
              </w:rPr>
              <w:t>22 (66.7%)</w:t>
            </w:r>
          </w:p>
        </w:tc>
        <w:tc>
          <w:tcPr>
            <w:tcW w:w="1100" w:type="pct"/>
            <w:tcBorders>
              <w:top w:val="nil"/>
              <w:left w:val="nil"/>
              <w:bottom w:val="nil"/>
              <w:right w:val="nil"/>
            </w:tcBorders>
            <w:shd w:val="clear" w:color="auto" w:fill="auto"/>
            <w:noWrap/>
            <w:vAlign w:val="bottom"/>
            <w:hideMark/>
          </w:tcPr>
          <w:p w14:paraId="67569925" w14:textId="77777777" w:rsidR="00FB669F" w:rsidRPr="009D15ED" w:rsidRDefault="00FB669F" w:rsidP="008E64CC">
            <w:pPr>
              <w:spacing w:after="0" w:line="276" w:lineRule="auto"/>
              <w:jc w:val="center"/>
              <w:rPr>
                <w:rFonts w:eastAsia="Times New Roman" w:cstheme="minorHAnsi"/>
                <w:i/>
                <w:sz w:val="24"/>
                <w:szCs w:val="24"/>
                <w:lang w:eastAsia="en-GB"/>
              </w:rPr>
            </w:pPr>
            <w:r w:rsidRPr="009D15ED">
              <w:rPr>
                <w:rFonts w:eastAsia="Times New Roman" w:cstheme="minorHAnsi"/>
                <w:i/>
                <w:sz w:val="24"/>
                <w:szCs w:val="24"/>
                <w:lang w:eastAsia="en-GB"/>
              </w:rPr>
              <w:t>16 (61.5%)</w:t>
            </w:r>
          </w:p>
        </w:tc>
        <w:tc>
          <w:tcPr>
            <w:tcW w:w="759" w:type="pct"/>
            <w:tcBorders>
              <w:top w:val="nil"/>
              <w:left w:val="nil"/>
              <w:bottom w:val="nil"/>
              <w:right w:val="nil"/>
            </w:tcBorders>
            <w:shd w:val="clear" w:color="auto" w:fill="auto"/>
            <w:noWrap/>
            <w:vAlign w:val="bottom"/>
            <w:hideMark/>
          </w:tcPr>
          <w:p w14:paraId="003E0D64" w14:textId="77777777" w:rsidR="00FB669F" w:rsidRPr="009D15ED" w:rsidRDefault="00FB669F" w:rsidP="008E64CC">
            <w:pPr>
              <w:spacing w:after="0" w:line="276" w:lineRule="auto"/>
              <w:jc w:val="center"/>
              <w:rPr>
                <w:rFonts w:eastAsia="Times New Roman" w:cstheme="minorHAnsi"/>
                <w:sz w:val="24"/>
                <w:szCs w:val="24"/>
                <w:lang w:eastAsia="en-GB"/>
              </w:rPr>
            </w:pPr>
            <w:r w:rsidRPr="009D15ED">
              <w:rPr>
                <w:rFonts w:eastAsia="Times New Roman" w:cstheme="minorHAnsi"/>
                <w:sz w:val="24"/>
                <w:szCs w:val="24"/>
                <w:lang w:eastAsia="en-GB"/>
              </w:rPr>
              <w:t>0.683</w:t>
            </w:r>
          </w:p>
        </w:tc>
      </w:tr>
      <w:tr w:rsidR="00FB669F" w:rsidRPr="009D15ED" w14:paraId="6880B38C" w14:textId="77777777" w:rsidTr="008E64CC">
        <w:trPr>
          <w:trHeight w:val="300"/>
        </w:trPr>
        <w:tc>
          <w:tcPr>
            <w:tcW w:w="1256" w:type="pct"/>
            <w:tcBorders>
              <w:top w:val="nil"/>
              <w:left w:val="nil"/>
              <w:bottom w:val="nil"/>
              <w:right w:val="nil"/>
            </w:tcBorders>
            <w:shd w:val="clear" w:color="auto" w:fill="auto"/>
            <w:noWrap/>
            <w:vAlign w:val="center"/>
            <w:hideMark/>
          </w:tcPr>
          <w:p w14:paraId="4420B187" w14:textId="77777777" w:rsidR="00FB669F" w:rsidRPr="009D15ED" w:rsidRDefault="00FB669F" w:rsidP="008E64CC">
            <w:pPr>
              <w:spacing w:after="0" w:line="276" w:lineRule="auto"/>
              <w:rPr>
                <w:rFonts w:eastAsia="Times New Roman" w:cstheme="minorHAnsi"/>
                <w:sz w:val="24"/>
                <w:szCs w:val="24"/>
                <w:lang w:eastAsia="en-GB"/>
              </w:rPr>
            </w:pPr>
            <w:r w:rsidRPr="009D15ED">
              <w:rPr>
                <w:rFonts w:eastAsia="Times New Roman" w:cstheme="minorHAnsi"/>
                <w:sz w:val="24"/>
                <w:szCs w:val="24"/>
                <w:lang w:eastAsia="en-GB"/>
              </w:rPr>
              <w:t xml:space="preserve">   + 24 hours</w:t>
            </w:r>
          </w:p>
        </w:tc>
        <w:tc>
          <w:tcPr>
            <w:tcW w:w="953" w:type="pct"/>
            <w:tcBorders>
              <w:top w:val="nil"/>
              <w:left w:val="nil"/>
              <w:bottom w:val="nil"/>
              <w:right w:val="nil"/>
            </w:tcBorders>
            <w:vAlign w:val="bottom"/>
          </w:tcPr>
          <w:p w14:paraId="35475119" w14:textId="77777777" w:rsidR="00FB669F" w:rsidRPr="009D15ED" w:rsidRDefault="00FB669F" w:rsidP="008E64CC">
            <w:pPr>
              <w:spacing w:after="0" w:line="276" w:lineRule="auto"/>
              <w:jc w:val="center"/>
              <w:rPr>
                <w:rFonts w:eastAsia="Times New Roman" w:cstheme="minorHAnsi"/>
                <w:sz w:val="24"/>
                <w:szCs w:val="24"/>
                <w:lang w:eastAsia="en-GB"/>
              </w:rPr>
            </w:pPr>
            <w:r w:rsidRPr="009D15ED">
              <w:rPr>
                <w:rFonts w:eastAsia="Times New Roman" w:cstheme="minorHAnsi"/>
                <w:sz w:val="24"/>
                <w:szCs w:val="24"/>
                <w:lang w:eastAsia="en-GB"/>
              </w:rPr>
              <w:t>39 (66.1%)</w:t>
            </w:r>
          </w:p>
        </w:tc>
        <w:tc>
          <w:tcPr>
            <w:tcW w:w="932" w:type="pct"/>
            <w:tcBorders>
              <w:top w:val="nil"/>
              <w:left w:val="nil"/>
              <w:bottom w:val="nil"/>
              <w:right w:val="nil"/>
            </w:tcBorders>
            <w:shd w:val="clear" w:color="auto" w:fill="auto"/>
            <w:noWrap/>
            <w:vAlign w:val="bottom"/>
            <w:hideMark/>
          </w:tcPr>
          <w:p w14:paraId="0BFF09BF" w14:textId="77777777" w:rsidR="00FB669F" w:rsidRPr="009D15ED" w:rsidRDefault="00FB669F" w:rsidP="008E64CC">
            <w:pPr>
              <w:spacing w:after="0" w:line="276" w:lineRule="auto"/>
              <w:jc w:val="center"/>
              <w:rPr>
                <w:rFonts w:eastAsia="Times New Roman" w:cstheme="minorHAnsi"/>
                <w:i/>
                <w:sz w:val="24"/>
                <w:szCs w:val="24"/>
                <w:lang w:eastAsia="en-GB"/>
              </w:rPr>
            </w:pPr>
            <w:r w:rsidRPr="009D15ED">
              <w:rPr>
                <w:rFonts w:eastAsia="Times New Roman" w:cstheme="minorHAnsi"/>
                <w:i/>
                <w:sz w:val="24"/>
                <w:szCs w:val="24"/>
                <w:lang w:eastAsia="en-GB"/>
              </w:rPr>
              <w:t>23 (69.7%)</w:t>
            </w:r>
          </w:p>
        </w:tc>
        <w:tc>
          <w:tcPr>
            <w:tcW w:w="1100" w:type="pct"/>
            <w:tcBorders>
              <w:top w:val="nil"/>
              <w:left w:val="nil"/>
              <w:bottom w:val="nil"/>
              <w:right w:val="nil"/>
            </w:tcBorders>
            <w:shd w:val="clear" w:color="auto" w:fill="auto"/>
            <w:noWrap/>
            <w:vAlign w:val="bottom"/>
            <w:hideMark/>
          </w:tcPr>
          <w:p w14:paraId="522599CF" w14:textId="77777777" w:rsidR="00FB669F" w:rsidRPr="009D15ED" w:rsidRDefault="00FB669F" w:rsidP="008E64CC">
            <w:pPr>
              <w:spacing w:after="0" w:line="276" w:lineRule="auto"/>
              <w:jc w:val="center"/>
              <w:rPr>
                <w:rFonts w:eastAsia="Times New Roman" w:cstheme="minorHAnsi"/>
                <w:i/>
                <w:sz w:val="24"/>
                <w:szCs w:val="24"/>
                <w:lang w:eastAsia="en-GB"/>
              </w:rPr>
            </w:pPr>
            <w:r w:rsidRPr="009D15ED">
              <w:rPr>
                <w:rFonts w:eastAsia="Times New Roman" w:cstheme="minorHAnsi"/>
                <w:i/>
                <w:sz w:val="24"/>
                <w:szCs w:val="24"/>
                <w:lang w:eastAsia="en-GB"/>
              </w:rPr>
              <w:t>16 (61.5%)</w:t>
            </w:r>
          </w:p>
        </w:tc>
        <w:tc>
          <w:tcPr>
            <w:tcW w:w="759" w:type="pct"/>
            <w:tcBorders>
              <w:top w:val="nil"/>
              <w:left w:val="nil"/>
              <w:bottom w:val="nil"/>
              <w:right w:val="nil"/>
            </w:tcBorders>
            <w:shd w:val="clear" w:color="auto" w:fill="auto"/>
            <w:noWrap/>
            <w:vAlign w:val="bottom"/>
            <w:hideMark/>
          </w:tcPr>
          <w:p w14:paraId="078A8799" w14:textId="77777777" w:rsidR="00FB669F" w:rsidRPr="009D15ED" w:rsidRDefault="00FB669F" w:rsidP="008E64CC">
            <w:pPr>
              <w:spacing w:after="0" w:line="276" w:lineRule="auto"/>
              <w:jc w:val="center"/>
              <w:rPr>
                <w:rFonts w:eastAsia="Times New Roman" w:cstheme="minorHAnsi"/>
                <w:sz w:val="24"/>
                <w:szCs w:val="24"/>
                <w:lang w:eastAsia="en-GB"/>
              </w:rPr>
            </w:pPr>
            <w:r w:rsidRPr="009D15ED">
              <w:rPr>
                <w:rFonts w:eastAsia="Times New Roman" w:cstheme="minorHAnsi"/>
                <w:sz w:val="24"/>
                <w:szCs w:val="24"/>
                <w:lang w:eastAsia="en-GB"/>
              </w:rPr>
              <w:t>0.511</w:t>
            </w:r>
          </w:p>
        </w:tc>
      </w:tr>
      <w:tr w:rsidR="00FB669F" w:rsidRPr="009D15ED" w14:paraId="58161528" w14:textId="77777777" w:rsidTr="008E64CC">
        <w:trPr>
          <w:trHeight w:val="300"/>
        </w:trPr>
        <w:tc>
          <w:tcPr>
            <w:tcW w:w="1256" w:type="pct"/>
            <w:tcBorders>
              <w:top w:val="nil"/>
              <w:left w:val="nil"/>
              <w:bottom w:val="nil"/>
              <w:right w:val="nil"/>
            </w:tcBorders>
            <w:shd w:val="clear" w:color="auto" w:fill="auto"/>
            <w:noWrap/>
            <w:vAlign w:val="center"/>
            <w:hideMark/>
          </w:tcPr>
          <w:p w14:paraId="2C750031" w14:textId="77777777" w:rsidR="00FB669F" w:rsidRPr="009D15ED" w:rsidRDefault="00FB669F" w:rsidP="008E64CC">
            <w:pPr>
              <w:spacing w:after="0" w:line="276" w:lineRule="auto"/>
              <w:rPr>
                <w:rFonts w:eastAsia="Times New Roman" w:cstheme="minorHAnsi"/>
                <w:sz w:val="24"/>
                <w:szCs w:val="24"/>
                <w:lang w:eastAsia="en-GB"/>
              </w:rPr>
            </w:pPr>
            <w:r w:rsidRPr="009D15ED">
              <w:rPr>
                <w:rFonts w:eastAsia="Times New Roman" w:cstheme="minorHAnsi"/>
                <w:sz w:val="24"/>
                <w:szCs w:val="24"/>
                <w:lang w:eastAsia="en-GB"/>
              </w:rPr>
              <w:t xml:space="preserve">   + 48 </w:t>
            </w:r>
            <w:proofErr w:type="spellStart"/>
            <w:r w:rsidRPr="009D15ED">
              <w:rPr>
                <w:rFonts w:eastAsia="Times New Roman" w:cstheme="minorHAnsi"/>
                <w:sz w:val="24"/>
                <w:szCs w:val="24"/>
                <w:lang w:eastAsia="en-GB"/>
              </w:rPr>
              <w:t>hours</w:t>
            </w:r>
            <w:r w:rsidRPr="009D15ED">
              <w:rPr>
                <w:rFonts w:eastAsia="Times New Roman" w:cstheme="minorHAnsi"/>
                <w:sz w:val="24"/>
                <w:szCs w:val="24"/>
                <w:vertAlign w:val="superscript"/>
                <w:lang w:eastAsia="en-GB"/>
              </w:rPr>
              <w:t>a</w:t>
            </w:r>
            <w:proofErr w:type="spellEnd"/>
          </w:p>
        </w:tc>
        <w:tc>
          <w:tcPr>
            <w:tcW w:w="953" w:type="pct"/>
            <w:tcBorders>
              <w:top w:val="nil"/>
              <w:left w:val="nil"/>
              <w:bottom w:val="nil"/>
              <w:right w:val="nil"/>
            </w:tcBorders>
            <w:vAlign w:val="bottom"/>
          </w:tcPr>
          <w:p w14:paraId="1F9514B8" w14:textId="77777777" w:rsidR="00FB669F" w:rsidRPr="009D15ED" w:rsidRDefault="00FB669F" w:rsidP="008E64CC">
            <w:pPr>
              <w:spacing w:after="0" w:line="276" w:lineRule="auto"/>
              <w:jc w:val="center"/>
              <w:rPr>
                <w:rFonts w:eastAsia="Times New Roman" w:cstheme="minorHAnsi"/>
                <w:sz w:val="24"/>
                <w:szCs w:val="24"/>
                <w:lang w:eastAsia="en-GB"/>
              </w:rPr>
            </w:pPr>
            <w:r w:rsidRPr="009D15ED">
              <w:rPr>
                <w:rFonts w:eastAsia="Times New Roman" w:cstheme="minorHAnsi"/>
                <w:sz w:val="24"/>
                <w:szCs w:val="24"/>
                <w:lang w:eastAsia="en-GB"/>
              </w:rPr>
              <w:t>34 (61.8%)</w:t>
            </w:r>
            <w:r w:rsidRPr="009D15ED">
              <w:rPr>
                <w:rFonts w:eastAsia="Times New Roman" w:cstheme="minorHAnsi"/>
                <w:sz w:val="24"/>
                <w:szCs w:val="24"/>
                <w:vertAlign w:val="superscript"/>
                <w:lang w:eastAsia="en-GB"/>
              </w:rPr>
              <w:t xml:space="preserve"> a</w:t>
            </w:r>
          </w:p>
        </w:tc>
        <w:tc>
          <w:tcPr>
            <w:tcW w:w="932" w:type="pct"/>
            <w:tcBorders>
              <w:top w:val="nil"/>
              <w:left w:val="nil"/>
              <w:bottom w:val="nil"/>
              <w:right w:val="nil"/>
            </w:tcBorders>
            <w:shd w:val="clear" w:color="auto" w:fill="auto"/>
            <w:noWrap/>
            <w:vAlign w:val="bottom"/>
            <w:hideMark/>
          </w:tcPr>
          <w:p w14:paraId="3548A42C" w14:textId="77777777" w:rsidR="00FB669F" w:rsidRPr="009D15ED" w:rsidRDefault="00FB669F" w:rsidP="008E64CC">
            <w:pPr>
              <w:spacing w:after="0" w:line="276" w:lineRule="auto"/>
              <w:jc w:val="center"/>
              <w:rPr>
                <w:rFonts w:eastAsia="Times New Roman" w:cstheme="minorHAnsi"/>
                <w:i/>
                <w:sz w:val="24"/>
                <w:szCs w:val="24"/>
                <w:lang w:eastAsia="en-GB"/>
              </w:rPr>
            </w:pPr>
            <w:r w:rsidRPr="009D15ED">
              <w:rPr>
                <w:rFonts w:eastAsia="Times New Roman" w:cstheme="minorHAnsi"/>
                <w:i/>
                <w:sz w:val="24"/>
                <w:szCs w:val="24"/>
                <w:lang w:eastAsia="en-GB"/>
              </w:rPr>
              <w:t>25 (75.6%)</w:t>
            </w:r>
          </w:p>
        </w:tc>
        <w:tc>
          <w:tcPr>
            <w:tcW w:w="1100" w:type="pct"/>
            <w:tcBorders>
              <w:top w:val="nil"/>
              <w:left w:val="nil"/>
              <w:bottom w:val="nil"/>
              <w:right w:val="nil"/>
            </w:tcBorders>
            <w:shd w:val="clear" w:color="auto" w:fill="auto"/>
            <w:noWrap/>
            <w:vAlign w:val="bottom"/>
            <w:hideMark/>
          </w:tcPr>
          <w:p w14:paraId="3ECEF0D8" w14:textId="77777777" w:rsidR="00FB669F" w:rsidRPr="009D15ED" w:rsidRDefault="00FB669F" w:rsidP="008E64CC">
            <w:pPr>
              <w:spacing w:after="0" w:line="276" w:lineRule="auto"/>
              <w:jc w:val="center"/>
              <w:rPr>
                <w:rFonts w:eastAsia="Times New Roman" w:cstheme="minorHAnsi"/>
                <w:i/>
                <w:sz w:val="24"/>
                <w:szCs w:val="24"/>
                <w:lang w:eastAsia="en-GB"/>
              </w:rPr>
            </w:pPr>
            <w:r w:rsidRPr="009D15ED">
              <w:rPr>
                <w:rFonts w:eastAsia="Times New Roman" w:cstheme="minorHAnsi"/>
                <w:i/>
                <w:sz w:val="24"/>
                <w:szCs w:val="24"/>
                <w:lang w:eastAsia="en-GB"/>
              </w:rPr>
              <w:t>9 (39.1%)</w:t>
            </w:r>
          </w:p>
        </w:tc>
        <w:tc>
          <w:tcPr>
            <w:tcW w:w="759" w:type="pct"/>
            <w:tcBorders>
              <w:top w:val="nil"/>
              <w:left w:val="nil"/>
              <w:bottom w:val="nil"/>
              <w:right w:val="nil"/>
            </w:tcBorders>
            <w:shd w:val="clear" w:color="auto" w:fill="auto"/>
            <w:noWrap/>
            <w:vAlign w:val="bottom"/>
            <w:hideMark/>
          </w:tcPr>
          <w:p w14:paraId="23FA658A" w14:textId="77777777" w:rsidR="00FB669F" w:rsidRPr="009D15ED" w:rsidRDefault="00FB669F" w:rsidP="008E64CC">
            <w:pPr>
              <w:spacing w:after="0" w:line="276" w:lineRule="auto"/>
              <w:jc w:val="center"/>
              <w:rPr>
                <w:rFonts w:eastAsia="Times New Roman" w:cstheme="minorHAnsi"/>
                <w:b/>
                <w:bCs/>
                <w:sz w:val="24"/>
                <w:szCs w:val="24"/>
                <w:lang w:eastAsia="en-GB"/>
              </w:rPr>
            </w:pPr>
            <w:r w:rsidRPr="009D15ED">
              <w:rPr>
                <w:rFonts w:eastAsia="Times New Roman" w:cstheme="minorHAnsi"/>
                <w:b/>
                <w:bCs/>
                <w:sz w:val="24"/>
                <w:szCs w:val="24"/>
                <w:lang w:eastAsia="en-GB"/>
              </w:rPr>
              <w:t>0.006*</w:t>
            </w:r>
          </w:p>
        </w:tc>
      </w:tr>
      <w:tr w:rsidR="00FB669F" w:rsidRPr="009D15ED" w14:paraId="08E71EBC" w14:textId="77777777" w:rsidTr="008E64CC">
        <w:trPr>
          <w:trHeight w:val="300"/>
        </w:trPr>
        <w:tc>
          <w:tcPr>
            <w:tcW w:w="1256" w:type="pct"/>
            <w:tcBorders>
              <w:top w:val="nil"/>
              <w:left w:val="nil"/>
              <w:bottom w:val="nil"/>
              <w:right w:val="nil"/>
            </w:tcBorders>
            <w:shd w:val="clear" w:color="auto" w:fill="auto"/>
            <w:noWrap/>
            <w:vAlign w:val="center"/>
            <w:hideMark/>
          </w:tcPr>
          <w:p w14:paraId="623677F2" w14:textId="77777777" w:rsidR="00FB669F" w:rsidRPr="009D15ED" w:rsidRDefault="00FB669F" w:rsidP="008E64CC">
            <w:pPr>
              <w:spacing w:after="0" w:line="276" w:lineRule="auto"/>
              <w:rPr>
                <w:rFonts w:eastAsia="Times New Roman" w:cstheme="minorHAnsi"/>
                <w:sz w:val="24"/>
                <w:szCs w:val="24"/>
                <w:lang w:eastAsia="en-GB"/>
              </w:rPr>
            </w:pPr>
            <w:r w:rsidRPr="009D15ED">
              <w:rPr>
                <w:rFonts w:eastAsia="Times New Roman" w:cstheme="minorHAnsi"/>
                <w:sz w:val="24"/>
                <w:szCs w:val="24"/>
                <w:lang w:eastAsia="en-GB"/>
              </w:rPr>
              <w:t xml:space="preserve">   + 72 </w:t>
            </w:r>
            <w:proofErr w:type="spellStart"/>
            <w:r w:rsidRPr="009D15ED">
              <w:rPr>
                <w:rFonts w:eastAsia="Times New Roman" w:cstheme="minorHAnsi"/>
                <w:sz w:val="24"/>
                <w:szCs w:val="24"/>
                <w:lang w:eastAsia="en-GB"/>
              </w:rPr>
              <w:t>hours</w:t>
            </w:r>
            <w:r w:rsidRPr="009D15ED">
              <w:rPr>
                <w:rFonts w:eastAsia="Times New Roman" w:cstheme="minorHAnsi"/>
                <w:sz w:val="24"/>
                <w:szCs w:val="24"/>
                <w:vertAlign w:val="superscript"/>
                <w:lang w:eastAsia="en-GB"/>
              </w:rPr>
              <w:t>a</w:t>
            </w:r>
            <w:proofErr w:type="spellEnd"/>
          </w:p>
        </w:tc>
        <w:tc>
          <w:tcPr>
            <w:tcW w:w="953" w:type="pct"/>
            <w:tcBorders>
              <w:top w:val="nil"/>
              <w:left w:val="nil"/>
              <w:bottom w:val="nil"/>
              <w:right w:val="nil"/>
            </w:tcBorders>
            <w:vAlign w:val="bottom"/>
          </w:tcPr>
          <w:p w14:paraId="5EA465A4" w14:textId="77777777" w:rsidR="00FB669F" w:rsidRPr="009D15ED" w:rsidRDefault="00FB669F" w:rsidP="008E64CC">
            <w:pPr>
              <w:spacing w:after="0" w:line="276" w:lineRule="auto"/>
              <w:jc w:val="center"/>
              <w:rPr>
                <w:rFonts w:eastAsia="Times New Roman" w:cstheme="minorHAnsi"/>
                <w:sz w:val="24"/>
                <w:szCs w:val="24"/>
                <w:lang w:eastAsia="en-GB"/>
              </w:rPr>
            </w:pPr>
            <w:r w:rsidRPr="009D15ED">
              <w:rPr>
                <w:rFonts w:eastAsia="Times New Roman" w:cstheme="minorHAnsi"/>
                <w:sz w:val="24"/>
                <w:szCs w:val="24"/>
                <w:lang w:eastAsia="en-GB"/>
              </w:rPr>
              <w:t>38 (69.1%)</w:t>
            </w:r>
            <w:r w:rsidRPr="009D15ED">
              <w:rPr>
                <w:rFonts w:eastAsia="Times New Roman" w:cstheme="minorHAnsi"/>
                <w:sz w:val="24"/>
                <w:szCs w:val="24"/>
                <w:vertAlign w:val="superscript"/>
                <w:lang w:eastAsia="en-GB"/>
              </w:rPr>
              <w:t>a</w:t>
            </w:r>
          </w:p>
        </w:tc>
        <w:tc>
          <w:tcPr>
            <w:tcW w:w="932" w:type="pct"/>
            <w:tcBorders>
              <w:top w:val="nil"/>
              <w:left w:val="nil"/>
              <w:bottom w:val="nil"/>
              <w:right w:val="nil"/>
            </w:tcBorders>
            <w:shd w:val="clear" w:color="auto" w:fill="auto"/>
            <w:noWrap/>
            <w:vAlign w:val="bottom"/>
            <w:hideMark/>
          </w:tcPr>
          <w:p w14:paraId="63DC1F8A" w14:textId="77777777" w:rsidR="00FB669F" w:rsidRPr="009D15ED" w:rsidRDefault="00FB669F" w:rsidP="008E64CC">
            <w:pPr>
              <w:spacing w:after="0" w:line="276" w:lineRule="auto"/>
              <w:jc w:val="center"/>
              <w:rPr>
                <w:rFonts w:eastAsia="Times New Roman" w:cstheme="minorHAnsi"/>
                <w:i/>
                <w:sz w:val="24"/>
                <w:szCs w:val="24"/>
                <w:lang w:eastAsia="en-GB"/>
              </w:rPr>
            </w:pPr>
            <w:r w:rsidRPr="009D15ED">
              <w:rPr>
                <w:rFonts w:eastAsia="Times New Roman" w:cstheme="minorHAnsi"/>
                <w:i/>
                <w:sz w:val="24"/>
                <w:szCs w:val="24"/>
                <w:lang w:eastAsia="en-GB"/>
              </w:rPr>
              <w:t>28 (84.8%)</w:t>
            </w:r>
          </w:p>
        </w:tc>
        <w:tc>
          <w:tcPr>
            <w:tcW w:w="1100" w:type="pct"/>
            <w:tcBorders>
              <w:top w:val="nil"/>
              <w:left w:val="nil"/>
              <w:bottom w:val="nil"/>
              <w:right w:val="nil"/>
            </w:tcBorders>
            <w:shd w:val="clear" w:color="auto" w:fill="auto"/>
            <w:noWrap/>
            <w:vAlign w:val="bottom"/>
            <w:hideMark/>
          </w:tcPr>
          <w:p w14:paraId="0EB2DE9B" w14:textId="77777777" w:rsidR="00FB669F" w:rsidRPr="009D15ED" w:rsidRDefault="00FB669F" w:rsidP="008E64CC">
            <w:pPr>
              <w:spacing w:after="0" w:line="276" w:lineRule="auto"/>
              <w:jc w:val="center"/>
              <w:rPr>
                <w:rFonts w:eastAsia="Times New Roman" w:cstheme="minorHAnsi"/>
                <w:i/>
                <w:sz w:val="24"/>
                <w:szCs w:val="24"/>
                <w:lang w:eastAsia="en-GB"/>
              </w:rPr>
            </w:pPr>
            <w:r w:rsidRPr="009D15ED">
              <w:rPr>
                <w:rFonts w:eastAsia="Times New Roman" w:cstheme="minorHAnsi"/>
                <w:i/>
                <w:sz w:val="24"/>
                <w:szCs w:val="24"/>
                <w:lang w:eastAsia="en-GB"/>
              </w:rPr>
              <w:t>10 (45.5%)</w:t>
            </w:r>
          </w:p>
        </w:tc>
        <w:tc>
          <w:tcPr>
            <w:tcW w:w="759" w:type="pct"/>
            <w:tcBorders>
              <w:top w:val="nil"/>
              <w:left w:val="nil"/>
              <w:bottom w:val="nil"/>
              <w:right w:val="nil"/>
            </w:tcBorders>
            <w:shd w:val="clear" w:color="auto" w:fill="auto"/>
            <w:noWrap/>
            <w:vAlign w:val="bottom"/>
            <w:hideMark/>
          </w:tcPr>
          <w:p w14:paraId="7F12A23E" w14:textId="77777777" w:rsidR="00FB669F" w:rsidRPr="009D15ED" w:rsidRDefault="00FB669F" w:rsidP="008E64CC">
            <w:pPr>
              <w:spacing w:after="0" w:line="276" w:lineRule="auto"/>
              <w:jc w:val="center"/>
              <w:rPr>
                <w:rFonts w:eastAsia="Times New Roman" w:cstheme="minorHAnsi"/>
                <w:b/>
                <w:bCs/>
                <w:sz w:val="24"/>
                <w:szCs w:val="24"/>
                <w:lang w:eastAsia="en-GB"/>
              </w:rPr>
            </w:pPr>
            <w:r w:rsidRPr="009D15ED">
              <w:rPr>
                <w:rFonts w:eastAsia="Times New Roman" w:cstheme="minorHAnsi"/>
                <w:b/>
                <w:bCs/>
                <w:sz w:val="24"/>
                <w:szCs w:val="24"/>
                <w:lang w:eastAsia="en-GB"/>
              </w:rPr>
              <w:t>&lt;0.001*</w:t>
            </w:r>
          </w:p>
        </w:tc>
      </w:tr>
      <w:tr w:rsidR="00FB669F" w:rsidRPr="009D15ED" w14:paraId="76C8F4F5" w14:textId="77777777" w:rsidTr="008E64CC">
        <w:trPr>
          <w:trHeight w:val="300"/>
        </w:trPr>
        <w:tc>
          <w:tcPr>
            <w:tcW w:w="1256" w:type="pct"/>
            <w:tcBorders>
              <w:top w:val="nil"/>
              <w:left w:val="nil"/>
              <w:bottom w:val="nil"/>
              <w:right w:val="nil"/>
            </w:tcBorders>
            <w:shd w:val="clear" w:color="auto" w:fill="auto"/>
            <w:noWrap/>
            <w:vAlign w:val="center"/>
            <w:hideMark/>
          </w:tcPr>
          <w:p w14:paraId="2592CFAA" w14:textId="77777777" w:rsidR="00FB669F" w:rsidRPr="009D15ED" w:rsidRDefault="00FB669F" w:rsidP="008E64CC">
            <w:pPr>
              <w:spacing w:after="0" w:line="276" w:lineRule="auto"/>
              <w:rPr>
                <w:rFonts w:eastAsia="Times New Roman" w:cstheme="minorHAnsi"/>
                <w:b/>
                <w:bCs/>
                <w:sz w:val="24"/>
                <w:szCs w:val="24"/>
                <w:lang w:eastAsia="en-GB"/>
              </w:rPr>
            </w:pPr>
            <w:r w:rsidRPr="009D15ED">
              <w:rPr>
                <w:rFonts w:eastAsia="Times New Roman" w:cstheme="minorHAnsi"/>
                <w:b/>
                <w:bCs/>
                <w:sz w:val="24"/>
                <w:szCs w:val="24"/>
                <w:lang w:eastAsia="en-GB"/>
              </w:rPr>
              <w:t>20% increase</w:t>
            </w:r>
          </w:p>
        </w:tc>
        <w:tc>
          <w:tcPr>
            <w:tcW w:w="953" w:type="pct"/>
            <w:tcBorders>
              <w:top w:val="nil"/>
              <w:left w:val="nil"/>
              <w:bottom w:val="nil"/>
              <w:right w:val="nil"/>
            </w:tcBorders>
            <w:vAlign w:val="bottom"/>
          </w:tcPr>
          <w:p w14:paraId="0C357D89" w14:textId="77777777" w:rsidR="00FB669F" w:rsidRPr="009D15ED" w:rsidRDefault="00FB669F" w:rsidP="008E64CC">
            <w:pPr>
              <w:spacing w:after="0" w:line="276" w:lineRule="auto"/>
              <w:jc w:val="center"/>
              <w:rPr>
                <w:rFonts w:eastAsia="Times New Roman" w:cstheme="minorHAnsi"/>
                <w:b/>
                <w:bCs/>
                <w:sz w:val="24"/>
                <w:szCs w:val="24"/>
                <w:lang w:eastAsia="en-GB"/>
              </w:rPr>
            </w:pPr>
          </w:p>
        </w:tc>
        <w:tc>
          <w:tcPr>
            <w:tcW w:w="932" w:type="pct"/>
            <w:tcBorders>
              <w:top w:val="nil"/>
              <w:left w:val="nil"/>
              <w:bottom w:val="nil"/>
              <w:right w:val="nil"/>
            </w:tcBorders>
            <w:shd w:val="clear" w:color="auto" w:fill="auto"/>
            <w:noWrap/>
            <w:vAlign w:val="bottom"/>
            <w:hideMark/>
          </w:tcPr>
          <w:p w14:paraId="7B1D9CE6" w14:textId="77777777" w:rsidR="00FB669F" w:rsidRPr="009D15ED" w:rsidRDefault="00FB669F" w:rsidP="008E64CC">
            <w:pPr>
              <w:spacing w:after="0" w:line="276" w:lineRule="auto"/>
              <w:jc w:val="center"/>
              <w:rPr>
                <w:rFonts w:eastAsia="Times New Roman" w:cstheme="minorHAnsi"/>
                <w:b/>
                <w:bCs/>
                <w:i/>
                <w:sz w:val="24"/>
                <w:szCs w:val="24"/>
                <w:lang w:eastAsia="en-GB"/>
              </w:rPr>
            </w:pPr>
          </w:p>
        </w:tc>
        <w:tc>
          <w:tcPr>
            <w:tcW w:w="1100" w:type="pct"/>
            <w:tcBorders>
              <w:top w:val="nil"/>
              <w:left w:val="nil"/>
              <w:bottom w:val="nil"/>
              <w:right w:val="nil"/>
            </w:tcBorders>
            <w:shd w:val="clear" w:color="auto" w:fill="auto"/>
            <w:noWrap/>
            <w:vAlign w:val="bottom"/>
            <w:hideMark/>
          </w:tcPr>
          <w:p w14:paraId="3A19233C" w14:textId="77777777" w:rsidR="00FB669F" w:rsidRPr="009D15ED" w:rsidRDefault="00FB669F" w:rsidP="008E64CC">
            <w:pPr>
              <w:spacing w:after="0" w:line="276" w:lineRule="auto"/>
              <w:jc w:val="center"/>
              <w:rPr>
                <w:rFonts w:eastAsia="Times New Roman" w:cstheme="minorHAnsi"/>
                <w:i/>
                <w:sz w:val="24"/>
                <w:szCs w:val="24"/>
                <w:lang w:eastAsia="en-GB"/>
              </w:rPr>
            </w:pPr>
          </w:p>
        </w:tc>
        <w:tc>
          <w:tcPr>
            <w:tcW w:w="759" w:type="pct"/>
            <w:tcBorders>
              <w:top w:val="nil"/>
              <w:left w:val="nil"/>
              <w:bottom w:val="nil"/>
              <w:right w:val="nil"/>
            </w:tcBorders>
            <w:shd w:val="clear" w:color="auto" w:fill="auto"/>
            <w:noWrap/>
            <w:vAlign w:val="bottom"/>
            <w:hideMark/>
          </w:tcPr>
          <w:p w14:paraId="71697C0D" w14:textId="77777777" w:rsidR="00FB669F" w:rsidRPr="009D15ED" w:rsidRDefault="00FB669F" w:rsidP="008E64CC">
            <w:pPr>
              <w:spacing w:after="0" w:line="276" w:lineRule="auto"/>
              <w:jc w:val="center"/>
              <w:rPr>
                <w:rFonts w:eastAsia="Times New Roman" w:cstheme="minorHAnsi"/>
                <w:sz w:val="24"/>
                <w:szCs w:val="24"/>
                <w:lang w:eastAsia="en-GB"/>
              </w:rPr>
            </w:pPr>
          </w:p>
        </w:tc>
      </w:tr>
      <w:tr w:rsidR="00FB669F" w:rsidRPr="009D15ED" w14:paraId="075B0608" w14:textId="77777777" w:rsidTr="008E64CC">
        <w:trPr>
          <w:trHeight w:val="300"/>
        </w:trPr>
        <w:tc>
          <w:tcPr>
            <w:tcW w:w="1256" w:type="pct"/>
            <w:tcBorders>
              <w:top w:val="nil"/>
              <w:left w:val="nil"/>
              <w:bottom w:val="nil"/>
              <w:right w:val="nil"/>
            </w:tcBorders>
            <w:shd w:val="clear" w:color="auto" w:fill="auto"/>
            <w:noWrap/>
            <w:vAlign w:val="center"/>
            <w:hideMark/>
          </w:tcPr>
          <w:p w14:paraId="166A4D1F" w14:textId="77777777" w:rsidR="00FB669F" w:rsidRPr="009D15ED" w:rsidRDefault="00FB669F" w:rsidP="008E64CC">
            <w:pPr>
              <w:spacing w:after="0" w:line="276" w:lineRule="auto"/>
              <w:rPr>
                <w:rFonts w:eastAsia="Times New Roman" w:cstheme="minorHAnsi"/>
                <w:sz w:val="24"/>
                <w:szCs w:val="24"/>
                <w:lang w:eastAsia="en-GB"/>
              </w:rPr>
            </w:pPr>
            <w:r w:rsidRPr="009D15ED">
              <w:rPr>
                <w:rFonts w:eastAsia="Times New Roman" w:cstheme="minorHAnsi"/>
                <w:sz w:val="24"/>
                <w:szCs w:val="24"/>
                <w:lang w:eastAsia="en-GB"/>
              </w:rPr>
              <w:t xml:space="preserve">   + 2 hours</w:t>
            </w:r>
          </w:p>
        </w:tc>
        <w:tc>
          <w:tcPr>
            <w:tcW w:w="953" w:type="pct"/>
            <w:tcBorders>
              <w:top w:val="nil"/>
              <w:left w:val="nil"/>
              <w:bottom w:val="nil"/>
              <w:right w:val="nil"/>
            </w:tcBorders>
            <w:vAlign w:val="bottom"/>
          </w:tcPr>
          <w:p w14:paraId="071D6A51" w14:textId="77777777" w:rsidR="00FB669F" w:rsidRPr="009D15ED" w:rsidRDefault="00FB669F" w:rsidP="008E64CC">
            <w:pPr>
              <w:spacing w:after="0" w:line="276" w:lineRule="auto"/>
              <w:jc w:val="center"/>
              <w:rPr>
                <w:rFonts w:eastAsia="Times New Roman" w:cstheme="minorHAnsi"/>
                <w:sz w:val="24"/>
                <w:szCs w:val="24"/>
                <w:lang w:eastAsia="en-GB"/>
              </w:rPr>
            </w:pPr>
            <w:r w:rsidRPr="009D15ED">
              <w:rPr>
                <w:rFonts w:eastAsia="Times New Roman" w:cstheme="minorHAnsi"/>
                <w:sz w:val="24"/>
                <w:szCs w:val="24"/>
                <w:lang w:eastAsia="en-GB"/>
              </w:rPr>
              <w:t>21 (35.6%)</w:t>
            </w:r>
          </w:p>
        </w:tc>
        <w:tc>
          <w:tcPr>
            <w:tcW w:w="932" w:type="pct"/>
            <w:tcBorders>
              <w:top w:val="nil"/>
              <w:left w:val="nil"/>
              <w:bottom w:val="nil"/>
              <w:right w:val="nil"/>
            </w:tcBorders>
            <w:shd w:val="clear" w:color="auto" w:fill="auto"/>
            <w:noWrap/>
            <w:vAlign w:val="bottom"/>
            <w:hideMark/>
          </w:tcPr>
          <w:p w14:paraId="0E8466EB" w14:textId="77777777" w:rsidR="00FB669F" w:rsidRPr="009D15ED" w:rsidRDefault="00FB669F" w:rsidP="008E64CC">
            <w:pPr>
              <w:spacing w:after="0" w:line="276" w:lineRule="auto"/>
              <w:jc w:val="center"/>
              <w:rPr>
                <w:rFonts w:eastAsia="Times New Roman" w:cstheme="minorHAnsi"/>
                <w:i/>
                <w:sz w:val="24"/>
                <w:szCs w:val="24"/>
                <w:lang w:eastAsia="en-GB"/>
              </w:rPr>
            </w:pPr>
            <w:r w:rsidRPr="009D15ED">
              <w:rPr>
                <w:rFonts w:eastAsia="Times New Roman" w:cstheme="minorHAnsi"/>
                <w:i/>
                <w:sz w:val="24"/>
                <w:szCs w:val="24"/>
                <w:lang w:eastAsia="en-GB"/>
              </w:rPr>
              <w:t>15 (45.5%)</w:t>
            </w:r>
          </w:p>
        </w:tc>
        <w:tc>
          <w:tcPr>
            <w:tcW w:w="1100" w:type="pct"/>
            <w:tcBorders>
              <w:top w:val="nil"/>
              <w:left w:val="nil"/>
              <w:bottom w:val="nil"/>
              <w:right w:val="nil"/>
            </w:tcBorders>
            <w:shd w:val="clear" w:color="auto" w:fill="auto"/>
            <w:noWrap/>
            <w:vAlign w:val="bottom"/>
            <w:hideMark/>
          </w:tcPr>
          <w:p w14:paraId="086CEF69" w14:textId="77777777" w:rsidR="00FB669F" w:rsidRPr="009D15ED" w:rsidRDefault="00FB669F" w:rsidP="008E64CC">
            <w:pPr>
              <w:spacing w:after="0" w:line="276" w:lineRule="auto"/>
              <w:jc w:val="center"/>
              <w:rPr>
                <w:rFonts w:eastAsia="Times New Roman" w:cstheme="minorHAnsi"/>
                <w:i/>
                <w:sz w:val="24"/>
                <w:szCs w:val="24"/>
                <w:lang w:eastAsia="en-GB"/>
              </w:rPr>
            </w:pPr>
            <w:r w:rsidRPr="009D15ED">
              <w:rPr>
                <w:rFonts w:eastAsia="Times New Roman" w:cstheme="minorHAnsi"/>
                <w:i/>
                <w:sz w:val="24"/>
                <w:szCs w:val="24"/>
                <w:lang w:eastAsia="en-GB"/>
              </w:rPr>
              <w:t>6 (23.1%)</w:t>
            </w:r>
          </w:p>
        </w:tc>
        <w:tc>
          <w:tcPr>
            <w:tcW w:w="759" w:type="pct"/>
            <w:tcBorders>
              <w:top w:val="nil"/>
              <w:left w:val="nil"/>
              <w:bottom w:val="nil"/>
              <w:right w:val="nil"/>
            </w:tcBorders>
            <w:shd w:val="clear" w:color="auto" w:fill="auto"/>
            <w:noWrap/>
            <w:vAlign w:val="bottom"/>
            <w:hideMark/>
          </w:tcPr>
          <w:p w14:paraId="56293ECC" w14:textId="77777777" w:rsidR="00FB669F" w:rsidRPr="009D15ED" w:rsidRDefault="00FB669F" w:rsidP="008E64CC">
            <w:pPr>
              <w:spacing w:after="0" w:line="276" w:lineRule="auto"/>
              <w:jc w:val="center"/>
              <w:rPr>
                <w:rFonts w:eastAsia="Times New Roman" w:cstheme="minorHAnsi"/>
                <w:sz w:val="24"/>
                <w:szCs w:val="24"/>
                <w:lang w:eastAsia="en-GB"/>
              </w:rPr>
            </w:pPr>
            <w:r w:rsidRPr="009D15ED">
              <w:rPr>
                <w:rFonts w:eastAsia="Times New Roman" w:cstheme="minorHAnsi"/>
                <w:sz w:val="24"/>
                <w:szCs w:val="24"/>
                <w:lang w:eastAsia="en-GB"/>
              </w:rPr>
              <w:t>0.075</w:t>
            </w:r>
          </w:p>
        </w:tc>
      </w:tr>
      <w:tr w:rsidR="00FB669F" w:rsidRPr="009D15ED" w14:paraId="7942425E" w14:textId="77777777" w:rsidTr="008E64CC">
        <w:trPr>
          <w:trHeight w:val="300"/>
        </w:trPr>
        <w:tc>
          <w:tcPr>
            <w:tcW w:w="1256" w:type="pct"/>
            <w:tcBorders>
              <w:top w:val="nil"/>
              <w:left w:val="nil"/>
              <w:bottom w:val="nil"/>
              <w:right w:val="nil"/>
            </w:tcBorders>
            <w:shd w:val="clear" w:color="auto" w:fill="auto"/>
            <w:noWrap/>
            <w:vAlign w:val="center"/>
            <w:hideMark/>
          </w:tcPr>
          <w:p w14:paraId="4A03264A" w14:textId="77777777" w:rsidR="00FB669F" w:rsidRPr="009D15ED" w:rsidRDefault="00FB669F" w:rsidP="008E64CC">
            <w:pPr>
              <w:spacing w:after="0" w:line="276" w:lineRule="auto"/>
              <w:rPr>
                <w:rFonts w:eastAsia="Times New Roman" w:cstheme="minorHAnsi"/>
                <w:sz w:val="24"/>
                <w:szCs w:val="24"/>
                <w:lang w:eastAsia="en-GB"/>
              </w:rPr>
            </w:pPr>
            <w:r w:rsidRPr="009D15ED">
              <w:rPr>
                <w:rFonts w:eastAsia="Times New Roman" w:cstheme="minorHAnsi"/>
                <w:sz w:val="24"/>
                <w:szCs w:val="24"/>
                <w:lang w:eastAsia="en-GB"/>
              </w:rPr>
              <w:t xml:space="preserve">   + 6 hours </w:t>
            </w:r>
          </w:p>
        </w:tc>
        <w:tc>
          <w:tcPr>
            <w:tcW w:w="953" w:type="pct"/>
            <w:tcBorders>
              <w:top w:val="nil"/>
              <w:left w:val="nil"/>
              <w:bottom w:val="nil"/>
              <w:right w:val="nil"/>
            </w:tcBorders>
            <w:vAlign w:val="bottom"/>
          </w:tcPr>
          <w:p w14:paraId="75E0C65D" w14:textId="77777777" w:rsidR="00FB669F" w:rsidRPr="009D15ED" w:rsidRDefault="00FB669F" w:rsidP="008E64CC">
            <w:pPr>
              <w:spacing w:after="0" w:line="276" w:lineRule="auto"/>
              <w:jc w:val="center"/>
              <w:rPr>
                <w:rFonts w:eastAsia="Times New Roman" w:cstheme="minorHAnsi"/>
                <w:sz w:val="24"/>
                <w:szCs w:val="24"/>
                <w:lang w:eastAsia="en-GB"/>
              </w:rPr>
            </w:pPr>
            <w:r w:rsidRPr="009D15ED">
              <w:rPr>
                <w:rFonts w:eastAsia="Times New Roman" w:cstheme="minorHAnsi"/>
                <w:sz w:val="24"/>
                <w:szCs w:val="24"/>
                <w:lang w:eastAsia="en-GB"/>
              </w:rPr>
              <w:t>26 (44.1%)</w:t>
            </w:r>
          </w:p>
        </w:tc>
        <w:tc>
          <w:tcPr>
            <w:tcW w:w="932" w:type="pct"/>
            <w:tcBorders>
              <w:top w:val="nil"/>
              <w:left w:val="nil"/>
              <w:bottom w:val="nil"/>
              <w:right w:val="nil"/>
            </w:tcBorders>
            <w:shd w:val="clear" w:color="auto" w:fill="auto"/>
            <w:noWrap/>
            <w:vAlign w:val="bottom"/>
            <w:hideMark/>
          </w:tcPr>
          <w:p w14:paraId="4B26C3B0" w14:textId="77777777" w:rsidR="00FB669F" w:rsidRPr="009D15ED" w:rsidRDefault="00FB669F" w:rsidP="008E64CC">
            <w:pPr>
              <w:spacing w:after="0" w:line="276" w:lineRule="auto"/>
              <w:jc w:val="center"/>
              <w:rPr>
                <w:rFonts w:eastAsia="Times New Roman" w:cstheme="minorHAnsi"/>
                <w:i/>
                <w:sz w:val="24"/>
                <w:szCs w:val="24"/>
                <w:lang w:eastAsia="en-GB"/>
              </w:rPr>
            </w:pPr>
            <w:r w:rsidRPr="009D15ED">
              <w:rPr>
                <w:rFonts w:eastAsia="Times New Roman" w:cstheme="minorHAnsi"/>
                <w:i/>
                <w:sz w:val="24"/>
                <w:szCs w:val="24"/>
                <w:lang w:eastAsia="en-GB"/>
              </w:rPr>
              <w:t>17 (51.5%)</w:t>
            </w:r>
          </w:p>
        </w:tc>
        <w:tc>
          <w:tcPr>
            <w:tcW w:w="1100" w:type="pct"/>
            <w:tcBorders>
              <w:top w:val="nil"/>
              <w:left w:val="nil"/>
              <w:bottom w:val="nil"/>
              <w:right w:val="nil"/>
            </w:tcBorders>
            <w:shd w:val="clear" w:color="auto" w:fill="auto"/>
            <w:noWrap/>
            <w:vAlign w:val="bottom"/>
            <w:hideMark/>
          </w:tcPr>
          <w:p w14:paraId="292E11FA" w14:textId="77777777" w:rsidR="00FB669F" w:rsidRPr="009D15ED" w:rsidRDefault="00FB669F" w:rsidP="008E64CC">
            <w:pPr>
              <w:spacing w:after="0" w:line="276" w:lineRule="auto"/>
              <w:jc w:val="center"/>
              <w:rPr>
                <w:rFonts w:eastAsia="Times New Roman" w:cstheme="minorHAnsi"/>
                <w:i/>
                <w:sz w:val="24"/>
                <w:szCs w:val="24"/>
                <w:lang w:eastAsia="en-GB"/>
              </w:rPr>
            </w:pPr>
            <w:r w:rsidRPr="009D15ED">
              <w:rPr>
                <w:rFonts w:eastAsia="Times New Roman" w:cstheme="minorHAnsi"/>
                <w:i/>
                <w:sz w:val="24"/>
                <w:szCs w:val="24"/>
                <w:lang w:eastAsia="en-GB"/>
              </w:rPr>
              <w:t>9 (34.6%)</w:t>
            </w:r>
          </w:p>
        </w:tc>
        <w:tc>
          <w:tcPr>
            <w:tcW w:w="759" w:type="pct"/>
            <w:tcBorders>
              <w:top w:val="nil"/>
              <w:left w:val="nil"/>
              <w:bottom w:val="nil"/>
              <w:right w:val="nil"/>
            </w:tcBorders>
            <w:shd w:val="clear" w:color="auto" w:fill="auto"/>
            <w:noWrap/>
            <w:vAlign w:val="bottom"/>
            <w:hideMark/>
          </w:tcPr>
          <w:p w14:paraId="677471E5" w14:textId="77777777" w:rsidR="00FB669F" w:rsidRPr="009D15ED" w:rsidRDefault="00FB669F" w:rsidP="008E64CC">
            <w:pPr>
              <w:spacing w:after="0" w:line="276" w:lineRule="auto"/>
              <w:jc w:val="center"/>
              <w:rPr>
                <w:rFonts w:eastAsia="Times New Roman" w:cstheme="minorHAnsi"/>
                <w:sz w:val="24"/>
                <w:szCs w:val="24"/>
                <w:lang w:eastAsia="en-GB"/>
              </w:rPr>
            </w:pPr>
            <w:r w:rsidRPr="009D15ED">
              <w:rPr>
                <w:rFonts w:eastAsia="Times New Roman" w:cstheme="minorHAnsi"/>
                <w:sz w:val="24"/>
                <w:szCs w:val="24"/>
                <w:lang w:eastAsia="en-GB"/>
              </w:rPr>
              <w:t>0.194</w:t>
            </w:r>
          </w:p>
        </w:tc>
      </w:tr>
      <w:tr w:rsidR="00FB669F" w:rsidRPr="009D15ED" w14:paraId="2974E68C" w14:textId="77777777" w:rsidTr="008E64CC">
        <w:trPr>
          <w:trHeight w:val="300"/>
        </w:trPr>
        <w:tc>
          <w:tcPr>
            <w:tcW w:w="1256" w:type="pct"/>
            <w:tcBorders>
              <w:top w:val="nil"/>
              <w:left w:val="nil"/>
              <w:bottom w:val="nil"/>
              <w:right w:val="nil"/>
            </w:tcBorders>
            <w:shd w:val="clear" w:color="auto" w:fill="auto"/>
            <w:noWrap/>
            <w:vAlign w:val="center"/>
            <w:hideMark/>
          </w:tcPr>
          <w:p w14:paraId="7DF90ABA" w14:textId="77777777" w:rsidR="00FB669F" w:rsidRPr="009D15ED" w:rsidRDefault="00FB669F" w:rsidP="008E64CC">
            <w:pPr>
              <w:spacing w:after="0" w:line="276" w:lineRule="auto"/>
              <w:rPr>
                <w:rFonts w:eastAsia="Times New Roman" w:cstheme="minorHAnsi"/>
                <w:sz w:val="24"/>
                <w:szCs w:val="24"/>
                <w:lang w:eastAsia="en-GB"/>
              </w:rPr>
            </w:pPr>
            <w:r w:rsidRPr="009D15ED">
              <w:rPr>
                <w:rFonts w:eastAsia="Times New Roman" w:cstheme="minorHAnsi"/>
                <w:sz w:val="24"/>
                <w:szCs w:val="24"/>
                <w:lang w:eastAsia="en-GB"/>
              </w:rPr>
              <w:t xml:space="preserve">   + 12 hours</w:t>
            </w:r>
          </w:p>
        </w:tc>
        <w:tc>
          <w:tcPr>
            <w:tcW w:w="953" w:type="pct"/>
            <w:tcBorders>
              <w:top w:val="nil"/>
              <w:left w:val="nil"/>
              <w:bottom w:val="nil"/>
              <w:right w:val="nil"/>
            </w:tcBorders>
            <w:vAlign w:val="bottom"/>
          </w:tcPr>
          <w:p w14:paraId="561D8811" w14:textId="77777777" w:rsidR="00FB669F" w:rsidRPr="009D15ED" w:rsidRDefault="00FB669F" w:rsidP="008E64CC">
            <w:pPr>
              <w:spacing w:after="0" w:line="276" w:lineRule="auto"/>
              <w:jc w:val="center"/>
              <w:rPr>
                <w:rFonts w:eastAsia="Times New Roman" w:cstheme="minorHAnsi"/>
                <w:sz w:val="24"/>
                <w:szCs w:val="24"/>
                <w:lang w:eastAsia="en-GB"/>
              </w:rPr>
            </w:pPr>
            <w:r w:rsidRPr="009D15ED">
              <w:rPr>
                <w:rFonts w:eastAsia="Times New Roman" w:cstheme="minorHAnsi"/>
                <w:sz w:val="24"/>
                <w:szCs w:val="24"/>
                <w:lang w:eastAsia="en-GB"/>
              </w:rPr>
              <w:t>32 (54.2%)</w:t>
            </w:r>
          </w:p>
        </w:tc>
        <w:tc>
          <w:tcPr>
            <w:tcW w:w="932" w:type="pct"/>
            <w:tcBorders>
              <w:top w:val="nil"/>
              <w:left w:val="nil"/>
              <w:bottom w:val="nil"/>
              <w:right w:val="nil"/>
            </w:tcBorders>
            <w:shd w:val="clear" w:color="auto" w:fill="auto"/>
            <w:noWrap/>
            <w:vAlign w:val="bottom"/>
            <w:hideMark/>
          </w:tcPr>
          <w:p w14:paraId="45F9CFD0" w14:textId="77777777" w:rsidR="00FB669F" w:rsidRPr="009D15ED" w:rsidRDefault="00FB669F" w:rsidP="008E64CC">
            <w:pPr>
              <w:spacing w:after="0" w:line="276" w:lineRule="auto"/>
              <w:jc w:val="center"/>
              <w:rPr>
                <w:rFonts w:eastAsia="Times New Roman" w:cstheme="minorHAnsi"/>
                <w:i/>
                <w:sz w:val="24"/>
                <w:szCs w:val="24"/>
                <w:lang w:eastAsia="en-GB"/>
              </w:rPr>
            </w:pPr>
            <w:r w:rsidRPr="009D15ED">
              <w:rPr>
                <w:rFonts w:eastAsia="Times New Roman" w:cstheme="minorHAnsi"/>
                <w:i/>
                <w:sz w:val="24"/>
                <w:szCs w:val="24"/>
                <w:lang w:eastAsia="en-GB"/>
              </w:rPr>
              <w:t>19 (57.6%)</w:t>
            </w:r>
          </w:p>
        </w:tc>
        <w:tc>
          <w:tcPr>
            <w:tcW w:w="1100" w:type="pct"/>
            <w:tcBorders>
              <w:top w:val="nil"/>
              <w:left w:val="nil"/>
              <w:bottom w:val="nil"/>
              <w:right w:val="nil"/>
            </w:tcBorders>
            <w:shd w:val="clear" w:color="auto" w:fill="auto"/>
            <w:noWrap/>
            <w:vAlign w:val="bottom"/>
            <w:hideMark/>
          </w:tcPr>
          <w:p w14:paraId="1BA63E06" w14:textId="77777777" w:rsidR="00FB669F" w:rsidRPr="009D15ED" w:rsidRDefault="00FB669F" w:rsidP="008E64CC">
            <w:pPr>
              <w:spacing w:after="0" w:line="276" w:lineRule="auto"/>
              <w:jc w:val="center"/>
              <w:rPr>
                <w:rFonts w:eastAsia="Times New Roman" w:cstheme="minorHAnsi"/>
                <w:i/>
                <w:sz w:val="24"/>
                <w:szCs w:val="24"/>
                <w:lang w:eastAsia="en-GB"/>
              </w:rPr>
            </w:pPr>
            <w:r w:rsidRPr="009D15ED">
              <w:rPr>
                <w:rFonts w:eastAsia="Times New Roman" w:cstheme="minorHAnsi"/>
                <w:i/>
                <w:sz w:val="24"/>
                <w:szCs w:val="24"/>
                <w:lang w:eastAsia="en-GB"/>
              </w:rPr>
              <w:t>13 (50.0%)</w:t>
            </w:r>
          </w:p>
        </w:tc>
        <w:tc>
          <w:tcPr>
            <w:tcW w:w="759" w:type="pct"/>
            <w:tcBorders>
              <w:top w:val="nil"/>
              <w:left w:val="nil"/>
              <w:bottom w:val="nil"/>
              <w:right w:val="nil"/>
            </w:tcBorders>
            <w:shd w:val="clear" w:color="auto" w:fill="auto"/>
            <w:noWrap/>
            <w:vAlign w:val="bottom"/>
            <w:hideMark/>
          </w:tcPr>
          <w:p w14:paraId="53A62F64" w14:textId="77777777" w:rsidR="00FB669F" w:rsidRPr="009D15ED" w:rsidRDefault="00FB669F" w:rsidP="008E64CC">
            <w:pPr>
              <w:spacing w:after="0" w:line="276" w:lineRule="auto"/>
              <w:jc w:val="center"/>
              <w:rPr>
                <w:rFonts w:eastAsia="Times New Roman" w:cstheme="minorHAnsi"/>
                <w:sz w:val="24"/>
                <w:szCs w:val="24"/>
                <w:lang w:eastAsia="en-GB"/>
              </w:rPr>
            </w:pPr>
            <w:r w:rsidRPr="009D15ED">
              <w:rPr>
                <w:rFonts w:eastAsia="Times New Roman" w:cstheme="minorHAnsi"/>
                <w:sz w:val="24"/>
                <w:szCs w:val="24"/>
                <w:lang w:eastAsia="en-GB"/>
              </w:rPr>
              <w:t>0.562</w:t>
            </w:r>
          </w:p>
        </w:tc>
      </w:tr>
      <w:tr w:rsidR="00FB669F" w:rsidRPr="009D15ED" w14:paraId="3777E1EE" w14:textId="77777777" w:rsidTr="008E64CC">
        <w:trPr>
          <w:trHeight w:val="300"/>
        </w:trPr>
        <w:tc>
          <w:tcPr>
            <w:tcW w:w="1256" w:type="pct"/>
            <w:tcBorders>
              <w:top w:val="nil"/>
              <w:left w:val="nil"/>
              <w:bottom w:val="nil"/>
              <w:right w:val="nil"/>
            </w:tcBorders>
            <w:shd w:val="clear" w:color="auto" w:fill="auto"/>
            <w:noWrap/>
            <w:vAlign w:val="center"/>
            <w:hideMark/>
          </w:tcPr>
          <w:p w14:paraId="04BD4CD3" w14:textId="77777777" w:rsidR="00FB669F" w:rsidRPr="009D15ED" w:rsidRDefault="00FB669F" w:rsidP="008E64CC">
            <w:pPr>
              <w:spacing w:after="0" w:line="276" w:lineRule="auto"/>
              <w:rPr>
                <w:rFonts w:eastAsia="Times New Roman" w:cstheme="minorHAnsi"/>
                <w:sz w:val="24"/>
                <w:szCs w:val="24"/>
                <w:lang w:eastAsia="en-GB"/>
              </w:rPr>
            </w:pPr>
            <w:r w:rsidRPr="009D15ED">
              <w:rPr>
                <w:rFonts w:eastAsia="Times New Roman" w:cstheme="minorHAnsi"/>
                <w:sz w:val="24"/>
                <w:szCs w:val="24"/>
                <w:lang w:eastAsia="en-GB"/>
              </w:rPr>
              <w:t xml:space="preserve">   + 24 hours</w:t>
            </w:r>
          </w:p>
        </w:tc>
        <w:tc>
          <w:tcPr>
            <w:tcW w:w="953" w:type="pct"/>
            <w:tcBorders>
              <w:top w:val="nil"/>
              <w:left w:val="nil"/>
              <w:bottom w:val="nil"/>
              <w:right w:val="nil"/>
            </w:tcBorders>
            <w:vAlign w:val="bottom"/>
          </w:tcPr>
          <w:p w14:paraId="6D38E476" w14:textId="77777777" w:rsidR="00FB669F" w:rsidRPr="009D15ED" w:rsidRDefault="00FB669F" w:rsidP="008E64CC">
            <w:pPr>
              <w:spacing w:after="0" w:line="276" w:lineRule="auto"/>
              <w:jc w:val="center"/>
              <w:rPr>
                <w:rFonts w:eastAsia="Times New Roman" w:cstheme="minorHAnsi"/>
                <w:sz w:val="24"/>
                <w:szCs w:val="24"/>
                <w:lang w:eastAsia="en-GB"/>
              </w:rPr>
            </w:pPr>
            <w:r w:rsidRPr="009D15ED">
              <w:rPr>
                <w:rFonts w:eastAsia="Times New Roman" w:cstheme="minorHAnsi"/>
                <w:sz w:val="24"/>
                <w:szCs w:val="24"/>
                <w:lang w:eastAsia="en-GB"/>
              </w:rPr>
              <w:t>36 (61.0%)</w:t>
            </w:r>
          </w:p>
        </w:tc>
        <w:tc>
          <w:tcPr>
            <w:tcW w:w="932" w:type="pct"/>
            <w:tcBorders>
              <w:top w:val="nil"/>
              <w:left w:val="nil"/>
              <w:bottom w:val="nil"/>
              <w:right w:val="nil"/>
            </w:tcBorders>
            <w:shd w:val="clear" w:color="auto" w:fill="auto"/>
            <w:noWrap/>
            <w:vAlign w:val="bottom"/>
            <w:hideMark/>
          </w:tcPr>
          <w:p w14:paraId="3AA16A58" w14:textId="77777777" w:rsidR="00FB669F" w:rsidRPr="009D15ED" w:rsidRDefault="00FB669F" w:rsidP="008E64CC">
            <w:pPr>
              <w:spacing w:after="0" w:line="276" w:lineRule="auto"/>
              <w:jc w:val="center"/>
              <w:rPr>
                <w:rFonts w:eastAsia="Times New Roman" w:cstheme="minorHAnsi"/>
                <w:i/>
                <w:sz w:val="24"/>
                <w:szCs w:val="24"/>
                <w:lang w:eastAsia="en-GB"/>
              </w:rPr>
            </w:pPr>
            <w:r w:rsidRPr="009D15ED">
              <w:rPr>
                <w:rFonts w:eastAsia="Times New Roman" w:cstheme="minorHAnsi"/>
                <w:i/>
                <w:sz w:val="24"/>
                <w:szCs w:val="24"/>
                <w:lang w:eastAsia="en-GB"/>
              </w:rPr>
              <w:t>23 (69.7%)</w:t>
            </w:r>
          </w:p>
        </w:tc>
        <w:tc>
          <w:tcPr>
            <w:tcW w:w="1100" w:type="pct"/>
            <w:tcBorders>
              <w:top w:val="nil"/>
              <w:left w:val="nil"/>
              <w:bottom w:val="nil"/>
              <w:right w:val="nil"/>
            </w:tcBorders>
            <w:shd w:val="clear" w:color="auto" w:fill="auto"/>
            <w:noWrap/>
            <w:vAlign w:val="bottom"/>
            <w:hideMark/>
          </w:tcPr>
          <w:p w14:paraId="5D7985F6" w14:textId="77777777" w:rsidR="00FB669F" w:rsidRPr="009D15ED" w:rsidRDefault="00FB669F" w:rsidP="008E64CC">
            <w:pPr>
              <w:spacing w:after="0" w:line="276" w:lineRule="auto"/>
              <w:jc w:val="center"/>
              <w:rPr>
                <w:rFonts w:eastAsia="Times New Roman" w:cstheme="minorHAnsi"/>
                <w:i/>
                <w:sz w:val="24"/>
                <w:szCs w:val="24"/>
                <w:lang w:eastAsia="en-GB"/>
              </w:rPr>
            </w:pPr>
            <w:r w:rsidRPr="009D15ED">
              <w:rPr>
                <w:rFonts w:eastAsia="Times New Roman" w:cstheme="minorHAnsi"/>
                <w:i/>
                <w:sz w:val="24"/>
                <w:szCs w:val="24"/>
                <w:lang w:eastAsia="en-GB"/>
              </w:rPr>
              <w:t>13 (50.0%)</w:t>
            </w:r>
          </w:p>
        </w:tc>
        <w:tc>
          <w:tcPr>
            <w:tcW w:w="759" w:type="pct"/>
            <w:tcBorders>
              <w:top w:val="nil"/>
              <w:left w:val="nil"/>
              <w:bottom w:val="nil"/>
              <w:right w:val="nil"/>
            </w:tcBorders>
            <w:shd w:val="clear" w:color="auto" w:fill="auto"/>
            <w:noWrap/>
            <w:vAlign w:val="bottom"/>
            <w:hideMark/>
          </w:tcPr>
          <w:p w14:paraId="1A151FF6" w14:textId="77777777" w:rsidR="00FB669F" w:rsidRPr="009D15ED" w:rsidRDefault="00FB669F" w:rsidP="008E64CC">
            <w:pPr>
              <w:spacing w:after="0" w:line="276" w:lineRule="auto"/>
              <w:jc w:val="center"/>
              <w:rPr>
                <w:rFonts w:eastAsia="Times New Roman" w:cstheme="minorHAnsi"/>
                <w:sz w:val="24"/>
                <w:szCs w:val="24"/>
                <w:lang w:eastAsia="en-GB"/>
              </w:rPr>
            </w:pPr>
            <w:r w:rsidRPr="009D15ED">
              <w:rPr>
                <w:rFonts w:eastAsia="Times New Roman" w:cstheme="minorHAnsi"/>
                <w:sz w:val="24"/>
                <w:szCs w:val="24"/>
                <w:lang w:eastAsia="en-GB"/>
              </w:rPr>
              <w:t>0.068</w:t>
            </w:r>
          </w:p>
        </w:tc>
      </w:tr>
      <w:tr w:rsidR="00FB669F" w:rsidRPr="009D15ED" w14:paraId="051B5562" w14:textId="77777777" w:rsidTr="008E64CC">
        <w:trPr>
          <w:trHeight w:val="300"/>
        </w:trPr>
        <w:tc>
          <w:tcPr>
            <w:tcW w:w="1256" w:type="pct"/>
            <w:tcBorders>
              <w:top w:val="nil"/>
              <w:left w:val="nil"/>
              <w:bottom w:val="nil"/>
              <w:right w:val="nil"/>
            </w:tcBorders>
            <w:shd w:val="clear" w:color="auto" w:fill="auto"/>
            <w:noWrap/>
            <w:vAlign w:val="center"/>
            <w:hideMark/>
          </w:tcPr>
          <w:p w14:paraId="0D233ED5" w14:textId="77777777" w:rsidR="00FB669F" w:rsidRPr="009D15ED" w:rsidRDefault="00FB669F" w:rsidP="008E64CC">
            <w:pPr>
              <w:spacing w:after="0" w:line="276" w:lineRule="auto"/>
              <w:rPr>
                <w:rFonts w:eastAsia="Times New Roman" w:cstheme="minorHAnsi"/>
                <w:sz w:val="24"/>
                <w:szCs w:val="24"/>
                <w:lang w:eastAsia="en-GB"/>
              </w:rPr>
            </w:pPr>
            <w:r w:rsidRPr="009D15ED">
              <w:rPr>
                <w:rFonts w:eastAsia="Times New Roman" w:cstheme="minorHAnsi"/>
                <w:sz w:val="24"/>
                <w:szCs w:val="24"/>
                <w:lang w:eastAsia="en-GB"/>
              </w:rPr>
              <w:t xml:space="preserve">   + 48 </w:t>
            </w:r>
            <w:proofErr w:type="spellStart"/>
            <w:r w:rsidRPr="009D15ED">
              <w:rPr>
                <w:rFonts w:eastAsia="Times New Roman" w:cstheme="minorHAnsi"/>
                <w:sz w:val="24"/>
                <w:szCs w:val="24"/>
                <w:lang w:eastAsia="en-GB"/>
              </w:rPr>
              <w:t>hours</w:t>
            </w:r>
            <w:r w:rsidRPr="009D15ED">
              <w:rPr>
                <w:rFonts w:eastAsia="Times New Roman" w:cstheme="minorHAnsi"/>
                <w:sz w:val="24"/>
                <w:szCs w:val="24"/>
                <w:vertAlign w:val="superscript"/>
                <w:lang w:eastAsia="en-GB"/>
              </w:rPr>
              <w:t>a</w:t>
            </w:r>
            <w:proofErr w:type="spellEnd"/>
          </w:p>
        </w:tc>
        <w:tc>
          <w:tcPr>
            <w:tcW w:w="953" w:type="pct"/>
            <w:tcBorders>
              <w:top w:val="nil"/>
              <w:left w:val="nil"/>
              <w:bottom w:val="nil"/>
              <w:right w:val="nil"/>
            </w:tcBorders>
            <w:vAlign w:val="bottom"/>
          </w:tcPr>
          <w:p w14:paraId="1C2E1CEA" w14:textId="77777777" w:rsidR="00FB669F" w:rsidRPr="009D15ED" w:rsidRDefault="00FB669F" w:rsidP="008E64CC">
            <w:pPr>
              <w:spacing w:after="0" w:line="276" w:lineRule="auto"/>
              <w:jc w:val="center"/>
              <w:rPr>
                <w:rFonts w:eastAsia="Times New Roman" w:cstheme="minorHAnsi"/>
                <w:sz w:val="24"/>
                <w:szCs w:val="24"/>
                <w:lang w:eastAsia="en-GB"/>
              </w:rPr>
            </w:pPr>
            <w:r w:rsidRPr="009D15ED">
              <w:rPr>
                <w:rFonts w:eastAsia="Times New Roman" w:cstheme="minorHAnsi"/>
                <w:sz w:val="24"/>
                <w:szCs w:val="24"/>
                <w:lang w:eastAsia="en-GB"/>
              </w:rPr>
              <w:t>31 (56.4%)</w:t>
            </w:r>
            <w:r w:rsidRPr="009D15ED">
              <w:rPr>
                <w:rFonts w:eastAsia="Times New Roman" w:cstheme="minorHAnsi"/>
                <w:sz w:val="24"/>
                <w:szCs w:val="24"/>
                <w:vertAlign w:val="superscript"/>
                <w:lang w:eastAsia="en-GB"/>
              </w:rPr>
              <w:t xml:space="preserve"> a</w:t>
            </w:r>
          </w:p>
        </w:tc>
        <w:tc>
          <w:tcPr>
            <w:tcW w:w="932" w:type="pct"/>
            <w:tcBorders>
              <w:top w:val="nil"/>
              <w:left w:val="nil"/>
              <w:bottom w:val="nil"/>
              <w:right w:val="nil"/>
            </w:tcBorders>
            <w:shd w:val="clear" w:color="auto" w:fill="auto"/>
            <w:noWrap/>
            <w:vAlign w:val="bottom"/>
            <w:hideMark/>
          </w:tcPr>
          <w:p w14:paraId="301804F1" w14:textId="77777777" w:rsidR="00FB669F" w:rsidRPr="009D15ED" w:rsidRDefault="00FB669F" w:rsidP="008E64CC">
            <w:pPr>
              <w:spacing w:after="0" w:line="276" w:lineRule="auto"/>
              <w:jc w:val="center"/>
              <w:rPr>
                <w:rFonts w:eastAsia="Times New Roman" w:cstheme="minorHAnsi"/>
                <w:i/>
                <w:sz w:val="24"/>
                <w:szCs w:val="24"/>
                <w:lang w:eastAsia="en-GB"/>
              </w:rPr>
            </w:pPr>
            <w:r w:rsidRPr="009D15ED">
              <w:rPr>
                <w:rFonts w:eastAsia="Times New Roman" w:cstheme="minorHAnsi"/>
                <w:i/>
                <w:sz w:val="24"/>
                <w:szCs w:val="24"/>
                <w:lang w:eastAsia="en-GB"/>
              </w:rPr>
              <w:t>23 (69.7%)</w:t>
            </w:r>
          </w:p>
        </w:tc>
        <w:tc>
          <w:tcPr>
            <w:tcW w:w="1100" w:type="pct"/>
            <w:tcBorders>
              <w:top w:val="nil"/>
              <w:left w:val="nil"/>
              <w:bottom w:val="nil"/>
              <w:right w:val="nil"/>
            </w:tcBorders>
            <w:shd w:val="clear" w:color="auto" w:fill="auto"/>
            <w:noWrap/>
            <w:vAlign w:val="bottom"/>
            <w:hideMark/>
          </w:tcPr>
          <w:p w14:paraId="2482536A" w14:textId="77777777" w:rsidR="00FB669F" w:rsidRPr="009D15ED" w:rsidRDefault="00FB669F" w:rsidP="008E64CC">
            <w:pPr>
              <w:spacing w:after="0" w:line="276" w:lineRule="auto"/>
              <w:jc w:val="center"/>
              <w:rPr>
                <w:rFonts w:eastAsia="Times New Roman" w:cstheme="minorHAnsi"/>
                <w:i/>
                <w:sz w:val="24"/>
                <w:szCs w:val="24"/>
                <w:lang w:eastAsia="en-GB"/>
              </w:rPr>
            </w:pPr>
            <w:r w:rsidRPr="009D15ED">
              <w:rPr>
                <w:rFonts w:eastAsia="Times New Roman" w:cstheme="minorHAnsi"/>
                <w:i/>
                <w:sz w:val="24"/>
                <w:szCs w:val="24"/>
                <w:lang w:eastAsia="en-GB"/>
              </w:rPr>
              <w:t>8 (34.8%)</w:t>
            </w:r>
          </w:p>
        </w:tc>
        <w:tc>
          <w:tcPr>
            <w:tcW w:w="759" w:type="pct"/>
            <w:tcBorders>
              <w:top w:val="nil"/>
              <w:left w:val="nil"/>
              <w:bottom w:val="nil"/>
              <w:right w:val="nil"/>
            </w:tcBorders>
            <w:shd w:val="clear" w:color="auto" w:fill="auto"/>
            <w:noWrap/>
            <w:vAlign w:val="bottom"/>
            <w:hideMark/>
          </w:tcPr>
          <w:p w14:paraId="36C6D663" w14:textId="77777777" w:rsidR="00FB669F" w:rsidRPr="009D15ED" w:rsidRDefault="00FB669F" w:rsidP="008E64CC">
            <w:pPr>
              <w:spacing w:after="0" w:line="276" w:lineRule="auto"/>
              <w:jc w:val="center"/>
              <w:rPr>
                <w:rFonts w:eastAsia="Times New Roman" w:cstheme="minorHAnsi"/>
                <w:b/>
                <w:bCs/>
                <w:sz w:val="24"/>
                <w:szCs w:val="24"/>
                <w:lang w:eastAsia="en-GB"/>
              </w:rPr>
            </w:pPr>
            <w:r w:rsidRPr="009D15ED">
              <w:rPr>
                <w:rFonts w:eastAsia="Times New Roman" w:cstheme="minorHAnsi"/>
                <w:b/>
                <w:bCs/>
                <w:sz w:val="24"/>
                <w:szCs w:val="24"/>
                <w:lang w:eastAsia="en-GB"/>
              </w:rPr>
              <w:t>0.010*</w:t>
            </w:r>
          </w:p>
        </w:tc>
      </w:tr>
      <w:tr w:rsidR="00FB669F" w:rsidRPr="009D15ED" w14:paraId="6C516F02" w14:textId="77777777" w:rsidTr="008E64CC">
        <w:trPr>
          <w:trHeight w:val="300"/>
        </w:trPr>
        <w:tc>
          <w:tcPr>
            <w:tcW w:w="1256" w:type="pct"/>
            <w:tcBorders>
              <w:top w:val="nil"/>
              <w:left w:val="nil"/>
              <w:bottom w:val="nil"/>
              <w:right w:val="nil"/>
            </w:tcBorders>
            <w:shd w:val="clear" w:color="auto" w:fill="auto"/>
            <w:noWrap/>
            <w:vAlign w:val="center"/>
            <w:hideMark/>
          </w:tcPr>
          <w:p w14:paraId="04A733AC" w14:textId="77777777" w:rsidR="00FB669F" w:rsidRPr="009D15ED" w:rsidRDefault="00FB669F" w:rsidP="008E64CC">
            <w:pPr>
              <w:spacing w:after="0" w:line="276" w:lineRule="auto"/>
              <w:rPr>
                <w:rFonts w:eastAsia="Times New Roman" w:cstheme="minorHAnsi"/>
                <w:sz w:val="24"/>
                <w:szCs w:val="24"/>
                <w:lang w:eastAsia="en-GB"/>
              </w:rPr>
            </w:pPr>
            <w:r w:rsidRPr="009D15ED">
              <w:rPr>
                <w:rFonts w:eastAsia="Times New Roman" w:cstheme="minorHAnsi"/>
                <w:sz w:val="24"/>
                <w:szCs w:val="24"/>
                <w:lang w:eastAsia="en-GB"/>
              </w:rPr>
              <w:t xml:space="preserve">   + 72 </w:t>
            </w:r>
            <w:proofErr w:type="spellStart"/>
            <w:r w:rsidRPr="009D15ED">
              <w:rPr>
                <w:rFonts w:eastAsia="Times New Roman" w:cstheme="minorHAnsi"/>
                <w:sz w:val="24"/>
                <w:szCs w:val="24"/>
                <w:lang w:eastAsia="en-GB"/>
              </w:rPr>
              <w:t>hours</w:t>
            </w:r>
            <w:r w:rsidRPr="009D15ED">
              <w:rPr>
                <w:rFonts w:eastAsia="Times New Roman" w:cstheme="minorHAnsi"/>
                <w:sz w:val="24"/>
                <w:szCs w:val="24"/>
                <w:vertAlign w:val="superscript"/>
                <w:lang w:eastAsia="en-GB"/>
              </w:rPr>
              <w:t>a</w:t>
            </w:r>
            <w:proofErr w:type="spellEnd"/>
          </w:p>
        </w:tc>
        <w:tc>
          <w:tcPr>
            <w:tcW w:w="953" w:type="pct"/>
            <w:tcBorders>
              <w:top w:val="nil"/>
              <w:left w:val="nil"/>
              <w:bottom w:val="nil"/>
              <w:right w:val="nil"/>
            </w:tcBorders>
            <w:vAlign w:val="bottom"/>
          </w:tcPr>
          <w:p w14:paraId="1D760143" w14:textId="77777777" w:rsidR="00FB669F" w:rsidRPr="009D15ED" w:rsidRDefault="00FB669F" w:rsidP="008E64CC">
            <w:pPr>
              <w:spacing w:after="0" w:line="276" w:lineRule="auto"/>
              <w:jc w:val="center"/>
              <w:rPr>
                <w:rFonts w:eastAsia="Times New Roman" w:cstheme="minorHAnsi"/>
                <w:sz w:val="24"/>
                <w:szCs w:val="24"/>
                <w:lang w:eastAsia="en-GB"/>
              </w:rPr>
            </w:pPr>
            <w:r w:rsidRPr="009D15ED">
              <w:rPr>
                <w:rFonts w:eastAsia="Times New Roman" w:cstheme="minorHAnsi"/>
                <w:sz w:val="24"/>
                <w:szCs w:val="24"/>
                <w:lang w:eastAsia="en-GB"/>
              </w:rPr>
              <w:t>33 (60.0%)</w:t>
            </w:r>
            <w:r w:rsidRPr="009D15ED">
              <w:rPr>
                <w:rFonts w:eastAsia="Times New Roman" w:cstheme="minorHAnsi"/>
                <w:sz w:val="24"/>
                <w:szCs w:val="24"/>
                <w:vertAlign w:val="superscript"/>
                <w:lang w:eastAsia="en-GB"/>
              </w:rPr>
              <w:t xml:space="preserve"> a</w:t>
            </w:r>
          </w:p>
        </w:tc>
        <w:tc>
          <w:tcPr>
            <w:tcW w:w="932" w:type="pct"/>
            <w:tcBorders>
              <w:top w:val="nil"/>
              <w:left w:val="nil"/>
              <w:bottom w:val="nil"/>
              <w:right w:val="nil"/>
            </w:tcBorders>
            <w:shd w:val="clear" w:color="auto" w:fill="auto"/>
            <w:noWrap/>
            <w:vAlign w:val="bottom"/>
            <w:hideMark/>
          </w:tcPr>
          <w:p w14:paraId="531B2E85" w14:textId="77777777" w:rsidR="00FB669F" w:rsidRPr="009D15ED" w:rsidRDefault="00FB669F" w:rsidP="008E64CC">
            <w:pPr>
              <w:spacing w:after="0" w:line="276" w:lineRule="auto"/>
              <w:jc w:val="center"/>
              <w:rPr>
                <w:rFonts w:eastAsia="Times New Roman" w:cstheme="minorHAnsi"/>
                <w:i/>
                <w:sz w:val="24"/>
                <w:szCs w:val="24"/>
                <w:lang w:eastAsia="en-GB"/>
              </w:rPr>
            </w:pPr>
            <w:r w:rsidRPr="009D15ED">
              <w:rPr>
                <w:rFonts w:eastAsia="Times New Roman" w:cstheme="minorHAnsi"/>
                <w:i/>
                <w:sz w:val="24"/>
                <w:szCs w:val="24"/>
                <w:lang w:eastAsia="en-GB"/>
              </w:rPr>
              <w:t>27 (81.8%)</w:t>
            </w:r>
          </w:p>
        </w:tc>
        <w:tc>
          <w:tcPr>
            <w:tcW w:w="1100" w:type="pct"/>
            <w:tcBorders>
              <w:top w:val="nil"/>
              <w:left w:val="nil"/>
              <w:bottom w:val="nil"/>
              <w:right w:val="nil"/>
            </w:tcBorders>
            <w:shd w:val="clear" w:color="auto" w:fill="auto"/>
            <w:noWrap/>
            <w:vAlign w:val="bottom"/>
            <w:hideMark/>
          </w:tcPr>
          <w:p w14:paraId="54D49395" w14:textId="77777777" w:rsidR="00FB669F" w:rsidRPr="009D15ED" w:rsidRDefault="00FB669F" w:rsidP="008E64CC">
            <w:pPr>
              <w:spacing w:after="0" w:line="276" w:lineRule="auto"/>
              <w:jc w:val="center"/>
              <w:rPr>
                <w:rFonts w:eastAsia="Times New Roman" w:cstheme="minorHAnsi"/>
                <w:i/>
                <w:sz w:val="24"/>
                <w:szCs w:val="24"/>
                <w:lang w:eastAsia="en-GB"/>
              </w:rPr>
            </w:pPr>
            <w:r w:rsidRPr="009D15ED">
              <w:rPr>
                <w:rFonts w:eastAsia="Times New Roman" w:cstheme="minorHAnsi"/>
                <w:i/>
                <w:sz w:val="24"/>
                <w:szCs w:val="24"/>
                <w:lang w:eastAsia="en-GB"/>
              </w:rPr>
              <w:t>6 (27.3%)</w:t>
            </w:r>
          </w:p>
        </w:tc>
        <w:tc>
          <w:tcPr>
            <w:tcW w:w="759" w:type="pct"/>
            <w:tcBorders>
              <w:top w:val="nil"/>
              <w:left w:val="nil"/>
              <w:bottom w:val="nil"/>
              <w:right w:val="nil"/>
            </w:tcBorders>
            <w:shd w:val="clear" w:color="auto" w:fill="auto"/>
            <w:noWrap/>
            <w:vAlign w:val="bottom"/>
            <w:hideMark/>
          </w:tcPr>
          <w:p w14:paraId="7A2EB136" w14:textId="77777777" w:rsidR="00FB669F" w:rsidRPr="009D15ED" w:rsidRDefault="00FB669F" w:rsidP="008E64CC">
            <w:pPr>
              <w:spacing w:after="0" w:line="276" w:lineRule="auto"/>
              <w:jc w:val="center"/>
              <w:rPr>
                <w:rFonts w:eastAsia="Times New Roman" w:cstheme="minorHAnsi"/>
                <w:b/>
                <w:bCs/>
                <w:sz w:val="24"/>
                <w:szCs w:val="24"/>
                <w:lang w:eastAsia="en-GB"/>
              </w:rPr>
            </w:pPr>
            <w:r w:rsidRPr="009D15ED">
              <w:rPr>
                <w:rFonts w:eastAsia="Times New Roman" w:cstheme="minorHAnsi"/>
                <w:b/>
                <w:bCs/>
                <w:sz w:val="24"/>
                <w:szCs w:val="24"/>
                <w:lang w:eastAsia="en-GB"/>
              </w:rPr>
              <w:t>&lt;0.001*</w:t>
            </w:r>
          </w:p>
        </w:tc>
      </w:tr>
      <w:tr w:rsidR="00FB669F" w:rsidRPr="009D15ED" w14:paraId="4CD7B009" w14:textId="77777777" w:rsidTr="008E64CC">
        <w:trPr>
          <w:trHeight w:val="300"/>
        </w:trPr>
        <w:tc>
          <w:tcPr>
            <w:tcW w:w="1256" w:type="pct"/>
            <w:tcBorders>
              <w:top w:val="nil"/>
              <w:left w:val="nil"/>
              <w:bottom w:val="nil"/>
              <w:right w:val="nil"/>
            </w:tcBorders>
            <w:shd w:val="clear" w:color="auto" w:fill="auto"/>
            <w:noWrap/>
            <w:vAlign w:val="center"/>
            <w:hideMark/>
          </w:tcPr>
          <w:p w14:paraId="0B1C8C73" w14:textId="77777777" w:rsidR="00FB669F" w:rsidRPr="009D15ED" w:rsidRDefault="00FB669F" w:rsidP="008E64CC">
            <w:pPr>
              <w:spacing w:after="0" w:line="276" w:lineRule="auto"/>
              <w:rPr>
                <w:rFonts w:eastAsia="Times New Roman" w:cstheme="minorHAnsi"/>
                <w:b/>
                <w:bCs/>
                <w:sz w:val="24"/>
                <w:szCs w:val="24"/>
                <w:lang w:eastAsia="en-GB"/>
              </w:rPr>
            </w:pPr>
            <w:r w:rsidRPr="009D15ED">
              <w:rPr>
                <w:rFonts w:eastAsia="Times New Roman" w:cstheme="minorHAnsi"/>
                <w:b/>
                <w:bCs/>
                <w:sz w:val="24"/>
                <w:szCs w:val="24"/>
                <w:lang w:eastAsia="en-GB"/>
              </w:rPr>
              <w:t>50% increase</w:t>
            </w:r>
          </w:p>
        </w:tc>
        <w:tc>
          <w:tcPr>
            <w:tcW w:w="953" w:type="pct"/>
            <w:tcBorders>
              <w:top w:val="nil"/>
              <w:left w:val="nil"/>
              <w:bottom w:val="nil"/>
              <w:right w:val="nil"/>
            </w:tcBorders>
            <w:vAlign w:val="bottom"/>
          </w:tcPr>
          <w:p w14:paraId="6144E0D5" w14:textId="77777777" w:rsidR="00FB669F" w:rsidRPr="009D15ED" w:rsidRDefault="00FB669F" w:rsidP="008E64CC">
            <w:pPr>
              <w:spacing w:after="0" w:line="276" w:lineRule="auto"/>
              <w:jc w:val="center"/>
              <w:rPr>
                <w:rFonts w:eastAsia="Times New Roman" w:cstheme="minorHAnsi"/>
                <w:b/>
                <w:bCs/>
                <w:sz w:val="24"/>
                <w:szCs w:val="24"/>
                <w:lang w:eastAsia="en-GB"/>
              </w:rPr>
            </w:pPr>
          </w:p>
        </w:tc>
        <w:tc>
          <w:tcPr>
            <w:tcW w:w="932" w:type="pct"/>
            <w:tcBorders>
              <w:top w:val="nil"/>
              <w:left w:val="nil"/>
              <w:bottom w:val="nil"/>
              <w:right w:val="nil"/>
            </w:tcBorders>
            <w:shd w:val="clear" w:color="auto" w:fill="auto"/>
            <w:noWrap/>
            <w:vAlign w:val="bottom"/>
            <w:hideMark/>
          </w:tcPr>
          <w:p w14:paraId="2A72290A" w14:textId="77777777" w:rsidR="00FB669F" w:rsidRPr="009D15ED" w:rsidRDefault="00FB669F" w:rsidP="008E64CC">
            <w:pPr>
              <w:spacing w:after="0" w:line="276" w:lineRule="auto"/>
              <w:jc w:val="center"/>
              <w:rPr>
                <w:rFonts w:eastAsia="Times New Roman" w:cstheme="minorHAnsi"/>
                <w:b/>
                <w:bCs/>
                <w:i/>
                <w:sz w:val="24"/>
                <w:szCs w:val="24"/>
                <w:lang w:eastAsia="en-GB"/>
              </w:rPr>
            </w:pPr>
          </w:p>
        </w:tc>
        <w:tc>
          <w:tcPr>
            <w:tcW w:w="1100" w:type="pct"/>
            <w:tcBorders>
              <w:top w:val="nil"/>
              <w:left w:val="nil"/>
              <w:bottom w:val="nil"/>
              <w:right w:val="nil"/>
            </w:tcBorders>
            <w:shd w:val="clear" w:color="auto" w:fill="auto"/>
            <w:noWrap/>
            <w:vAlign w:val="bottom"/>
            <w:hideMark/>
          </w:tcPr>
          <w:p w14:paraId="789D406B" w14:textId="77777777" w:rsidR="00FB669F" w:rsidRPr="009D15ED" w:rsidRDefault="00FB669F" w:rsidP="008E64CC">
            <w:pPr>
              <w:spacing w:after="0" w:line="276" w:lineRule="auto"/>
              <w:jc w:val="center"/>
              <w:rPr>
                <w:rFonts w:eastAsia="Times New Roman" w:cstheme="minorHAnsi"/>
                <w:i/>
                <w:sz w:val="24"/>
                <w:szCs w:val="24"/>
                <w:lang w:eastAsia="en-GB"/>
              </w:rPr>
            </w:pPr>
          </w:p>
        </w:tc>
        <w:tc>
          <w:tcPr>
            <w:tcW w:w="759" w:type="pct"/>
            <w:tcBorders>
              <w:top w:val="nil"/>
              <w:left w:val="nil"/>
              <w:bottom w:val="nil"/>
              <w:right w:val="nil"/>
            </w:tcBorders>
            <w:shd w:val="clear" w:color="auto" w:fill="auto"/>
            <w:noWrap/>
            <w:vAlign w:val="bottom"/>
            <w:hideMark/>
          </w:tcPr>
          <w:p w14:paraId="43BD3644" w14:textId="77777777" w:rsidR="00FB669F" w:rsidRPr="009D15ED" w:rsidRDefault="00FB669F" w:rsidP="008E64CC">
            <w:pPr>
              <w:spacing w:after="0" w:line="276" w:lineRule="auto"/>
              <w:jc w:val="center"/>
              <w:rPr>
                <w:rFonts w:eastAsia="Times New Roman" w:cstheme="minorHAnsi"/>
                <w:sz w:val="24"/>
                <w:szCs w:val="24"/>
                <w:lang w:eastAsia="en-GB"/>
              </w:rPr>
            </w:pPr>
          </w:p>
        </w:tc>
      </w:tr>
      <w:tr w:rsidR="00FB669F" w:rsidRPr="009D15ED" w14:paraId="4E257D44" w14:textId="77777777" w:rsidTr="008E64CC">
        <w:trPr>
          <w:trHeight w:val="300"/>
        </w:trPr>
        <w:tc>
          <w:tcPr>
            <w:tcW w:w="1256" w:type="pct"/>
            <w:tcBorders>
              <w:top w:val="nil"/>
              <w:left w:val="nil"/>
              <w:bottom w:val="nil"/>
              <w:right w:val="nil"/>
            </w:tcBorders>
            <w:shd w:val="clear" w:color="auto" w:fill="auto"/>
            <w:noWrap/>
            <w:vAlign w:val="center"/>
            <w:hideMark/>
          </w:tcPr>
          <w:p w14:paraId="0989213D" w14:textId="77777777" w:rsidR="00FB669F" w:rsidRPr="009D15ED" w:rsidRDefault="00FB669F" w:rsidP="008E64CC">
            <w:pPr>
              <w:spacing w:after="0" w:line="276" w:lineRule="auto"/>
              <w:rPr>
                <w:rFonts w:eastAsia="Times New Roman" w:cstheme="minorHAnsi"/>
                <w:sz w:val="24"/>
                <w:szCs w:val="24"/>
                <w:lang w:eastAsia="en-GB"/>
              </w:rPr>
            </w:pPr>
            <w:r w:rsidRPr="009D15ED">
              <w:rPr>
                <w:rFonts w:eastAsia="Times New Roman" w:cstheme="minorHAnsi"/>
                <w:sz w:val="24"/>
                <w:szCs w:val="24"/>
                <w:lang w:eastAsia="en-GB"/>
              </w:rPr>
              <w:t xml:space="preserve">   + 2 hours</w:t>
            </w:r>
          </w:p>
        </w:tc>
        <w:tc>
          <w:tcPr>
            <w:tcW w:w="953" w:type="pct"/>
            <w:tcBorders>
              <w:top w:val="nil"/>
              <w:left w:val="nil"/>
              <w:bottom w:val="nil"/>
              <w:right w:val="nil"/>
            </w:tcBorders>
            <w:vAlign w:val="bottom"/>
          </w:tcPr>
          <w:p w14:paraId="6CCCDE13" w14:textId="77777777" w:rsidR="00FB669F" w:rsidRPr="009D15ED" w:rsidRDefault="00FB669F" w:rsidP="008E64CC">
            <w:pPr>
              <w:spacing w:after="0" w:line="276" w:lineRule="auto"/>
              <w:jc w:val="center"/>
              <w:rPr>
                <w:rFonts w:eastAsia="Times New Roman" w:cstheme="minorHAnsi"/>
                <w:sz w:val="24"/>
                <w:szCs w:val="24"/>
                <w:lang w:eastAsia="en-GB"/>
              </w:rPr>
            </w:pPr>
            <w:r w:rsidRPr="009D15ED">
              <w:rPr>
                <w:rFonts w:eastAsia="Times New Roman" w:cstheme="minorHAnsi"/>
                <w:sz w:val="24"/>
                <w:szCs w:val="24"/>
                <w:lang w:eastAsia="en-GB"/>
              </w:rPr>
              <w:t>6 (10.2%)</w:t>
            </w:r>
          </w:p>
        </w:tc>
        <w:tc>
          <w:tcPr>
            <w:tcW w:w="932" w:type="pct"/>
            <w:tcBorders>
              <w:top w:val="nil"/>
              <w:left w:val="nil"/>
              <w:bottom w:val="nil"/>
              <w:right w:val="nil"/>
            </w:tcBorders>
            <w:shd w:val="clear" w:color="auto" w:fill="auto"/>
            <w:noWrap/>
            <w:vAlign w:val="bottom"/>
            <w:hideMark/>
          </w:tcPr>
          <w:p w14:paraId="0A707298" w14:textId="77777777" w:rsidR="00FB669F" w:rsidRPr="009D15ED" w:rsidRDefault="00FB669F" w:rsidP="008E64CC">
            <w:pPr>
              <w:spacing w:after="0" w:line="276" w:lineRule="auto"/>
              <w:jc w:val="center"/>
              <w:rPr>
                <w:rFonts w:eastAsia="Times New Roman" w:cstheme="minorHAnsi"/>
                <w:i/>
                <w:sz w:val="24"/>
                <w:szCs w:val="24"/>
                <w:lang w:eastAsia="en-GB"/>
              </w:rPr>
            </w:pPr>
            <w:r w:rsidRPr="009D15ED">
              <w:rPr>
                <w:rFonts w:eastAsia="Times New Roman" w:cstheme="minorHAnsi"/>
                <w:i/>
                <w:sz w:val="24"/>
                <w:szCs w:val="24"/>
                <w:lang w:eastAsia="en-GB"/>
              </w:rPr>
              <w:t>5 (15.2%)</w:t>
            </w:r>
          </w:p>
        </w:tc>
        <w:tc>
          <w:tcPr>
            <w:tcW w:w="1100" w:type="pct"/>
            <w:tcBorders>
              <w:top w:val="nil"/>
              <w:left w:val="nil"/>
              <w:bottom w:val="nil"/>
              <w:right w:val="nil"/>
            </w:tcBorders>
            <w:shd w:val="clear" w:color="auto" w:fill="auto"/>
            <w:noWrap/>
            <w:vAlign w:val="bottom"/>
            <w:hideMark/>
          </w:tcPr>
          <w:p w14:paraId="16E8F615" w14:textId="77777777" w:rsidR="00FB669F" w:rsidRPr="009D15ED" w:rsidRDefault="00FB669F" w:rsidP="008E64CC">
            <w:pPr>
              <w:spacing w:after="0" w:line="276" w:lineRule="auto"/>
              <w:jc w:val="center"/>
              <w:rPr>
                <w:rFonts w:eastAsia="Times New Roman" w:cstheme="minorHAnsi"/>
                <w:i/>
                <w:sz w:val="24"/>
                <w:szCs w:val="24"/>
                <w:lang w:eastAsia="en-GB"/>
              </w:rPr>
            </w:pPr>
            <w:r w:rsidRPr="009D15ED">
              <w:rPr>
                <w:rFonts w:eastAsia="Times New Roman" w:cstheme="minorHAnsi"/>
                <w:i/>
                <w:sz w:val="24"/>
                <w:szCs w:val="24"/>
                <w:lang w:eastAsia="en-GB"/>
              </w:rPr>
              <w:t>1 (3.8%)</w:t>
            </w:r>
          </w:p>
        </w:tc>
        <w:tc>
          <w:tcPr>
            <w:tcW w:w="759" w:type="pct"/>
            <w:tcBorders>
              <w:top w:val="nil"/>
              <w:left w:val="nil"/>
              <w:bottom w:val="nil"/>
              <w:right w:val="nil"/>
            </w:tcBorders>
            <w:shd w:val="clear" w:color="auto" w:fill="auto"/>
            <w:noWrap/>
            <w:vAlign w:val="bottom"/>
            <w:hideMark/>
          </w:tcPr>
          <w:p w14:paraId="02353456" w14:textId="77777777" w:rsidR="00FB669F" w:rsidRPr="009D15ED" w:rsidRDefault="00FB669F" w:rsidP="008E64CC">
            <w:pPr>
              <w:spacing w:after="0" w:line="276" w:lineRule="auto"/>
              <w:jc w:val="center"/>
              <w:rPr>
                <w:rFonts w:eastAsia="Times New Roman" w:cstheme="minorHAnsi"/>
                <w:sz w:val="24"/>
                <w:szCs w:val="24"/>
                <w:lang w:eastAsia="en-GB"/>
              </w:rPr>
            </w:pPr>
            <w:r w:rsidRPr="009D15ED">
              <w:rPr>
                <w:rFonts w:eastAsia="Times New Roman" w:cstheme="minorHAnsi"/>
                <w:sz w:val="24"/>
                <w:szCs w:val="24"/>
                <w:lang w:eastAsia="en-GB"/>
              </w:rPr>
              <w:t>0.215</w:t>
            </w:r>
          </w:p>
        </w:tc>
      </w:tr>
      <w:tr w:rsidR="00FB669F" w:rsidRPr="009D15ED" w14:paraId="6E6D4FBF" w14:textId="77777777" w:rsidTr="008E64CC">
        <w:trPr>
          <w:trHeight w:val="300"/>
        </w:trPr>
        <w:tc>
          <w:tcPr>
            <w:tcW w:w="1256" w:type="pct"/>
            <w:tcBorders>
              <w:top w:val="nil"/>
              <w:left w:val="nil"/>
              <w:bottom w:val="nil"/>
              <w:right w:val="nil"/>
            </w:tcBorders>
            <w:shd w:val="clear" w:color="auto" w:fill="auto"/>
            <w:noWrap/>
            <w:vAlign w:val="center"/>
            <w:hideMark/>
          </w:tcPr>
          <w:p w14:paraId="0F437220" w14:textId="77777777" w:rsidR="00FB669F" w:rsidRPr="009D15ED" w:rsidRDefault="00FB669F" w:rsidP="008E64CC">
            <w:pPr>
              <w:spacing w:after="0" w:line="276" w:lineRule="auto"/>
              <w:rPr>
                <w:rFonts w:eastAsia="Times New Roman" w:cstheme="minorHAnsi"/>
                <w:sz w:val="24"/>
                <w:szCs w:val="24"/>
                <w:lang w:eastAsia="en-GB"/>
              </w:rPr>
            </w:pPr>
            <w:r w:rsidRPr="009D15ED">
              <w:rPr>
                <w:rFonts w:eastAsia="Times New Roman" w:cstheme="minorHAnsi"/>
                <w:sz w:val="24"/>
                <w:szCs w:val="24"/>
                <w:lang w:eastAsia="en-GB"/>
              </w:rPr>
              <w:t xml:space="preserve">   + 6 hours </w:t>
            </w:r>
          </w:p>
        </w:tc>
        <w:tc>
          <w:tcPr>
            <w:tcW w:w="953" w:type="pct"/>
            <w:tcBorders>
              <w:top w:val="nil"/>
              <w:left w:val="nil"/>
              <w:bottom w:val="nil"/>
              <w:right w:val="nil"/>
            </w:tcBorders>
            <w:vAlign w:val="bottom"/>
          </w:tcPr>
          <w:p w14:paraId="297DE6A1" w14:textId="77777777" w:rsidR="00FB669F" w:rsidRPr="009D15ED" w:rsidRDefault="00FB669F" w:rsidP="008E64CC">
            <w:pPr>
              <w:spacing w:after="0" w:line="276" w:lineRule="auto"/>
              <w:jc w:val="center"/>
              <w:rPr>
                <w:rFonts w:eastAsia="Times New Roman" w:cstheme="minorHAnsi"/>
                <w:sz w:val="24"/>
                <w:szCs w:val="24"/>
                <w:lang w:eastAsia="en-GB"/>
              </w:rPr>
            </w:pPr>
            <w:r w:rsidRPr="009D15ED">
              <w:rPr>
                <w:rFonts w:eastAsia="Times New Roman" w:cstheme="minorHAnsi"/>
                <w:sz w:val="24"/>
                <w:szCs w:val="24"/>
                <w:lang w:eastAsia="en-GB"/>
              </w:rPr>
              <w:t>11 (18.6%)</w:t>
            </w:r>
          </w:p>
        </w:tc>
        <w:tc>
          <w:tcPr>
            <w:tcW w:w="932" w:type="pct"/>
            <w:tcBorders>
              <w:top w:val="nil"/>
              <w:left w:val="nil"/>
              <w:bottom w:val="nil"/>
              <w:right w:val="nil"/>
            </w:tcBorders>
            <w:shd w:val="clear" w:color="auto" w:fill="auto"/>
            <w:noWrap/>
            <w:vAlign w:val="bottom"/>
            <w:hideMark/>
          </w:tcPr>
          <w:p w14:paraId="5E058062" w14:textId="77777777" w:rsidR="00FB669F" w:rsidRPr="009D15ED" w:rsidRDefault="00FB669F" w:rsidP="008E64CC">
            <w:pPr>
              <w:spacing w:after="0" w:line="276" w:lineRule="auto"/>
              <w:jc w:val="center"/>
              <w:rPr>
                <w:rFonts w:eastAsia="Times New Roman" w:cstheme="minorHAnsi"/>
                <w:i/>
                <w:sz w:val="24"/>
                <w:szCs w:val="24"/>
                <w:lang w:eastAsia="en-GB"/>
              </w:rPr>
            </w:pPr>
            <w:r w:rsidRPr="009D15ED">
              <w:rPr>
                <w:rFonts w:eastAsia="Times New Roman" w:cstheme="minorHAnsi"/>
                <w:i/>
                <w:sz w:val="24"/>
                <w:szCs w:val="24"/>
                <w:lang w:eastAsia="en-GB"/>
              </w:rPr>
              <w:t>9 (27.3%)</w:t>
            </w:r>
          </w:p>
        </w:tc>
        <w:tc>
          <w:tcPr>
            <w:tcW w:w="1100" w:type="pct"/>
            <w:tcBorders>
              <w:top w:val="nil"/>
              <w:left w:val="nil"/>
              <w:bottom w:val="nil"/>
              <w:right w:val="nil"/>
            </w:tcBorders>
            <w:shd w:val="clear" w:color="auto" w:fill="auto"/>
            <w:noWrap/>
            <w:vAlign w:val="bottom"/>
            <w:hideMark/>
          </w:tcPr>
          <w:p w14:paraId="141B1DE6" w14:textId="77777777" w:rsidR="00FB669F" w:rsidRPr="009D15ED" w:rsidRDefault="00FB669F" w:rsidP="008E64CC">
            <w:pPr>
              <w:spacing w:after="0" w:line="276" w:lineRule="auto"/>
              <w:jc w:val="center"/>
              <w:rPr>
                <w:rFonts w:eastAsia="Times New Roman" w:cstheme="minorHAnsi"/>
                <w:i/>
                <w:sz w:val="24"/>
                <w:szCs w:val="24"/>
                <w:lang w:eastAsia="en-GB"/>
              </w:rPr>
            </w:pPr>
            <w:r w:rsidRPr="009D15ED">
              <w:rPr>
                <w:rFonts w:eastAsia="Times New Roman" w:cstheme="minorHAnsi"/>
                <w:i/>
                <w:sz w:val="24"/>
                <w:szCs w:val="24"/>
                <w:lang w:eastAsia="en-GB"/>
              </w:rPr>
              <w:t>2 (7.7%)</w:t>
            </w:r>
          </w:p>
        </w:tc>
        <w:tc>
          <w:tcPr>
            <w:tcW w:w="759" w:type="pct"/>
            <w:tcBorders>
              <w:top w:val="nil"/>
              <w:left w:val="nil"/>
              <w:bottom w:val="nil"/>
              <w:right w:val="nil"/>
            </w:tcBorders>
            <w:shd w:val="clear" w:color="auto" w:fill="auto"/>
            <w:noWrap/>
            <w:vAlign w:val="bottom"/>
            <w:hideMark/>
          </w:tcPr>
          <w:p w14:paraId="6F56C26A" w14:textId="77777777" w:rsidR="00FB669F" w:rsidRPr="009D15ED" w:rsidRDefault="00FB669F" w:rsidP="008E64CC">
            <w:pPr>
              <w:spacing w:after="0" w:line="276" w:lineRule="auto"/>
              <w:jc w:val="center"/>
              <w:rPr>
                <w:rFonts w:eastAsia="Times New Roman" w:cstheme="minorHAnsi"/>
                <w:sz w:val="24"/>
                <w:szCs w:val="24"/>
                <w:lang w:eastAsia="en-GB"/>
              </w:rPr>
            </w:pPr>
            <w:r w:rsidRPr="009D15ED">
              <w:rPr>
                <w:rFonts w:eastAsia="Times New Roman" w:cstheme="minorHAnsi"/>
                <w:sz w:val="24"/>
                <w:szCs w:val="24"/>
                <w:lang w:eastAsia="en-GB"/>
              </w:rPr>
              <w:t>0.091</w:t>
            </w:r>
          </w:p>
        </w:tc>
      </w:tr>
      <w:tr w:rsidR="00FB669F" w:rsidRPr="009D15ED" w14:paraId="5E5D4993" w14:textId="77777777" w:rsidTr="008E64CC">
        <w:trPr>
          <w:trHeight w:val="300"/>
        </w:trPr>
        <w:tc>
          <w:tcPr>
            <w:tcW w:w="1256" w:type="pct"/>
            <w:tcBorders>
              <w:top w:val="nil"/>
              <w:left w:val="nil"/>
              <w:bottom w:val="nil"/>
              <w:right w:val="nil"/>
            </w:tcBorders>
            <w:shd w:val="clear" w:color="auto" w:fill="auto"/>
            <w:noWrap/>
            <w:vAlign w:val="center"/>
            <w:hideMark/>
          </w:tcPr>
          <w:p w14:paraId="72993A4F" w14:textId="77777777" w:rsidR="00FB669F" w:rsidRPr="009D15ED" w:rsidRDefault="00FB669F" w:rsidP="008E64CC">
            <w:pPr>
              <w:spacing w:after="0" w:line="276" w:lineRule="auto"/>
              <w:rPr>
                <w:rFonts w:eastAsia="Times New Roman" w:cstheme="minorHAnsi"/>
                <w:sz w:val="24"/>
                <w:szCs w:val="24"/>
                <w:lang w:eastAsia="en-GB"/>
              </w:rPr>
            </w:pPr>
            <w:r w:rsidRPr="009D15ED">
              <w:rPr>
                <w:rFonts w:eastAsia="Times New Roman" w:cstheme="minorHAnsi"/>
                <w:sz w:val="24"/>
                <w:szCs w:val="24"/>
                <w:lang w:eastAsia="en-GB"/>
              </w:rPr>
              <w:t xml:space="preserve">   + 12 hours</w:t>
            </w:r>
          </w:p>
        </w:tc>
        <w:tc>
          <w:tcPr>
            <w:tcW w:w="953" w:type="pct"/>
            <w:tcBorders>
              <w:top w:val="nil"/>
              <w:left w:val="nil"/>
              <w:bottom w:val="nil"/>
              <w:right w:val="nil"/>
            </w:tcBorders>
            <w:vAlign w:val="bottom"/>
          </w:tcPr>
          <w:p w14:paraId="7B5EE680" w14:textId="77777777" w:rsidR="00FB669F" w:rsidRPr="009D15ED" w:rsidRDefault="00FB669F" w:rsidP="008E64CC">
            <w:pPr>
              <w:spacing w:after="0" w:line="276" w:lineRule="auto"/>
              <w:jc w:val="center"/>
              <w:rPr>
                <w:rFonts w:eastAsia="Times New Roman" w:cstheme="minorHAnsi"/>
                <w:sz w:val="24"/>
                <w:szCs w:val="24"/>
                <w:lang w:eastAsia="en-GB"/>
              </w:rPr>
            </w:pPr>
            <w:r w:rsidRPr="009D15ED">
              <w:rPr>
                <w:rFonts w:eastAsia="Times New Roman" w:cstheme="minorHAnsi"/>
                <w:sz w:val="24"/>
                <w:szCs w:val="24"/>
                <w:lang w:eastAsia="en-GB"/>
              </w:rPr>
              <w:t>19 (32.2%)</w:t>
            </w:r>
          </w:p>
        </w:tc>
        <w:tc>
          <w:tcPr>
            <w:tcW w:w="932" w:type="pct"/>
            <w:tcBorders>
              <w:top w:val="nil"/>
              <w:left w:val="nil"/>
              <w:bottom w:val="nil"/>
              <w:right w:val="nil"/>
            </w:tcBorders>
            <w:shd w:val="clear" w:color="auto" w:fill="auto"/>
            <w:noWrap/>
            <w:vAlign w:val="bottom"/>
            <w:hideMark/>
          </w:tcPr>
          <w:p w14:paraId="02BDBBCF" w14:textId="77777777" w:rsidR="00FB669F" w:rsidRPr="009D15ED" w:rsidRDefault="00FB669F" w:rsidP="008E64CC">
            <w:pPr>
              <w:spacing w:after="0" w:line="276" w:lineRule="auto"/>
              <w:jc w:val="center"/>
              <w:rPr>
                <w:rFonts w:eastAsia="Times New Roman" w:cstheme="minorHAnsi"/>
                <w:i/>
                <w:sz w:val="24"/>
                <w:szCs w:val="24"/>
                <w:lang w:eastAsia="en-GB"/>
              </w:rPr>
            </w:pPr>
            <w:r w:rsidRPr="009D15ED">
              <w:rPr>
                <w:rFonts w:eastAsia="Times New Roman" w:cstheme="minorHAnsi"/>
                <w:i/>
                <w:sz w:val="24"/>
                <w:szCs w:val="24"/>
                <w:lang w:eastAsia="en-GB"/>
              </w:rPr>
              <w:t>13 (39.4%)</w:t>
            </w:r>
          </w:p>
        </w:tc>
        <w:tc>
          <w:tcPr>
            <w:tcW w:w="1100" w:type="pct"/>
            <w:tcBorders>
              <w:top w:val="nil"/>
              <w:left w:val="nil"/>
              <w:bottom w:val="nil"/>
              <w:right w:val="nil"/>
            </w:tcBorders>
            <w:shd w:val="clear" w:color="auto" w:fill="auto"/>
            <w:noWrap/>
            <w:vAlign w:val="bottom"/>
            <w:hideMark/>
          </w:tcPr>
          <w:p w14:paraId="43DA98B0" w14:textId="77777777" w:rsidR="00FB669F" w:rsidRPr="009D15ED" w:rsidRDefault="00FB669F" w:rsidP="008E64CC">
            <w:pPr>
              <w:spacing w:after="0" w:line="276" w:lineRule="auto"/>
              <w:jc w:val="center"/>
              <w:rPr>
                <w:rFonts w:eastAsia="Times New Roman" w:cstheme="minorHAnsi"/>
                <w:i/>
                <w:sz w:val="24"/>
                <w:szCs w:val="24"/>
                <w:lang w:eastAsia="en-GB"/>
              </w:rPr>
            </w:pPr>
            <w:r w:rsidRPr="009D15ED">
              <w:rPr>
                <w:rFonts w:eastAsia="Times New Roman" w:cstheme="minorHAnsi"/>
                <w:i/>
                <w:sz w:val="24"/>
                <w:szCs w:val="24"/>
                <w:lang w:eastAsia="en-GB"/>
              </w:rPr>
              <w:t>6 (23.1%)</w:t>
            </w:r>
          </w:p>
        </w:tc>
        <w:tc>
          <w:tcPr>
            <w:tcW w:w="759" w:type="pct"/>
            <w:tcBorders>
              <w:top w:val="nil"/>
              <w:left w:val="nil"/>
              <w:bottom w:val="nil"/>
              <w:right w:val="nil"/>
            </w:tcBorders>
            <w:shd w:val="clear" w:color="auto" w:fill="auto"/>
            <w:noWrap/>
            <w:vAlign w:val="bottom"/>
            <w:hideMark/>
          </w:tcPr>
          <w:p w14:paraId="34208363" w14:textId="77777777" w:rsidR="00FB669F" w:rsidRPr="009D15ED" w:rsidRDefault="00FB669F" w:rsidP="008E64CC">
            <w:pPr>
              <w:spacing w:after="0" w:line="276" w:lineRule="auto"/>
              <w:jc w:val="center"/>
              <w:rPr>
                <w:rFonts w:eastAsia="Times New Roman" w:cstheme="minorHAnsi"/>
                <w:sz w:val="24"/>
                <w:szCs w:val="24"/>
                <w:lang w:eastAsia="en-GB"/>
              </w:rPr>
            </w:pPr>
            <w:r w:rsidRPr="009D15ED">
              <w:rPr>
                <w:rFonts w:eastAsia="Times New Roman" w:cstheme="minorHAnsi"/>
                <w:sz w:val="24"/>
                <w:szCs w:val="24"/>
                <w:lang w:eastAsia="en-GB"/>
              </w:rPr>
              <w:t>0.183</w:t>
            </w:r>
          </w:p>
        </w:tc>
      </w:tr>
      <w:tr w:rsidR="00FB669F" w:rsidRPr="009D15ED" w14:paraId="677C1813" w14:textId="77777777" w:rsidTr="008E64CC">
        <w:trPr>
          <w:trHeight w:val="300"/>
        </w:trPr>
        <w:tc>
          <w:tcPr>
            <w:tcW w:w="1256" w:type="pct"/>
            <w:tcBorders>
              <w:top w:val="nil"/>
              <w:left w:val="nil"/>
              <w:bottom w:val="nil"/>
              <w:right w:val="nil"/>
            </w:tcBorders>
            <w:shd w:val="clear" w:color="auto" w:fill="auto"/>
            <w:noWrap/>
            <w:vAlign w:val="center"/>
            <w:hideMark/>
          </w:tcPr>
          <w:p w14:paraId="3BDC79B9" w14:textId="77777777" w:rsidR="00FB669F" w:rsidRPr="009D15ED" w:rsidRDefault="00FB669F" w:rsidP="008E64CC">
            <w:pPr>
              <w:spacing w:after="0" w:line="276" w:lineRule="auto"/>
              <w:rPr>
                <w:rFonts w:eastAsia="Times New Roman" w:cstheme="minorHAnsi"/>
                <w:sz w:val="24"/>
                <w:szCs w:val="24"/>
                <w:lang w:eastAsia="en-GB"/>
              </w:rPr>
            </w:pPr>
            <w:r w:rsidRPr="009D15ED">
              <w:rPr>
                <w:rFonts w:eastAsia="Times New Roman" w:cstheme="minorHAnsi"/>
                <w:sz w:val="24"/>
                <w:szCs w:val="24"/>
                <w:lang w:eastAsia="en-GB"/>
              </w:rPr>
              <w:t xml:space="preserve">   + 24 hours</w:t>
            </w:r>
          </w:p>
        </w:tc>
        <w:tc>
          <w:tcPr>
            <w:tcW w:w="953" w:type="pct"/>
            <w:tcBorders>
              <w:top w:val="nil"/>
              <w:left w:val="nil"/>
              <w:bottom w:val="nil"/>
              <w:right w:val="nil"/>
            </w:tcBorders>
            <w:vAlign w:val="bottom"/>
          </w:tcPr>
          <w:p w14:paraId="14368893" w14:textId="77777777" w:rsidR="00FB669F" w:rsidRPr="009D15ED" w:rsidRDefault="00FB669F" w:rsidP="008E64CC">
            <w:pPr>
              <w:spacing w:after="0" w:line="276" w:lineRule="auto"/>
              <w:jc w:val="center"/>
              <w:rPr>
                <w:rFonts w:eastAsia="Times New Roman" w:cstheme="minorHAnsi"/>
                <w:sz w:val="24"/>
                <w:szCs w:val="24"/>
                <w:lang w:eastAsia="en-GB"/>
              </w:rPr>
            </w:pPr>
            <w:r w:rsidRPr="009D15ED">
              <w:rPr>
                <w:rFonts w:eastAsia="Times New Roman" w:cstheme="minorHAnsi"/>
                <w:sz w:val="24"/>
                <w:szCs w:val="24"/>
                <w:lang w:eastAsia="en-GB"/>
              </w:rPr>
              <w:t>16 (27.1%)</w:t>
            </w:r>
          </w:p>
        </w:tc>
        <w:tc>
          <w:tcPr>
            <w:tcW w:w="932" w:type="pct"/>
            <w:tcBorders>
              <w:top w:val="nil"/>
              <w:left w:val="nil"/>
              <w:bottom w:val="nil"/>
              <w:right w:val="nil"/>
            </w:tcBorders>
            <w:shd w:val="clear" w:color="auto" w:fill="auto"/>
            <w:noWrap/>
            <w:vAlign w:val="bottom"/>
            <w:hideMark/>
          </w:tcPr>
          <w:p w14:paraId="0B222521" w14:textId="77777777" w:rsidR="00FB669F" w:rsidRPr="009D15ED" w:rsidRDefault="00FB669F" w:rsidP="008E64CC">
            <w:pPr>
              <w:spacing w:after="0" w:line="276" w:lineRule="auto"/>
              <w:jc w:val="center"/>
              <w:rPr>
                <w:rFonts w:eastAsia="Times New Roman" w:cstheme="minorHAnsi"/>
                <w:i/>
                <w:sz w:val="24"/>
                <w:szCs w:val="24"/>
                <w:lang w:eastAsia="en-GB"/>
              </w:rPr>
            </w:pPr>
            <w:r w:rsidRPr="009D15ED">
              <w:rPr>
                <w:rFonts w:eastAsia="Times New Roman" w:cstheme="minorHAnsi"/>
                <w:i/>
                <w:sz w:val="24"/>
                <w:szCs w:val="24"/>
                <w:lang w:eastAsia="en-GB"/>
              </w:rPr>
              <w:t>11 (33.3%)</w:t>
            </w:r>
          </w:p>
        </w:tc>
        <w:tc>
          <w:tcPr>
            <w:tcW w:w="1100" w:type="pct"/>
            <w:tcBorders>
              <w:top w:val="nil"/>
              <w:left w:val="nil"/>
              <w:bottom w:val="nil"/>
              <w:right w:val="nil"/>
            </w:tcBorders>
            <w:shd w:val="clear" w:color="auto" w:fill="auto"/>
            <w:noWrap/>
            <w:vAlign w:val="bottom"/>
            <w:hideMark/>
          </w:tcPr>
          <w:p w14:paraId="37F71F88" w14:textId="77777777" w:rsidR="00FB669F" w:rsidRPr="009D15ED" w:rsidRDefault="00FB669F" w:rsidP="008E64CC">
            <w:pPr>
              <w:spacing w:after="0" w:line="276" w:lineRule="auto"/>
              <w:jc w:val="center"/>
              <w:rPr>
                <w:rFonts w:eastAsia="Times New Roman" w:cstheme="minorHAnsi"/>
                <w:i/>
                <w:sz w:val="24"/>
                <w:szCs w:val="24"/>
                <w:lang w:eastAsia="en-GB"/>
              </w:rPr>
            </w:pPr>
            <w:r w:rsidRPr="009D15ED">
              <w:rPr>
                <w:rFonts w:eastAsia="Times New Roman" w:cstheme="minorHAnsi"/>
                <w:i/>
                <w:sz w:val="24"/>
                <w:szCs w:val="24"/>
                <w:lang w:eastAsia="en-GB"/>
              </w:rPr>
              <w:t>5 (19.2%)</w:t>
            </w:r>
          </w:p>
        </w:tc>
        <w:tc>
          <w:tcPr>
            <w:tcW w:w="759" w:type="pct"/>
            <w:tcBorders>
              <w:top w:val="nil"/>
              <w:left w:val="nil"/>
              <w:bottom w:val="nil"/>
              <w:right w:val="nil"/>
            </w:tcBorders>
            <w:shd w:val="clear" w:color="auto" w:fill="auto"/>
            <w:noWrap/>
            <w:vAlign w:val="bottom"/>
            <w:hideMark/>
          </w:tcPr>
          <w:p w14:paraId="1E817542" w14:textId="77777777" w:rsidR="00FB669F" w:rsidRPr="009D15ED" w:rsidRDefault="00FB669F" w:rsidP="008E64CC">
            <w:pPr>
              <w:spacing w:after="0" w:line="276" w:lineRule="auto"/>
              <w:jc w:val="center"/>
              <w:rPr>
                <w:rFonts w:eastAsia="Times New Roman" w:cstheme="minorHAnsi"/>
                <w:sz w:val="24"/>
                <w:szCs w:val="24"/>
                <w:lang w:eastAsia="en-GB"/>
              </w:rPr>
            </w:pPr>
            <w:r w:rsidRPr="009D15ED">
              <w:rPr>
                <w:rFonts w:eastAsia="Times New Roman" w:cstheme="minorHAnsi"/>
                <w:sz w:val="24"/>
                <w:szCs w:val="24"/>
                <w:lang w:eastAsia="en-GB"/>
              </w:rPr>
              <w:t>0.226</w:t>
            </w:r>
          </w:p>
        </w:tc>
      </w:tr>
      <w:tr w:rsidR="00FB669F" w:rsidRPr="009D15ED" w14:paraId="57ABEACD" w14:textId="77777777" w:rsidTr="008E64CC">
        <w:trPr>
          <w:trHeight w:val="300"/>
        </w:trPr>
        <w:tc>
          <w:tcPr>
            <w:tcW w:w="1256" w:type="pct"/>
            <w:tcBorders>
              <w:top w:val="nil"/>
              <w:left w:val="nil"/>
              <w:bottom w:val="nil"/>
              <w:right w:val="nil"/>
            </w:tcBorders>
            <w:shd w:val="clear" w:color="auto" w:fill="auto"/>
            <w:noWrap/>
            <w:vAlign w:val="center"/>
            <w:hideMark/>
          </w:tcPr>
          <w:p w14:paraId="1EB48C76" w14:textId="77777777" w:rsidR="00FB669F" w:rsidRPr="009D15ED" w:rsidRDefault="00FB669F" w:rsidP="008E64CC">
            <w:pPr>
              <w:spacing w:after="0" w:line="276" w:lineRule="auto"/>
              <w:rPr>
                <w:rFonts w:eastAsia="Times New Roman" w:cstheme="minorHAnsi"/>
                <w:sz w:val="24"/>
                <w:szCs w:val="24"/>
                <w:lang w:eastAsia="en-GB"/>
              </w:rPr>
            </w:pPr>
            <w:r w:rsidRPr="009D15ED">
              <w:rPr>
                <w:rFonts w:eastAsia="Times New Roman" w:cstheme="minorHAnsi"/>
                <w:sz w:val="24"/>
                <w:szCs w:val="24"/>
                <w:lang w:eastAsia="en-GB"/>
              </w:rPr>
              <w:t xml:space="preserve">   + 48 </w:t>
            </w:r>
            <w:proofErr w:type="spellStart"/>
            <w:r w:rsidRPr="009D15ED">
              <w:rPr>
                <w:rFonts w:eastAsia="Times New Roman" w:cstheme="minorHAnsi"/>
                <w:sz w:val="24"/>
                <w:szCs w:val="24"/>
                <w:lang w:eastAsia="en-GB"/>
              </w:rPr>
              <w:t>hours</w:t>
            </w:r>
            <w:r w:rsidRPr="009D15ED">
              <w:rPr>
                <w:rFonts w:eastAsia="Times New Roman" w:cstheme="minorHAnsi"/>
                <w:sz w:val="24"/>
                <w:szCs w:val="24"/>
                <w:vertAlign w:val="superscript"/>
                <w:lang w:eastAsia="en-GB"/>
              </w:rPr>
              <w:t>a</w:t>
            </w:r>
            <w:proofErr w:type="spellEnd"/>
          </w:p>
        </w:tc>
        <w:tc>
          <w:tcPr>
            <w:tcW w:w="953" w:type="pct"/>
            <w:tcBorders>
              <w:top w:val="nil"/>
              <w:left w:val="nil"/>
              <w:bottom w:val="nil"/>
              <w:right w:val="nil"/>
            </w:tcBorders>
            <w:vAlign w:val="bottom"/>
          </w:tcPr>
          <w:p w14:paraId="0F7D5280" w14:textId="77777777" w:rsidR="00FB669F" w:rsidRPr="009D15ED" w:rsidRDefault="00FB669F" w:rsidP="008E64CC">
            <w:pPr>
              <w:spacing w:after="0" w:line="276" w:lineRule="auto"/>
              <w:jc w:val="center"/>
              <w:rPr>
                <w:rFonts w:eastAsia="Times New Roman" w:cstheme="minorHAnsi"/>
                <w:sz w:val="24"/>
                <w:szCs w:val="24"/>
                <w:lang w:eastAsia="en-GB"/>
              </w:rPr>
            </w:pPr>
            <w:r w:rsidRPr="009D15ED">
              <w:rPr>
                <w:rFonts w:eastAsia="Times New Roman" w:cstheme="minorHAnsi"/>
                <w:sz w:val="24"/>
                <w:szCs w:val="24"/>
                <w:lang w:eastAsia="en-GB"/>
              </w:rPr>
              <w:t>18 (32.7%)</w:t>
            </w:r>
            <w:r w:rsidRPr="009D15ED">
              <w:rPr>
                <w:rFonts w:eastAsia="Times New Roman" w:cstheme="minorHAnsi"/>
                <w:sz w:val="24"/>
                <w:szCs w:val="24"/>
                <w:vertAlign w:val="superscript"/>
                <w:lang w:eastAsia="en-GB"/>
              </w:rPr>
              <w:t xml:space="preserve"> a</w:t>
            </w:r>
          </w:p>
        </w:tc>
        <w:tc>
          <w:tcPr>
            <w:tcW w:w="932" w:type="pct"/>
            <w:tcBorders>
              <w:top w:val="nil"/>
              <w:left w:val="nil"/>
              <w:bottom w:val="nil"/>
              <w:right w:val="nil"/>
            </w:tcBorders>
            <w:shd w:val="clear" w:color="auto" w:fill="auto"/>
            <w:noWrap/>
            <w:vAlign w:val="bottom"/>
            <w:hideMark/>
          </w:tcPr>
          <w:p w14:paraId="55D2C4DA" w14:textId="77777777" w:rsidR="00FB669F" w:rsidRPr="009D15ED" w:rsidRDefault="00FB669F" w:rsidP="008E64CC">
            <w:pPr>
              <w:spacing w:after="0" w:line="276" w:lineRule="auto"/>
              <w:jc w:val="center"/>
              <w:rPr>
                <w:rFonts w:eastAsia="Times New Roman" w:cstheme="minorHAnsi"/>
                <w:i/>
                <w:sz w:val="24"/>
                <w:szCs w:val="24"/>
                <w:lang w:eastAsia="en-GB"/>
              </w:rPr>
            </w:pPr>
            <w:r w:rsidRPr="009D15ED">
              <w:rPr>
                <w:rFonts w:eastAsia="Times New Roman" w:cstheme="minorHAnsi"/>
                <w:i/>
                <w:sz w:val="24"/>
                <w:szCs w:val="24"/>
                <w:lang w:eastAsia="en-GB"/>
              </w:rPr>
              <w:t>17 (51.5%)</w:t>
            </w:r>
          </w:p>
        </w:tc>
        <w:tc>
          <w:tcPr>
            <w:tcW w:w="1100" w:type="pct"/>
            <w:tcBorders>
              <w:top w:val="nil"/>
              <w:left w:val="nil"/>
              <w:bottom w:val="nil"/>
              <w:right w:val="nil"/>
            </w:tcBorders>
            <w:shd w:val="clear" w:color="auto" w:fill="auto"/>
            <w:noWrap/>
            <w:vAlign w:val="bottom"/>
            <w:hideMark/>
          </w:tcPr>
          <w:p w14:paraId="11D6BC8F" w14:textId="77777777" w:rsidR="00FB669F" w:rsidRPr="009D15ED" w:rsidRDefault="00FB669F" w:rsidP="008E64CC">
            <w:pPr>
              <w:spacing w:after="0" w:line="276" w:lineRule="auto"/>
              <w:jc w:val="center"/>
              <w:rPr>
                <w:rFonts w:eastAsia="Times New Roman" w:cstheme="minorHAnsi"/>
                <w:i/>
                <w:sz w:val="24"/>
                <w:szCs w:val="24"/>
                <w:lang w:eastAsia="en-GB"/>
              </w:rPr>
            </w:pPr>
            <w:r w:rsidRPr="009D15ED">
              <w:rPr>
                <w:rFonts w:eastAsia="Times New Roman" w:cstheme="minorHAnsi"/>
                <w:i/>
                <w:sz w:val="24"/>
                <w:szCs w:val="24"/>
                <w:lang w:eastAsia="en-GB"/>
              </w:rPr>
              <w:t>1 (4.3%)</w:t>
            </w:r>
          </w:p>
        </w:tc>
        <w:tc>
          <w:tcPr>
            <w:tcW w:w="759" w:type="pct"/>
            <w:tcBorders>
              <w:top w:val="nil"/>
              <w:left w:val="nil"/>
              <w:bottom w:val="nil"/>
              <w:right w:val="nil"/>
            </w:tcBorders>
            <w:shd w:val="clear" w:color="auto" w:fill="auto"/>
            <w:noWrap/>
            <w:vAlign w:val="bottom"/>
            <w:hideMark/>
          </w:tcPr>
          <w:p w14:paraId="760C79DC" w14:textId="77777777" w:rsidR="00FB669F" w:rsidRPr="009D15ED" w:rsidRDefault="00FB669F" w:rsidP="008E64CC">
            <w:pPr>
              <w:spacing w:after="0" w:line="276" w:lineRule="auto"/>
              <w:jc w:val="center"/>
              <w:rPr>
                <w:rFonts w:eastAsia="Times New Roman" w:cstheme="minorHAnsi"/>
                <w:b/>
                <w:bCs/>
                <w:sz w:val="24"/>
                <w:szCs w:val="24"/>
                <w:lang w:eastAsia="en-GB"/>
              </w:rPr>
            </w:pPr>
            <w:r w:rsidRPr="009D15ED">
              <w:rPr>
                <w:rFonts w:eastAsia="Times New Roman" w:cstheme="minorHAnsi"/>
                <w:b/>
                <w:bCs/>
                <w:sz w:val="24"/>
                <w:szCs w:val="24"/>
                <w:lang w:eastAsia="en-GB"/>
              </w:rPr>
              <w:t>&lt;0.001*</w:t>
            </w:r>
          </w:p>
        </w:tc>
      </w:tr>
      <w:tr w:rsidR="00FB669F" w:rsidRPr="009D15ED" w14:paraId="3CFC8BFD" w14:textId="77777777" w:rsidTr="008E64CC">
        <w:trPr>
          <w:trHeight w:val="300"/>
        </w:trPr>
        <w:tc>
          <w:tcPr>
            <w:tcW w:w="1256" w:type="pct"/>
            <w:tcBorders>
              <w:top w:val="nil"/>
              <w:left w:val="nil"/>
              <w:bottom w:val="nil"/>
              <w:right w:val="nil"/>
            </w:tcBorders>
            <w:shd w:val="clear" w:color="auto" w:fill="auto"/>
            <w:noWrap/>
            <w:vAlign w:val="center"/>
            <w:hideMark/>
          </w:tcPr>
          <w:p w14:paraId="795B9A4E" w14:textId="77777777" w:rsidR="00FB669F" w:rsidRPr="009D15ED" w:rsidRDefault="00FB669F" w:rsidP="008E64CC">
            <w:pPr>
              <w:spacing w:after="0" w:line="276" w:lineRule="auto"/>
              <w:rPr>
                <w:rFonts w:eastAsia="Times New Roman" w:cstheme="minorHAnsi"/>
                <w:sz w:val="24"/>
                <w:szCs w:val="24"/>
                <w:lang w:eastAsia="en-GB"/>
              </w:rPr>
            </w:pPr>
            <w:r w:rsidRPr="009D15ED">
              <w:rPr>
                <w:rFonts w:eastAsia="Times New Roman" w:cstheme="minorHAnsi"/>
                <w:sz w:val="24"/>
                <w:szCs w:val="24"/>
                <w:lang w:eastAsia="en-GB"/>
              </w:rPr>
              <w:t xml:space="preserve">   + 72 </w:t>
            </w:r>
            <w:proofErr w:type="spellStart"/>
            <w:r w:rsidRPr="009D15ED">
              <w:rPr>
                <w:rFonts w:eastAsia="Times New Roman" w:cstheme="minorHAnsi"/>
                <w:sz w:val="24"/>
                <w:szCs w:val="24"/>
                <w:lang w:eastAsia="en-GB"/>
              </w:rPr>
              <w:t>hours</w:t>
            </w:r>
            <w:r w:rsidRPr="009D15ED">
              <w:rPr>
                <w:rFonts w:eastAsia="Times New Roman" w:cstheme="minorHAnsi"/>
                <w:sz w:val="24"/>
                <w:szCs w:val="24"/>
                <w:vertAlign w:val="superscript"/>
                <w:lang w:eastAsia="en-GB"/>
              </w:rPr>
              <w:t>a</w:t>
            </w:r>
            <w:proofErr w:type="spellEnd"/>
          </w:p>
        </w:tc>
        <w:tc>
          <w:tcPr>
            <w:tcW w:w="953" w:type="pct"/>
            <w:tcBorders>
              <w:top w:val="nil"/>
              <w:left w:val="nil"/>
              <w:bottom w:val="nil"/>
              <w:right w:val="nil"/>
            </w:tcBorders>
            <w:vAlign w:val="bottom"/>
          </w:tcPr>
          <w:p w14:paraId="4A3B8863" w14:textId="77777777" w:rsidR="00FB669F" w:rsidRPr="009D15ED" w:rsidRDefault="00FB669F" w:rsidP="008E64CC">
            <w:pPr>
              <w:spacing w:after="0" w:line="276" w:lineRule="auto"/>
              <w:jc w:val="center"/>
              <w:rPr>
                <w:rFonts w:eastAsia="Times New Roman" w:cstheme="minorHAnsi"/>
                <w:sz w:val="24"/>
                <w:szCs w:val="24"/>
                <w:lang w:eastAsia="en-GB"/>
              </w:rPr>
            </w:pPr>
            <w:r w:rsidRPr="009D15ED">
              <w:rPr>
                <w:rFonts w:eastAsia="Times New Roman" w:cstheme="minorHAnsi"/>
                <w:sz w:val="24"/>
                <w:szCs w:val="24"/>
                <w:lang w:eastAsia="en-GB"/>
              </w:rPr>
              <w:t>24 (43.6%)</w:t>
            </w:r>
            <w:r w:rsidRPr="009D15ED">
              <w:rPr>
                <w:rFonts w:eastAsia="Times New Roman" w:cstheme="minorHAnsi"/>
                <w:sz w:val="24"/>
                <w:szCs w:val="24"/>
                <w:vertAlign w:val="superscript"/>
                <w:lang w:eastAsia="en-GB"/>
              </w:rPr>
              <w:t xml:space="preserve"> a</w:t>
            </w:r>
          </w:p>
        </w:tc>
        <w:tc>
          <w:tcPr>
            <w:tcW w:w="932" w:type="pct"/>
            <w:tcBorders>
              <w:top w:val="nil"/>
              <w:left w:val="nil"/>
              <w:bottom w:val="nil"/>
              <w:right w:val="nil"/>
            </w:tcBorders>
            <w:shd w:val="clear" w:color="auto" w:fill="auto"/>
            <w:noWrap/>
            <w:vAlign w:val="bottom"/>
            <w:hideMark/>
          </w:tcPr>
          <w:p w14:paraId="68EC2716" w14:textId="77777777" w:rsidR="00FB669F" w:rsidRPr="009D15ED" w:rsidRDefault="00FB669F" w:rsidP="008E64CC">
            <w:pPr>
              <w:spacing w:after="0" w:line="276" w:lineRule="auto"/>
              <w:jc w:val="center"/>
              <w:rPr>
                <w:rFonts w:eastAsia="Times New Roman" w:cstheme="minorHAnsi"/>
                <w:i/>
                <w:sz w:val="24"/>
                <w:szCs w:val="24"/>
                <w:lang w:eastAsia="en-GB"/>
              </w:rPr>
            </w:pPr>
            <w:r w:rsidRPr="009D15ED">
              <w:rPr>
                <w:rFonts w:eastAsia="Times New Roman" w:cstheme="minorHAnsi"/>
                <w:i/>
                <w:sz w:val="24"/>
                <w:szCs w:val="24"/>
                <w:lang w:eastAsia="en-GB"/>
              </w:rPr>
              <w:t>21 (63.6%)</w:t>
            </w:r>
          </w:p>
        </w:tc>
        <w:tc>
          <w:tcPr>
            <w:tcW w:w="1100" w:type="pct"/>
            <w:tcBorders>
              <w:top w:val="nil"/>
              <w:left w:val="nil"/>
              <w:bottom w:val="nil"/>
              <w:right w:val="nil"/>
            </w:tcBorders>
            <w:shd w:val="clear" w:color="auto" w:fill="auto"/>
            <w:noWrap/>
            <w:vAlign w:val="bottom"/>
            <w:hideMark/>
          </w:tcPr>
          <w:p w14:paraId="46A47120" w14:textId="77777777" w:rsidR="00FB669F" w:rsidRPr="009D15ED" w:rsidRDefault="00FB669F" w:rsidP="008E64CC">
            <w:pPr>
              <w:spacing w:after="0" w:line="276" w:lineRule="auto"/>
              <w:jc w:val="center"/>
              <w:rPr>
                <w:rFonts w:eastAsia="Times New Roman" w:cstheme="minorHAnsi"/>
                <w:i/>
                <w:sz w:val="24"/>
                <w:szCs w:val="24"/>
                <w:lang w:eastAsia="en-GB"/>
              </w:rPr>
            </w:pPr>
            <w:r w:rsidRPr="009D15ED">
              <w:rPr>
                <w:rFonts w:eastAsia="Times New Roman" w:cstheme="minorHAnsi"/>
                <w:i/>
                <w:sz w:val="24"/>
                <w:szCs w:val="24"/>
                <w:lang w:eastAsia="en-GB"/>
              </w:rPr>
              <w:t>3 (13.6%)</w:t>
            </w:r>
          </w:p>
        </w:tc>
        <w:tc>
          <w:tcPr>
            <w:tcW w:w="759" w:type="pct"/>
            <w:tcBorders>
              <w:top w:val="nil"/>
              <w:left w:val="nil"/>
              <w:bottom w:val="nil"/>
              <w:right w:val="nil"/>
            </w:tcBorders>
            <w:shd w:val="clear" w:color="auto" w:fill="auto"/>
            <w:noWrap/>
            <w:vAlign w:val="bottom"/>
            <w:hideMark/>
          </w:tcPr>
          <w:p w14:paraId="2D94B550" w14:textId="77777777" w:rsidR="00FB669F" w:rsidRPr="009D15ED" w:rsidRDefault="00FB669F" w:rsidP="008E64CC">
            <w:pPr>
              <w:spacing w:after="0" w:line="276" w:lineRule="auto"/>
              <w:jc w:val="center"/>
              <w:rPr>
                <w:rFonts w:eastAsia="Times New Roman" w:cstheme="minorHAnsi"/>
                <w:b/>
                <w:bCs/>
                <w:sz w:val="24"/>
                <w:szCs w:val="24"/>
                <w:lang w:eastAsia="en-GB"/>
              </w:rPr>
            </w:pPr>
            <w:r w:rsidRPr="009D15ED">
              <w:rPr>
                <w:rFonts w:eastAsia="Times New Roman" w:cstheme="minorHAnsi"/>
                <w:b/>
                <w:bCs/>
                <w:sz w:val="24"/>
                <w:szCs w:val="24"/>
                <w:lang w:eastAsia="en-GB"/>
              </w:rPr>
              <w:t>&lt;0.001*</w:t>
            </w:r>
          </w:p>
        </w:tc>
      </w:tr>
      <w:tr w:rsidR="00FB669F" w:rsidRPr="009D15ED" w:rsidDel="002B3A0D" w14:paraId="0EEA97A2" w14:textId="77777777" w:rsidTr="008E64CC">
        <w:trPr>
          <w:gridAfter w:val="4"/>
          <w:wAfter w:w="3744" w:type="pct"/>
          <w:trHeight w:val="300"/>
        </w:trPr>
        <w:tc>
          <w:tcPr>
            <w:tcW w:w="1256" w:type="pct"/>
            <w:tcBorders>
              <w:top w:val="nil"/>
              <w:left w:val="nil"/>
              <w:bottom w:val="nil"/>
              <w:right w:val="nil"/>
            </w:tcBorders>
            <w:shd w:val="clear" w:color="auto" w:fill="auto"/>
            <w:noWrap/>
            <w:vAlign w:val="center"/>
          </w:tcPr>
          <w:p w14:paraId="3F933F27" w14:textId="77777777" w:rsidR="00FB669F" w:rsidRPr="009D15ED" w:rsidDel="00A7701C" w:rsidRDefault="00FB669F" w:rsidP="008E64CC">
            <w:pPr>
              <w:spacing w:line="276" w:lineRule="auto"/>
              <w:rPr>
                <w:rFonts w:eastAsia="Times New Roman" w:cstheme="minorHAnsi"/>
                <w:sz w:val="24"/>
                <w:szCs w:val="24"/>
                <w:vertAlign w:val="superscript"/>
                <w:lang w:eastAsia="en-GB"/>
              </w:rPr>
            </w:pPr>
          </w:p>
        </w:tc>
      </w:tr>
    </w:tbl>
    <w:p w14:paraId="58C7DADF" w14:textId="77777777" w:rsidR="00FB669F" w:rsidRPr="009D15ED" w:rsidRDefault="00FB669F" w:rsidP="00FB669F">
      <w:pPr>
        <w:spacing w:line="276" w:lineRule="auto"/>
        <w:rPr>
          <w:rFonts w:cstheme="minorHAnsi"/>
          <w:sz w:val="24"/>
          <w:szCs w:val="24"/>
        </w:rPr>
      </w:pPr>
      <w:proofErr w:type="gramStart"/>
      <w:r w:rsidRPr="009D15ED">
        <w:rPr>
          <w:rFonts w:eastAsia="Times New Roman" w:cstheme="minorHAnsi"/>
          <w:i/>
          <w:sz w:val="24"/>
          <w:szCs w:val="24"/>
          <w:vertAlign w:val="superscript"/>
          <w:lang w:eastAsia="en-GB"/>
        </w:rPr>
        <w:t>a</w:t>
      </w:r>
      <w:proofErr w:type="gramEnd"/>
      <w:r w:rsidRPr="009D15ED">
        <w:rPr>
          <w:rFonts w:eastAsia="Times New Roman" w:cstheme="minorHAnsi"/>
          <w:i/>
          <w:sz w:val="24"/>
          <w:szCs w:val="24"/>
          <w:vertAlign w:val="superscript"/>
          <w:lang w:eastAsia="en-GB"/>
        </w:rPr>
        <w:t xml:space="preserve"> </w:t>
      </w:r>
      <w:r w:rsidRPr="009D15ED">
        <w:rPr>
          <w:rFonts w:eastAsia="Times New Roman" w:cstheme="minorHAnsi"/>
          <w:i/>
          <w:sz w:val="24"/>
          <w:szCs w:val="24"/>
          <w:lang w:eastAsia="en-GB"/>
        </w:rPr>
        <w:t>Data for 4 patients unavailable (3 deceased and 1 transferred to regional ECMO centre)</w:t>
      </w:r>
    </w:p>
    <w:p w14:paraId="4A9F6F01" w14:textId="77777777" w:rsidR="000244D8" w:rsidRPr="008D337D" w:rsidRDefault="000244D8" w:rsidP="008D337D">
      <w:pPr>
        <w:spacing w:line="480" w:lineRule="auto"/>
        <w:jc w:val="both"/>
        <w:rPr>
          <w:rFonts w:cstheme="minorHAnsi"/>
          <w:sz w:val="24"/>
          <w:szCs w:val="24"/>
          <w:lang w:val="en-US"/>
        </w:rPr>
      </w:pPr>
    </w:p>
    <w:p w14:paraId="5B525CF9" w14:textId="77777777" w:rsidR="000244D8" w:rsidRPr="008D337D" w:rsidRDefault="000244D8" w:rsidP="008D337D">
      <w:pPr>
        <w:spacing w:line="480" w:lineRule="auto"/>
        <w:jc w:val="both"/>
        <w:rPr>
          <w:rFonts w:cstheme="minorHAnsi"/>
          <w:sz w:val="24"/>
          <w:szCs w:val="24"/>
        </w:rPr>
      </w:pPr>
    </w:p>
    <w:p w14:paraId="127C08C7" w14:textId="6BFEC24D" w:rsidR="000244D8" w:rsidRPr="008D337D" w:rsidRDefault="000244D8" w:rsidP="008D337D">
      <w:pPr>
        <w:spacing w:line="480" w:lineRule="auto"/>
        <w:jc w:val="both"/>
        <w:rPr>
          <w:rFonts w:cstheme="minorHAnsi"/>
          <w:sz w:val="24"/>
          <w:szCs w:val="24"/>
        </w:rPr>
      </w:pPr>
    </w:p>
    <w:p w14:paraId="3F5D23EE" w14:textId="19E583E2" w:rsidR="00EB549A" w:rsidRPr="008D337D" w:rsidRDefault="00EB549A" w:rsidP="008D337D">
      <w:pPr>
        <w:spacing w:line="480" w:lineRule="auto"/>
        <w:jc w:val="both"/>
        <w:rPr>
          <w:rFonts w:cstheme="minorHAnsi"/>
          <w:sz w:val="24"/>
          <w:szCs w:val="24"/>
        </w:rPr>
      </w:pPr>
    </w:p>
    <w:sectPr w:rsidR="00EB549A" w:rsidRPr="008D337D">
      <w:headerReference w:type="default" r:id="rId8"/>
      <w:footerReference w:type="default" r:id="rId9"/>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091306" w16cex:dateUtc="2021-10-07T05: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688DEF1" w16cid:durableId="25091036"/>
  <w16cid:commentId w16cid:paraId="0C656472" w16cid:durableId="25091037"/>
  <w16cid:commentId w16cid:paraId="2F553419" w16cid:durableId="25091306"/>
  <w16cid:commentId w16cid:paraId="68D1B834" w16cid:durableId="25091038"/>
  <w16cid:commentId w16cid:paraId="60F267D2" w16cid:durableId="25091039"/>
  <w16cid:commentId w16cid:paraId="7F764356" w16cid:durableId="2509103A"/>
  <w16cid:commentId w16cid:paraId="66E445EF" w16cid:durableId="2509103B"/>
  <w16cid:commentId w16cid:paraId="7DE7865E" w16cid:durableId="2509103C"/>
  <w16cid:commentId w16cid:paraId="77F9BBA1" w16cid:durableId="2509103D"/>
  <w16cid:commentId w16cid:paraId="5A4F5247" w16cid:durableId="2509103E"/>
  <w16cid:commentId w16cid:paraId="6131E2D6" w16cid:durableId="2509103F"/>
  <w16cid:commentId w16cid:paraId="59B8C717" w16cid:durableId="25091040"/>
  <w16cid:commentId w16cid:paraId="4E4F1202" w16cid:durableId="25091041"/>
  <w16cid:commentId w16cid:paraId="1F2BE5B3" w16cid:durableId="25091042"/>
  <w16cid:commentId w16cid:paraId="3AD03718" w16cid:durableId="25091043"/>
  <w16cid:commentId w16cid:paraId="7E107390" w16cid:durableId="25091044"/>
  <w16cid:commentId w16cid:paraId="084D5A9A" w16cid:durableId="25091045"/>
  <w16cid:commentId w16cid:paraId="7363DBC3" w16cid:durableId="25091046"/>
  <w16cid:commentId w16cid:paraId="7CA1F9A3" w16cid:durableId="25091047"/>
  <w16cid:commentId w16cid:paraId="160AC4AA" w16cid:durableId="25091048"/>
  <w16cid:commentId w16cid:paraId="5749EEB6" w16cid:durableId="25091049"/>
  <w16cid:commentId w16cid:paraId="530A5A58" w16cid:durableId="2509104A"/>
  <w16cid:commentId w16cid:paraId="55CA0F91" w16cid:durableId="2509104B"/>
  <w16cid:commentId w16cid:paraId="774DAA6C" w16cid:durableId="2509104C"/>
  <w16cid:commentId w16cid:paraId="2F559C0C" w16cid:durableId="2509104D"/>
  <w16cid:commentId w16cid:paraId="6ECBC3EF" w16cid:durableId="2509104E"/>
  <w16cid:commentId w16cid:paraId="07CD84CD" w16cid:durableId="2509104F"/>
  <w16cid:commentId w16cid:paraId="3CE7F04F" w16cid:durableId="25091050"/>
  <w16cid:commentId w16cid:paraId="38524685" w16cid:durableId="25091051"/>
  <w16cid:commentId w16cid:paraId="09EC3196" w16cid:durableId="25091052"/>
  <w16cid:commentId w16cid:paraId="73F5B366" w16cid:durableId="25091053"/>
  <w16cid:commentId w16cid:paraId="3967A044" w16cid:durableId="25091054"/>
  <w16cid:commentId w16cid:paraId="3A9340B5" w16cid:durableId="25091055"/>
  <w16cid:commentId w16cid:paraId="1D5BB1BF" w16cid:durableId="25091056"/>
  <w16cid:commentId w16cid:paraId="303B7D60" w16cid:durableId="25091057"/>
  <w16cid:commentId w16cid:paraId="31716F3A" w16cid:durableId="25091058"/>
  <w16cid:commentId w16cid:paraId="4EF95B19" w16cid:durableId="25091059"/>
  <w16cid:commentId w16cid:paraId="360144A6" w16cid:durableId="2509105A"/>
  <w16cid:commentId w16cid:paraId="1CA4CE1C" w16cid:durableId="2509105B"/>
  <w16cid:commentId w16cid:paraId="747AD823" w16cid:durableId="2509105C"/>
  <w16cid:commentId w16cid:paraId="4E956D28" w16cid:durableId="2509105D"/>
  <w16cid:commentId w16cid:paraId="75D1711B" w16cid:durableId="2509105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4F3E50" w14:textId="77777777" w:rsidR="008E64CC" w:rsidRDefault="008E64CC" w:rsidP="009066B1">
      <w:pPr>
        <w:spacing w:after="0" w:line="240" w:lineRule="auto"/>
      </w:pPr>
      <w:r>
        <w:separator/>
      </w:r>
    </w:p>
  </w:endnote>
  <w:endnote w:type="continuationSeparator" w:id="0">
    <w:p w14:paraId="19B12E54" w14:textId="77777777" w:rsidR="008E64CC" w:rsidRDefault="008E64CC" w:rsidP="00906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6703384"/>
      <w:docPartObj>
        <w:docPartGallery w:val="Page Numbers (Bottom of Page)"/>
        <w:docPartUnique/>
      </w:docPartObj>
    </w:sdtPr>
    <w:sdtEndPr>
      <w:rPr>
        <w:noProof/>
        <w:sz w:val="24"/>
        <w:szCs w:val="24"/>
      </w:rPr>
    </w:sdtEndPr>
    <w:sdtContent>
      <w:p w14:paraId="5751DEDA" w14:textId="6BB73506" w:rsidR="008E64CC" w:rsidRPr="009066B1" w:rsidRDefault="008E64CC">
        <w:pPr>
          <w:pStyle w:val="Footer"/>
          <w:rPr>
            <w:sz w:val="24"/>
            <w:szCs w:val="24"/>
          </w:rPr>
        </w:pPr>
        <w:r w:rsidRPr="009066B1">
          <w:rPr>
            <w:sz w:val="24"/>
            <w:szCs w:val="24"/>
          </w:rPr>
          <w:fldChar w:fldCharType="begin"/>
        </w:r>
        <w:r w:rsidRPr="009066B1">
          <w:rPr>
            <w:sz w:val="24"/>
            <w:szCs w:val="24"/>
          </w:rPr>
          <w:instrText xml:space="preserve"> PAGE   \* MERGEFORMAT </w:instrText>
        </w:r>
        <w:r w:rsidRPr="009066B1">
          <w:rPr>
            <w:sz w:val="24"/>
            <w:szCs w:val="24"/>
          </w:rPr>
          <w:fldChar w:fldCharType="separate"/>
        </w:r>
        <w:r w:rsidR="00526F5C">
          <w:rPr>
            <w:noProof/>
            <w:sz w:val="24"/>
            <w:szCs w:val="24"/>
          </w:rPr>
          <w:t>10</w:t>
        </w:r>
        <w:r w:rsidRPr="009066B1">
          <w:rPr>
            <w:noProof/>
            <w:sz w:val="24"/>
            <w:szCs w:val="24"/>
          </w:rPr>
          <w:fldChar w:fldCharType="end"/>
        </w:r>
      </w:p>
    </w:sdtContent>
  </w:sdt>
  <w:p w14:paraId="3DDAC5BF" w14:textId="77777777" w:rsidR="008E64CC" w:rsidRDefault="008E64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063DD" w14:textId="77777777" w:rsidR="008E64CC" w:rsidRDefault="008E64CC" w:rsidP="009066B1">
      <w:pPr>
        <w:spacing w:after="0" w:line="240" w:lineRule="auto"/>
      </w:pPr>
      <w:r>
        <w:separator/>
      </w:r>
    </w:p>
  </w:footnote>
  <w:footnote w:type="continuationSeparator" w:id="0">
    <w:p w14:paraId="3F469BED" w14:textId="77777777" w:rsidR="008E64CC" w:rsidRDefault="008E64CC" w:rsidP="009066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2EF9E" w14:textId="688A0A28" w:rsidR="008E64CC" w:rsidRDefault="008E64CC">
    <w:pPr>
      <w:pStyle w:val="Header"/>
    </w:pPr>
    <w:r w:rsidRPr="009066B1">
      <w:t>Compassionate use of pulmonary vasodilators in acute severe hypoxic respiratory failure due to COVID-19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52107"/>
    <w:multiLevelType w:val="hybridMultilevel"/>
    <w:tmpl w:val="66A08F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E42073"/>
    <w:multiLevelType w:val="hybridMultilevel"/>
    <w:tmpl w:val="5A06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D4E4DBC"/>
    <w:multiLevelType w:val="hybridMultilevel"/>
    <w:tmpl w:val="DB000D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7BE"/>
    <w:rsid w:val="00005726"/>
    <w:rsid w:val="00017B35"/>
    <w:rsid w:val="00022207"/>
    <w:rsid w:val="000244D8"/>
    <w:rsid w:val="0004041A"/>
    <w:rsid w:val="000441E2"/>
    <w:rsid w:val="00053395"/>
    <w:rsid w:val="00056147"/>
    <w:rsid w:val="00057155"/>
    <w:rsid w:val="00061C5F"/>
    <w:rsid w:val="00063C82"/>
    <w:rsid w:val="000645F8"/>
    <w:rsid w:val="00070705"/>
    <w:rsid w:val="00072446"/>
    <w:rsid w:val="000803B3"/>
    <w:rsid w:val="0008598D"/>
    <w:rsid w:val="00093833"/>
    <w:rsid w:val="000958C7"/>
    <w:rsid w:val="000A16A2"/>
    <w:rsid w:val="000B0584"/>
    <w:rsid w:val="000B6FEA"/>
    <w:rsid w:val="000C5101"/>
    <w:rsid w:val="000D21C9"/>
    <w:rsid w:val="000D2789"/>
    <w:rsid w:val="000D6E32"/>
    <w:rsid w:val="000E6AF3"/>
    <w:rsid w:val="000F0DC1"/>
    <w:rsid w:val="000F1731"/>
    <w:rsid w:val="000F6B41"/>
    <w:rsid w:val="00113B5B"/>
    <w:rsid w:val="0011615A"/>
    <w:rsid w:val="00151E61"/>
    <w:rsid w:val="00155180"/>
    <w:rsid w:val="00162A87"/>
    <w:rsid w:val="00172702"/>
    <w:rsid w:val="00174B66"/>
    <w:rsid w:val="00181812"/>
    <w:rsid w:val="00182A9C"/>
    <w:rsid w:val="00197BFD"/>
    <w:rsid w:val="001A31A5"/>
    <w:rsid w:val="001B1B09"/>
    <w:rsid w:val="001B4EB5"/>
    <w:rsid w:val="001C0FDB"/>
    <w:rsid w:val="001D78F7"/>
    <w:rsid w:val="001E4E44"/>
    <w:rsid w:val="001E7C70"/>
    <w:rsid w:val="001F2855"/>
    <w:rsid w:val="001F4457"/>
    <w:rsid w:val="00200413"/>
    <w:rsid w:val="00220969"/>
    <w:rsid w:val="00222C08"/>
    <w:rsid w:val="002310F0"/>
    <w:rsid w:val="002361C1"/>
    <w:rsid w:val="002365C3"/>
    <w:rsid w:val="00250CAB"/>
    <w:rsid w:val="0026424A"/>
    <w:rsid w:val="00266883"/>
    <w:rsid w:val="00266A4E"/>
    <w:rsid w:val="00280EE5"/>
    <w:rsid w:val="00282B83"/>
    <w:rsid w:val="00290CE6"/>
    <w:rsid w:val="00292D0B"/>
    <w:rsid w:val="002A7B3E"/>
    <w:rsid w:val="002B3A0D"/>
    <w:rsid w:val="002C55CB"/>
    <w:rsid w:val="002D1D94"/>
    <w:rsid w:val="002D3699"/>
    <w:rsid w:val="002D765D"/>
    <w:rsid w:val="002D7776"/>
    <w:rsid w:val="002E04DF"/>
    <w:rsid w:val="002E26DE"/>
    <w:rsid w:val="002F4C04"/>
    <w:rsid w:val="00310D6A"/>
    <w:rsid w:val="00311758"/>
    <w:rsid w:val="00316089"/>
    <w:rsid w:val="00322D3D"/>
    <w:rsid w:val="003232BF"/>
    <w:rsid w:val="00326C11"/>
    <w:rsid w:val="003338E2"/>
    <w:rsid w:val="00335056"/>
    <w:rsid w:val="00346FE1"/>
    <w:rsid w:val="003508E6"/>
    <w:rsid w:val="0035594B"/>
    <w:rsid w:val="00364502"/>
    <w:rsid w:val="00364F58"/>
    <w:rsid w:val="00381267"/>
    <w:rsid w:val="003826F5"/>
    <w:rsid w:val="00383857"/>
    <w:rsid w:val="00383929"/>
    <w:rsid w:val="00394237"/>
    <w:rsid w:val="003A337B"/>
    <w:rsid w:val="003B5ECA"/>
    <w:rsid w:val="003C1182"/>
    <w:rsid w:val="003C25D6"/>
    <w:rsid w:val="003D76C0"/>
    <w:rsid w:val="003E6908"/>
    <w:rsid w:val="003F748F"/>
    <w:rsid w:val="003F7BD9"/>
    <w:rsid w:val="004031FA"/>
    <w:rsid w:val="0040507A"/>
    <w:rsid w:val="00414656"/>
    <w:rsid w:val="00420DEA"/>
    <w:rsid w:val="00421724"/>
    <w:rsid w:val="00423C55"/>
    <w:rsid w:val="004375CB"/>
    <w:rsid w:val="00441C94"/>
    <w:rsid w:val="0044674A"/>
    <w:rsid w:val="00470B51"/>
    <w:rsid w:val="00471A2F"/>
    <w:rsid w:val="00471EEE"/>
    <w:rsid w:val="00472A4F"/>
    <w:rsid w:val="00485072"/>
    <w:rsid w:val="00493110"/>
    <w:rsid w:val="004A0CFC"/>
    <w:rsid w:val="004A7B6E"/>
    <w:rsid w:val="004B386A"/>
    <w:rsid w:val="004B3F34"/>
    <w:rsid w:val="004C4DDB"/>
    <w:rsid w:val="004C6EAF"/>
    <w:rsid w:val="004D1469"/>
    <w:rsid w:val="004E3D5C"/>
    <w:rsid w:val="004F5086"/>
    <w:rsid w:val="004F56B1"/>
    <w:rsid w:val="004F7CD2"/>
    <w:rsid w:val="00513542"/>
    <w:rsid w:val="00517A1F"/>
    <w:rsid w:val="005211F4"/>
    <w:rsid w:val="00526F5C"/>
    <w:rsid w:val="00531941"/>
    <w:rsid w:val="0053547F"/>
    <w:rsid w:val="00547ED1"/>
    <w:rsid w:val="00553242"/>
    <w:rsid w:val="0055360E"/>
    <w:rsid w:val="00562542"/>
    <w:rsid w:val="00564EEE"/>
    <w:rsid w:val="005657EE"/>
    <w:rsid w:val="00567166"/>
    <w:rsid w:val="00571A96"/>
    <w:rsid w:val="005764C5"/>
    <w:rsid w:val="00581464"/>
    <w:rsid w:val="00581BF5"/>
    <w:rsid w:val="00585186"/>
    <w:rsid w:val="00590031"/>
    <w:rsid w:val="0059751E"/>
    <w:rsid w:val="00597DB7"/>
    <w:rsid w:val="005A0B3A"/>
    <w:rsid w:val="005A212E"/>
    <w:rsid w:val="005B17BD"/>
    <w:rsid w:val="005B27F2"/>
    <w:rsid w:val="005B4E58"/>
    <w:rsid w:val="005B51F1"/>
    <w:rsid w:val="005C7792"/>
    <w:rsid w:val="005D1457"/>
    <w:rsid w:val="005D2A7E"/>
    <w:rsid w:val="005D53E0"/>
    <w:rsid w:val="005D6E90"/>
    <w:rsid w:val="005E76C4"/>
    <w:rsid w:val="006317F5"/>
    <w:rsid w:val="00633A75"/>
    <w:rsid w:val="00634C64"/>
    <w:rsid w:val="0064036B"/>
    <w:rsid w:val="00641164"/>
    <w:rsid w:val="00651FE0"/>
    <w:rsid w:val="006578A6"/>
    <w:rsid w:val="00657E09"/>
    <w:rsid w:val="0067033B"/>
    <w:rsid w:val="006712BA"/>
    <w:rsid w:val="00673028"/>
    <w:rsid w:val="00677573"/>
    <w:rsid w:val="00677804"/>
    <w:rsid w:val="0068304F"/>
    <w:rsid w:val="006A4814"/>
    <w:rsid w:val="006A6E1D"/>
    <w:rsid w:val="006C1037"/>
    <w:rsid w:val="006E091B"/>
    <w:rsid w:val="006E18A2"/>
    <w:rsid w:val="006E3CAE"/>
    <w:rsid w:val="006E513B"/>
    <w:rsid w:val="006E7038"/>
    <w:rsid w:val="006F2273"/>
    <w:rsid w:val="007010E6"/>
    <w:rsid w:val="007108B4"/>
    <w:rsid w:val="0071718B"/>
    <w:rsid w:val="00723B6C"/>
    <w:rsid w:val="00724E78"/>
    <w:rsid w:val="007348C1"/>
    <w:rsid w:val="007403F5"/>
    <w:rsid w:val="00741822"/>
    <w:rsid w:val="007426C2"/>
    <w:rsid w:val="00743A01"/>
    <w:rsid w:val="00751421"/>
    <w:rsid w:val="007536DA"/>
    <w:rsid w:val="0076139E"/>
    <w:rsid w:val="007629AE"/>
    <w:rsid w:val="00763F0A"/>
    <w:rsid w:val="00777517"/>
    <w:rsid w:val="00777826"/>
    <w:rsid w:val="00781EB2"/>
    <w:rsid w:val="00795795"/>
    <w:rsid w:val="007A144C"/>
    <w:rsid w:val="007A7D6B"/>
    <w:rsid w:val="007B4D9B"/>
    <w:rsid w:val="007B506F"/>
    <w:rsid w:val="007B6A8C"/>
    <w:rsid w:val="007B7919"/>
    <w:rsid w:val="007D2178"/>
    <w:rsid w:val="007D2E96"/>
    <w:rsid w:val="007D5B64"/>
    <w:rsid w:val="007E48C9"/>
    <w:rsid w:val="007F2040"/>
    <w:rsid w:val="007F496B"/>
    <w:rsid w:val="0080648A"/>
    <w:rsid w:val="0082540E"/>
    <w:rsid w:val="00845D5F"/>
    <w:rsid w:val="0085011C"/>
    <w:rsid w:val="008607CF"/>
    <w:rsid w:val="00861052"/>
    <w:rsid w:val="00867017"/>
    <w:rsid w:val="0087075B"/>
    <w:rsid w:val="0087271E"/>
    <w:rsid w:val="00875EE9"/>
    <w:rsid w:val="00892DF2"/>
    <w:rsid w:val="008A579D"/>
    <w:rsid w:val="008A5AE4"/>
    <w:rsid w:val="008B2631"/>
    <w:rsid w:val="008B3677"/>
    <w:rsid w:val="008C0D90"/>
    <w:rsid w:val="008C2481"/>
    <w:rsid w:val="008D0B63"/>
    <w:rsid w:val="008D337D"/>
    <w:rsid w:val="008E10B7"/>
    <w:rsid w:val="008E2D01"/>
    <w:rsid w:val="008E64CC"/>
    <w:rsid w:val="008F006E"/>
    <w:rsid w:val="008F27FB"/>
    <w:rsid w:val="008F5230"/>
    <w:rsid w:val="008F7C59"/>
    <w:rsid w:val="00900449"/>
    <w:rsid w:val="009045EC"/>
    <w:rsid w:val="00904B8D"/>
    <w:rsid w:val="009066B1"/>
    <w:rsid w:val="0090704B"/>
    <w:rsid w:val="00907FCE"/>
    <w:rsid w:val="0092454D"/>
    <w:rsid w:val="00924BFC"/>
    <w:rsid w:val="0094263B"/>
    <w:rsid w:val="00962CDA"/>
    <w:rsid w:val="0098550A"/>
    <w:rsid w:val="00992912"/>
    <w:rsid w:val="0099382F"/>
    <w:rsid w:val="00993DCA"/>
    <w:rsid w:val="00994A8B"/>
    <w:rsid w:val="009A51D3"/>
    <w:rsid w:val="009A6A49"/>
    <w:rsid w:val="009C0AAE"/>
    <w:rsid w:val="009C3DD5"/>
    <w:rsid w:val="009C3E28"/>
    <w:rsid w:val="009C7E26"/>
    <w:rsid w:val="009D2DC0"/>
    <w:rsid w:val="009D4D94"/>
    <w:rsid w:val="009E16E7"/>
    <w:rsid w:val="009E2644"/>
    <w:rsid w:val="00A00F8A"/>
    <w:rsid w:val="00A170AC"/>
    <w:rsid w:val="00A33A3E"/>
    <w:rsid w:val="00A34D42"/>
    <w:rsid w:val="00A4020E"/>
    <w:rsid w:val="00A440B9"/>
    <w:rsid w:val="00A44DB8"/>
    <w:rsid w:val="00A55F68"/>
    <w:rsid w:val="00A65AC6"/>
    <w:rsid w:val="00A858FE"/>
    <w:rsid w:val="00AA3D17"/>
    <w:rsid w:val="00AB10B9"/>
    <w:rsid w:val="00AC196A"/>
    <w:rsid w:val="00AC2EDA"/>
    <w:rsid w:val="00AC6DE4"/>
    <w:rsid w:val="00AD4670"/>
    <w:rsid w:val="00AE44B5"/>
    <w:rsid w:val="00AF03A9"/>
    <w:rsid w:val="00AF22DE"/>
    <w:rsid w:val="00AF46D3"/>
    <w:rsid w:val="00B032AF"/>
    <w:rsid w:val="00B227BE"/>
    <w:rsid w:val="00B23314"/>
    <w:rsid w:val="00B360C9"/>
    <w:rsid w:val="00B40C4D"/>
    <w:rsid w:val="00B45435"/>
    <w:rsid w:val="00B51E69"/>
    <w:rsid w:val="00B57B04"/>
    <w:rsid w:val="00B73E60"/>
    <w:rsid w:val="00B758F8"/>
    <w:rsid w:val="00B833FF"/>
    <w:rsid w:val="00B84E1A"/>
    <w:rsid w:val="00B9595E"/>
    <w:rsid w:val="00BA1B3C"/>
    <w:rsid w:val="00BA4637"/>
    <w:rsid w:val="00BB7028"/>
    <w:rsid w:val="00BB791A"/>
    <w:rsid w:val="00BC4070"/>
    <w:rsid w:val="00BC4748"/>
    <w:rsid w:val="00BC6058"/>
    <w:rsid w:val="00BD6447"/>
    <w:rsid w:val="00BE1BBC"/>
    <w:rsid w:val="00BE4428"/>
    <w:rsid w:val="00BE6BDF"/>
    <w:rsid w:val="00C07B98"/>
    <w:rsid w:val="00C14FD2"/>
    <w:rsid w:val="00C30463"/>
    <w:rsid w:val="00C321ED"/>
    <w:rsid w:val="00C350C1"/>
    <w:rsid w:val="00C572C1"/>
    <w:rsid w:val="00C71BE3"/>
    <w:rsid w:val="00C729D1"/>
    <w:rsid w:val="00C86B67"/>
    <w:rsid w:val="00C97032"/>
    <w:rsid w:val="00CA0249"/>
    <w:rsid w:val="00CA0B4C"/>
    <w:rsid w:val="00CB25C7"/>
    <w:rsid w:val="00CB3E53"/>
    <w:rsid w:val="00CD2421"/>
    <w:rsid w:val="00CD5C0A"/>
    <w:rsid w:val="00CE664B"/>
    <w:rsid w:val="00CF45DA"/>
    <w:rsid w:val="00CF6A32"/>
    <w:rsid w:val="00D03E39"/>
    <w:rsid w:val="00D10343"/>
    <w:rsid w:val="00D12A61"/>
    <w:rsid w:val="00D2040F"/>
    <w:rsid w:val="00D30C63"/>
    <w:rsid w:val="00D3125D"/>
    <w:rsid w:val="00D34A28"/>
    <w:rsid w:val="00D42CDC"/>
    <w:rsid w:val="00D530C5"/>
    <w:rsid w:val="00D6398F"/>
    <w:rsid w:val="00D649FA"/>
    <w:rsid w:val="00D67343"/>
    <w:rsid w:val="00D857B6"/>
    <w:rsid w:val="00D95FFD"/>
    <w:rsid w:val="00DA3CCA"/>
    <w:rsid w:val="00DA4262"/>
    <w:rsid w:val="00DA75A6"/>
    <w:rsid w:val="00DD34E8"/>
    <w:rsid w:val="00DD5D56"/>
    <w:rsid w:val="00E03A22"/>
    <w:rsid w:val="00E226AA"/>
    <w:rsid w:val="00E2349E"/>
    <w:rsid w:val="00E40E83"/>
    <w:rsid w:val="00E42660"/>
    <w:rsid w:val="00E55EC4"/>
    <w:rsid w:val="00E574E3"/>
    <w:rsid w:val="00E61E47"/>
    <w:rsid w:val="00E737E0"/>
    <w:rsid w:val="00E76AC9"/>
    <w:rsid w:val="00E86076"/>
    <w:rsid w:val="00E90EF7"/>
    <w:rsid w:val="00E923C3"/>
    <w:rsid w:val="00EB201D"/>
    <w:rsid w:val="00EB37DF"/>
    <w:rsid w:val="00EB459E"/>
    <w:rsid w:val="00EB549A"/>
    <w:rsid w:val="00EC1F60"/>
    <w:rsid w:val="00EC2FCC"/>
    <w:rsid w:val="00EC7430"/>
    <w:rsid w:val="00EC75A2"/>
    <w:rsid w:val="00ED6C25"/>
    <w:rsid w:val="00EE1DEC"/>
    <w:rsid w:val="00EE7D4B"/>
    <w:rsid w:val="00EF094C"/>
    <w:rsid w:val="00EF3910"/>
    <w:rsid w:val="00EF443F"/>
    <w:rsid w:val="00F036D9"/>
    <w:rsid w:val="00F15955"/>
    <w:rsid w:val="00F1752C"/>
    <w:rsid w:val="00F27295"/>
    <w:rsid w:val="00F309A5"/>
    <w:rsid w:val="00F31526"/>
    <w:rsid w:val="00F34F55"/>
    <w:rsid w:val="00F55F75"/>
    <w:rsid w:val="00F6353B"/>
    <w:rsid w:val="00F663A3"/>
    <w:rsid w:val="00F70CE0"/>
    <w:rsid w:val="00F73CAD"/>
    <w:rsid w:val="00F85422"/>
    <w:rsid w:val="00F8738C"/>
    <w:rsid w:val="00F904B0"/>
    <w:rsid w:val="00F91F37"/>
    <w:rsid w:val="00F93591"/>
    <w:rsid w:val="00F9426E"/>
    <w:rsid w:val="00F96A9C"/>
    <w:rsid w:val="00F978E2"/>
    <w:rsid w:val="00FB0296"/>
    <w:rsid w:val="00FB4E26"/>
    <w:rsid w:val="00FB669F"/>
    <w:rsid w:val="00FE5D9A"/>
    <w:rsid w:val="00FF0268"/>
    <w:rsid w:val="00FF1954"/>
    <w:rsid w:val="00FF26EC"/>
    <w:rsid w:val="00FF55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65BA4"/>
  <w15:docId w15:val="{EA0E5D50-46B9-4D39-B37B-6D4672004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117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94A8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B367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227B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227BE"/>
  </w:style>
  <w:style w:type="character" w:customStyle="1" w:styleId="eop">
    <w:name w:val="eop"/>
    <w:basedOn w:val="DefaultParagraphFont"/>
    <w:rsid w:val="00B227BE"/>
  </w:style>
  <w:style w:type="paragraph" w:styleId="NormalWeb">
    <w:name w:val="Normal (Web)"/>
    <w:basedOn w:val="Normal"/>
    <w:uiPriority w:val="99"/>
    <w:semiHidden/>
    <w:unhideWhenUsed/>
    <w:rsid w:val="00571A96"/>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1175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11758"/>
    <w:rPr>
      <w:rFonts w:ascii="Times New Roman" w:hAnsi="Times New Roman" w:cs="Times New Roman"/>
      <w:sz w:val="18"/>
      <w:szCs w:val="18"/>
    </w:rPr>
  </w:style>
  <w:style w:type="paragraph" w:styleId="NoSpacing">
    <w:name w:val="No Spacing"/>
    <w:uiPriority w:val="1"/>
    <w:qFormat/>
    <w:rsid w:val="00311758"/>
    <w:pPr>
      <w:spacing w:after="0" w:line="240" w:lineRule="auto"/>
    </w:pPr>
  </w:style>
  <w:style w:type="character" w:customStyle="1" w:styleId="Heading1Char">
    <w:name w:val="Heading 1 Char"/>
    <w:basedOn w:val="DefaultParagraphFont"/>
    <w:link w:val="Heading1"/>
    <w:uiPriority w:val="9"/>
    <w:rsid w:val="0031175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94A8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B3677"/>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F34F55"/>
    <w:rPr>
      <w:sz w:val="16"/>
      <w:szCs w:val="16"/>
    </w:rPr>
  </w:style>
  <w:style w:type="paragraph" w:styleId="CommentText">
    <w:name w:val="annotation text"/>
    <w:basedOn w:val="Normal"/>
    <w:link w:val="CommentTextChar"/>
    <w:uiPriority w:val="99"/>
    <w:unhideWhenUsed/>
    <w:rsid w:val="00F34F55"/>
    <w:pPr>
      <w:spacing w:line="240" w:lineRule="auto"/>
    </w:pPr>
    <w:rPr>
      <w:sz w:val="20"/>
      <w:szCs w:val="20"/>
    </w:rPr>
  </w:style>
  <w:style w:type="character" w:customStyle="1" w:styleId="CommentTextChar">
    <w:name w:val="Comment Text Char"/>
    <w:basedOn w:val="DefaultParagraphFont"/>
    <w:link w:val="CommentText"/>
    <w:uiPriority w:val="99"/>
    <w:rsid w:val="00F34F55"/>
    <w:rPr>
      <w:sz w:val="20"/>
      <w:szCs w:val="20"/>
    </w:rPr>
  </w:style>
  <w:style w:type="paragraph" w:styleId="CommentSubject">
    <w:name w:val="annotation subject"/>
    <w:basedOn w:val="CommentText"/>
    <w:next w:val="CommentText"/>
    <w:link w:val="CommentSubjectChar"/>
    <w:uiPriority w:val="99"/>
    <w:semiHidden/>
    <w:unhideWhenUsed/>
    <w:rsid w:val="00F34F55"/>
    <w:rPr>
      <w:b/>
      <w:bCs/>
    </w:rPr>
  </w:style>
  <w:style w:type="character" w:customStyle="1" w:styleId="CommentSubjectChar">
    <w:name w:val="Comment Subject Char"/>
    <w:basedOn w:val="CommentTextChar"/>
    <w:link w:val="CommentSubject"/>
    <w:uiPriority w:val="99"/>
    <w:semiHidden/>
    <w:rsid w:val="00F34F55"/>
    <w:rPr>
      <w:b/>
      <w:bCs/>
      <w:sz w:val="20"/>
      <w:szCs w:val="20"/>
    </w:rPr>
  </w:style>
  <w:style w:type="paragraph" w:styleId="Revision">
    <w:name w:val="Revision"/>
    <w:hidden/>
    <w:uiPriority w:val="99"/>
    <w:semiHidden/>
    <w:rsid w:val="00C86B67"/>
    <w:pPr>
      <w:spacing w:after="0" w:line="240" w:lineRule="auto"/>
    </w:pPr>
  </w:style>
  <w:style w:type="character" w:styleId="PlaceholderText">
    <w:name w:val="Placeholder Text"/>
    <w:basedOn w:val="DefaultParagraphFont"/>
    <w:uiPriority w:val="99"/>
    <w:semiHidden/>
    <w:rsid w:val="008D337D"/>
    <w:rPr>
      <w:color w:val="808080"/>
    </w:rPr>
  </w:style>
  <w:style w:type="paragraph" w:styleId="Header">
    <w:name w:val="header"/>
    <w:basedOn w:val="Normal"/>
    <w:link w:val="HeaderChar"/>
    <w:uiPriority w:val="99"/>
    <w:unhideWhenUsed/>
    <w:rsid w:val="009066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66B1"/>
  </w:style>
  <w:style w:type="paragraph" w:styleId="Footer">
    <w:name w:val="footer"/>
    <w:basedOn w:val="Normal"/>
    <w:link w:val="FooterChar"/>
    <w:uiPriority w:val="99"/>
    <w:unhideWhenUsed/>
    <w:rsid w:val="009066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66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624833">
      <w:bodyDiv w:val="1"/>
      <w:marLeft w:val="0"/>
      <w:marRight w:val="0"/>
      <w:marTop w:val="0"/>
      <w:marBottom w:val="0"/>
      <w:divBdr>
        <w:top w:val="none" w:sz="0" w:space="0" w:color="auto"/>
        <w:left w:val="none" w:sz="0" w:space="0" w:color="auto"/>
        <w:bottom w:val="none" w:sz="0" w:space="0" w:color="auto"/>
        <w:right w:val="none" w:sz="0" w:space="0" w:color="auto"/>
      </w:divBdr>
    </w:div>
    <w:div w:id="383875561">
      <w:bodyDiv w:val="1"/>
      <w:marLeft w:val="0"/>
      <w:marRight w:val="0"/>
      <w:marTop w:val="0"/>
      <w:marBottom w:val="0"/>
      <w:divBdr>
        <w:top w:val="none" w:sz="0" w:space="0" w:color="auto"/>
        <w:left w:val="none" w:sz="0" w:space="0" w:color="auto"/>
        <w:bottom w:val="none" w:sz="0" w:space="0" w:color="auto"/>
        <w:right w:val="none" w:sz="0" w:space="0" w:color="auto"/>
      </w:divBdr>
      <w:divsChild>
        <w:div w:id="1781142226">
          <w:marLeft w:val="0"/>
          <w:marRight w:val="0"/>
          <w:marTop w:val="0"/>
          <w:marBottom w:val="0"/>
          <w:divBdr>
            <w:top w:val="none" w:sz="0" w:space="0" w:color="auto"/>
            <w:left w:val="none" w:sz="0" w:space="0" w:color="auto"/>
            <w:bottom w:val="none" w:sz="0" w:space="0" w:color="auto"/>
            <w:right w:val="none" w:sz="0" w:space="0" w:color="auto"/>
          </w:divBdr>
        </w:div>
        <w:div w:id="201207694">
          <w:marLeft w:val="0"/>
          <w:marRight w:val="0"/>
          <w:marTop w:val="0"/>
          <w:marBottom w:val="0"/>
          <w:divBdr>
            <w:top w:val="none" w:sz="0" w:space="0" w:color="auto"/>
            <w:left w:val="none" w:sz="0" w:space="0" w:color="auto"/>
            <w:bottom w:val="none" w:sz="0" w:space="0" w:color="auto"/>
            <w:right w:val="none" w:sz="0" w:space="0" w:color="auto"/>
          </w:divBdr>
        </w:div>
        <w:div w:id="1907760000">
          <w:marLeft w:val="0"/>
          <w:marRight w:val="0"/>
          <w:marTop w:val="0"/>
          <w:marBottom w:val="0"/>
          <w:divBdr>
            <w:top w:val="none" w:sz="0" w:space="0" w:color="auto"/>
            <w:left w:val="none" w:sz="0" w:space="0" w:color="auto"/>
            <w:bottom w:val="none" w:sz="0" w:space="0" w:color="auto"/>
            <w:right w:val="none" w:sz="0" w:space="0" w:color="auto"/>
          </w:divBdr>
        </w:div>
        <w:div w:id="2124037158">
          <w:marLeft w:val="0"/>
          <w:marRight w:val="0"/>
          <w:marTop w:val="0"/>
          <w:marBottom w:val="0"/>
          <w:divBdr>
            <w:top w:val="none" w:sz="0" w:space="0" w:color="auto"/>
            <w:left w:val="none" w:sz="0" w:space="0" w:color="auto"/>
            <w:bottom w:val="none" w:sz="0" w:space="0" w:color="auto"/>
            <w:right w:val="none" w:sz="0" w:space="0" w:color="auto"/>
          </w:divBdr>
        </w:div>
      </w:divsChild>
    </w:div>
    <w:div w:id="539438346">
      <w:bodyDiv w:val="1"/>
      <w:marLeft w:val="0"/>
      <w:marRight w:val="0"/>
      <w:marTop w:val="0"/>
      <w:marBottom w:val="0"/>
      <w:divBdr>
        <w:top w:val="none" w:sz="0" w:space="0" w:color="auto"/>
        <w:left w:val="none" w:sz="0" w:space="0" w:color="auto"/>
        <w:bottom w:val="none" w:sz="0" w:space="0" w:color="auto"/>
        <w:right w:val="none" w:sz="0" w:space="0" w:color="auto"/>
      </w:divBdr>
    </w:div>
    <w:div w:id="980962844">
      <w:bodyDiv w:val="1"/>
      <w:marLeft w:val="0"/>
      <w:marRight w:val="0"/>
      <w:marTop w:val="0"/>
      <w:marBottom w:val="0"/>
      <w:divBdr>
        <w:top w:val="none" w:sz="0" w:space="0" w:color="auto"/>
        <w:left w:val="none" w:sz="0" w:space="0" w:color="auto"/>
        <w:bottom w:val="none" w:sz="0" w:space="0" w:color="auto"/>
        <w:right w:val="none" w:sz="0" w:space="0" w:color="auto"/>
      </w:divBdr>
    </w:div>
    <w:div w:id="995762532">
      <w:bodyDiv w:val="1"/>
      <w:marLeft w:val="0"/>
      <w:marRight w:val="0"/>
      <w:marTop w:val="0"/>
      <w:marBottom w:val="0"/>
      <w:divBdr>
        <w:top w:val="none" w:sz="0" w:space="0" w:color="auto"/>
        <w:left w:val="none" w:sz="0" w:space="0" w:color="auto"/>
        <w:bottom w:val="none" w:sz="0" w:space="0" w:color="auto"/>
        <w:right w:val="none" w:sz="0" w:space="0" w:color="auto"/>
      </w:divBdr>
    </w:div>
    <w:div w:id="1091203142">
      <w:bodyDiv w:val="1"/>
      <w:marLeft w:val="0"/>
      <w:marRight w:val="0"/>
      <w:marTop w:val="0"/>
      <w:marBottom w:val="0"/>
      <w:divBdr>
        <w:top w:val="none" w:sz="0" w:space="0" w:color="auto"/>
        <w:left w:val="none" w:sz="0" w:space="0" w:color="auto"/>
        <w:bottom w:val="none" w:sz="0" w:space="0" w:color="auto"/>
        <w:right w:val="none" w:sz="0" w:space="0" w:color="auto"/>
      </w:divBdr>
    </w:div>
    <w:div w:id="1618872885">
      <w:bodyDiv w:val="1"/>
      <w:marLeft w:val="0"/>
      <w:marRight w:val="0"/>
      <w:marTop w:val="0"/>
      <w:marBottom w:val="0"/>
      <w:divBdr>
        <w:top w:val="none" w:sz="0" w:space="0" w:color="auto"/>
        <w:left w:val="none" w:sz="0" w:space="0" w:color="auto"/>
        <w:bottom w:val="none" w:sz="0" w:space="0" w:color="auto"/>
        <w:right w:val="none" w:sz="0" w:space="0" w:color="auto"/>
      </w:divBdr>
    </w:div>
    <w:div w:id="199409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1E804-4401-4DB4-9646-7D62887DF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32</Pages>
  <Words>18628</Words>
  <Characters>106180</Characters>
  <Application>Microsoft Office Word</Application>
  <DocSecurity>0</DocSecurity>
  <Lines>884</Lines>
  <Paragraphs>249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124559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Pappachan, John</dc:creator>
  <cp:lastModifiedBy>Matthews L.</cp:lastModifiedBy>
  <cp:revision>3</cp:revision>
  <dcterms:created xsi:type="dcterms:W3CDTF">2022-02-21T08:43:00Z</dcterms:created>
  <dcterms:modified xsi:type="dcterms:W3CDTF">2022-02-21T09:18:00Z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http://www.zotero.org/styles/clinical-nutrition-espen</vt:lpwstr>
  </property>
  <property fmtid="{D5CDD505-2E9C-101B-9397-08002B2CF9AE}" pid="11" name="Mendeley Recent Style Name 4_1">
    <vt:lpwstr>Clinical Nutrition ESPEN</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3c611754-6116-3dad-b832-647a1655c02a</vt:lpwstr>
  </property>
  <property fmtid="{D5CDD505-2E9C-101B-9397-08002B2CF9AE}" pid="24" name="Mendeley Citation Style_1">
    <vt:lpwstr>http://www.zotero.org/styles/american-medical-association</vt:lpwstr>
  </property>
</Properties>
</file>