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360E" w14:textId="3B8C7B30" w:rsidR="00302C6B" w:rsidRPr="00982A50" w:rsidRDefault="006B7794" w:rsidP="00256EF8">
      <w:pPr>
        <w:spacing w:line="480" w:lineRule="auto"/>
        <w:jc w:val="left"/>
        <w:rPr>
          <w:rFonts w:ascii="Times New Roman" w:hAnsi="Times New Roman" w:cs="Times New Roman"/>
          <w:sz w:val="20"/>
          <w:szCs w:val="20"/>
        </w:rPr>
      </w:pPr>
      <w:r w:rsidRPr="00982A50">
        <w:rPr>
          <w:rFonts w:ascii="Times New Roman" w:hAnsi="Times New Roman" w:cs="Times New Roman"/>
          <w:sz w:val="20"/>
          <w:szCs w:val="20"/>
        </w:rPr>
        <w:t>Role of alpha-2 adenosine</w:t>
      </w:r>
      <w:r w:rsidR="00CB5D83" w:rsidRPr="00982A50">
        <w:rPr>
          <w:rFonts w:ascii="Times New Roman" w:hAnsi="Times New Roman" w:cs="Times New Roman"/>
          <w:sz w:val="20"/>
          <w:szCs w:val="20"/>
        </w:rPr>
        <w:t xml:space="preserve"> (A2A)</w:t>
      </w:r>
      <w:r w:rsidRPr="00982A50">
        <w:rPr>
          <w:rFonts w:ascii="Times New Roman" w:hAnsi="Times New Roman" w:cs="Times New Roman"/>
          <w:sz w:val="20"/>
          <w:szCs w:val="20"/>
        </w:rPr>
        <w:t xml:space="preserve"> receptors in hot and cold cognition: effects of </w:t>
      </w:r>
      <w:r w:rsidR="00CB5D83" w:rsidRPr="00982A50">
        <w:rPr>
          <w:rFonts w:ascii="Times New Roman" w:hAnsi="Times New Roman" w:cs="Times New Roman"/>
          <w:sz w:val="20"/>
          <w:szCs w:val="20"/>
        </w:rPr>
        <w:t xml:space="preserve">single-dose </w:t>
      </w:r>
      <w:proofErr w:type="spellStart"/>
      <w:r w:rsidRPr="00982A50">
        <w:rPr>
          <w:rFonts w:ascii="Times New Roman" w:hAnsi="Times New Roman" w:cs="Times New Roman"/>
          <w:sz w:val="20"/>
          <w:szCs w:val="20"/>
        </w:rPr>
        <w:t>istradefylline</w:t>
      </w:r>
      <w:proofErr w:type="spellEnd"/>
      <w:r w:rsidRPr="00982A50">
        <w:rPr>
          <w:rFonts w:ascii="Times New Roman" w:hAnsi="Times New Roman" w:cs="Times New Roman"/>
          <w:sz w:val="20"/>
          <w:szCs w:val="20"/>
        </w:rPr>
        <w:t xml:space="preserve"> in healthy volunteers</w:t>
      </w:r>
    </w:p>
    <w:p w14:paraId="58A8CBCC" w14:textId="77777777" w:rsidR="00302C6B" w:rsidRPr="00982A50" w:rsidRDefault="00302C6B" w:rsidP="00256EF8">
      <w:pPr>
        <w:jc w:val="left"/>
        <w:rPr>
          <w:rFonts w:ascii="Times New Roman" w:hAnsi="Times New Roman" w:cs="Times New Roman"/>
          <w:sz w:val="20"/>
          <w:szCs w:val="20"/>
        </w:rPr>
      </w:pPr>
    </w:p>
    <w:p w14:paraId="4342913E" w14:textId="77777777" w:rsidR="00302C6B" w:rsidRPr="00982A50" w:rsidRDefault="00302C6B" w:rsidP="00256EF8">
      <w:pPr>
        <w:jc w:val="left"/>
        <w:rPr>
          <w:rFonts w:ascii="Times New Roman" w:hAnsi="Times New Roman" w:cs="Times New Roman"/>
          <w:sz w:val="20"/>
          <w:szCs w:val="20"/>
        </w:rPr>
      </w:pPr>
    </w:p>
    <w:p w14:paraId="1ADFA710" w14:textId="19D594F1" w:rsidR="00B25055" w:rsidRPr="00982A50" w:rsidRDefault="00302C6B" w:rsidP="00256EF8">
      <w:pPr>
        <w:jc w:val="left"/>
        <w:rPr>
          <w:rFonts w:ascii="Times New Roman" w:hAnsi="Times New Roman" w:cs="Times New Roman"/>
          <w:sz w:val="20"/>
          <w:szCs w:val="20"/>
        </w:rPr>
      </w:pPr>
      <w:r w:rsidRPr="00982A50">
        <w:rPr>
          <w:rFonts w:ascii="Times New Roman" w:hAnsi="Times New Roman" w:cs="Times New Roman"/>
          <w:sz w:val="20"/>
          <w:szCs w:val="20"/>
        </w:rPr>
        <w:t>Roxanne W. Hook</w:t>
      </w:r>
      <w:r w:rsidR="00E25302">
        <w:rPr>
          <w:rFonts w:ascii="Times New Roman" w:hAnsi="Times New Roman" w:cs="Times New Roman"/>
          <w:sz w:val="20"/>
          <w:szCs w:val="20"/>
          <w:vertAlign w:val="superscript"/>
        </w:rPr>
        <w:t>1</w:t>
      </w:r>
      <w:r w:rsidR="00F31B29" w:rsidRPr="00982A50">
        <w:rPr>
          <w:rFonts w:ascii="Times New Roman" w:hAnsi="Times New Roman" w:cs="Times New Roman"/>
          <w:sz w:val="20"/>
          <w:szCs w:val="20"/>
          <w:vertAlign w:val="superscript"/>
        </w:rPr>
        <w:t>#</w:t>
      </w:r>
      <w:r w:rsidRPr="00982A50">
        <w:rPr>
          <w:rFonts w:ascii="Times New Roman" w:hAnsi="Times New Roman" w:cs="Times New Roman"/>
          <w:sz w:val="20"/>
          <w:szCs w:val="20"/>
        </w:rPr>
        <w:t xml:space="preserve">, </w:t>
      </w:r>
      <w:r w:rsidR="00B25055" w:rsidRPr="00982A50">
        <w:rPr>
          <w:rFonts w:ascii="Times New Roman" w:hAnsi="Times New Roman" w:cs="Times New Roman"/>
          <w:sz w:val="20"/>
          <w:szCs w:val="20"/>
        </w:rPr>
        <w:t>Masanori Isobe</w:t>
      </w:r>
      <w:r w:rsidR="00696A5E" w:rsidRPr="00982A50">
        <w:rPr>
          <w:rFonts w:ascii="Times New Roman" w:hAnsi="Times New Roman" w:cs="Times New Roman"/>
          <w:sz w:val="20"/>
          <w:szCs w:val="20"/>
          <w:vertAlign w:val="superscript"/>
        </w:rPr>
        <w:t>1,</w:t>
      </w:r>
      <w:r w:rsidRPr="00982A50">
        <w:rPr>
          <w:rFonts w:ascii="Times New Roman" w:hAnsi="Times New Roman" w:cs="Times New Roman"/>
          <w:sz w:val="20"/>
          <w:szCs w:val="20"/>
          <w:vertAlign w:val="superscript"/>
        </w:rPr>
        <w:t>3</w:t>
      </w:r>
      <w:r w:rsidR="00F31B29" w:rsidRPr="00982A50">
        <w:rPr>
          <w:rFonts w:ascii="Times New Roman" w:hAnsi="Times New Roman" w:cs="Times New Roman"/>
          <w:sz w:val="20"/>
          <w:szCs w:val="20"/>
          <w:vertAlign w:val="superscript"/>
        </w:rPr>
        <w:t>#</w:t>
      </w:r>
      <w:r w:rsidR="00B25055" w:rsidRPr="00982A50">
        <w:rPr>
          <w:rFonts w:ascii="Times New Roman" w:hAnsi="Times New Roman" w:cs="Times New Roman"/>
          <w:sz w:val="20"/>
          <w:szCs w:val="20"/>
        </w:rPr>
        <w:t xml:space="preserve">, </w:t>
      </w:r>
      <w:r w:rsidR="006F0822" w:rsidRPr="00982A50">
        <w:rPr>
          <w:rFonts w:ascii="Times New Roman" w:hAnsi="Times New Roman" w:cs="Times New Roman"/>
          <w:sz w:val="20"/>
          <w:szCs w:val="20"/>
        </w:rPr>
        <w:t>George Savulich</w:t>
      </w:r>
      <w:r w:rsidR="006F0822" w:rsidRPr="00982A50">
        <w:rPr>
          <w:rFonts w:ascii="Times New Roman" w:hAnsi="Times New Roman" w:cs="Times New Roman"/>
          <w:sz w:val="20"/>
          <w:szCs w:val="20"/>
          <w:vertAlign w:val="superscript"/>
        </w:rPr>
        <w:t>1</w:t>
      </w:r>
      <w:r w:rsidR="006F0822" w:rsidRPr="00982A50">
        <w:rPr>
          <w:rFonts w:ascii="Times New Roman" w:hAnsi="Times New Roman" w:cs="Times New Roman"/>
          <w:sz w:val="20"/>
          <w:szCs w:val="20"/>
        </w:rPr>
        <w:t xml:space="preserve">, Jon </w:t>
      </w:r>
      <w:r w:rsidR="0014727C">
        <w:rPr>
          <w:rFonts w:ascii="Times New Roman" w:hAnsi="Times New Roman" w:cs="Times New Roman"/>
          <w:sz w:val="20"/>
          <w:szCs w:val="20"/>
        </w:rPr>
        <w:t xml:space="preserve">E. </w:t>
      </w:r>
      <w:r w:rsidR="006F0822" w:rsidRPr="00982A50">
        <w:rPr>
          <w:rFonts w:ascii="Times New Roman" w:hAnsi="Times New Roman" w:cs="Times New Roman"/>
          <w:sz w:val="20"/>
          <w:szCs w:val="20"/>
        </w:rPr>
        <w:t>Grant</w:t>
      </w:r>
      <w:r w:rsidR="00B80D14" w:rsidRPr="00982A50">
        <w:rPr>
          <w:rFonts w:ascii="Times New Roman" w:hAnsi="Times New Roman" w:cs="Times New Roman"/>
          <w:sz w:val="20"/>
          <w:szCs w:val="20"/>
          <w:vertAlign w:val="superscript"/>
        </w:rPr>
        <w:t>4</w:t>
      </w:r>
      <w:r w:rsidR="006F0822" w:rsidRPr="00982A50">
        <w:rPr>
          <w:rFonts w:ascii="Times New Roman" w:hAnsi="Times New Roman" w:cs="Times New Roman"/>
          <w:sz w:val="20"/>
          <w:szCs w:val="20"/>
        </w:rPr>
        <w:t xml:space="preserve">, </w:t>
      </w:r>
      <w:r w:rsidR="00F31B29" w:rsidRPr="00982A50">
        <w:rPr>
          <w:rFonts w:ascii="Times New Roman" w:hAnsi="Times New Roman" w:cs="Times New Roman"/>
          <w:sz w:val="20"/>
          <w:szCs w:val="20"/>
        </w:rPr>
        <w:t>Konstantinos Ioannidis</w:t>
      </w:r>
      <w:r w:rsidR="00F31B29" w:rsidRPr="00982A50">
        <w:rPr>
          <w:rFonts w:ascii="Times New Roman" w:hAnsi="Times New Roman" w:cs="Times New Roman"/>
          <w:sz w:val="20"/>
          <w:szCs w:val="20"/>
          <w:vertAlign w:val="superscript"/>
        </w:rPr>
        <w:t>1,2</w:t>
      </w:r>
      <w:r w:rsidR="004A1645" w:rsidRPr="00982A50">
        <w:rPr>
          <w:rFonts w:ascii="Times New Roman" w:hAnsi="Times New Roman" w:cs="Times New Roman"/>
          <w:sz w:val="20"/>
          <w:szCs w:val="20"/>
          <w:vertAlign w:val="superscript"/>
        </w:rPr>
        <w:t>,5</w:t>
      </w:r>
      <w:r w:rsidR="00F31B29" w:rsidRPr="00982A50">
        <w:rPr>
          <w:rFonts w:ascii="Times New Roman" w:hAnsi="Times New Roman" w:cs="Times New Roman"/>
          <w:sz w:val="20"/>
          <w:szCs w:val="20"/>
        </w:rPr>
        <w:t xml:space="preserve">, </w:t>
      </w:r>
      <w:r w:rsidR="0058074D" w:rsidRPr="00982A50">
        <w:rPr>
          <w:rFonts w:ascii="Times New Roman" w:hAnsi="Times New Roman" w:cs="Times New Roman"/>
          <w:sz w:val="20"/>
          <w:szCs w:val="20"/>
        </w:rPr>
        <w:t>David Christmas</w:t>
      </w:r>
      <w:r w:rsidR="00696A5E" w:rsidRPr="00982A50">
        <w:rPr>
          <w:rFonts w:ascii="Times New Roman" w:hAnsi="Times New Roman" w:cs="Times New Roman"/>
          <w:sz w:val="20"/>
          <w:szCs w:val="20"/>
          <w:vertAlign w:val="superscript"/>
        </w:rPr>
        <w:t>1,</w:t>
      </w:r>
      <w:r w:rsidRPr="00982A50">
        <w:rPr>
          <w:rFonts w:ascii="Times New Roman" w:hAnsi="Times New Roman" w:cs="Times New Roman"/>
          <w:sz w:val="20"/>
          <w:szCs w:val="20"/>
          <w:vertAlign w:val="superscript"/>
        </w:rPr>
        <w:t>2</w:t>
      </w:r>
      <w:r w:rsidR="0058074D" w:rsidRPr="00982A50">
        <w:rPr>
          <w:rFonts w:ascii="Times New Roman" w:hAnsi="Times New Roman" w:cs="Times New Roman"/>
          <w:sz w:val="20"/>
          <w:szCs w:val="20"/>
        </w:rPr>
        <w:t xml:space="preserve">, </w:t>
      </w:r>
      <w:r w:rsidRPr="00982A50">
        <w:rPr>
          <w:rFonts w:ascii="Times New Roman" w:hAnsi="Times New Roman" w:cs="Times New Roman"/>
          <w:sz w:val="20"/>
          <w:szCs w:val="20"/>
        </w:rPr>
        <w:t>Barbara J Sahakian</w:t>
      </w:r>
      <w:r w:rsidRPr="00982A50">
        <w:rPr>
          <w:rFonts w:ascii="Times New Roman" w:hAnsi="Times New Roman" w:cs="Times New Roman"/>
          <w:sz w:val="20"/>
          <w:szCs w:val="20"/>
          <w:vertAlign w:val="superscript"/>
        </w:rPr>
        <w:t>1</w:t>
      </w:r>
      <w:r w:rsidRPr="00982A50">
        <w:rPr>
          <w:rFonts w:ascii="Times New Roman" w:hAnsi="Times New Roman" w:cs="Times New Roman"/>
          <w:sz w:val="20"/>
          <w:szCs w:val="20"/>
        </w:rPr>
        <w:t>, Trevor W Robbins</w:t>
      </w:r>
      <w:r w:rsidR="00103813">
        <w:rPr>
          <w:rFonts w:ascii="Times New Roman" w:hAnsi="Times New Roman" w:cs="Times New Roman"/>
          <w:sz w:val="20"/>
          <w:szCs w:val="20"/>
          <w:vertAlign w:val="superscript"/>
        </w:rPr>
        <w:t>6</w:t>
      </w:r>
      <w:r w:rsidRPr="00982A50">
        <w:rPr>
          <w:rFonts w:ascii="Times New Roman" w:hAnsi="Times New Roman" w:cs="Times New Roman"/>
          <w:sz w:val="20"/>
          <w:szCs w:val="20"/>
        </w:rPr>
        <w:t>,</w:t>
      </w:r>
      <w:r w:rsidR="00B25055" w:rsidRPr="00982A50">
        <w:rPr>
          <w:rFonts w:ascii="Times New Roman" w:hAnsi="Times New Roman" w:cs="Times New Roman"/>
          <w:sz w:val="20"/>
          <w:szCs w:val="20"/>
        </w:rPr>
        <w:t xml:space="preserve"> Samuel R. Chamberlain</w:t>
      </w:r>
      <w:r w:rsidR="00696A5E" w:rsidRPr="00982A50">
        <w:rPr>
          <w:rFonts w:ascii="Times New Roman" w:hAnsi="Times New Roman" w:cs="Times New Roman"/>
          <w:sz w:val="20"/>
          <w:szCs w:val="20"/>
          <w:vertAlign w:val="superscript"/>
        </w:rPr>
        <w:t>1,</w:t>
      </w:r>
      <w:r w:rsidRPr="00982A50">
        <w:rPr>
          <w:rFonts w:ascii="Times New Roman" w:hAnsi="Times New Roman" w:cs="Times New Roman"/>
          <w:sz w:val="20"/>
          <w:szCs w:val="20"/>
          <w:vertAlign w:val="superscript"/>
        </w:rPr>
        <w:t>2,</w:t>
      </w:r>
      <w:r w:rsidR="00103813">
        <w:rPr>
          <w:rFonts w:ascii="Times New Roman" w:hAnsi="Times New Roman" w:cs="Times New Roman"/>
          <w:sz w:val="20"/>
          <w:szCs w:val="20"/>
          <w:vertAlign w:val="superscript"/>
        </w:rPr>
        <w:t>7</w:t>
      </w:r>
      <w:r w:rsidR="00B25055" w:rsidRPr="00982A50">
        <w:rPr>
          <w:rFonts w:ascii="Times New Roman" w:hAnsi="Times New Roman" w:cs="Times New Roman"/>
          <w:sz w:val="20"/>
          <w:szCs w:val="20"/>
        </w:rPr>
        <w:t>.</w:t>
      </w:r>
    </w:p>
    <w:p w14:paraId="50F67D16" w14:textId="77777777" w:rsidR="00210E96" w:rsidRPr="00982A50" w:rsidRDefault="00210E96" w:rsidP="00256EF8">
      <w:pPr>
        <w:jc w:val="left"/>
        <w:rPr>
          <w:rFonts w:ascii="Times New Roman" w:hAnsi="Times New Roman" w:cs="Times New Roman"/>
          <w:sz w:val="20"/>
          <w:szCs w:val="20"/>
        </w:rPr>
      </w:pPr>
    </w:p>
    <w:p w14:paraId="72D30FC1" w14:textId="522BF1A1" w:rsidR="00B25055" w:rsidRPr="00982A50" w:rsidRDefault="00696A5E" w:rsidP="00256EF8">
      <w:pPr>
        <w:jc w:val="left"/>
        <w:rPr>
          <w:rFonts w:ascii="Times New Roman" w:hAnsi="Times New Roman" w:cs="Times New Roman"/>
          <w:sz w:val="20"/>
          <w:szCs w:val="20"/>
        </w:rPr>
      </w:pPr>
      <w:r w:rsidRPr="00982A50">
        <w:rPr>
          <w:rFonts w:ascii="Times New Roman" w:hAnsi="Times New Roman" w:cs="Times New Roman"/>
          <w:sz w:val="20"/>
          <w:szCs w:val="20"/>
          <w:vertAlign w:val="superscript"/>
        </w:rPr>
        <w:t>1</w:t>
      </w:r>
      <w:r w:rsidR="00B25055" w:rsidRPr="00982A50">
        <w:rPr>
          <w:rFonts w:ascii="Times New Roman" w:hAnsi="Times New Roman" w:cs="Times New Roman"/>
          <w:sz w:val="20"/>
          <w:szCs w:val="20"/>
        </w:rPr>
        <w:t>Department of Psychiatry, University of Cambridge</w:t>
      </w:r>
      <w:r w:rsidRPr="00982A50">
        <w:rPr>
          <w:rFonts w:ascii="Times New Roman" w:hAnsi="Times New Roman" w:cs="Times New Roman"/>
          <w:sz w:val="20"/>
          <w:szCs w:val="20"/>
        </w:rPr>
        <w:t xml:space="preserve">, UK. </w:t>
      </w:r>
    </w:p>
    <w:p w14:paraId="43E25089" w14:textId="1D50F800" w:rsidR="00302C6B" w:rsidRPr="00982A50" w:rsidRDefault="00302C6B" w:rsidP="00302C6B">
      <w:pPr>
        <w:jc w:val="left"/>
        <w:rPr>
          <w:rFonts w:ascii="Times New Roman" w:hAnsi="Times New Roman" w:cs="Times New Roman"/>
          <w:sz w:val="20"/>
          <w:szCs w:val="20"/>
        </w:rPr>
      </w:pPr>
      <w:r w:rsidRPr="00982A50">
        <w:rPr>
          <w:rFonts w:ascii="Times New Roman" w:hAnsi="Times New Roman" w:cs="Times New Roman"/>
          <w:sz w:val="20"/>
          <w:szCs w:val="20"/>
          <w:vertAlign w:val="superscript"/>
        </w:rPr>
        <w:t>2</w:t>
      </w:r>
      <w:r w:rsidRPr="00982A50">
        <w:rPr>
          <w:rFonts w:ascii="Times New Roman" w:hAnsi="Times New Roman" w:cs="Times New Roman"/>
          <w:sz w:val="20"/>
          <w:szCs w:val="20"/>
        </w:rPr>
        <w:t xml:space="preserve">Cambridgeshire and Peterborough NHS Foundation Trust, Cambridge, UK. </w:t>
      </w:r>
    </w:p>
    <w:p w14:paraId="648D111B" w14:textId="4646DBE3" w:rsidR="00B25055" w:rsidRPr="00982A50" w:rsidRDefault="00302C6B" w:rsidP="00256EF8">
      <w:pPr>
        <w:jc w:val="left"/>
        <w:rPr>
          <w:rFonts w:ascii="Times New Roman" w:hAnsi="Times New Roman" w:cs="Times New Roman"/>
          <w:sz w:val="20"/>
          <w:szCs w:val="20"/>
        </w:rPr>
      </w:pPr>
      <w:r w:rsidRPr="00982A50">
        <w:rPr>
          <w:rFonts w:ascii="Times New Roman" w:hAnsi="Times New Roman" w:cs="Times New Roman"/>
          <w:sz w:val="20"/>
          <w:szCs w:val="20"/>
          <w:vertAlign w:val="superscript"/>
        </w:rPr>
        <w:t>3</w:t>
      </w:r>
      <w:r w:rsidR="00B25055" w:rsidRPr="00982A50">
        <w:rPr>
          <w:rFonts w:ascii="Times New Roman" w:hAnsi="Times New Roman" w:cs="Times New Roman"/>
          <w:sz w:val="20"/>
          <w:szCs w:val="20"/>
        </w:rPr>
        <w:t>Department of Psychiatry, Kyoto University</w:t>
      </w:r>
      <w:r w:rsidR="00696A5E" w:rsidRPr="00982A50">
        <w:rPr>
          <w:rFonts w:ascii="Times New Roman" w:hAnsi="Times New Roman" w:cs="Times New Roman"/>
          <w:sz w:val="20"/>
          <w:szCs w:val="20"/>
        </w:rPr>
        <w:t>, Japan.</w:t>
      </w:r>
    </w:p>
    <w:p w14:paraId="3A479F95" w14:textId="0F7B4ECB" w:rsidR="00B80D14" w:rsidRPr="00982A50" w:rsidRDefault="00B80D14" w:rsidP="00302C6B">
      <w:pPr>
        <w:jc w:val="left"/>
        <w:rPr>
          <w:rFonts w:ascii="Times New Roman" w:hAnsi="Times New Roman" w:cs="Times New Roman"/>
          <w:sz w:val="20"/>
          <w:szCs w:val="20"/>
        </w:rPr>
      </w:pPr>
      <w:r w:rsidRPr="00982A50">
        <w:rPr>
          <w:rFonts w:ascii="Times New Roman" w:hAnsi="Times New Roman" w:cs="Times New Roman"/>
          <w:sz w:val="20"/>
          <w:szCs w:val="20"/>
          <w:vertAlign w:val="superscript"/>
        </w:rPr>
        <w:t>4</w:t>
      </w:r>
      <w:r w:rsidRPr="00982A50">
        <w:rPr>
          <w:rFonts w:ascii="Times New Roman" w:hAnsi="Times New Roman" w:cs="Times New Roman"/>
          <w:sz w:val="20"/>
          <w:szCs w:val="20"/>
        </w:rPr>
        <w:t>Department of Psychiatry, University of Chicago, Pritzker School of Medicine, USA</w:t>
      </w:r>
    </w:p>
    <w:p w14:paraId="088A70BB" w14:textId="28D68CDC" w:rsidR="004A1645" w:rsidRPr="00982A50" w:rsidRDefault="004A1645" w:rsidP="00302C6B">
      <w:pPr>
        <w:jc w:val="left"/>
        <w:rPr>
          <w:rFonts w:ascii="Times New Roman" w:hAnsi="Times New Roman" w:cs="Times New Roman"/>
          <w:sz w:val="20"/>
          <w:szCs w:val="20"/>
        </w:rPr>
      </w:pPr>
      <w:r w:rsidRPr="00982A50">
        <w:rPr>
          <w:rFonts w:ascii="Times New Roman" w:hAnsi="Times New Roman" w:cs="Times New Roman"/>
          <w:sz w:val="20"/>
          <w:szCs w:val="20"/>
          <w:vertAlign w:val="superscript"/>
        </w:rPr>
        <w:t>5</w:t>
      </w:r>
      <w:r w:rsidRPr="00982A50">
        <w:rPr>
          <w:rFonts w:ascii="Times New Roman" w:hAnsi="Times New Roman" w:cs="Times New Roman"/>
          <w:sz w:val="20"/>
          <w:szCs w:val="20"/>
        </w:rPr>
        <w:t xml:space="preserve"> Care and Public Health Research Institute, Maastricht University, Maastricht, Netherlands</w:t>
      </w:r>
    </w:p>
    <w:p w14:paraId="2B9754EB" w14:textId="4BFE9F21" w:rsidR="00103813" w:rsidRPr="00982A50" w:rsidRDefault="00103813" w:rsidP="00B80D14">
      <w:pPr>
        <w:jc w:val="left"/>
        <w:rPr>
          <w:rFonts w:ascii="Times New Roman" w:hAnsi="Times New Roman" w:cs="Times New Roman"/>
          <w:sz w:val="20"/>
          <w:szCs w:val="20"/>
        </w:rPr>
      </w:pPr>
      <w:r>
        <w:rPr>
          <w:rFonts w:ascii="Times New Roman" w:hAnsi="Times New Roman" w:cs="Times New Roman"/>
          <w:sz w:val="20"/>
          <w:szCs w:val="20"/>
          <w:vertAlign w:val="superscript"/>
        </w:rPr>
        <w:t>6</w:t>
      </w:r>
      <w:r>
        <w:rPr>
          <w:rFonts w:ascii="Times New Roman" w:hAnsi="Times New Roman" w:cs="Times New Roman"/>
          <w:sz w:val="20"/>
          <w:szCs w:val="20"/>
        </w:rPr>
        <w:t xml:space="preserve">Department of Psychiatry and </w:t>
      </w:r>
      <w:proofErr w:type="spellStart"/>
      <w:r>
        <w:rPr>
          <w:rFonts w:ascii="Times New Roman" w:hAnsi="Times New Roman" w:cs="Times New Roman"/>
          <w:sz w:val="20"/>
          <w:szCs w:val="20"/>
        </w:rPr>
        <w:t>Behavioural</w:t>
      </w:r>
      <w:proofErr w:type="spellEnd"/>
      <w:r>
        <w:rPr>
          <w:rFonts w:ascii="Times New Roman" w:hAnsi="Times New Roman" w:cs="Times New Roman"/>
          <w:sz w:val="20"/>
          <w:szCs w:val="20"/>
        </w:rPr>
        <w:t xml:space="preserve"> and Clinical Neuroscience Institute, University of Cambridge, UK</w:t>
      </w:r>
    </w:p>
    <w:p w14:paraId="3D5A63F1" w14:textId="0625326A" w:rsidR="00103813" w:rsidRDefault="00103813" w:rsidP="00103813">
      <w:pPr>
        <w:jc w:val="left"/>
        <w:rPr>
          <w:rFonts w:ascii="Times New Roman" w:hAnsi="Times New Roman" w:cs="Times New Roman"/>
          <w:sz w:val="20"/>
          <w:szCs w:val="20"/>
        </w:rPr>
      </w:pPr>
      <w:r>
        <w:rPr>
          <w:rFonts w:ascii="Times New Roman" w:hAnsi="Times New Roman" w:cs="Times New Roman"/>
          <w:sz w:val="20"/>
          <w:szCs w:val="20"/>
          <w:vertAlign w:val="superscript"/>
        </w:rPr>
        <w:t>7</w:t>
      </w:r>
      <w:r w:rsidRPr="00982A50">
        <w:rPr>
          <w:rFonts w:ascii="Times New Roman" w:hAnsi="Times New Roman" w:cs="Times New Roman"/>
          <w:sz w:val="20"/>
          <w:szCs w:val="20"/>
        </w:rPr>
        <w:t>Department of Psychiatry, University of Southampton, UK.</w:t>
      </w:r>
    </w:p>
    <w:p w14:paraId="63ECC462" w14:textId="77777777" w:rsidR="00B25055" w:rsidRPr="00982A50" w:rsidRDefault="00B25055" w:rsidP="00256EF8">
      <w:pPr>
        <w:jc w:val="left"/>
        <w:rPr>
          <w:rFonts w:ascii="Times New Roman" w:hAnsi="Times New Roman" w:cs="Times New Roman"/>
          <w:sz w:val="20"/>
          <w:szCs w:val="20"/>
        </w:rPr>
      </w:pPr>
    </w:p>
    <w:p w14:paraId="26105859" w14:textId="31160FA2" w:rsidR="00B25055" w:rsidRPr="00982A50" w:rsidRDefault="00F31B29" w:rsidP="00256EF8">
      <w:pPr>
        <w:spacing w:line="480" w:lineRule="auto"/>
        <w:jc w:val="left"/>
        <w:rPr>
          <w:rFonts w:ascii="Times New Roman" w:hAnsi="Times New Roman" w:cs="Times New Roman"/>
          <w:sz w:val="20"/>
          <w:szCs w:val="20"/>
        </w:rPr>
      </w:pPr>
      <w:r w:rsidRPr="00982A50">
        <w:rPr>
          <w:rFonts w:ascii="Times New Roman" w:hAnsi="Times New Roman" w:cs="Times New Roman"/>
          <w:sz w:val="20"/>
          <w:szCs w:val="20"/>
        </w:rPr>
        <w:t xml:space="preserve"># Joint first authors. </w:t>
      </w:r>
    </w:p>
    <w:p w14:paraId="366285C1" w14:textId="77777777" w:rsidR="00F31B29" w:rsidRPr="00982A50" w:rsidRDefault="00F31B29" w:rsidP="00256EF8">
      <w:pPr>
        <w:spacing w:line="480" w:lineRule="auto"/>
        <w:jc w:val="left"/>
        <w:rPr>
          <w:rFonts w:ascii="Times New Roman" w:hAnsi="Times New Roman" w:cs="Times New Roman"/>
          <w:sz w:val="20"/>
          <w:szCs w:val="20"/>
        </w:rPr>
      </w:pPr>
    </w:p>
    <w:p w14:paraId="308E534A" w14:textId="7342E9E0" w:rsidR="00696A5E" w:rsidRPr="00982A50" w:rsidRDefault="00696A5E" w:rsidP="00256EF8">
      <w:pPr>
        <w:spacing w:line="480" w:lineRule="auto"/>
        <w:jc w:val="left"/>
        <w:rPr>
          <w:rFonts w:ascii="Times New Roman" w:hAnsi="Times New Roman" w:cs="Times New Roman"/>
          <w:sz w:val="20"/>
          <w:szCs w:val="20"/>
        </w:rPr>
      </w:pPr>
      <w:r w:rsidRPr="00982A50">
        <w:rPr>
          <w:rFonts w:ascii="Times New Roman" w:hAnsi="Times New Roman" w:cs="Times New Roman"/>
          <w:sz w:val="20"/>
          <w:szCs w:val="20"/>
        </w:rPr>
        <w:t xml:space="preserve">Corresponding author: </w:t>
      </w:r>
      <w:r w:rsidR="00F31B29" w:rsidRPr="00982A50">
        <w:rPr>
          <w:rFonts w:ascii="Times New Roman" w:hAnsi="Times New Roman" w:cs="Times New Roman"/>
          <w:sz w:val="20"/>
          <w:szCs w:val="20"/>
        </w:rPr>
        <w:t>Miss Roxanne Hook</w:t>
      </w:r>
      <w:r w:rsidRPr="00982A50">
        <w:rPr>
          <w:rFonts w:ascii="Times New Roman" w:hAnsi="Times New Roman" w:cs="Times New Roman"/>
          <w:sz w:val="20"/>
          <w:szCs w:val="20"/>
        </w:rPr>
        <w:t xml:space="preserve">, Department of Psychiatry, Box 189 Level E4, Addenbrooke’s Hospital, Cambridge, CB2 0QQ, United Kingdom. Email: </w:t>
      </w:r>
      <w:hyperlink r:id="rId8" w:history="1">
        <w:r w:rsidR="00F31B29" w:rsidRPr="00982A50">
          <w:rPr>
            <w:rStyle w:val="Hyperlink"/>
            <w:rFonts w:ascii="Times New Roman" w:hAnsi="Times New Roman" w:cs="Times New Roman"/>
            <w:sz w:val="20"/>
            <w:szCs w:val="20"/>
          </w:rPr>
          <w:t>rwh29@medschl.cam.ac.uk</w:t>
        </w:r>
      </w:hyperlink>
      <w:r w:rsidR="00F31B29" w:rsidRPr="00982A50">
        <w:rPr>
          <w:rFonts w:ascii="Times New Roman" w:hAnsi="Times New Roman" w:cs="Times New Roman"/>
          <w:sz w:val="20"/>
          <w:szCs w:val="20"/>
        </w:rPr>
        <w:t xml:space="preserve">. </w:t>
      </w:r>
    </w:p>
    <w:p w14:paraId="771C60A3" w14:textId="1039DE67" w:rsidR="006B7794" w:rsidRPr="00982A50" w:rsidRDefault="006B7794" w:rsidP="00256EF8">
      <w:pPr>
        <w:spacing w:line="480" w:lineRule="auto"/>
        <w:jc w:val="left"/>
        <w:rPr>
          <w:rFonts w:ascii="Times New Roman" w:hAnsi="Times New Roman" w:cs="Times New Roman"/>
          <w:sz w:val="20"/>
          <w:szCs w:val="20"/>
        </w:rPr>
      </w:pPr>
    </w:p>
    <w:p w14:paraId="1715C766" w14:textId="6D1106BE" w:rsidR="006B7794" w:rsidRPr="00982A50" w:rsidRDefault="006B7794" w:rsidP="0099463B">
      <w:pPr>
        <w:spacing w:line="480" w:lineRule="auto"/>
        <w:jc w:val="left"/>
        <w:rPr>
          <w:rFonts w:ascii="Times New Roman" w:hAnsi="Times New Roman" w:cs="Times New Roman"/>
          <w:sz w:val="20"/>
          <w:szCs w:val="20"/>
        </w:rPr>
      </w:pPr>
      <w:r w:rsidRPr="00982A50">
        <w:rPr>
          <w:rFonts w:ascii="Times New Roman" w:hAnsi="Times New Roman" w:cs="Times New Roman"/>
          <w:sz w:val="20"/>
          <w:szCs w:val="20"/>
        </w:rPr>
        <w:t xml:space="preserve">Funding and Disclosures: This research was funded by a </w:t>
      </w:r>
      <w:proofErr w:type="spellStart"/>
      <w:r w:rsidRPr="00982A50">
        <w:rPr>
          <w:rFonts w:ascii="Times New Roman" w:hAnsi="Times New Roman" w:cs="Times New Roman"/>
          <w:sz w:val="20"/>
          <w:szCs w:val="20"/>
        </w:rPr>
        <w:t>Wellcome</w:t>
      </w:r>
      <w:proofErr w:type="spellEnd"/>
      <w:r w:rsidRPr="00982A50">
        <w:rPr>
          <w:rFonts w:ascii="Times New Roman" w:hAnsi="Times New Roman" w:cs="Times New Roman"/>
          <w:sz w:val="20"/>
          <w:szCs w:val="20"/>
        </w:rPr>
        <w:t xml:space="preserve"> Trust Clinical </w:t>
      </w:r>
      <w:r w:rsidR="00F31B29" w:rsidRPr="00982A50">
        <w:rPr>
          <w:rFonts w:ascii="Times New Roman" w:hAnsi="Times New Roman" w:cs="Times New Roman"/>
          <w:sz w:val="20"/>
          <w:szCs w:val="20"/>
        </w:rPr>
        <w:t>Fellowship to</w:t>
      </w:r>
      <w:r w:rsidRPr="00982A50">
        <w:rPr>
          <w:rFonts w:ascii="Times New Roman" w:hAnsi="Times New Roman" w:cs="Times New Roman"/>
          <w:sz w:val="20"/>
          <w:szCs w:val="20"/>
        </w:rPr>
        <w:t xml:space="preserve"> Dr Chamberlain (Reference: 110049/Z/15/Z). Dr Chamberlain receives </w:t>
      </w:r>
      <w:r w:rsidR="00F7735F">
        <w:rPr>
          <w:rFonts w:ascii="Times New Roman" w:hAnsi="Times New Roman" w:cs="Times New Roman"/>
          <w:sz w:val="20"/>
          <w:szCs w:val="20"/>
        </w:rPr>
        <w:t>honoraria</w:t>
      </w:r>
      <w:r w:rsidR="00F7735F" w:rsidRPr="00982A50">
        <w:rPr>
          <w:rFonts w:ascii="Times New Roman" w:hAnsi="Times New Roman" w:cs="Times New Roman"/>
          <w:sz w:val="20"/>
          <w:szCs w:val="20"/>
        </w:rPr>
        <w:t xml:space="preserve"> </w:t>
      </w:r>
      <w:r w:rsidRPr="00982A50">
        <w:rPr>
          <w:rFonts w:ascii="Times New Roman" w:hAnsi="Times New Roman" w:cs="Times New Roman"/>
          <w:sz w:val="20"/>
          <w:szCs w:val="20"/>
        </w:rPr>
        <w:t xml:space="preserve">from Elsevier for editorial </w:t>
      </w:r>
      <w:r w:rsidRPr="00982A50">
        <w:rPr>
          <w:rFonts w:ascii="Times New Roman" w:hAnsi="Times New Roman" w:cs="Times New Roman"/>
          <w:sz w:val="20"/>
          <w:szCs w:val="20"/>
        </w:rPr>
        <w:lastRenderedPageBreak/>
        <w:t xml:space="preserve">work at Comprehensive Psychiatry, and at Neuroscience &amp; Biobehavioral </w:t>
      </w:r>
      <w:r w:rsidRPr="00A55037">
        <w:rPr>
          <w:rFonts w:ascii="Times New Roman" w:hAnsi="Times New Roman" w:cs="Times New Roman"/>
          <w:sz w:val="20"/>
          <w:szCs w:val="20"/>
        </w:rPr>
        <w:t>Reviews.</w:t>
      </w:r>
      <w:r w:rsidR="00F81472">
        <w:rPr>
          <w:rFonts w:ascii="Times New Roman" w:hAnsi="Times New Roman" w:cs="Times New Roman"/>
          <w:sz w:val="20"/>
          <w:szCs w:val="20"/>
        </w:rPr>
        <w:t xml:space="preserve"> </w:t>
      </w:r>
      <w:r w:rsidR="003A6777">
        <w:rPr>
          <w:rFonts w:ascii="Times New Roman" w:hAnsi="Times New Roman" w:cs="Times New Roman"/>
          <w:sz w:val="20"/>
          <w:szCs w:val="20"/>
        </w:rPr>
        <w:t xml:space="preserve">Dr </w:t>
      </w:r>
      <w:r w:rsidR="00F81472">
        <w:rPr>
          <w:rFonts w:ascii="Times New Roman" w:hAnsi="Times New Roman" w:cs="Times New Roman"/>
          <w:sz w:val="20"/>
          <w:szCs w:val="20"/>
        </w:rPr>
        <w:t xml:space="preserve">Sahakian consults for Cambridge Cognition, Greenfield </w:t>
      </w:r>
      <w:proofErr w:type="spellStart"/>
      <w:r w:rsidR="00F81472">
        <w:rPr>
          <w:rFonts w:ascii="Times New Roman" w:hAnsi="Times New Roman" w:cs="Times New Roman"/>
          <w:sz w:val="20"/>
          <w:szCs w:val="20"/>
        </w:rPr>
        <w:t>BioVentures</w:t>
      </w:r>
      <w:proofErr w:type="spellEnd"/>
      <w:r w:rsidR="00F81472">
        <w:rPr>
          <w:rFonts w:ascii="Times New Roman" w:hAnsi="Times New Roman" w:cs="Times New Roman"/>
          <w:sz w:val="20"/>
          <w:szCs w:val="20"/>
        </w:rPr>
        <w:t xml:space="preserve"> and Cassava Sciences. Dr Sahakian’s research is funded by Eton College and the </w:t>
      </w:r>
      <w:proofErr w:type="spellStart"/>
      <w:r w:rsidR="00F81472">
        <w:rPr>
          <w:rFonts w:ascii="Times New Roman" w:hAnsi="Times New Roman" w:cs="Times New Roman"/>
          <w:sz w:val="20"/>
          <w:szCs w:val="20"/>
        </w:rPr>
        <w:t>Wallitt</w:t>
      </w:r>
      <w:proofErr w:type="spellEnd"/>
      <w:r w:rsidR="00F81472">
        <w:rPr>
          <w:rFonts w:ascii="Times New Roman" w:hAnsi="Times New Roman" w:cs="Times New Roman"/>
          <w:sz w:val="20"/>
          <w:szCs w:val="20"/>
        </w:rPr>
        <w:t xml:space="preserve"> Foundation and is conducted within the NIHR MedTech and in vitro diagnostic Co-operative (MIC) and the NIHR Cambridge Biomedical Research Centre (BRC) Mental Health Theme. </w:t>
      </w:r>
      <w:r w:rsidR="00103813">
        <w:rPr>
          <w:rFonts w:ascii="Times New Roman" w:hAnsi="Times New Roman" w:cs="Times New Roman"/>
          <w:sz w:val="20"/>
          <w:szCs w:val="20"/>
        </w:rPr>
        <w:t xml:space="preserve">Dr Robbins consults for Cambridge Cognition, </w:t>
      </w:r>
      <w:r w:rsidR="001C587D">
        <w:rPr>
          <w:rFonts w:ascii="Times New Roman" w:hAnsi="Times New Roman" w:cs="Times New Roman"/>
          <w:sz w:val="20"/>
          <w:szCs w:val="20"/>
        </w:rPr>
        <w:t xml:space="preserve">and </w:t>
      </w:r>
      <w:r w:rsidR="00103813">
        <w:rPr>
          <w:rFonts w:ascii="Times New Roman" w:hAnsi="Times New Roman" w:cs="Times New Roman"/>
          <w:sz w:val="20"/>
          <w:szCs w:val="20"/>
        </w:rPr>
        <w:t>has received research grants from GSK, Shionogi Royalties, Cambridge Cognition (CANTAB); Editorial Honoraria: Springer Nature; Elsevier.</w:t>
      </w:r>
      <w:r w:rsidRPr="00A55037">
        <w:rPr>
          <w:rFonts w:ascii="Times New Roman" w:hAnsi="Times New Roman" w:cs="Times New Roman"/>
          <w:sz w:val="20"/>
          <w:szCs w:val="20"/>
        </w:rPr>
        <w:t xml:space="preserve"> </w:t>
      </w:r>
      <w:r w:rsidR="0014727C">
        <w:rPr>
          <w:rFonts w:ascii="Times New Roman" w:hAnsi="Times New Roman" w:cs="Times New Roman"/>
          <w:sz w:val="20"/>
          <w:szCs w:val="20"/>
        </w:rPr>
        <w:t xml:space="preserve"> Dr. Grant has research grants from Otsuka and </w:t>
      </w:r>
      <w:proofErr w:type="spellStart"/>
      <w:r w:rsidR="0014727C">
        <w:rPr>
          <w:rFonts w:ascii="Times New Roman" w:hAnsi="Times New Roman" w:cs="Times New Roman"/>
          <w:sz w:val="20"/>
          <w:szCs w:val="20"/>
        </w:rPr>
        <w:t>Biohaven</w:t>
      </w:r>
      <w:proofErr w:type="spellEnd"/>
      <w:r w:rsidR="0014727C">
        <w:rPr>
          <w:rFonts w:ascii="Times New Roman" w:hAnsi="Times New Roman" w:cs="Times New Roman"/>
          <w:sz w:val="20"/>
          <w:szCs w:val="20"/>
        </w:rPr>
        <w:t xml:space="preserve"> Pharmaceuticals and receives a yearly stipend from Springer Publishing for acting as editor in chief of the Journal of Gambling Studies. </w:t>
      </w:r>
      <w:r w:rsidRPr="00A55037">
        <w:rPr>
          <w:rFonts w:ascii="Times New Roman" w:hAnsi="Times New Roman" w:cs="Times New Roman"/>
          <w:sz w:val="20"/>
          <w:szCs w:val="20"/>
        </w:rPr>
        <w:t>The other authors report no relevant disclosures.</w:t>
      </w:r>
      <w:r w:rsidRPr="00982A50">
        <w:rPr>
          <w:rFonts w:ascii="Times New Roman" w:hAnsi="Times New Roman" w:cs="Times New Roman"/>
          <w:sz w:val="20"/>
          <w:szCs w:val="20"/>
        </w:rPr>
        <w:t xml:space="preserve"> </w:t>
      </w:r>
      <w:r w:rsidR="0099463B" w:rsidRPr="0099463B">
        <w:rPr>
          <w:rFonts w:ascii="Times New Roman" w:hAnsi="Times New Roman" w:cs="Times New Roman"/>
          <w:sz w:val="20"/>
          <w:szCs w:val="20"/>
        </w:rPr>
        <w:t xml:space="preserve">This research was funded in whole, or in part, by </w:t>
      </w:r>
      <w:proofErr w:type="spellStart"/>
      <w:r w:rsidR="0099463B" w:rsidRPr="0099463B">
        <w:rPr>
          <w:rFonts w:ascii="Times New Roman" w:hAnsi="Times New Roman" w:cs="Times New Roman"/>
          <w:sz w:val="20"/>
          <w:szCs w:val="20"/>
        </w:rPr>
        <w:t>Wellcome</w:t>
      </w:r>
      <w:proofErr w:type="spellEnd"/>
      <w:r w:rsidR="0099463B" w:rsidRPr="0099463B">
        <w:rPr>
          <w:rFonts w:ascii="Times New Roman" w:hAnsi="Times New Roman" w:cs="Times New Roman"/>
          <w:sz w:val="20"/>
          <w:szCs w:val="20"/>
        </w:rPr>
        <w:t xml:space="preserve"> [Grant number 110049/Z/15/Z and 110049/Z/15/A]. For the purpose of open a</w:t>
      </w:r>
      <w:r w:rsidR="0099463B">
        <w:rPr>
          <w:rFonts w:ascii="Times New Roman" w:hAnsi="Times New Roman" w:cs="Times New Roman"/>
          <w:sz w:val="20"/>
          <w:szCs w:val="20"/>
        </w:rPr>
        <w:t xml:space="preserve">ccess, the author has applied a </w:t>
      </w:r>
      <w:r w:rsidR="0099463B" w:rsidRPr="0099463B">
        <w:rPr>
          <w:rFonts w:ascii="Times New Roman" w:hAnsi="Times New Roman" w:cs="Times New Roman"/>
          <w:sz w:val="20"/>
          <w:szCs w:val="20"/>
        </w:rPr>
        <w:t>CC BY public copyright license to any Author Accepted Manuscript version arising from this submission.</w:t>
      </w:r>
    </w:p>
    <w:p w14:paraId="5BC7A435" w14:textId="77777777" w:rsidR="0038685F" w:rsidRPr="00982A50" w:rsidRDefault="0038685F" w:rsidP="00256EF8">
      <w:pPr>
        <w:widowControl/>
        <w:jc w:val="left"/>
        <w:rPr>
          <w:rFonts w:ascii="Times New Roman" w:hAnsi="Times New Roman" w:cs="Times New Roman"/>
          <w:b/>
          <w:i/>
          <w:sz w:val="20"/>
          <w:szCs w:val="20"/>
        </w:rPr>
      </w:pPr>
      <w:r w:rsidRPr="00982A50">
        <w:rPr>
          <w:rFonts w:ascii="Times New Roman" w:hAnsi="Times New Roman" w:cs="Times New Roman"/>
          <w:b/>
          <w:i/>
          <w:sz w:val="20"/>
          <w:szCs w:val="20"/>
        </w:rPr>
        <w:br w:type="page"/>
      </w:r>
    </w:p>
    <w:p w14:paraId="14F361CB" w14:textId="77777777" w:rsidR="0038685F" w:rsidRPr="00982A50" w:rsidRDefault="0038685F" w:rsidP="00256EF8">
      <w:pPr>
        <w:spacing w:line="480" w:lineRule="auto"/>
        <w:jc w:val="left"/>
        <w:rPr>
          <w:rFonts w:ascii="Times New Roman" w:hAnsi="Times New Roman" w:cs="Times New Roman"/>
          <w:b/>
          <w:i/>
          <w:sz w:val="20"/>
          <w:szCs w:val="20"/>
        </w:rPr>
      </w:pPr>
      <w:r w:rsidRPr="00982A50">
        <w:rPr>
          <w:rFonts w:ascii="Times New Roman" w:hAnsi="Times New Roman" w:cs="Times New Roman"/>
          <w:b/>
          <w:i/>
          <w:sz w:val="20"/>
          <w:szCs w:val="20"/>
        </w:rPr>
        <w:lastRenderedPageBreak/>
        <w:t>Abstract</w:t>
      </w:r>
    </w:p>
    <w:p w14:paraId="0EC9CFD5" w14:textId="77777777" w:rsidR="008A5300" w:rsidRPr="00982A50" w:rsidRDefault="008A5300" w:rsidP="008A5300">
      <w:pPr>
        <w:spacing w:line="480" w:lineRule="auto"/>
        <w:jc w:val="left"/>
        <w:rPr>
          <w:rFonts w:ascii="Times New Roman" w:hAnsi="Times New Roman" w:cs="Times New Roman"/>
          <w:bCs/>
          <w:sz w:val="20"/>
          <w:szCs w:val="20"/>
        </w:rPr>
      </w:pPr>
      <w:r w:rsidRPr="00982A50">
        <w:rPr>
          <w:rFonts w:ascii="Times New Roman" w:hAnsi="Times New Roman" w:cs="Times New Roman"/>
          <w:b/>
          <w:sz w:val="20"/>
          <w:szCs w:val="20"/>
        </w:rPr>
        <w:t>Rationale:</w:t>
      </w:r>
      <w:r w:rsidRPr="00982A50">
        <w:rPr>
          <w:rFonts w:ascii="Times New Roman" w:hAnsi="Times New Roman" w:cs="Times New Roman"/>
          <w:bCs/>
          <w:sz w:val="20"/>
          <w:szCs w:val="20"/>
        </w:rPr>
        <w:t xml:space="preserve"> The role of the adenosine neurochemical system in human cognition is under-studied, despite such receptors being distributed throughout the brain. </w:t>
      </w:r>
    </w:p>
    <w:p w14:paraId="6F36D60C" w14:textId="77777777" w:rsidR="008A5300" w:rsidRPr="00982A50" w:rsidRDefault="008A5300" w:rsidP="008A5300">
      <w:pPr>
        <w:spacing w:line="480" w:lineRule="auto"/>
        <w:jc w:val="left"/>
        <w:rPr>
          <w:rFonts w:ascii="Times New Roman" w:hAnsi="Times New Roman" w:cs="Times New Roman"/>
          <w:bCs/>
          <w:sz w:val="20"/>
          <w:szCs w:val="20"/>
        </w:rPr>
      </w:pPr>
      <w:r w:rsidRPr="00982A50">
        <w:rPr>
          <w:rFonts w:ascii="Times New Roman" w:hAnsi="Times New Roman" w:cs="Times New Roman"/>
          <w:b/>
          <w:sz w:val="20"/>
          <w:szCs w:val="20"/>
        </w:rPr>
        <w:t>Objective:</w:t>
      </w:r>
      <w:r w:rsidRPr="00982A50">
        <w:rPr>
          <w:rFonts w:ascii="Times New Roman" w:hAnsi="Times New Roman" w:cs="Times New Roman"/>
          <w:bCs/>
          <w:sz w:val="20"/>
          <w:szCs w:val="20"/>
        </w:rPr>
        <w:t xml:space="preserve"> The aim of this study was to shed light on the role of the alpha-2 adenosine receptors in human cognition using single-dose </w:t>
      </w:r>
      <w:proofErr w:type="spellStart"/>
      <w:r w:rsidRPr="00982A50">
        <w:rPr>
          <w:rFonts w:ascii="Times New Roman" w:hAnsi="Times New Roman" w:cs="Times New Roman"/>
          <w:bCs/>
          <w:sz w:val="20"/>
          <w:szCs w:val="20"/>
        </w:rPr>
        <w:t>istradefylline</w:t>
      </w:r>
      <w:proofErr w:type="spellEnd"/>
      <w:r w:rsidRPr="00982A50">
        <w:rPr>
          <w:rFonts w:ascii="Times New Roman" w:hAnsi="Times New Roman" w:cs="Times New Roman"/>
          <w:bCs/>
          <w:sz w:val="20"/>
          <w:szCs w:val="20"/>
        </w:rPr>
        <w:t xml:space="preserve">.  </w:t>
      </w:r>
    </w:p>
    <w:p w14:paraId="25BE88FD" w14:textId="77777777" w:rsidR="008A5300" w:rsidRPr="00982A50" w:rsidRDefault="008A5300" w:rsidP="008A5300">
      <w:pPr>
        <w:spacing w:line="480" w:lineRule="auto"/>
        <w:jc w:val="left"/>
        <w:rPr>
          <w:rFonts w:ascii="Times New Roman" w:hAnsi="Times New Roman" w:cs="Times New Roman"/>
          <w:sz w:val="20"/>
          <w:szCs w:val="20"/>
        </w:rPr>
      </w:pPr>
      <w:r w:rsidRPr="00982A50">
        <w:rPr>
          <w:rFonts w:ascii="Times New Roman" w:hAnsi="Times New Roman" w:cs="Times New Roman"/>
          <w:b/>
          <w:sz w:val="20"/>
          <w:szCs w:val="20"/>
        </w:rPr>
        <w:t xml:space="preserve">Methods: </w:t>
      </w:r>
      <w:r w:rsidRPr="00982A50">
        <w:rPr>
          <w:rFonts w:ascii="Times New Roman" w:hAnsi="Times New Roman" w:cs="Times New Roman"/>
          <w:bCs/>
          <w:sz w:val="20"/>
          <w:szCs w:val="20"/>
        </w:rPr>
        <w:t>Twenty healthy male participants, aged 1</w:t>
      </w:r>
      <w:r>
        <w:rPr>
          <w:rFonts w:ascii="Times New Roman" w:hAnsi="Times New Roman" w:cs="Times New Roman"/>
          <w:bCs/>
          <w:sz w:val="20"/>
          <w:szCs w:val="20"/>
        </w:rPr>
        <w:t>9-49</w:t>
      </w:r>
      <w:r w:rsidRPr="00982A50">
        <w:rPr>
          <w:rFonts w:ascii="Times New Roman" w:hAnsi="Times New Roman" w:cs="Times New Roman"/>
          <w:bCs/>
          <w:sz w:val="20"/>
          <w:szCs w:val="20"/>
        </w:rPr>
        <w:t xml:space="preserve">, received 20mg </w:t>
      </w:r>
      <w:proofErr w:type="spellStart"/>
      <w:r w:rsidRPr="00982A50">
        <w:rPr>
          <w:rFonts w:ascii="Times New Roman" w:hAnsi="Times New Roman" w:cs="Times New Roman"/>
          <w:bCs/>
          <w:sz w:val="20"/>
          <w:szCs w:val="20"/>
        </w:rPr>
        <w:t>istradefylline</w:t>
      </w:r>
      <w:proofErr w:type="spellEnd"/>
      <w:r w:rsidRPr="00982A50">
        <w:rPr>
          <w:rFonts w:ascii="Times New Roman" w:hAnsi="Times New Roman" w:cs="Times New Roman"/>
          <w:bCs/>
          <w:sz w:val="20"/>
          <w:szCs w:val="20"/>
        </w:rPr>
        <w:t xml:space="preserve"> and placebo, in a randomized, double-blind, placebo-controlled cross-over design. Cognition was assessed using computerized cognitive tests, covering both cold (non-emotional) and hot (emotion-laden) domains. Cardiovascular data were recorded serially. </w:t>
      </w:r>
      <w:r w:rsidRPr="00982A50">
        <w:rPr>
          <w:rFonts w:ascii="Times New Roman" w:hAnsi="Times New Roman" w:cs="Times New Roman"/>
          <w:sz w:val="20"/>
          <w:szCs w:val="20"/>
        </w:rPr>
        <w:t xml:space="preserve">Cognitive effects of </w:t>
      </w:r>
      <w:proofErr w:type="spellStart"/>
      <w:r w:rsidRPr="00982A50">
        <w:rPr>
          <w:rFonts w:ascii="Times New Roman" w:hAnsi="Times New Roman" w:cs="Times New Roman"/>
          <w:sz w:val="20"/>
          <w:szCs w:val="20"/>
        </w:rPr>
        <w:t>istradefylline</w:t>
      </w:r>
      <w:proofErr w:type="spellEnd"/>
      <w:r w:rsidRPr="00982A50">
        <w:rPr>
          <w:rFonts w:ascii="Times New Roman" w:hAnsi="Times New Roman" w:cs="Times New Roman"/>
          <w:sz w:val="20"/>
          <w:szCs w:val="20"/>
        </w:rPr>
        <w:t xml:space="preserve"> were explored using repeated measures analysis of variance and paired t-tests as appropriate.</w:t>
      </w:r>
      <w:r w:rsidRPr="00982A50">
        <w:rPr>
          <w:rFonts w:ascii="Times New Roman" w:hAnsi="Times New Roman" w:cs="Times New Roman"/>
          <w:b/>
          <w:sz w:val="20"/>
          <w:szCs w:val="20"/>
        </w:rPr>
        <w:t xml:space="preserve"> </w:t>
      </w:r>
    </w:p>
    <w:p w14:paraId="199A2ADA" w14:textId="77777777" w:rsidR="008A5300" w:rsidRPr="00576F48" w:rsidRDefault="008A5300" w:rsidP="008A5300">
      <w:pPr>
        <w:spacing w:line="480" w:lineRule="auto"/>
        <w:jc w:val="left"/>
        <w:rPr>
          <w:rFonts w:ascii="Times New Roman" w:hAnsi="Times New Roman" w:cs="Times New Roman"/>
          <w:b/>
          <w:sz w:val="20"/>
          <w:szCs w:val="20"/>
        </w:rPr>
      </w:pPr>
      <w:r w:rsidRPr="00982A50">
        <w:rPr>
          <w:rFonts w:ascii="Times New Roman" w:hAnsi="Times New Roman" w:cs="Times New Roman"/>
          <w:b/>
          <w:sz w:val="20"/>
          <w:szCs w:val="20"/>
        </w:rPr>
        <w:t xml:space="preserve">Results: </w:t>
      </w:r>
      <w:r w:rsidRPr="00982A50">
        <w:rPr>
          <w:rFonts w:ascii="Times New Roman" w:hAnsi="Times New Roman" w:cs="Times New Roman"/>
          <w:bCs/>
          <w:sz w:val="20"/>
          <w:szCs w:val="20"/>
        </w:rPr>
        <w:t>On the</w:t>
      </w:r>
      <w:r w:rsidRPr="00982A50">
        <w:rPr>
          <w:rFonts w:ascii="Times New Roman" w:hAnsi="Times New Roman" w:cs="Times New Roman"/>
          <w:b/>
          <w:sz w:val="20"/>
          <w:szCs w:val="20"/>
        </w:rPr>
        <w:t xml:space="preserve"> </w:t>
      </w:r>
      <w:r w:rsidRPr="00982A50">
        <w:rPr>
          <w:rFonts w:ascii="Times New Roman" w:hAnsi="Times New Roman" w:cs="Times New Roman"/>
          <w:bCs/>
          <w:sz w:val="20"/>
          <w:szCs w:val="20"/>
        </w:rPr>
        <w:t xml:space="preserve">EMOTICOM battery, there was a significant effect of </w:t>
      </w:r>
      <w:proofErr w:type="spellStart"/>
      <w:r w:rsidRPr="00982A50">
        <w:rPr>
          <w:rFonts w:ascii="Times New Roman" w:hAnsi="Times New Roman" w:cs="Times New Roman"/>
          <w:bCs/>
          <w:sz w:val="20"/>
          <w:szCs w:val="20"/>
        </w:rPr>
        <w:t>istradefylline</w:t>
      </w:r>
      <w:proofErr w:type="spellEnd"/>
      <w:r w:rsidRPr="00982A50">
        <w:rPr>
          <w:rFonts w:ascii="Times New Roman" w:hAnsi="Times New Roman" w:cs="Times New Roman"/>
          <w:bCs/>
          <w:sz w:val="20"/>
          <w:szCs w:val="20"/>
        </w:rPr>
        <w:t xml:space="preserve"> versus placebo on the Social Information Preference task</w:t>
      </w:r>
      <w:r w:rsidRPr="00982A50">
        <w:rPr>
          <w:rFonts w:ascii="Times New Roman" w:hAnsi="Times New Roman" w:cs="Times New Roman"/>
          <w:b/>
          <w:sz w:val="20"/>
          <w:szCs w:val="20"/>
        </w:rPr>
        <w:t xml:space="preserve"> </w:t>
      </w:r>
      <w:r w:rsidRPr="00982A50">
        <w:rPr>
          <w:rFonts w:ascii="Times New Roman" w:hAnsi="Times New Roman" w:cs="Times New Roman"/>
          <w:sz w:val="20"/>
          <w:szCs w:val="20"/>
        </w:rPr>
        <w:t>(t=2.50, p=0.02</w:t>
      </w:r>
      <w:r>
        <w:rPr>
          <w:rFonts w:ascii="Times New Roman" w:hAnsi="Times New Roman" w:cs="Times New Roman"/>
          <w:sz w:val="20"/>
          <w:szCs w:val="20"/>
        </w:rPr>
        <w:t xml:space="preserve">, </w:t>
      </w:r>
      <w:r w:rsidRPr="00675C67">
        <w:rPr>
          <w:rFonts w:ascii="Times New Roman" w:hAnsi="Times New Roman" w:cs="Times New Roman"/>
          <w:i/>
          <w:iCs/>
          <w:sz w:val="20"/>
          <w:szCs w:val="20"/>
        </w:rPr>
        <w:t>d</w:t>
      </w:r>
      <w:r>
        <w:rPr>
          <w:rFonts w:ascii="Times New Roman" w:hAnsi="Times New Roman" w:cs="Times New Roman"/>
          <w:sz w:val="20"/>
          <w:szCs w:val="20"/>
        </w:rPr>
        <w:t>=-0.59</w:t>
      </w:r>
      <w:r w:rsidRPr="00982A50">
        <w:rPr>
          <w:rFonts w:ascii="Times New Roman" w:hAnsi="Times New Roman" w:cs="Times New Roman"/>
          <w:sz w:val="20"/>
          <w:szCs w:val="20"/>
        </w:rPr>
        <w:t>)</w:t>
      </w:r>
      <w:r>
        <w:rPr>
          <w:rFonts w:ascii="Times New Roman" w:hAnsi="Times New Roman" w:cs="Times New Roman"/>
          <w:sz w:val="20"/>
          <w:szCs w:val="20"/>
        </w:rPr>
        <w:t xml:space="preserve">, indicating that subjects on </w:t>
      </w:r>
      <w:proofErr w:type="spellStart"/>
      <w:r>
        <w:rPr>
          <w:rFonts w:ascii="Times New Roman" w:hAnsi="Times New Roman" w:cs="Times New Roman"/>
          <w:sz w:val="20"/>
          <w:szCs w:val="20"/>
        </w:rPr>
        <w:t>istradefylline</w:t>
      </w:r>
      <w:proofErr w:type="spellEnd"/>
      <w:r>
        <w:rPr>
          <w:rFonts w:ascii="Times New Roman" w:hAnsi="Times New Roman" w:cs="Times New Roman"/>
          <w:sz w:val="20"/>
          <w:szCs w:val="20"/>
        </w:rPr>
        <w:t xml:space="preserve"> interpreted social situations more positively.</w:t>
      </w:r>
      <w:r>
        <w:rPr>
          <w:rFonts w:ascii="Times New Roman" w:hAnsi="Times New Roman" w:cs="Times New Roman"/>
          <w:b/>
          <w:sz w:val="20"/>
          <w:szCs w:val="20"/>
        </w:rPr>
        <w:t xml:space="preserve"> </w:t>
      </w:r>
      <w:r w:rsidRPr="00982A50">
        <w:rPr>
          <w:rFonts w:ascii="Times New Roman" w:hAnsi="Times New Roman" w:cs="Times New Roman"/>
          <w:sz w:val="20"/>
          <w:szCs w:val="20"/>
        </w:rPr>
        <w:t>No other significant effects were observed on other cognitive tasks, nor in terms of cardiovascular measures (pulse and blood pressure). De-briefing indicat</w:t>
      </w:r>
      <w:r>
        <w:rPr>
          <w:rFonts w:ascii="Times New Roman" w:hAnsi="Times New Roman" w:cs="Times New Roman"/>
          <w:sz w:val="20"/>
          <w:szCs w:val="20"/>
        </w:rPr>
        <w:t>ed</w:t>
      </w:r>
      <w:r w:rsidRPr="00982A50">
        <w:rPr>
          <w:rFonts w:ascii="Times New Roman" w:hAnsi="Times New Roman" w:cs="Times New Roman"/>
          <w:sz w:val="20"/>
          <w:szCs w:val="20"/>
        </w:rPr>
        <w:t xml:space="preserve"> that blinding was successful, both for participants and the research team. </w:t>
      </w:r>
    </w:p>
    <w:p w14:paraId="4A6AB7F9" w14:textId="77777777" w:rsidR="008A5300" w:rsidRPr="00982A50" w:rsidRDefault="008A5300" w:rsidP="008A5300">
      <w:pPr>
        <w:spacing w:line="480" w:lineRule="auto"/>
        <w:jc w:val="left"/>
        <w:rPr>
          <w:rFonts w:ascii="Times New Roman" w:hAnsi="Times New Roman" w:cs="Times New Roman"/>
          <w:sz w:val="20"/>
          <w:szCs w:val="20"/>
        </w:rPr>
      </w:pPr>
      <w:r w:rsidRPr="00982A50">
        <w:rPr>
          <w:rFonts w:ascii="Times New Roman" w:hAnsi="Times New Roman" w:cs="Times New Roman"/>
          <w:b/>
          <w:sz w:val="20"/>
          <w:szCs w:val="20"/>
        </w:rPr>
        <w:t>Conclusions:</w:t>
      </w:r>
      <w:r w:rsidRPr="00982A50">
        <w:rPr>
          <w:rFonts w:ascii="Times New Roman" w:hAnsi="Times New Roman" w:cs="Times New Roman"/>
          <w:sz w:val="20"/>
          <w:szCs w:val="20"/>
        </w:rPr>
        <w:t xml:space="preserve"> Further exploration of the role of adenosine 2 receptors in emotional processing may be </w:t>
      </w:r>
      <w:r w:rsidRPr="00982A50">
        <w:rPr>
          <w:rFonts w:ascii="Times New Roman" w:hAnsi="Times New Roman" w:cs="Times New Roman"/>
          <w:sz w:val="20"/>
          <w:szCs w:val="20"/>
        </w:rPr>
        <w:lastRenderedPageBreak/>
        <w:t xml:space="preserve">valuable, given that abnormalities in related cognitive functions are implicated in mental </w:t>
      </w:r>
      <w:r>
        <w:rPr>
          <w:rFonts w:ascii="Times New Roman" w:hAnsi="Times New Roman" w:cs="Times New Roman"/>
          <w:sz w:val="20"/>
          <w:szCs w:val="20"/>
        </w:rPr>
        <w:t xml:space="preserve">health </w:t>
      </w:r>
      <w:r w:rsidRPr="00982A50">
        <w:rPr>
          <w:rFonts w:ascii="Times New Roman" w:hAnsi="Times New Roman" w:cs="Times New Roman"/>
          <w:sz w:val="20"/>
          <w:szCs w:val="20"/>
        </w:rPr>
        <w:t xml:space="preserve">disorders such as ADHD. The role of adenosine systems in human cognition requires further clarification, including with different doses of </w:t>
      </w:r>
      <w:proofErr w:type="spellStart"/>
      <w:r w:rsidRPr="00982A50">
        <w:rPr>
          <w:rFonts w:ascii="Times New Roman" w:hAnsi="Times New Roman" w:cs="Times New Roman"/>
          <w:sz w:val="20"/>
          <w:szCs w:val="20"/>
        </w:rPr>
        <w:t>istradefylline</w:t>
      </w:r>
      <w:proofErr w:type="spellEnd"/>
      <w:r w:rsidRPr="00982A50">
        <w:rPr>
          <w:rFonts w:ascii="Times New Roman" w:hAnsi="Times New Roman" w:cs="Times New Roman"/>
          <w:sz w:val="20"/>
          <w:szCs w:val="20"/>
        </w:rPr>
        <w:t xml:space="preserve">. </w:t>
      </w:r>
    </w:p>
    <w:p w14:paraId="3107367E" w14:textId="77777777" w:rsidR="006B45D1" w:rsidRPr="00982A50" w:rsidRDefault="006B45D1" w:rsidP="00256EF8">
      <w:pPr>
        <w:spacing w:line="480" w:lineRule="auto"/>
        <w:jc w:val="left"/>
        <w:rPr>
          <w:rFonts w:ascii="Times New Roman" w:hAnsi="Times New Roman" w:cs="Times New Roman"/>
          <w:sz w:val="20"/>
          <w:szCs w:val="20"/>
        </w:rPr>
      </w:pPr>
    </w:p>
    <w:p w14:paraId="193197E7" w14:textId="77777777" w:rsidR="0038685F" w:rsidRPr="00982A50" w:rsidRDefault="0038685F" w:rsidP="00256EF8">
      <w:pPr>
        <w:spacing w:line="480" w:lineRule="auto"/>
        <w:jc w:val="left"/>
        <w:rPr>
          <w:rFonts w:ascii="Times New Roman" w:hAnsi="Times New Roman" w:cs="Times New Roman"/>
          <w:b/>
          <w:sz w:val="20"/>
          <w:szCs w:val="20"/>
        </w:rPr>
      </w:pPr>
    </w:p>
    <w:p w14:paraId="130F9E93" w14:textId="520DDEE3" w:rsidR="0038685F" w:rsidRPr="00982A50" w:rsidRDefault="0038685F" w:rsidP="00256EF8">
      <w:pPr>
        <w:spacing w:line="480" w:lineRule="auto"/>
        <w:jc w:val="left"/>
        <w:rPr>
          <w:rFonts w:ascii="Times New Roman" w:hAnsi="Times New Roman" w:cs="Times New Roman"/>
          <w:b/>
          <w:sz w:val="20"/>
          <w:szCs w:val="20"/>
        </w:rPr>
      </w:pPr>
      <w:r w:rsidRPr="00982A50">
        <w:rPr>
          <w:rFonts w:ascii="Times New Roman" w:hAnsi="Times New Roman" w:cs="Times New Roman"/>
          <w:b/>
          <w:sz w:val="20"/>
          <w:szCs w:val="20"/>
        </w:rPr>
        <w:t xml:space="preserve">Key words: </w:t>
      </w:r>
      <w:proofErr w:type="spellStart"/>
      <w:r w:rsidR="003F3673" w:rsidRPr="00982A50">
        <w:rPr>
          <w:rFonts w:ascii="Times New Roman" w:hAnsi="Times New Roman" w:cs="Times New Roman"/>
          <w:bCs/>
          <w:sz w:val="20"/>
          <w:szCs w:val="20"/>
        </w:rPr>
        <w:t>Istradefylline</w:t>
      </w:r>
      <w:proofErr w:type="spellEnd"/>
      <w:r w:rsidR="003F3673" w:rsidRPr="00982A50">
        <w:rPr>
          <w:rFonts w:ascii="Times New Roman" w:hAnsi="Times New Roman" w:cs="Times New Roman"/>
          <w:bCs/>
          <w:sz w:val="20"/>
          <w:szCs w:val="20"/>
        </w:rPr>
        <w:t xml:space="preserve">, </w:t>
      </w:r>
      <w:r w:rsidR="00555FEE" w:rsidRPr="00982A50">
        <w:rPr>
          <w:rFonts w:ascii="Times New Roman" w:hAnsi="Times New Roman" w:cs="Times New Roman"/>
          <w:bCs/>
          <w:sz w:val="20"/>
          <w:szCs w:val="20"/>
        </w:rPr>
        <w:t>c</w:t>
      </w:r>
      <w:r w:rsidR="003F3673" w:rsidRPr="00982A50">
        <w:rPr>
          <w:rFonts w:ascii="Times New Roman" w:hAnsi="Times New Roman" w:cs="Times New Roman"/>
          <w:bCs/>
          <w:sz w:val="20"/>
          <w:szCs w:val="20"/>
        </w:rPr>
        <w:t>ognition, ADHD,</w:t>
      </w:r>
      <w:r w:rsidR="003F3673" w:rsidRPr="00982A50">
        <w:rPr>
          <w:rFonts w:ascii="Times New Roman" w:hAnsi="Times New Roman" w:cs="Times New Roman"/>
          <w:b/>
          <w:sz w:val="20"/>
          <w:szCs w:val="20"/>
        </w:rPr>
        <w:t xml:space="preserve"> </w:t>
      </w:r>
      <w:r w:rsidR="00555FEE" w:rsidRPr="00982A50">
        <w:rPr>
          <w:rFonts w:ascii="Times New Roman" w:hAnsi="Times New Roman" w:cs="Times New Roman"/>
          <w:bCs/>
          <w:sz w:val="20"/>
          <w:szCs w:val="20"/>
        </w:rPr>
        <w:t>a</w:t>
      </w:r>
      <w:r w:rsidR="00E8090D" w:rsidRPr="00982A50">
        <w:rPr>
          <w:rFonts w:ascii="Times New Roman" w:hAnsi="Times New Roman" w:cs="Times New Roman"/>
          <w:bCs/>
          <w:sz w:val="20"/>
          <w:szCs w:val="20"/>
        </w:rPr>
        <w:t>denosine</w:t>
      </w:r>
    </w:p>
    <w:p w14:paraId="41107962" w14:textId="77777777" w:rsidR="0061239E" w:rsidRPr="00982A50" w:rsidRDefault="0061239E" w:rsidP="00256EF8">
      <w:pPr>
        <w:widowControl/>
        <w:jc w:val="left"/>
        <w:rPr>
          <w:rFonts w:ascii="Times New Roman" w:hAnsi="Times New Roman" w:cs="Times New Roman"/>
          <w:b/>
          <w:i/>
          <w:sz w:val="20"/>
          <w:szCs w:val="20"/>
        </w:rPr>
      </w:pPr>
    </w:p>
    <w:p w14:paraId="2343D32D" w14:textId="77777777" w:rsidR="00B26476" w:rsidRPr="00982A50" w:rsidRDefault="00B26476">
      <w:pPr>
        <w:widowControl/>
        <w:jc w:val="left"/>
        <w:rPr>
          <w:rFonts w:ascii="Times New Roman" w:hAnsi="Times New Roman" w:cs="Times New Roman"/>
          <w:b/>
          <w:i/>
          <w:sz w:val="20"/>
          <w:szCs w:val="20"/>
        </w:rPr>
      </w:pPr>
      <w:r w:rsidRPr="00982A50">
        <w:rPr>
          <w:rFonts w:ascii="Times New Roman" w:hAnsi="Times New Roman" w:cs="Times New Roman"/>
          <w:b/>
          <w:i/>
          <w:sz w:val="20"/>
          <w:szCs w:val="20"/>
        </w:rPr>
        <w:br w:type="page"/>
      </w:r>
    </w:p>
    <w:p w14:paraId="4EA04EDF" w14:textId="468CD13C" w:rsidR="00A105B7" w:rsidRPr="00982A50" w:rsidRDefault="00210E96" w:rsidP="00256EF8">
      <w:pPr>
        <w:widowControl/>
        <w:jc w:val="left"/>
        <w:rPr>
          <w:rFonts w:ascii="Times New Roman" w:hAnsi="Times New Roman" w:cs="Times New Roman"/>
          <w:b/>
          <w:i/>
          <w:sz w:val="20"/>
          <w:szCs w:val="20"/>
        </w:rPr>
      </w:pPr>
      <w:r w:rsidRPr="00982A50">
        <w:rPr>
          <w:rFonts w:ascii="Times New Roman" w:hAnsi="Times New Roman" w:cs="Times New Roman"/>
          <w:b/>
          <w:i/>
          <w:sz w:val="20"/>
          <w:szCs w:val="20"/>
        </w:rPr>
        <w:lastRenderedPageBreak/>
        <w:t>Introduction</w:t>
      </w:r>
    </w:p>
    <w:p w14:paraId="7C2C203D" w14:textId="07EADC76" w:rsidR="00871491" w:rsidRPr="00982A50" w:rsidRDefault="0038685F">
      <w:pPr>
        <w:spacing w:line="480" w:lineRule="auto"/>
        <w:ind w:firstLine="960"/>
        <w:jc w:val="left"/>
        <w:rPr>
          <w:rFonts w:ascii="Times New Roman" w:hAnsi="Times New Roman" w:cs="Times New Roman"/>
          <w:sz w:val="20"/>
          <w:szCs w:val="20"/>
        </w:rPr>
      </w:pPr>
      <w:r w:rsidRPr="00982A50">
        <w:rPr>
          <w:rFonts w:ascii="Times New Roman" w:hAnsi="Times New Roman" w:cs="Times New Roman"/>
          <w:sz w:val="20"/>
          <w:szCs w:val="20"/>
        </w:rPr>
        <w:t xml:space="preserve">It is widely established that distinct cognitive functions are under the modulatory influence of various neurochemical systems </w:t>
      </w:r>
      <w:r w:rsidR="00847071">
        <w:rPr>
          <w:rFonts w:ascii="Times New Roman" w:hAnsi="Times New Roman" w:cs="Times New Roman"/>
          <w:sz w:val="20"/>
          <w:szCs w:val="20"/>
        </w:rPr>
        <w:fldChar w:fldCharType="begin" w:fldLock="1"/>
      </w:r>
      <w:r w:rsidR="00847071">
        <w:rPr>
          <w:rFonts w:ascii="Times New Roman" w:hAnsi="Times New Roman" w:cs="Times New Roman"/>
          <w:sz w:val="20"/>
          <w:szCs w:val="20"/>
        </w:rPr>
        <w:instrText>ADDIN CSL_CITATION {"citationItems":[{"id":"ITEM-1","itemData":{"DOI":"10.1016/j.conb.2010.01.007","ISSN":"09594388","abstract":"Learning in a constant environment, and adapting flexibly to a changing one, through changes in reinforcement contingencies or valence-free cues, depends on overlapping circuitry that interconnects the prefrontal cortex (PFC) with the striatum and is subject to several forms of neurochemical modulation. We present evidence from recent studies in animals employing electrophysiological, pharmacological and lesion techniques, and neuroimaging, neuropsychological and pharmacological investigations of healthy humans and clinical patients. Dopamine (DA) neurotransmission in the medial striatum and PFC is critical for basic reinforcement learning and the integration of negative feedback during reversal learning, whilst orbitofrontal 5-hydroxytryptamine (5-HT) likely mediates this type of low level flexibility, perhaps by reducing interference from salient stimuli. The role of prefrontal noradrenaline (NA) in higher order flexibility indexed through attentional set-shifting has recently received significant empirical support, and similar avenues appear promising in the field of task switching. © 2010 Elsevier Ltd.","author":[{"dropping-particle":"","family":"Kehagia","given":"Angie A.","non-dropping-particle":"","parse-names":false,"suffix":""},{"dropping-particle":"","family":"Murray","given":"Graham K.","non-dropping-particle":"","parse-names":false,"suffix":""},{"dropping-particle":"","family":"Robbins","given":"Trevor W.","non-dropping-particle":"","parse-names":false,"suffix":""}],"container-title":"Current Opinion in Neurobiology","id":"ITEM-1","issue":"2","issued":{"date-parts":[["2010"]]},"title":"Learning and cognitive flexibility: Frontostriatal function and monoaminergic modulation","type":"article","volume":"20"},"uris":["http://www.mendeley.com/documents/?uuid=e288ef32-0f66-3a3d-85b3-6e6e9ab63bed"]},{"id":"ITEM-2","itemData":{"DOI":"10.1016/j.tics.2018.12.006","ISSN":"1879307X","abstract":"Cognitive control, the ability to orchestrate behavior in accord with our goals, depends on the prefrontal cortex. These cognitive functions are heavily influenced by the neuromodulator dopamine. We review here recent insights exploring the influence of dopamine on neuronal response properties in prefrontal cortex (PFC) during ongoing behaviors in primates. This review suggests three major computational roles of dopamine in cognitive control: (i) gating sensory input, (ii) maintaining and manipulating working memory contents, and (iii) relaying motor commands. For each of these roles, we propose a neuronal microcircuit based on known mechanisms of action of dopamine in PFC, which are corroborated by computational network models. This conceptual approach accounts for the various roles of dopamine in prefrontal executive functioning.","author":[{"dropping-particle":"","family":"Ott","given":"Torben","non-dropping-particle":"","parse-names":false,"suffix":""},{"dropping-particle":"","family":"Nieder","given":"Andreas","non-dropping-particle":"","parse-names":false,"suffix":""}],"container-title":"Trends in Cognitive Sciences","id":"ITEM-2","issue":"3","issued":{"date-parts":[["2019"]]},"title":"Dopamine and Cognitive Control in Prefrontal Cortex","type":"article","volume":"23"},"uris":["http://www.mendeley.com/documents/?uuid=6f9f8cff-aa83-3e46-8058-869577010470"]},{"id":"ITEM-3","itemData":{"DOI":"10.1093/cercor/bhm066","ISSN":"10473211","abstract":"The prefrontal cortex (PFC) is innervated by the monoamines, dopamine (DA), noradrenaline (NA), and serotonin, as well as acetylcholine, and the marked influence of these neurochemical systems on prefrontal working memory processes has been widely described. However, their potentially, differential contribution to prefrontal functioning is less well understood. This paper reviews evidence to support the hypothesis that these neurochemical systems recruit distinct fronto-executive operations. Direct comparison of the effects of manipulations of these neuromodulators within PFC on performance of an attentional set-shifting paradigm reveals their differential contribution to distinct task stages. Depletion of prefrontal serotonin selectively disrupts reversal learning but not attentional set formation or set shifting. In contrast, depletion of prefrontal DA disrupts set formation but not reversal learning. NA depletion on the other hand specifically impairs setshifting, whereas its effects on reversal learning remain unclear. Finally, depletion of prefrontal acetylcholine has no effect on either set formation or set shifting but impairs serial reversal learning. Because these neurochemical systems are known to represent distinct states of stress, arousal, attention, and affect, it is postulated that they augment the different types of executive operation that are recruited and performed within these states via a synergistic interaction with the PFC. © The Author 2007.","author":[{"dropping-particle":"","family":"Robbins","given":"T. W.","non-dropping-particle":"","parse-names":false,"suffix":""},{"dropping-particle":"","family":"Roberts","given":"A. C.","non-dropping-particle":"","parse-names":false,"suffix":""}],"container-title":"Cerebral Cortex","id":"ITEM-3","issue":"SUPPL. 1","issued":{"date-parts":[["2007"]]},"title":"Differential regulation of fronto-executive function by the monoamines and acetylcholine","type":"article-journal","volume":"17"},"uris":["http://www.mendeley.com/documents/?uuid=f77369f0-15b9-30a0-94b0-5f6186d48b51"]}],"mendeley":{"formattedCitation":"(Kehagia et al., 2010; Ott and Nieder, 2019; Robbins and Roberts, 2007)","plainTextFormattedCitation":"(Kehagia et al., 2010; Ott and Nieder, 2019; Robbins and Roberts, 2007)","previouslyFormattedCitation":"(Kehagia et al., 2010; Ott and Nieder, 2019; Robbins and Roberts, 2007)"},"properties":{"noteIndex":0},"schema":"https://github.com/citation-style-language/schema/raw/master/csl-citation.json"}</w:instrText>
      </w:r>
      <w:r w:rsidR="00847071">
        <w:rPr>
          <w:rFonts w:ascii="Times New Roman" w:hAnsi="Times New Roman" w:cs="Times New Roman"/>
          <w:sz w:val="20"/>
          <w:szCs w:val="20"/>
        </w:rPr>
        <w:fldChar w:fldCharType="separate"/>
      </w:r>
      <w:r w:rsidR="00847071" w:rsidRPr="00847071">
        <w:rPr>
          <w:rFonts w:ascii="Times New Roman" w:hAnsi="Times New Roman" w:cs="Times New Roman"/>
          <w:noProof/>
          <w:sz w:val="20"/>
          <w:szCs w:val="20"/>
        </w:rPr>
        <w:t>(Kehagia et al., 2010; Ott and Nieder, 2019; Robbins and Roberts, 2007)</w:t>
      </w:r>
      <w:r w:rsidR="00847071">
        <w:rPr>
          <w:rFonts w:ascii="Times New Roman" w:hAnsi="Times New Roman" w:cs="Times New Roman"/>
          <w:sz w:val="20"/>
          <w:szCs w:val="20"/>
        </w:rPr>
        <w:fldChar w:fldCharType="end"/>
      </w:r>
      <w:r w:rsidR="00B40B49" w:rsidRPr="00982A50">
        <w:rPr>
          <w:rFonts w:ascii="Times New Roman" w:hAnsi="Times New Roman" w:cs="Times New Roman"/>
          <w:sz w:val="20"/>
          <w:szCs w:val="20"/>
        </w:rPr>
        <w:fldChar w:fldCharType="begin"/>
      </w:r>
      <w:r w:rsidR="00B40B49" w:rsidRPr="00591637">
        <w:rPr>
          <w:rFonts w:ascii="Times New Roman" w:hAnsi="Times New Roman" w:cs="Times New Roman"/>
          <w:sz w:val="20"/>
          <w:szCs w:val="20"/>
        </w:rPr>
        <w:instrText xml:space="preserve">EN.CITE </w:instrText>
      </w:r>
      <w:r w:rsidR="00B40B49" w:rsidRPr="00591637">
        <w:rPr>
          <w:rFonts w:ascii="Times New Roman" w:hAnsi="Times New Roman" w:cs="Times New Roman"/>
          <w:sz w:val="20"/>
          <w:szCs w:val="20"/>
        </w:rPr>
        <w:fldChar w:fldCharType="begin"/>
      </w:r>
      <w:r w:rsidR="00B40B49" w:rsidRPr="00591637">
        <w:rPr>
          <w:rFonts w:ascii="Times New Roman" w:hAnsi="Times New Roman" w:cs="Times New Roman"/>
          <w:sz w:val="20"/>
          <w:szCs w:val="20"/>
        </w:rPr>
        <w:instrText xml:space="preserve"> EN.CITE.DATA </w:instrText>
      </w:r>
      <w:r w:rsidR="00B40B49" w:rsidRPr="00591637">
        <w:rPr>
          <w:rFonts w:ascii="Times New Roman" w:hAnsi="Times New Roman" w:cs="Times New Roman"/>
          <w:sz w:val="20"/>
          <w:szCs w:val="20"/>
        </w:rPr>
        <w:fldChar w:fldCharType="end"/>
      </w:r>
      <w:r w:rsidR="00B40B49" w:rsidRPr="00982A50">
        <w:rPr>
          <w:rFonts w:ascii="Times New Roman" w:hAnsi="Times New Roman" w:cs="Times New Roman"/>
          <w:sz w:val="20"/>
          <w:szCs w:val="20"/>
        </w:rPr>
        <w:fldChar w:fldCharType="separate"/>
      </w:r>
      <w:r w:rsidR="00B40B49" w:rsidRPr="00982A50">
        <w:rPr>
          <w:rFonts w:ascii="Times New Roman" w:hAnsi="Times New Roman" w:cs="Times New Roman"/>
          <w:noProof/>
          <w:sz w:val="20"/>
          <w:szCs w:val="20"/>
        </w:rPr>
        <w:t>(Kehagia</w:t>
      </w:r>
      <w:r w:rsidR="00B7162D" w:rsidRPr="00982A50">
        <w:rPr>
          <w:rFonts w:ascii="Times New Roman" w:hAnsi="Times New Roman" w:cs="Times New Roman"/>
          <w:noProof/>
          <w:sz w:val="20"/>
          <w:szCs w:val="20"/>
        </w:rPr>
        <w:t xml:space="preserve"> et al</w:t>
      </w:r>
      <w:r w:rsidR="00B8755F" w:rsidRPr="00982A50">
        <w:rPr>
          <w:rFonts w:ascii="Times New Roman" w:hAnsi="Times New Roman" w:cs="Times New Roman"/>
          <w:noProof/>
          <w:sz w:val="20"/>
          <w:szCs w:val="20"/>
        </w:rPr>
        <w:t>.</w:t>
      </w:r>
      <w:r w:rsidR="00B40B49" w:rsidRPr="00982A50">
        <w:rPr>
          <w:rFonts w:ascii="Times New Roman" w:hAnsi="Times New Roman" w:cs="Times New Roman"/>
          <w:noProof/>
          <w:sz w:val="20"/>
          <w:szCs w:val="20"/>
        </w:rPr>
        <w:t>, 2010; Robbins and Roberts, 2007)</w:t>
      </w:r>
      <w:r w:rsidR="00B40B49" w:rsidRPr="00982A50">
        <w:rPr>
          <w:rFonts w:ascii="Times New Roman" w:hAnsi="Times New Roman" w:cs="Times New Roman"/>
          <w:sz w:val="20"/>
          <w:szCs w:val="20"/>
        </w:rPr>
        <w:fldChar w:fldCharType="end"/>
      </w:r>
      <w:r w:rsidR="00F13066" w:rsidRPr="00982A50">
        <w:rPr>
          <w:rFonts w:ascii="Times New Roman" w:hAnsi="Times New Roman" w:cs="Times New Roman"/>
          <w:sz w:val="20"/>
          <w:szCs w:val="20"/>
        </w:rPr>
        <w:t>.</w:t>
      </w:r>
      <w:r w:rsidRPr="00982A50">
        <w:rPr>
          <w:rFonts w:ascii="Times New Roman" w:hAnsi="Times New Roman" w:cs="Times New Roman"/>
          <w:sz w:val="20"/>
          <w:szCs w:val="20"/>
        </w:rPr>
        <w:t xml:space="preserve"> The role of particular receptors and neurotransmitters in cognition is highly relevant to understanding the neurobiology of prevalent mental </w:t>
      </w:r>
      <w:r w:rsidR="00316B8A" w:rsidRPr="00982A50">
        <w:rPr>
          <w:rFonts w:ascii="Times New Roman" w:hAnsi="Times New Roman" w:cs="Times New Roman"/>
          <w:sz w:val="20"/>
          <w:szCs w:val="20"/>
        </w:rPr>
        <w:t>disorders</w:t>
      </w:r>
      <w:r w:rsidRPr="00982A50">
        <w:rPr>
          <w:rFonts w:ascii="Times New Roman" w:hAnsi="Times New Roman" w:cs="Times New Roman"/>
          <w:sz w:val="20"/>
          <w:szCs w:val="20"/>
        </w:rPr>
        <w:t xml:space="preserve">, </w:t>
      </w:r>
      <w:r w:rsidR="003340E1" w:rsidRPr="00982A50">
        <w:rPr>
          <w:rFonts w:ascii="Times New Roman" w:hAnsi="Times New Roman" w:cs="Times New Roman"/>
          <w:sz w:val="20"/>
          <w:szCs w:val="20"/>
        </w:rPr>
        <w:t xml:space="preserve">such as </w:t>
      </w:r>
      <w:r w:rsidRPr="00982A50">
        <w:rPr>
          <w:rFonts w:ascii="Times New Roman" w:hAnsi="Times New Roman" w:cs="Times New Roman"/>
          <w:sz w:val="20"/>
          <w:szCs w:val="20"/>
        </w:rPr>
        <w:t>attention deficit hyperactivity disorder (ADHD).</w:t>
      </w:r>
      <w:r w:rsidR="00BA3C80" w:rsidRPr="00982A50">
        <w:rPr>
          <w:rFonts w:ascii="Times New Roman" w:hAnsi="Times New Roman" w:cs="Times New Roman"/>
          <w:sz w:val="20"/>
          <w:szCs w:val="20"/>
        </w:rPr>
        <w:t xml:space="preserve"> </w:t>
      </w:r>
      <w:r w:rsidR="003340E1" w:rsidRPr="00982A50">
        <w:rPr>
          <w:rFonts w:ascii="Times New Roman" w:hAnsi="Times New Roman" w:cs="Times New Roman"/>
          <w:sz w:val="20"/>
          <w:szCs w:val="20"/>
        </w:rPr>
        <w:t xml:space="preserve">Using single-dose pharmacological agents to ‘probe’ the role of particular neurochemical systems in human cognition has shed considerable light on the roles of </w:t>
      </w:r>
      <w:r w:rsidR="00BA3C80" w:rsidRPr="00982A50">
        <w:rPr>
          <w:rFonts w:ascii="Times New Roman" w:hAnsi="Times New Roman" w:cs="Times New Roman"/>
          <w:sz w:val="20"/>
          <w:szCs w:val="20"/>
        </w:rPr>
        <w:t>noradrenaline, dopamine, and serotonin</w:t>
      </w:r>
      <w:r w:rsidR="003340E1" w:rsidRPr="00982A50">
        <w:rPr>
          <w:rFonts w:ascii="Times New Roman" w:hAnsi="Times New Roman" w:cs="Times New Roman"/>
          <w:sz w:val="20"/>
          <w:szCs w:val="20"/>
        </w:rPr>
        <w:t xml:space="preserve"> (e.g. </w:t>
      </w:r>
      <w:r w:rsidR="00E373F0">
        <w:rPr>
          <w:rFonts w:ascii="Times New Roman" w:hAnsi="Times New Roman" w:cs="Times New Roman"/>
          <w:sz w:val="20"/>
          <w:szCs w:val="20"/>
        </w:rPr>
        <w:fldChar w:fldCharType="begin" w:fldLock="1"/>
      </w:r>
      <w:r w:rsidR="00E373F0">
        <w:rPr>
          <w:rFonts w:ascii="Times New Roman" w:hAnsi="Times New Roman" w:cs="Times New Roman"/>
          <w:sz w:val="20"/>
          <w:szCs w:val="20"/>
        </w:rPr>
        <w:instrText>ADDIN CSL_CITATION {"citationItems":[{"id":"ITEM-1","itemData":{"DOI":"10.1007/s002130051102","ISSN":"00333158","abstract":"Rationale: The mesotelencephalic dopamine system has been implicated in cognitive processes dependent on an intact prefrontal cortex. Most previous research in humans has focused on dopaminergic agonists and their effects on tasks of working memory. Objectives: The present study was designed to investigate the cognitive and subjective effects of two doses (200 mg and 400 mg) of the dopaminergic D2 receptor antagonist, sulpiride on a broad range of well-validated neuropsychological tasks in a group of 34 young healthy male volunteers. Methods: Cognitive tasks were administered to subjects after ingestion of either drug or placebo within a double-blind, placebo- controlled, cross-over design. The cognitive tests included tasks from the Cambridge Neuropsychological Test Automated Battery (CANTAB) and were designed to assess visuospatial recognition memory, planning ability, working memory, strategy learning, sustained attention and attentional set-shifting. In addition, the National Adult Reading Test (NART) was used to assess verbal IQ, and visual analogue scales to assess subjective effects of the drug. Results: Subjects on sulpiride were impaired on the tasks of spatial recognition, spatial working memory (sequence generation), planning (one- touch Tower of London) and attentional set-shifting. Only the spatial working memory task demonstrated a dose dependent effect. The impairments were not due to generalised sedative or motoric influences of sulpiride. Conclusions: All of the tasks impaired following sulpiride are known to be sensitive to frontal lobe damage and the precise pattern of deficits seen is consistent with the anatomical distribution of central dopamine receptors. The results are discussed with particular reference to their close simulation of the impairments seen in idiopathic Parkinson's disease.","author":[{"dropping-particle":"","family":"Mehta","given":"Mitul A.","non-dropping-particle":"","parse-names":false,"suffix":""},{"dropping-particle":"","family":"Sahakian","given":"Barbara J.","non-dropping-particle":"","parse-names":false,"suffix":""},{"dropping-particle":"","family":"McKenna","given":"Peter J.","non-dropping-particle":"","parse-names":false,"suffix":""},{"dropping-particle":"","family":"Robbins","given":"Trevor W.","non-dropping-particle":"","parse-names":false,"suffix":""}],"container-title":"Psychopharmacology","id":"ITEM-1","issue":"2","issued":{"date-parts":[["1999"]]},"title":"Systemic sulpiride in young adult volunteers simulates the profile of cognitive deficits in Parkinson's disease","type":"article-journal","volume":"146"},"uris":["http://www.mendeley.com/documents/?uuid=fb14e312-753c-32b0-b4ca-9de30f5b1826"]},{"id":"ITEM-2","itemData":{"DOI":"10.1007/s002130100851","ISSN":"00333158","abstract":"Rationale: Studies in humans of cognitive effects of dopaminergic drugs have largely focused on tasks of working memory, with a few studies also examining executive function. Objectives: This study was designed to investigate the effects of 1.25 mg of the dopamine D2 agonist bromocriptine on spatial working memory, planning and discrimination reversal learning in young healthy volunteers. Methods: Twenty volunteers were tested in a double-blind, placebo-controlled, cross-over design. The cognitive assessment included tests taken from the Cambridge Neuropsychological Test Automated Battery (CANTAB) designed to test visuospatial recognition memory and spatial working memory. In addition, tests of spatial planning and discrimination reversal learning were used to assess the more general effects of bromocriptine. Tests of subjective feelings and motivation were also incorporated into the battery. Results: Bromocriptine enhanced the spatial memory span of subjects, whilst impairing their ability to reverse a learned probabilistic discrimination. Tests of recognition memory and planning were unaffected by the drug. The findings were not explained by changes in subjective mood or motivational measures. Conclusions: The pattern of findings observed here mirror medication-dependent observations seen in Parkinson's disease. The results are discussed with reference to the different anatomical networks known to subserve performance of the differentially affected tasks.","author":[{"dropping-particle":"","family":"Mehta","given":"Mitul A.","non-dropping-particle":"","parse-names":false,"suffix":""},{"dropping-particle":"","family":"Swainson","given":"Rachel","non-dropping-particle":"","parse-names":false,"suffix":""},{"dropping-particle":"","family":"Ogilvie","given":"Alan D.","non-dropping-particle":"","parse-names":false,"suffix":""},{"dropping-particle":"","family":"Sahakian","given":"Barbara","non-dropping-particle":"","parse-names":false,"suffix":""},{"dropping-particle":"","family":"Robbins","given":"Trevor W.","non-dropping-particle":"","parse-names":false,"suffix":""}],"container-title":"Psychopharmacology","id":"ITEM-2","issue":"1","issued":{"date-parts":[["2001"]]},"title":"Improved short-term spatial memory but impaired reversal learning following the dopamine D2 agonist bromocriptine in human volunteers","type":"article-journal","volume":"159"},"uris":["http://www.mendeley.com/documents/?uuid=ce003987-cfc6-356f-8bc9-b9b718679caf"]},{"id":"ITEM-3","itemData":{"DOI":"10.1007/s11920-006-0051-x","ISSN":"15233812","PMID":"17162825","abstract":"Cognitive dysfunction is central to our understanding of mood disorders in terms of patient experiences, Diagnostic and Statistical Manual of Mental Disorders criteria, and psychological models. In this article, we highlight key findings from studies that have used neuropsychological tests and functional neuroimaging techniques to explore cognitive dysfunction in patients with depression and mania. In particular, we focus on affective processing bias, abnormal response to negative feedback, and decision making. Results are discussed in the context of current conceptualizations of dysfunctional neural circuitry, and in relation to important clinical and research implications. Copyright © 2006 by Current Science Inc.","author":[{"dropping-particle":"","family":"Chamberlain","given":"Samuel R.","non-dropping-particle":"","parse-names":false,"suffix":""},{"dropping-particle":"","family":"Sakakian","given":"Barbara J.","non-dropping-particle":"","parse-names":false,"suffix":""}],"container-title":"Current Psychiatry Reports","id":"ITEM-3","issued":{"date-parts":[["2006"]]},"title":"The neuropsychology of mood disorders","type":"article"},"uris":["http://www.mendeley.com/documents/?uuid=b2cf48ec-26fc-4dda-a23c-a297d36835bd"]}],"mendeley":{"formattedCitation":"(Chamberlain and Sakakian, 2006; Mehta et al., 2001, 1999)","manualFormatting":"Chamberlain and Sakakian, 2006; Mehta et al., 2001, 1999)","plainTextFormattedCitation":"(Chamberlain and Sakakian, 2006; Mehta et al., 2001, 1999)","previouslyFormattedCitation":"(Chamberlain and Sakakian, 2006; Mehta et al., 2001, 1999)"},"properties":{"noteIndex":0},"schema":"https://github.com/citation-style-language/schema/raw/master/csl-citation.json"}</w:instrText>
      </w:r>
      <w:r w:rsidR="00E373F0">
        <w:rPr>
          <w:rFonts w:ascii="Times New Roman" w:hAnsi="Times New Roman" w:cs="Times New Roman"/>
          <w:sz w:val="20"/>
          <w:szCs w:val="20"/>
        </w:rPr>
        <w:fldChar w:fldCharType="separate"/>
      </w:r>
      <w:r w:rsidR="00E373F0" w:rsidRPr="00E373F0">
        <w:rPr>
          <w:rFonts w:ascii="Times New Roman" w:hAnsi="Times New Roman" w:cs="Times New Roman"/>
          <w:noProof/>
          <w:sz w:val="20"/>
          <w:szCs w:val="20"/>
        </w:rPr>
        <w:t>Chamberlain and Sakakian, 2006; Mehta et al., 2001, 1999)</w:t>
      </w:r>
      <w:r w:rsidR="00E373F0">
        <w:rPr>
          <w:rFonts w:ascii="Times New Roman" w:hAnsi="Times New Roman" w:cs="Times New Roman"/>
          <w:sz w:val="20"/>
          <w:szCs w:val="20"/>
        </w:rPr>
        <w:fldChar w:fldCharType="end"/>
      </w:r>
      <w:r w:rsidR="005D643F" w:rsidRPr="00982A50">
        <w:rPr>
          <w:rFonts w:ascii="Times New Roman" w:hAnsi="Times New Roman" w:cs="Times New Roman"/>
          <w:sz w:val="20"/>
          <w:szCs w:val="20"/>
        </w:rPr>
        <w:t xml:space="preserve">. </w:t>
      </w:r>
      <w:r w:rsidR="003E6FDD" w:rsidRPr="00982A50">
        <w:rPr>
          <w:rFonts w:ascii="Times New Roman" w:hAnsi="Times New Roman" w:cs="Times New Roman"/>
          <w:sz w:val="20"/>
          <w:szCs w:val="20"/>
        </w:rPr>
        <w:t>In contrast,</w:t>
      </w:r>
      <w:r w:rsidR="00BA3C80" w:rsidRPr="00982A50">
        <w:rPr>
          <w:rFonts w:ascii="Times New Roman" w:hAnsi="Times New Roman" w:cs="Times New Roman"/>
          <w:sz w:val="20"/>
          <w:szCs w:val="20"/>
        </w:rPr>
        <w:t xml:space="preserve"> the role of the adenosine system in human cognition is </w:t>
      </w:r>
      <w:r w:rsidR="004A1645" w:rsidRPr="00982A50">
        <w:rPr>
          <w:rFonts w:ascii="Times New Roman" w:hAnsi="Times New Roman" w:cs="Times New Roman"/>
          <w:sz w:val="20"/>
          <w:szCs w:val="20"/>
        </w:rPr>
        <w:t xml:space="preserve">relatively understudied, as compared to other neurotransmitter pathways. </w:t>
      </w:r>
      <w:r w:rsidR="00BA3C80" w:rsidRPr="00982A50">
        <w:rPr>
          <w:rFonts w:ascii="Times New Roman" w:hAnsi="Times New Roman" w:cs="Times New Roman"/>
          <w:sz w:val="20"/>
          <w:szCs w:val="20"/>
        </w:rPr>
        <w:t>For example, a PubMed search using the terms “adenosine AND cognition</w:t>
      </w:r>
      <w:r w:rsidR="00316B8A" w:rsidRPr="00982A50">
        <w:rPr>
          <w:rFonts w:ascii="Times New Roman" w:hAnsi="Times New Roman" w:cs="Times New Roman"/>
          <w:sz w:val="20"/>
          <w:szCs w:val="20"/>
        </w:rPr>
        <w:t xml:space="preserve"> AND humans</w:t>
      </w:r>
      <w:r w:rsidR="00BA3C80" w:rsidRPr="00982A50">
        <w:rPr>
          <w:rFonts w:ascii="Times New Roman" w:hAnsi="Times New Roman" w:cs="Times New Roman"/>
          <w:sz w:val="20"/>
          <w:szCs w:val="20"/>
        </w:rPr>
        <w:t xml:space="preserve">” yielded </w:t>
      </w:r>
      <w:r w:rsidR="00511232" w:rsidRPr="00982A50">
        <w:rPr>
          <w:rFonts w:ascii="Times New Roman" w:hAnsi="Times New Roman" w:cs="Times New Roman"/>
          <w:sz w:val="20"/>
          <w:szCs w:val="20"/>
        </w:rPr>
        <w:t>6</w:t>
      </w:r>
      <w:r w:rsidR="00BF6D49" w:rsidRPr="00982A50">
        <w:rPr>
          <w:rFonts w:ascii="Times New Roman" w:hAnsi="Times New Roman" w:cs="Times New Roman"/>
          <w:sz w:val="20"/>
          <w:szCs w:val="20"/>
        </w:rPr>
        <w:t>30</w:t>
      </w:r>
      <w:r w:rsidR="00BA3C80" w:rsidRPr="00982A50">
        <w:rPr>
          <w:rFonts w:ascii="Times New Roman" w:hAnsi="Times New Roman" w:cs="Times New Roman"/>
          <w:sz w:val="20"/>
          <w:szCs w:val="20"/>
        </w:rPr>
        <w:t xml:space="preserve"> </w:t>
      </w:r>
      <w:r w:rsidR="00511232" w:rsidRPr="00982A50">
        <w:rPr>
          <w:rFonts w:ascii="Times New Roman" w:hAnsi="Times New Roman" w:cs="Times New Roman"/>
          <w:sz w:val="20"/>
          <w:szCs w:val="20"/>
        </w:rPr>
        <w:t>results</w:t>
      </w:r>
      <w:r w:rsidR="00BA3C80" w:rsidRPr="00982A50">
        <w:rPr>
          <w:rFonts w:ascii="Times New Roman" w:hAnsi="Times New Roman" w:cs="Times New Roman"/>
          <w:sz w:val="20"/>
          <w:szCs w:val="20"/>
        </w:rPr>
        <w:t xml:space="preserve"> whereas a search for “</w:t>
      </w:r>
      <w:r w:rsidR="00316B8A" w:rsidRPr="00982A50">
        <w:rPr>
          <w:rFonts w:ascii="Times New Roman" w:hAnsi="Times New Roman" w:cs="Times New Roman"/>
          <w:sz w:val="20"/>
          <w:szCs w:val="20"/>
        </w:rPr>
        <w:t>serotonin</w:t>
      </w:r>
      <w:r w:rsidR="00BA3C80" w:rsidRPr="00982A50">
        <w:rPr>
          <w:rFonts w:ascii="Times New Roman" w:hAnsi="Times New Roman" w:cs="Times New Roman"/>
          <w:sz w:val="20"/>
          <w:szCs w:val="20"/>
        </w:rPr>
        <w:t xml:space="preserve"> AND cognition AND humans” yielded </w:t>
      </w:r>
      <w:r w:rsidR="00511232" w:rsidRPr="00982A50">
        <w:rPr>
          <w:rFonts w:ascii="Times New Roman" w:hAnsi="Times New Roman" w:cs="Times New Roman"/>
          <w:sz w:val="20"/>
          <w:szCs w:val="20"/>
        </w:rPr>
        <w:t>52</w:t>
      </w:r>
      <w:r w:rsidR="00BF6D49" w:rsidRPr="00982A50">
        <w:rPr>
          <w:rFonts w:ascii="Times New Roman" w:hAnsi="Times New Roman" w:cs="Times New Roman"/>
          <w:sz w:val="20"/>
          <w:szCs w:val="20"/>
        </w:rPr>
        <w:t>94</w:t>
      </w:r>
      <w:r w:rsidR="00511232" w:rsidRPr="00982A50">
        <w:rPr>
          <w:rFonts w:ascii="Times New Roman" w:hAnsi="Times New Roman" w:cs="Times New Roman"/>
          <w:sz w:val="20"/>
          <w:szCs w:val="20"/>
        </w:rPr>
        <w:t xml:space="preserve"> results. </w:t>
      </w:r>
      <w:r w:rsidR="00BA3C80" w:rsidRPr="00982A50">
        <w:rPr>
          <w:rFonts w:ascii="Times New Roman" w:hAnsi="Times New Roman" w:cs="Times New Roman"/>
          <w:sz w:val="20"/>
          <w:szCs w:val="20"/>
        </w:rPr>
        <w:t xml:space="preserve"> </w:t>
      </w:r>
    </w:p>
    <w:p w14:paraId="0AE1436A" w14:textId="1DDCA41C" w:rsidR="00DD20B1" w:rsidRPr="00982A50" w:rsidRDefault="003E6FDD" w:rsidP="00DD20B1">
      <w:pPr>
        <w:spacing w:line="480" w:lineRule="auto"/>
        <w:ind w:firstLine="960"/>
        <w:jc w:val="left"/>
        <w:rPr>
          <w:rFonts w:ascii="Times New Roman" w:hAnsi="Times New Roman" w:cs="Times New Roman"/>
          <w:sz w:val="20"/>
          <w:szCs w:val="20"/>
        </w:rPr>
      </w:pPr>
      <w:r w:rsidRPr="00982A50">
        <w:rPr>
          <w:rFonts w:ascii="Times New Roman" w:hAnsi="Times New Roman" w:cs="Times New Roman"/>
          <w:sz w:val="20"/>
          <w:szCs w:val="20"/>
        </w:rPr>
        <w:t xml:space="preserve">Adenosine is a key neurotransmitter that is widespread throughout the brain </w:t>
      </w:r>
      <w:r w:rsidR="00F23BE2">
        <w:rPr>
          <w:rFonts w:ascii="Times New Roman" w:hAnsi="Times New Roman" w:cs="Times New Roman"/>
          <w:sz w:val="20"/>
          <w:szCs w:val="20"/>
        </w:rPr>
        <w:fldChar w:fldCharType="begin" w:fldLock="1"/>
      </w:r>
      <w:r w:rsidR="00F23BE2">
        <w:rPr>
          <w:rFonts w:ascii="Times New Roman" w:hAnsi="Times New Roman" w:cs="Times New Roman"/>
          <w:sz w:val="20"/>
          <w:szCs w:val="20"/>
        </w:rPr>
        <w:instrText>ADDIN CSL_CITATION {"citationItems":[{"id":"ITEM-1","itemData":{"DOI":"10.1016/0169-328X(92)90173-9","ISSN":"0169328X","abstract":"A cDNA fragment homologous to other G protein-coupled receptors was isolated from rat brain using the PCR method and demonstrated to be abundantly expressed in striatum. Using this fragment as a probe, a 2.1 kb full-length cDNA was isolated from a rat striatal cDNA library. This cDNA encodes a protein of 410 amino acids and is highly homologous to previously isolated adenosine receptor cDNAs. Expression of this cDNA in COS cells revealed high affinity (Kd = 38.6 nM) and saturable binding of the A2 adenosine receptor-selective ligand [3H]CGS 21680. Agonist displacement profile of [3H]CGS 21680 binding was consistent with an adenosine receptor of the A2 subtype (NECA &gt; (R)-PIA &gt; CPA &gt; (S)-PIA). In situ hybridization demonstrated that rat A2 adenosine receptor mRNA was co-expressed in the same striatal neurons as D2 dopamine receptor mRNA, and never co-expressed with striatal D1 dopamine receptor mRNA. Several lines of evidence have previously suggested that dopamine-induced changes in motor behavior can be modulated by adenosine analogs acting at the A2 subtype of adenosine receptor in the forebrain. The co-expression of D2 dopamine and A2 adenosine receptors in a subset of striatal cells provides an anatomical basis for dopaminergic-adenosinergic interactions on motor behavior. © 1992.","author":[{"dropping-particle":"","family":"Fink","given":"J. Stephen","non-dropping-particle":"","parse-names":false,"suffix":""},{"dropping-particle":"","family":"Weaver","given":"David R.","non-dropping-particle":"","parse-names":false,"suffix":""},{"dropping-particle":"","family":"Rivkees","given":"Scott A.","non-dropping-particle":"","parse-names":false,"suffix":""},{"dropping-particle":"","family":"Peterfreund","given":"Robert A.","non-dropping-particle":"","parse-names":false,"suffix":""},{"dropping-particle":"","family":"Pollack","given":"Alexia E.","non-dropping-particle":"","parse-names":false,"suffix":""},{"dropping-particle":"","family":"Adler","given":"Elizabeth M.","non-dropping-particle":"","parse-names":false,"suffix":""},{"dropping-particle":"","family":"Reppert","given":"Steven M.","non-dropping-particle":"","parse-names":false,"suffix":""}],"container-title":"Molecular Brain Research","id":"ITEM-1","issue":"3","issued":{"date-parts":[["1992"]]},"title":"Molecular cloning of the rat A2 adenosine receptor: selective co-expression with D2 dopamine receptors in rat striatum","type":"article-journal","volume":"14"},"uris":["http://www.mendeley.com/documents/?uuid=d1db3841-3737-33b4-9f7b-bf1b9b57a813"]}],"mendeley":{"formattedCitation":"(Fink et al., 1992)","plainTextFormattedCitation":"(Fink et al., 1992)","previouslyFormattedCitation":"(Fink et al., 1992)"},"properties":{"noteIndex":0},"schema":"https://github.com/citation-style-language/schema/raw/master/csl-citation.json"}</w:instrText>
      </w:r>
      <w:r w:rsidR="00F23BE2">
        <w:rPr>
          <w:rFonts w:ascii="Times New Roman" w:hAnsi="Times New Roman" w:cs="Times New Roman"/>
          <w:sz w:val="20"/>
          <w:szCs w:val="20"/>
        </w:rPr>
        <w:fldChar w:fldCharType="separate"/>
      </w:r>
      <w:r w:rsidR="00F23BE2" w:rsidRPr="00F23BE2">
        <w:rPr>
          <w:rFonts w:ascii="Times New Roman" w:hAnsi="Times New Roman" w:cs="Times New Roman"/>
          <w:noProof/>
          <w:sz w:val="20"/>
          <w:szCs w:val="20"/>
        </w:rPr>
        <w:t>(Fink et al., 1992)</w:t>
      </w:r>
      <w:r w:rsidR="00F23BE2">
        <w:rPr>
          <w:rFonts w:ascii="Times New Roman" w:hAnsi="Times New Roman" w:cs="Times New Roman"/>
          <w:sz w:val="20"/>
          <w:szCs w:val="20"/>
        </w:rPr>
        <w:fldChar w:fldCharType="end"/>
      </w:r>
      <w:r w:rsidR="00C30050" w:rsidRPr="00982A50">
        <w:rPr>
          <w:rFonts w:ascii="Times New Roman" w:hAnsi="Times New Roman" w:cs="Times New Roman"/>
          <w:sz w:val="20"/>
          <w:szCs w:val="20"/>
        </w:rPr>
        <w:t>.</w:t>
      </w:r>
      <w:r w:rsidR="00465E0A" w:rsidRPr="00982A50">
        <w:rPr>
          <w:rFonts w:ascii="Times New Roman" w:hAnsi="Times New Roman" w:cs="Times New Roman"/>
          <w:sz w:val="20"/>
          <w:szCs w:val="20"/>
        </w:rPr>
        <w:t xml:space="preserve"> It</w:t>
      </w:r>
      <w:r w:rsidR="00E73D25" w:rsidRPr="00982A50">
        <w:rPr>
          <w:rFonts w:ascii="Times New Roman" w:hAnsi="Times New Roman" w:cs="Times New Roman"/>
          <w:sz w:val="20"/>
          <w:szCs w:val="20"/>
        </w:rPr>
        <w:t xml:space="preserve"> acts through multiple mechanisms that are not well understood and has indirect effects on other neurotransmitter</w:t>
      </w:r>
      <w:r w:rsidR="00455F97" w:rsidRPr="00982A50">
        <w:rPr>
          <w:rFonts w:ascii="Times New Roman" w:hAnsi="Times New Roman" w:cs="Times New Roman"/>
          <w:sz w:val="20"/>
          <w:szCs w:val="20"/>
        </w:rPr>
        <w:t xml:space="preserve"> pathways, </w:t>
      </w:r>
      <w:r w:rsidR="00E73D25" w:rsidRPr="00982A50">
        <w:rPr>
          <w:rFonts w:ascii="Times New Roman" w:hAnsi="Times New Roman" w:cs="Times New Roman"/>
          <w:sz w:val="20"/>
          <w:szCs w:val="20"/>
        </w:rPr>
        <w:t>such as dopaminergic, glutamatergic and noradrenergic</w:t>
      </w:r>
      <w:r w:rsidR="00455F97" w:rsidRPr="00982A50">
        <w:rPr>
          <w:rFonts w:ascii="Times New Roman" w:hAnsi="Times New Roman" w:cs="Times New Roman"/>
          <w:sz w:val="20"/>
          <w:szCs w:val="20"/>
        </w:rPr>
        <w:t xml:space="preserve"> systems</w:t>
      </w:r>
      <w:r w:rsidR="00E73D25" w:rsidRPr="00982A50">
        <w:rPr>
          <w:rFonts w:ascii="Times New Roman" w:hAnsi="Times New Roman" w:cs="Times New Roman"/>
          <w:sz w:val="20"/>
          <w:szCs w:val="20"/>
        </w:rPr>
        <w:t xml:space="preserve"> </w:t>
      </w:r>
      <w:r w:rsidR="00F23BE2">
        <w:rPr>
          <w:rFonts w:ascii="Times New Roman" w:hAnsi="Times New Roman" w:cs="Times New Roman"/>
          <w:sz w:val="20"/>
          <w:szCs w:val="20"/>
        </w:rPr>
        <w:fldChar w:fldCharType="begin" w:fldLock="1"/>
      </w:r>
      <w:r w:rsidR="00A977DB">
        <w:rPr>
          <w:rFonts w:ascii="Times New Roman" w:hAnsi="Times New Roman" w:cs="Times New Roman"/>
          <w:sz w:val="20"/>
          <w:szCs w:val="20"/>
        </w:rPr>
        <w:instrText>ADDIN CSL_CITATION {"citationItems":[{"id":"ITEM-1","itemData":{"DOI":"10.1177/0269881114541014","ISSN":"14617285","PMID":"24989644","abstract":"Caffeine is one of the most widespread psychotropic substances in the world. It exerts multiple effects on the brain including adenosine receptor antagonism, and thereby has been found to modulate aspects of cognition, including attention, in animal models and in healthy human volunteers. This review considers what is known of the effects of caffeine on symptoms and cognitive functions in attention-deficit hyperactivity disorder (ADHD), a prototypical disorder of cognitive dysfunction. We consider the merits of investigating further caffeine's therapeutic potential as a monotherapy or as an adjunctive agent in ADHD. The potential benefits of re-opening a dialogue regarding the use of caffeine in ADHD clinical practice are highlighted, along with potential implications for the use of adenosine receptor antagonists in ADHD and other disorders characterised by cognitive impairment. © The Author(s) 2014.","author":[{"dropping-particle":"","family":"Ioannidis","given":"Konstantinos","non-dropping-particle":"","parse-names":false,"suffix":""},{"dropping-particle":"","family":"Chamberlain","given":"Samuel R.","non-dropping-particle":"","parse-names":false,"suffix":""},{"dropping-particle":"","family":"Müller","given":"Ulrich","non-dropping-particle":"","parse-names":false,"suffix":""}],"container-title":"Journal of Psychopharmacology","id":"ITEM-1","issued":{"date-parts":[["2014"]]},"title":"Ostracising caffeine from the pharmacological arsenal for attention-deficit hyperactivity disorder - Was this a correct decision? A literature review","type":"article"},"uris":["http://www.mendeley.com/documents/?uuid=f4eb79df-b4d7-4479-9c14-3bcbbcd527f3"]}],"mendeley":{"formattedCitation":"(Ioannidis et al., 2014)","plainTextFormattedCitation":"(Ioannidis et al., 2014)","previouslyFormattedCitation":"(Ioannidis et al., 2014)"},"properties":{"noteIndex":0},"schema":"https://github.com/citation-style-language/schema/raw/master/csl-citation.json"}</w:instrText>
      </w:r>
      <w:r w:rsidR="00F23BE2">
        <w:rPr>
          <w:rFonts w:ascii="Times New Roman" w:hAnsi="Times New Roman" w:cs="Times New Roman"/>
          <w:sz w:val="20"/>
          <w:szCs w:val="20"/>
        </w:rPr>
        <w:fldChar w:fldCharType="separate"/>
      </w:r>
      <w:r w:rsidR="00F23BE2" w:rsidRPr="00F23BE2">
        <w:rPr>
          <w:rFonts w:ascii="Times New Roman" w:hAnsi="Times New Roman" w:cs="Times New Roman"/>
          <w:noProof/>
          <w:sz w:val="20"/>
          <w:szCs w:val="20"/>
        </w:rPr>
        <w:t>(Ioannidis et al., 2014)</w:t>
      </w:r>
      <w:r w:rsidR="00F23BE2">
        <w:rPr>
          <w:rFonts w:ascii="Times New Roman" w:hAnsi="Times New Roman" w:cs="Times New Roman"/>
          <w:sz w:val="20"/>
          <w:szCs w:val="20"/>
        </w:rPr>
        <w:fldChar w:fldCharType="end"/>
      </w:r>
      <w:r w:rsidR="00E73D25" w:rsidRPr="00982A50">
        <w:rPr>
          <w:rFonts w:ascii="Times New Roman" w:hAnsi="Times New Roman" w:cs="Times New Roman"/>
          <w:sz w:val="20"/>
          <w:szCs w:val="20"/>
        </w:rPr>
        <w:t>.</w:t>
      </w:r>
      <w:r w:rsidR="005D643F" w:rsidRPr="00982A50">
        <w:rPr>
          <w:rFonts w:ascii="Times New Roman" w:hAnsi="Times New Roman" w:cs="Times New Roman"/>
          <w:sz w:val="20"/>
          <w:szCs w:val="20"/>
        </w:rPr>
        <w:t xml:space="preserve"> </w:t>
      </w:r>
    </w:p>
    <w:p w14:paraId="5FC6588F" w14:textId="3C11D1AE" w:rsidR="001F6CB7" w:rsidRDefault="00316B8A" w:rsidP="003003B7">
      <w:pPr>
        <w:spacing w:line="480" w:lineRule="auto"/>
        <w:ind w:firstLine="960"/>
        <w:jc w:val="left"/>
        <w:rPr>
          <w:rFonts w:ascii="Times New Roman" w:hAnsi="Times New Roman" w:cs="Times New Roman"/>
          <w:sz w:val="20"/>
          <w:szCs w:val="20"/>
        </w:rPr>
      </w:pPr>
      <w:r w:rsidRPr="00982A50">
        <w:rPr>
          <w:rFonts w:ascii="Times New Roman" w:hAnsi="Times New Roman" w:cs="Times New Roman"/>
          <w:sz w:val="20"/>
          <w:szCs w:val="20"/>
        </w:rPr>
        <w:t xml:space="preserve">Perhaps the most widely studied pharmacological agent acting on the adenosine system – and certainly the most widely used </w:t>
      </w:r>
      <w:r w:rsidR="004A1645" w:rsidRPr="00982A50">
        <w:rPr>
          <w:rFonts w:ascii="Times New Roman" w:hAnsi="Times New Roman" w:cs="Times New Roman"/>
          <w:sz w:val="20"/>
          <w:szCs w:val="20"/>
        </w:rPr>
        <w:t>in everyday life</w:t>
      </w:r>
      <w:r w:rsidRPr="00982A50">
        <w:rPr>
          <w:rFonts w:ascii="Times New Roman" w:hAnsi="Times New Roman" w:cs="Times New Roman"/>
          <w:sz w:val="20"/>
          <w:szCs w:val="20"/>
        </w:rPr>
        <w:t xml:space="preserve"> – is caffeine, whose cognitive effects are substantially </w:t>
      </w:r>
      <w:r w:rsidRPr="00982A50">
        <w:rPr>
          <w:rFonts w:ascii="Times New Roman" w:hAnsi="Times New Roman" w:cs="Times New Roman"/>
          <w:sz w:val="20"/>
          <w:szCs w:val="20"/>
        </w:rPr>
        <w:lastRenderedPageBreak/>
        <w:t xml:space="preserve">mediated via non-specific antagonism of </w:t>
      </w:r>
      <w:r w:rsidR="00871491" w:rsidRPr="00982A50">
        <w:rPr>
          <w:rFonts w:ascii="Times New Roman" w:hAnsi="Times New Roman" w:cs="Times New Roman"/>
          <w:sz w:val="20"/>
          <w:szCs w:val="20"/>
        </w:rPr>
        <w:t xml:space="preserve">multiple </w:t>
      </w:r>
      <w:r w:rsidRPr="00982A50">
        <w:rPr>
          <w:rFonts w:ascii="Times New Roman" w:hAnsi="Times New Roman" w:cs="Times New Roman"/>
          <w:sz w:val="20"/>
          <w:szCs w:val="20"/>
        </w:rPr>
        <w:t xml:space="preserve">adenosine receptors </w:t>
      </w:r>
      <w:r w:rsidR="00847071">
        <w:rPr>
          <w:rFonts w:ascii="Times New Roman" w:hAnsi="Times New Roman" w:cs="Times New Roman"/>
          <w:sz w:val="20"/>
          <w:szCs w:val="20"/>
        </w:rPr>
        <w:fldChar w:fldCharType="begin" w:fldLock="1"/>
      </w:r>
      <w:r w:rsidR="00847071">
        <w:rPr>
          <w:rFonts w:ascii="Times New Roman" w:hAnsi="Times New Roman" w:cs="Times New Roman"/>
          <w:sz w:val="20"/>
          <w:szCs w:val="20"/>
        </w:rPr>
        <w:instrText>ADDIN CSL_CITATION {"citationItems":[{"id":"ITEM-1","itemData":{"DOI":"10.1177/0269881114541014","ISSN":"14617285","PMID":"24989644","abstract":"Caffeine is one of the most widespread psychotropic substances in the world. It exerts multiple effects on the brain including adenosine receptor antagonism, and thereby has been found to modulate aspects of cognition, including attention, in animal models and in healthy human volunteers. This review considers what is known of the effects of caffeine on symptoms and cognitive functions in attention-deficit hyperactivity disorder (ADHD), a prototypical disorder of cognitive dysfunction. We consider the merits of investigating further caffeine's therapeutic potential as a monotherapy or as an adjunctive agent in ADHD. The potential benefits of re-opening a dialogue regarding the use of caffeine in ADHD clinical practice are highlighted, along with potential implications for the use of adenosine receptor antagonists in ADHD and other disorders characterised by cognitive impairment. © The Author(s) 2014.","author":[{"dropping-particle":"","family":"Ioannidis","given":"Konstantinos","non-dropping-particle":"","parse-names":false,"suffix":""},{"dropping-particle":"","family":"Chamberlain","given":"Samuel R.","non-dropping-particle":"","parse-names":false,"suffix":""},{"dropping-particle":"","family":"Müller","given":"Ulrich","non-dropping-particle":"","parse-names":false,"suffix":""}],"container-title":"Journal of Psychopharmacology","id":"ITEM-1","issued":{"date-parts":[["2014"]]},"title":"Ostracising caffeine from the pharmacological arsenal for attention-deficit hyperactivity disorder - Was this a correct decision? A literature review","type":"article"},"uris":["http://www.mendeley.com/documents/?uuid=f4eb79df-b4d7-4479-9c14-3bcbbcd527f3"]},{"id":"ITEM-2","itemData":{"DOI":"10.1016/j.neubiorev.2016.09.001","ISSN":"18737528","abstract":"Caffeine is consumed by over 80% of U.S. adults. This review examines the effects caffeine has on cognitive and physical function, since most real-world activities require complex decision making, motor processing and movement. Caffeine exerts its effects by blocking adenosine receptors. Following low (</w:instrText>
      </w:r>
      <w:r w:rsidR="00847071">
        <w:rPr>
          <w:rFonts w:ascii="Cambria Math" w:hAnsi="Cambria Math" w:cs="Cambria Math"/>
          <w:sz w:val="20"/>
          <w:szCs w:val="20"/>
        </w:rPr>
        <w:instrText>∼</w:instrText>
      </w:r>
      <w:r w:rsidR="00847071">
        <w:rPr>
          <w:rFonts w:ascii="Times New Roman" w:hAnsi="Times New Roman" w:cs="Times New Roman"/>
          <w:sz w:val="20"/>
          <w:szCs w:val="20"/>
        </w:rPr>
        <w:instrText xml:space="preserve">40 mg or </w:instrText>
      </w:r>
      <w:r w:rsidR="00847071">
        <w:rPr>
          <w:rFonts w:ascii="Cambria Math" w:hAnsi="Cambria Math" w:cs="Cambria Math"/>
          <w:sz w:val="20"/>
          <w:szCs w:val="20"/>
        </w:rPr>
        <w:instrText>∼</w:instrText>
      </w:r>
      <w:r w:rsidR="00847071">
        <w:rPr>
          <w:rFonts w:ascii="Times New Roman" w:hAnsi="Times New Roman" w:cs="Times New Roman"/>
          <w:sz w:val="20"/>
          <w:szCs w:val="20"/>
        </w:rPr>
        <w:instrText>0.5 mg kg−1) to moderate (</w:instrText>
      </w:r>
      <w:r w:rsidR="00847071">
        <w:rPr>
          <w:rFonts w:ascii="Cambria Math" w:hAnsi="Cambria Math" w:cs="Cambria Math"/>
          <w:sz w:val="20"/>
          <w:szCs w:val="20"/>
        </w:rPr>
        <w:instrText>∼</w:instrText>
      </w:r>
      <w:r w:rsidR="00847071">
        <w:rPr>
          <w:rFonts w:ascii="Times New Roman" w:hAnsi="Times New Roman" w:cs="Times New Roman"/>
          <w:sz w:val="20"/>
          <w:szCs w:val="20"/>
        </w:rPr>
        <w:instrText>300 mg or 4 mg kg−1) caffeine doses, alertness, vigilance, attention, reaction time and attention improve, but less consistent effects are observed on memory and higher-order executive function, such as judgment and decision making. Effects on physical performance on a vast array of physical performance metrics such as time-to-exhaustion, time-trial, muscle strength and endurance, and high-intensity sprints typical of team sports are evident following doses that exceed about 200 mg (</w:instrText>
      </w:r>
      <w:r w:rsidR="00847071">
        <w:rPr>
          <w:rFonts w:ascii="Cambria Math" w:hAnsi="Cambria Math" w:cs="Cambria Math"/>
          <w:sz w:val="20"/>
          <w:szCs w:val="20"/>
        </w:rPr>
        <w:instrText>∼</w:instrText>
      </w:r>
      <w:r w:rsidR="00847071">
        <w:rPr>
          <w:rFonts w:ascii="Times New Roman" w:hAnsi="Times New Roman" w:cs="Times New Roman"/>
          <w:sz w:val="20"/>
          <w:szCs w:val="20"/>
        </w:rPr>
        <w:instrText>3 mg kg−1). Many occupations, including military, first responders, transport workers and factory shift workers, require optimal physical and cognitive function to ensure success, workplace safety and productivity. In these circumstances, that may include restricted sleep, repeated administration of caffeine is an effective strategy to maintain physical and cognitive capabilities.","author":[{"dropping-particle":"","family":"McLellan","given":"Tom M.","non-dropping-particle":"","parse-names":false,"suffix":""},{"dropping-particle":"","family":"Caldwell","given":"John A.","non-dropping-particle":"","parse-names":false,"suffix":""},{"dropping-particle":"","family":"Lieberman","given":"Harris R.","non-dropping-particle":"","parse-names":false,"suffix":""}],"container-title":"Neuroscience and Biobehavioral Reviews","id":"ITEM-2","issued":{"date-parts":[["2016"]]},"title":"A review of caffeine's effects on cognitive, physical and occupational performance","type":"article","volume":"71"},"uris":["http://www.mendeley.com/documents/?uuid=fb428fa2-0377-3143-b05e-2130cdc09496"]}],"mendeley":{"formattedCitation":"(Ioannidis et al., 2014; McLellan et al., 2016)","plainTextFormattedCitation":"(Ioannidis et al., 2014; McLellan et al., 2016)","previouslyFormattedCitation":"(Ioannidis et al., 2014; McLellan et al., 2016)"},"properties":{"noteIndex":0},"schema":"https://github.com/citation-style-language/schema/raw/master/csl-citation.json"}</w:instrText>
      </w:r>
      <w:r w:rsidR="00847071">
        <w:rPr>
          <w:rFonts w:ascii="Times New Roman" w:hAnsi="Times New Roman" w:cs="Times New Roman"/>
          <w:sz w:val="20"/>
          <w:szCs w:val="20"/>
        </w:rPr>
        <w:fldChar w:fldCharType="separate"/>
      </w:r>
      <w:r w:rsidR="00847071" w:rsidRPr="00847071">
        <w:rPr>
          <w:rFonts w:ascii="Times New Roman" w:hAnsi="Times New Roman" w:cs="Times New Roman"/>
          <w:noProof/>
          <w:sz w:val="20"/>
          <w:szCs w:val="20"/>
        </w:rPr>
        <w:t>(Ioannidis et al., 2014; McLellan et al., 2016)</w:t>
      </w:r>
      <w:r w:rsidR="00847071">
        <w:rPr>
          <w:rFonts w:ascii="Times New Roman" w:hAnsi="Times New Roman" w:cs="Times New Roman"/>
          <w:sz w:val="20"/>
          <w:szCs w:val="20"/>
        </w:rPr>
        <w:fldChar w:fldCharType="end"/>
      </w:r>
      <w:r w:rsidR="00B40B49" w:rsidRPr="00982A50">
        <w:rPr>
          <w:rFonts w:ascii="Times New Roman" w:hAnsi="Times New Roman" w:cs="Times New Roman"/>
          <w:sz w:val="20"/>
          <w:szCs w:val="20"/>
        </w:rPr>
        <w:fldChar w:fldCharType="begin"/>
      </w:r>
      <w:r w:rsidR="00B40B49" w:rsidRPr="00982A50">
        <w:rPr>
          <w:rFonts w:ascii="Times New Roman" w:hAnsi="Times New Roman" w:cs="Times New Roman"/>
          <w:sz w:val="20"/>
          <w:szCs w:val="20"/>
        </w:rPr>
        <w:instrText xml:space="preserve">EN.CITE </w:instrText>
      </w:r>
      <w:r w:rsidR="00B40B49" w:rsidRPr="00982A50">
        <w:rPr>
          <w:rFonts w:ascii="Times New Roman" w:hAnsi="Times New Roman" w:cs="Times New Roman"/>
          <w:sz w:val="20"/>
          <w:szCs w:val="20"/>
        </w:rPr>
        <w:fldChar w:fldCharType="begin"/>
      </w:r>
      <w:r w:rsidR="00B40B49" w:rsidRPr="00982A50">
        <w:rPr>
          <w:rFonts w:ascii="Times New Roman" w:hAnsi="Times New Roman" w:cs="Times New Roman"/>
          <w:sz w:val="20"/>
          <w:szCs w:val="20"/>
        </w:rPr>
        <w:instrText xml:space="preserve">EN.CITE.DATA </w:instrText>
      </w:r>
      <w:r w:rsidR="00B40B49" w:rsidRPr="00982A50">
        <w:rPr>
          <w:rFonts w:ascii="Times New Roman" w:hAnsi="Times New Roman" w:cs="Times New Roman"/>
          <w:sz w:val="20"/>
          <w:szCs w:val="20"/>
        </w:rPr>
        <w:fldChar w:fldCharType="end"/>
      </w:r>
      <w:r w:rsidR="00B40B49" w:rsidRPr="00982A50">
        <w:rPr>
          <w:rFonts w:ascii="Times New Roman" w:hAnsi="Times New Roman" w:cs="Times New Roman"/>
          <w:sz w:val="20"/>
          <w:szCs w:val="20"/>
        </w:rPr>
        <w:fldChar w:fldCharType="separate"/>
      </w:r>
      <w:r w:rsidR="00B40B49" w:rsidRPr="00982A50">
        <w:rPr>
          <w:rFonts w:ascii="Times New Roman" w:hAnsi="Times New Roman" w:cs="Times New Roman"/>
          <w:noProof/>
          <w:sz w:val="20"/>
          <w:szCs w:val="20"/>
        </w:rPr>
        <w:t>(Ioannidis</w:t>
      </w:r>
      <w:r w:rsidR="00B7162D" w:rsidRPr="00982A50">
        <w:rPr>
          <w:rFonts w:ascii="Times New Roman" w:hAnsi="Times New Roman" w:cs="Times New Roman"/>
          <w:noProof/>
          <w:sz w:val="20"/>
          <w:szCs w:val="20"/>
        </w:rPr>
        <w:t xml:space="preserve"> et al</w:t>
      </w:r>
      <w:r w:rsidR="00272FBB" w:rsidRPr="00982A50">
        <w:rPr>
          <w:rFonts w:ascii="Times New Roman" w:hAnsi="Times New Roman" w:cs="Times New Roman"/>
          <w:noProof/>
          <w:sz w:val="20"/>
          <w:szCs w:val="20"/>
        </w:rPr>
        <w:t>.</w:t>
      </w:r>
      <w:r w:rsidR="00B40B49" w:rsidRPr="00982A50">
        <w:rPr>
          <w:rFonts w:ascii="Times New Roman" w:hAnsi="Times New Roman" w:cs="Times New Roman"/>
          <w:noProof/>
          <w:sz w:val="20"/>
          <w:szCs w:val="20"/>
        </w:rPr>
        <w:t>, 2014; McLellan</w:t>
      </w:r>
      <w:r w:rsidR="00B7162D" w:rsidRPr="00982A50">
        <w:rPr>
          <w:rFonts w:ascii="Times New Roman" w:hAnsi="Times New Roman" w:cs="Times New Roman"/>
          <w:noProof/>
          <w:sz w:val="20"/>
          <w:szCs w:val="20"/>
        </w:rPr>
        <w:t xml:space="preserve"> et al</w:t>
      </w:r>
      <w:r w:rsidR="00272FBB" w:rsidRPr="00982A50">
        <w:rPr>
          <w:rFonts w:ascii="Times New Roman" w:hAnsi="Times New Roman" w:cs="Times New Roman"/>
          <w:noProof/>
          <w:sz w:val="20"/>
          <w:szCs w:val="20"/>
        </w:rPr>
        <w:t>.</w:t>
      </w:r>
      <w:r w:rsidR="00B7162D" w:rsidRPr="00982A50">
        <w:rPr>
          <w:rFonts w:ascii="Times New Roman" w:hAnsi="Times New Roman" w:cs="Times New Roman"/>
          <w:noProof/>
          <w:sz w:val="20"/>
          <w:szCs w:val="20"/>
        </w:rPr>
        <w:t>,</w:t>
      </w:r>
      <w:r w:rsidR="00B40B49" w:rsidRPr="00982A50">
        <w:rPr>
          <w:rFonts w:ascii="Times New Roman" w:hAnsi="Times New Roman" w:cs="Times New Roman"/>
          <w:noProof/>
          <w:sz w:val="20"/>
          <w:szCs w:val="20"/>
        </w:rPr>
        <w:t xml:space="preserve"> 2016)</w:t>
      </w:r>
      <w:r w:rsidR="00B40B49" w:rsidRPr="00982A50">
        <w:rPr>
          <w:rFonts w:ascii="Times New Roman" w:hAnsi="Times New Roman" w:cs="Times New Roman"/>
          <w:sz w:val="20"/>
          <w:szCs w:val="20"/>
        </w:rPr>
        <w:fldChar w:fldCharType="end"/>
      </w:r>
      <w:r w:rsidR="00256EF8" w:rsidRPr="00982A50">
        <w:rPr>
          <w:rFonts w:ascii="Times New Roman" w:hAnsi="Times New Roman" w:cs="Times New Roman"/>
          <w:sz w:val="20"/>
          <w:szCs w:val="20"/>
        </w:rPr>
        <w:t>.</w:t>
      </w:r>
      <w:r w:rsidR="00AE0CF7" w:rsidRPr="00982A50">
        <w:rPr>
          <w:rFonts w:ascii="Times New Roman" w:hAnsi="Times New Roman" w:cs="Times New Roman"/>
          <w:sz w:val="20"/>
          <w:szCs w:val="20"/>
        </w:rPr>
        <w:t xml:space="preserve"> Caffeine is widely used throughout the world for its alerting properties </w:t>
      </w:r>
      <w:r w:rsidR="00BC45C2">
        <w:rPr>
          <w:rFonts w:ascii="Times New Roman" w:hAnsi="Times New Roman" w:cs="Times New Roman"/>
          <w:sz w:val="20"/>
          <w:szCs w:val="20"/>
        </w:rPr>
        <w:fldChar w:fldCharType="begin" w:fldLock="1"/>
      </w:r>
      <w:r w:rsidR="00BC45C2">
        <w:rPr>
          <w:rFonts w:ascii="Times New Roman" w:hAnsi="Times New Roman" w:cs="Times New Roman"/>
          <w:sz w:val="20"/>
          <w:szCs w:val="20"/>
        </w:rPr>
        <w:instrText>ADDIN CSL_CITATION {"citationItems":[{"id":"ITEM-1","itemData":{"DOI":"10.1177/0269881114541014","ISSN":"14617285","PMID":"24989644","abstract":"Caffeine is one of the most widespread psychotropic substances in the world. It exerts multiple effects on the brain including adenosine receptor antagonism, and thereby has been found to modulate aspects of cognition, including attention, in animal models and in healthy human volunteers. This review considers what is known of the effects of caffeine on symptoms and cognitive functions in attention-deficit hyperactivity disorder (ADHD), a prototypical disorder of cognitive dysfunction. We consider the merits of investigating further caffeine's therapeutic potential as a monotherapy or as an adjunctive agent in ADHD. The potential benefits of re-opening a dialogue regarding the use of caffeine in ADHD clinical practice are highlighted, along with potential implications for the use of adenosine receptor antagonists in ADHD and other disorders characterised by cognitive impairment. © The Author(s) 2014.","author":[{"dropping-particle":"","family":"Ioannidis","given":"Konstantinos","non-dropping-particle":"","parse-names":false,"suffix":""},{"dropping-particle":"","family":"Chamberlain","given":"Samuel R.","non-dropping-particle":"","parse-names":false,"suffix":""},{"dropping-particle":"","family":"Müller","given":"Ulrich","non-dropping-particle":"","parse-names":false,"suffix":""}],"container-title":"Journal of Psychopharmacology","id":"ITEM-1","issued":{"date-parts":[["2014"]]},"title":"Ostracising caffeine from the pharmacological arsenal for attention-deficit hyperactivity disorder - Was this a correct decision? A literature review","type":"article"},"uris":["http://www.mendeley.com/documents/?uuid=f4eb79df-b4d7-4479-9c14-3bcbbcd527f3"]}],"mendeley":{"formattedCitation":"(Ioannidis et al., 2014)","plainTextFormattedCitation":"(Ioannidis et al., 2014)","previouslyFormattedCitation":"(Ioannidis et al., 2014)"},"properties":{"noteIndex":0},"schema":"https://github.com/citation-style-language/schema/raw/master/csl-citation.json"}</w:instrText>
      </w:r>
      <w:r w:rsidR="00BC45C2">
        <w:rPr>
          <w:rFonts w:ascii="Times New Roman" w:hAnsi="Times New Roman" w:cs="Times New Roman"/>
          <w:sz w:val="20"/>
          <w:szCs w:val="20"/>
        </w:rPr>
        <w:fldChar w:fldCharType="separate"/>
      </w:r>
      <w:r w:rsidR="00BC45C2" w:rsidRPr="00BC45C2">
        <w:rPr>
          <w:rFonts w:ascii="Times New Roman" w:hAnsi="Times New Roman" w:cs="Times New Roman"/>
          <w:noProof/>
          <w:sz w:val="20"/>
          <w:szCs w:val="20"/>
        </w:rPr>
        <w:t>(Ioannidis et al., 2014)</w:t>
      </w:r>
      <w:r w:rsidR="00BC45C2">
        <w:rPr>
          <w:rFonts w:ascii="Times New Roman" w:hAnsi="Times New Roman" w:cs="Times New Roman"/>
          <w:sz w:val="20"/>
          <w:szCs w:val="20"/>
        </w:rPr>
        <w:fldChar w:fldCharType="end"/>
      </w:r>
      <w:r w:rsidR="00AE0CF7" w:rsidRPr="00982A50">
        <w:rPr>
          <w:rFonts w:ascii="Times New Roman" w:hAnsi="Times New Roman" w:cs="Times New Roman"/>
          <w:sz w:val="20"/>
          <w:szCs w:val="20"/>
        </w:rPr>
        <w:t xml:space="preserve"> but its effects on cognition are </w:t>
      </w:r>
      <w:r w:rsidR="001F6CB7" w:rsidRPr="00982A50">
        <w:rPr>
          <w:rFonts w:ascii="Times New Roman" w:hAnsi="Times New Roman" w:cs="Times New Roman"/>
          <w:sz w:val="20"/>
          <w:szCs w:val="20"/>
        </w:rPr>
        <w:t>mixed and further research is needed. For example, there is consensus that caffeine improves reaction time</w:t>
      </w:r>
      <w:r w:rsidR="00A73540" w:rsidRPr="00982A50">
        <w:rPr>
          <w:rFonts w:ascii="Times New Roman" w:hAnsi="Times New Roman" w:cs="Times New Roman"/>
          <w:sz w:val="20"/>
          <w:szCs w:val="20"/>
        </w:rPr>
        <w:t xml:space="preserve"> </w:t>
      </w:r>
      <w:r w:rsidR="001F6CB7" w:rsidRPr="00982A50">
        <w:rPr>
          <w:rFonts w:ascii="Times New Roman" w:hAnsi="Times New Roman" w:cs="Times New Roman"/>
          <w:sz w:val="20"/>
          <w:szCs w:val="20"/>
        </w:rPr>
        <w:t xml:space="preserve">and vigilance </w:t>
      </w:r>
      <w:r w:rsidR="00A977DB">
        <w:rPr>
          <w:rFonts w:ascii="Times New Roman" w:hAnsi="Times New Roman" w:cs="Times New Roman"/>
          <w:sz w:val="20"/>
          <w:szCs w:val="20"/>
        </w:rPr>
        <w:fldChar w:fldCharType="begin" w:fldLock="1"/>
      </w:r>
      <w:r w:rsidR="00A977DB">
        <w:rPr>
          <w:rFonts w:ascii="Times New Roman" w:hAnsi="Times New Roman" w:cs="Times New Roman"/>
          <w:sz w:val="20"/>
          <w:szCs w:val="20"/>
        </w:rPr>
        <w:instrText>ADDIN CSL_CITATION {"citationItems":[{"id":"ITEM-1","itemData":{"DOI":"10.1016/j.neubiorev.2016.09.001","ISSN":"18737528","abstract":"Caffeine is consumed by over 80% of U.S. adults. This review examines the effects caffeine has on cognitive and physical function, since most real-world activities require complex decision making, motor processing and movement. Caffeine exerts its effects by blocking adenosine receptors. Following low (</w:instrText>
      </w:r>
      <w:r w:rsidR="00A977DB">
        <w:rPr>
          <w:rFonts w:ascii="Cambria Math" w:hAnsi="Cambria Math" w:cs="Cambria Math"/>
          <w:sz w:val="20"/>
          <w:szCs w:val="20"/>
        </w:rPr>
        <w:instrText>∼</w:instrText>
      </w:r>
      <w:r w:rsidR="00A977DB">
        <w:rPr>
          <w:rFonts w:ascii="Times New Roman" w:hAnsi="Times New Roman" w:cs="Times New Roman"/>
          <w:sz w:val="20"/>
          <w:szCs w:val="20"/>
        </w:rPr>
        <w:instrText xml:space="preserve">40 mg or </w:instrText>
      </w:r>
      <w:r w:rsidR="00A977DB">
        <w:rPr>
          <w:rFonts w:ascii="Cambria Math" w:hAnsi="Cambria Math" w:cs="Cambria Math"/>
          <w:sz w:val="20"/>
          <w:szCs w:val="20"/>
        </w:rPr>
        <w:instrText>∼</w:instrText>
      </w:r>
      <w:r w:rsidR="00A977DB">
        <w:rPr>
          <w:rFonts w:ascii="Times New Roman" w:hAnsi="Times New Roman" w:cs="Times New Roman"/>
          <w:sz w:val="20"/>
          <w:szCs w:val="20"/>
        </w:rPr>
        <w:instrText>0.5 mg kg−1) to moderate (</w:instrText>
      </w:r>
      <w:r w:rsidR="00A977DB">
        <w:rPr>
          <w:rFonts w:ascii="Cambria Math" w:hAnsi="Cambria Math" w:cs="Cambria Math"/>
          <w:sz w:val="20"/>
          <w:szCs w:val="20"/>
        </w:rPr>
        <w:instrText>∼</w:instrText>
      </w:r>
      <w:r w:rsidR="00A977DB">
        <w:rPr>
          <w:rFonts w:ascii="Times New Roman" w:hAnsi="Times New Roman" w:cs="Times New Roman"/>
          <w:sz w:val="20"/>
          <w:szCs w:val="20"/>
        </w:rPr>
        <w:instrText>300 mg or 4 mg kg−1) caffeine doses, alertness, vigilance, attention, reaction time and attention improve, but less consistent effects are observed on memory and higher-order executive function, such as judgment and decision making. Effects on physical performance on a vast array of physical performance metrics such as time-to-exhaustion, time-trial, muscle strength and endurance, and high-intensity sprints typical of team sports are evident following doses that exceed about 200 mg (</w:instrText>
      </w:r>
      <w:r w:rsidR="00A977DB">
        <w:rPr>
          <w:rFonts w:ascii="Cambria Math" w:hAnsi="Cambria Math" w:cs="Cambria Math"/>
          <w:sz w:val="20"/>
          <w:szCs w:val="20"/>
        </w:rPr>
        <w:instrText>∼</w:instrText>
      </w:r>
      <w:r w:rsidR="00A977DB">
        <w:rPr>
          <w:rFonts w:ascii="Times New Roman" w:hAnsi="Times New Roman" w:cs="Times New Roman"/>
          <w:sz w:val="20"/>
          <w:szCs w:val="20"/>
        </w:rPr>
        <w:instrText>3 mg kg−1). Many occupations, including military, first responders, transport workers and factory shift workers, require optimal physical and cognitive function to ensure success, workplace safety and productivity. In these circumstances, that may include restricted sleep, repeated administration of caffeine is an effective strategy to maintain physical and cognitive capabilities.","author":[{"dropping-particle":"","family":"McLellan","given":"Tom M.","non-dropping-particle":"","parse-names":false,"suffix":""},{"dropping-particle":"","family":"Caldwell","given":"John A.","non-dropping-particle":"","parse-names":false,"suffix":""},{"dropping-particle":"","family":"Lieberman","given":"Harris R.","non-dropping-particle":"","parse-names":false,"suffix":""}],"container-title":"Neuroscience and Biobehavioral Reviews","id":"ITEM-1","issued":{"date-parts":[["2016"]]},"title":"A review of caffeine's effects on cognitive, physical and occupational performance","type":"article","volume":"71"},"uris":["http://www.mendeley.com/documents/?uuid=fb428fa2-0377-3143-b05e-2130cdc09496"]},{"id":"ITEM-2","itemData":{"DOI":"10.1201/b14669","abstract":"Abstract: The functions and food sources of Vitamin A are outlined in this handout adapted from material developed by the Cooperative Extension Service at Cornell University. Vitamin A is important for good vision at night, resistance to infection, and healthy skin. Pregnant women and children also need vitamin A to grow properly. Good food sources of vitamin A include dark-green and yellow-orange vegetables and fruits. Infants can get vitamin A from formula or breastmilk, as well as from strained liver and yellow-orange vegetables. Handouts are available in Chinese, Laotian, Vietnamese, and Cambodian. Each is written in a two-language format, with the major language and English printed opposite one another on each page.","container-title":"Encyclopedia of Dietary Supplements","id":"ITEM-2","issued":{"date-parts":[["2010"]]},"title":"Encyclopedia of Dietary Supplements","type":"book"},"uris":["http://www.mendeley.com/documents/?uuid=ab2b102f-0898-3548-b371-9f329c56bee5"]}],"mendeley":{"formattedCitation":"(&lt;i&gt;Encycl. Diet. Suppl.&lt;/i&gt;, 2010; McLellan et al., 2016)","plainTextFormattedCitation":"(Encycl. Diet. Suppl., 2010; McLellan et al., 2016)","previouslyFormattedCitation":"(&lt;i&gt;Encycl. Diet. Suppl.&lt;/i&gt;, 2010; McLellan et al., 2016)"},"properties":{"noteIndex":0},"schema":"https://github.com/citation-style-language/schema/raw/master/csl-citation.json"}</w:instrText>
      </w:r>
      <w:r w:rsidR="00A977DB">
        <w:rPr>
          <w:rFonts w:ascii="Times New Roman" w:hAnsi="Times New Roman" w:cs="Times New Roman"/>
          <w:sz w:val="20"/>
          <w:szCs w:val="20"/>
        </w:rPr>
        <w:fldChar w:fldCharType="separate"/>
      </w:r>
      <w:r w:rsidR="00A977DB" w:rsidRPr="00A977DB">
        <w:rPr>
          <w:rFonts w:ascii="Times New Roman" w:hAnsi="Times New Roman" w:cs="Times New Roman"/>
          <w:noProof/>
          <w:sz w:val="20"/>
          <w:szCs w:val="20"/>
        </w:rPr>
        <w:t>(</w:t>
      </w:r>
      <w:r w:rsidR="00A977DB" w:rsidRPr="00A977DB">
        <w:rPr>
          <w:rFonts w:ascii="Times New Roman" w:hAnsi="Times New Roman" w:cs="Times New Roman"/>
          <w:i/>
          <w:noProof/>
          <w:sz w:val="20"/>
          <w:szCs w:val="20"/>
        </w:rPr>
        <w:t>Encycl. Diet. Suppl.</w:t>
      </w:r>
      <w:r w:rsidR="00A977DB" w:rsidRPr="00A977DB">
        <w:rPr>
          <w:rFonts w:ascii="Times New Roman" w:hAnsi="Times New Roman" w:cs="Times New Roman"/>
          <w:noProof/>
          <w:sz w:val="20"/>
          <w:szCs w:val="20"/>
        </w:rPr>
        <w:t>, 2010; McLellan et al., 2016)</w:t>
      </w:r>
      <w:r w:rsidR="00A977DB">
        <w:rPr>
          <w:rFonts w:ascii="Times New Roman" w:hAnsi="Times New Roman" w:cs="Times New Roman"/>
          <w:sz w:val="20"/>
          <w:szCs w:val="20"/>
        </w:rPr>
        <w:fldChar w:fldCharType="end"/>
      </w:r>
      <w:r w:rsidR="001F6CB7" w:rsidRPr="00982A50">
        <w:rPr>
          <w:rFonts w:ascii="Times New Roman" w:hAnsi="Times New Roman" w:cs="Times New Roman"/>
          <w:sz w:val="20"/>
          <w:szCs w:val="20"/>
        </w:rPr>
        <w:t xml:space="preserve">, </w:t>
      </w:r>
      <w:r w:rsidR="000D5E9C" w:rsidRPr="00982A50">
        <w:rPr>
          <w:rFonts w:ascii="Times New Roman" w:hAnsi="Times New Roman" w:cs="Times New Roman"/>
          <w:sz w:val="20"/>
          <w:szCs w:val="20"/>
        </w:rPr>
        <w:t xml:space="preserve">while its effects on memory and executive function are </w:t>
      </w:r>
      <w:r w:rsidR="005D643F" w:rsidRPr="00982A50">
        <w:rPr>
          <w:rFonts w:ascii="Times New Roman" w:hAnsi="Times New Roman" w:cs="Times New Roman"/>
          <w:sz w:val="20"/>
          <w:szCs w:val="20"/>
        </w:rPr>
        <w:t>less consistent</w:t>
      </w:r>
      <w:r w:rsidR="000D5E9C" w:rsidRPr="00982A50">
        <w:rPr>
          <w:rFonts w:ascii="Times New Roman" w:hAnsi="Times New Roman" w:cs="Times New Roman"/>
          <w:sz w:val="20"/>
          <w:szCs w:val="20"/>
        </w:rPr>
        <w:t xml:space="preserve"> </w:t>
      </w:r>
      <w:r w:rsidR="00BC45C2">
        <w:rPr>
          <w:rFonts w:ascii="Times New Roman" w:hAnsi="Times New Roman" w:cs="Times New Roman"/>
          <w:sz w:val="20"/>
          <w:szCs w:val="20"/>
        </w:rPr>
        <w:fldChar w:fldCharType="begin" w:fldLock="1"/>
      </w:r>
      <w:r w:rsidR="00EF34E9">
        <w:rPr>
          <w:rFonts w:ascii="Times New Roman" w:hAnsi="Times New Roman" w:cs="Times New Roman"/>
          <w:sz w:val="20"/>
          <w:szCs w:val="20"/>
        </w:rPr>
        <w:instrText>ADDIN CSL_CITATION {"citationItems":[{"id":"ITEM-1","itemData":{"DOI":"10.1016/j.neubiorev.2016.09.001","ISSN":"18737528","abstract":"Caffeine is consumed by over 80% of U.S. adults. This review examines the effects caffeine has on cognitive and physical function, since most real-world activities require complex decision making, motor processing and movement. Caffeine exerts its effects by blocking adenosine receptors. Following low (</w:instrText>
      </w:r>
      <w:r w:rsidR="00EF34E9">
        <w:rPr>
          <w:rFonts w:ascii="Cambria Math" w:hAnsi="Cambria Math" w:cs="Cambria Math"/>
          <w:sz w:val="20"/>
          <w:szCs w:val="20"/>
        </w:rPr>
        <w:instrText>∼</w:instrText>
      </w:r>
      <w:r w:rsidR="00EF34E9">
        <w:rPr>
          <w:rFonts w:ascii="Times New Roman" w:hAnsi="Times New Roman" w:cs="Times New Roman"/>
          <w:sz w:val="20"/>
          <w:szCs w:val="20"/>
        </w:rPr>
        <w:instrText xml:space="preserve">40 mg or </w:instrText>
      </w:r>
      <w:r w:rsidR="00EF34E9">
        <w:rPr>
          <w:rFonts w:ascii="Cambria Math" w:hAnsi="Cambria Math" w:cs="Cambria Math"/>
          <w:sz w:val="20"/>
          <w:szCs w:val="20"/>
        </w:rPr>
        <w:instrText>∼</w:instrText>
      </w:r>
      <w:r w:rsidR="00EF34E9">
        <w:rPr>
          <w:rFonts w:ascii="Times New Roman" w:hAnsi="Times New Roman" w:cs="Times New Roman"/>
          <w:sz w:val="20"/>
          <w:szCs w:val="20"/>
        </w:rPr>
        <w:instrText>0.5 mg kg−1) to moderate (</w:instrText>
      </w:r>
      <w:r w:rsidR="00EF34E9">
        <w:rPr>
          <w:rFonts w:ascii="Cambria Math" w:hAnsi="Cambria Math" w:cs="Cambria Math"/>
          <w:sz w:val="20"/>
          <w:szCs w:val="20"/>
        </w:rPr>
        <w:instrText>∼</w:instrText>
      </w:r>
      <w:r w:rsidR="00EF34E9">
        <w:rPr>
          <w:rFonts w:ascii="Times New Roman" w:hAnsi="Times New Roman" w:cs="Times New Roman"/>
          <w:sz w:val="20"/>
          <w:szCs w:val="20"/>
        </w:rPr>
        <w:instrText>300 mg or 4 mg kg−1) caffeine doses, alertness, vigilance, attention, reaction time and attention improve, but less consistent effects are observed on memory and higher-order executive function, such as judgment and decision making. Effects on physical performance on a vast array of physical performance metrics such as time-to-exhaustion, time-trial, muscle strength and endurance, and high-intensity sprints typical of team sports are evident following doses that exceed about 200 mg (</w:instrText>
      </w:r>
      <w:r w:rsidR="00EF34E9">
        <w:rPr>
          <w:rFonts w:ascii="Cambria Math" w:hAnsi="Cambria Math" w:cs="Cambria Math"/>
          <w:sz w:val="20"/>
          <w:szCs w:val="20"/>
        </w:rPr>
        <w:instrText>∼</w:instrText>
      </w:r>
      <w:r w:rsidR="00EF34E9">
        <w:rPr>
          <w:rFonts w:ascii="Times New Roman" w:hAnsi="Times New Roman" w:cs="Times New Roman"/>
          <w:sz w:val="20"/>
          <w:szCs w:val="20"/>
        </w:rPr>
        <w:instrText>3 mg kg−1). Many occupations, including military, first responders, transport workers and factory shift workers, require optimal physical and cognitive function to ensure success, workplace safety and productivity. In these circumstances, that may include restricted sleep, repeated administration of caffeine is an effective strategy to maintain physical and cognitive capabilities.","author":[{"dropping-particle":"","family":"McLellan","given":"Tom M.","non-dropping-particle":"","parse-names":false,"suffix":""},{"dropping-particle":"","family":"Caldwell","given":"John A.","non-dropping-particle":"","parse-names":false,"suffix":""},{"dropping-particle":"","family":"Lieberman","given":"Harris R.","non-dropping-particle":"","parse-names":false,"suffix":""}],"container-title":"Neuroscience and Biobehavioral Reviews","id":"ITEM-1","issued":{"date-parts":[["2016"]]},"title":"A review of caffeine's effects on cognitive, physical and occupational performance","type":"article","volume":"71"},"uris":["http://www.mendeley.com/documents/?uuid=fb428fa2-0377-3143-b05e-2130cdc09496"]}],"mendeley":{"formattedCitation":"(McLellan et al., 2016)","plainTextFormattedCitation":"(McLellan et al., 2016)","previouslyFormattedCitation":"(McLellan et al., 2016)"},"properties":{"noteIndex":0},"schema":"https://github.com/citation-style-language/schema/raw/master/csl-citation.json"}</w:instrText>
      </w:r>
      <w:r w:rsidR="00BC45C2">
        <w:rPr>
          <w:rFonts w:ascii="Times New Roman" w:hAnsi="Times New Roman" w:cs="Times New Roman"/>
          <w:sz w:val="20"/>
          <w:szCs w:val="20"/>
        </w:rPr>
        <w:fldChar w:fldCharType="separate"/>
      </w:r>
      <w:r w:rsidR="00BC45C2" w:rsidRPr="00BC45C2">
        <w:rPr>
          <w:rFonts w:ascii="Times New Roman" w:hAnsi="Times New Roman" w:cs="Times New Roman"/>
          <w:noProof/>
          <w:sz w:val="20"/>
          <w:szCs w:val="20"/>
        </w:rPr>
        <w:t>(McLellan et al., 2016)</w:t>
      </w:r>
      <w:r w:rsidR="00BC45C2">
        <w:rPr>
          <w:rFonts w:ascii="Times New Roman" w:hAnsi="Times New Roman" w:cs="Times New Roman"/>
          <w:sz w:val="20"/>
          <w:szCs w:val="20"/>
        </w:rPr>
        <w:fldChar w:fldCharType="end"/>
      </w:r>
      <w:r w:rsidR="000D5E9C" w:rsidRPr="00982A50">
        <w:rPr>
          <w:rFonts w:ascii="Times New Roman" w:hAnsi="Times New Roman" w:cs="Times New Roman"/>
          <w:sz w:val="20"/>
          <w:szCs w:val="20"/>
        </w:rPr>
        <w:t>.</w:t>
      </w:r>
    </w:p>
    <w:p w14:paraId="601E759E" w14:textId="1597A819" w:rsidR="00644190" w:rsidRPr="00982A50" w:rsidRDefault="00AD1B1C" w:rsidP="003003B7">
      <w:pPr>
        <w:spacing w:line="480" w:lineRule="auto"/>
        <w:ind w:firstLine="960"/>
        <w:jc w:val="left"/>
        <w:rPr>
          <w:rFonts w:ascii="Times New Roman" w:hAnsi="Times New Roman" w:cs="Times New Roman"/>
          <w:sz w:val="20"/>
          <w:szCs w:val="20"/>
        </w:rPr>
      </w:pPr>
      <w:r>
        <w:rPr>
          <w:rFonts w:ascii="Times New Roman" w:hAnsi="Times New Roman" w:cs="Times New Roman"/>
          <w:sz w:val="20"/>
          <w:szCs w:val="20"/>
        </w:rPr>
        <w:t>I</w:t>
      </w:r>
      <w:r w:rsidR="00644190">
        <w:rPr>
          <w:rFonts w:ascii="Times New Roman" w:hAnsi="Times New Roman" w:cs="Times New Roman"/>
          <w:sz w:val="20"/>
          <w:szCs w:val="20"/>
        </w:rPr>
        <w:t>t is known that adenosine receptors are highly expressed throughout the brain, and that adenosine plays a role in processes such as sleep</w:t>
      </w:r>
      <w:r w:rsidR="0099463B">
        <w:rPr>
          <w:rFonts w:ascii="Times New Roman" w:hAnsi="Times New Roman" w:cs="Times New Roman"/>
          <w:sz w:val="20"/>
          <w:szCs w:val="20"/>
        </w:rPr>
        <w:t xml:space="preserve"> and</w:t>
      </w:r>
      <w:r w:rsidR="00644190">
        <w:rPr>
          <w:rFonts w:ascii="Times New Roman" w:hAnsi="Times New Roman" w:cs="Times New Roman"/>
          <w:sz w:val="20"/>
          <w:szCs w:val="20"/>
        </w:rPr>
        <w:t xml:space="preserve"> arousal </w:t>
      </w:r>
      <w:r w:rsidR="006110DE">
        <w:rPr>
          <w:rFonts w:ascii="Times New Roman" w:hAnsi="Times New Roman" w:cs="Times New Roman"/>
          <w:sz w:val="20"/>
          <w:szCs w:val="20"/>
        </w:rPr>
        <w:fldChar w:fldCharType="begin" w:fldLock="1"/>
      </w:r>
      <w:r w:rsidR="006110DE">
        <w:rPr>
          <w:rFonts w:ascii="Times New Roman" w:hAnsi="Times New Roman" w:cs="Times New Roman"/>
          <w:sz w:val="20"/>
          <w:szCs w:val="20"/>
        </w:rPr>
        <w:instrText>ADDIN CSL_CITATION {"citationItems":[{"id":"ITEM-1","itemData":{"DOI":"10.2174/156802611795347591","ISSN":"15680266","abstract":"Adenosine is a naturally occurring nucleoside present ubiquitously throughout the body as a metabolic intermediate. Besides its metabolic role within the cells, adenosine is released into the extracellular space either by neurons or astrocytes acting as a neuromodulator. Extracellular adenosine exerts its action by activating multiple G-protein coupled receptors (subtypes A1, A2A, A2B and A3) having a wide range of physiological effects in the brain. Adenosine levels rise markedly in response to ischemia, hypoxia, excitotoxicity or inflammation being a neuroprotectant under these conditions. However, adenosine may also contribute to neuronal damage and cell death in other circumstances. These actions are firmly established using multiple animal models. Therefore, increasing attention is now given to the role of adenosine in human brain function and its potential benefit for clinical applications. This RE covers recent studies undertaken mostly in humans revealing the actions of adenosine and related drugs in cognition and memory as well as in various pathological situations such as psychiatric disorders, drug addiction and neurodegenerative disorders. The actual use of adenosine or adenosine receptor ligands in ongoing clinical trials for the treatment of schizophrenia, panic disorder and anxiety, cocaine dependence and Parkinson's disease is discussed. The evidence herein REed highlights the promising potential of adenosine or adenosine receptor ligands as therapeutic agents in several brain disorders. © 2011 Bentham Science Publishers Ltd.","author":[{"dropping-particle":"","family":"Lopes","given":"Luisa","non-dropping-particle":"V.","parse-names":false,"suffix":""},{"dropping-particle":"","family":"M. Sebastiao","given":"Ana","non-dropping-particle":"","parse-names":false,"suffix":""},{"dropping-particle":"","family":"A. Ribeiro","given":"Joaquim","non-dropping-particle":"","parse-names":false,"suffix":""}],"container-title":"Current Topics in Medicinal Chemistry","id":"ITEM-1","issue":"8","issued":{"date-parts":[["2011"]]},"title":"Adenosine and Related Drugs in Brain Diseases: Present and Future in Clinical Trials","type":"article-journal","volume":"11"},"uris":["http://www.mendeley.com/documents/?uuid=5b0634bd-9a6a-3fa0-9728-571475e8e802"]}],"mendeley":{"formattedCitation":"(V. Lopes et al., 2011)","manualFormatting":"(Lopes et al., 2011)","plainTextFormattedCitation":"(V. Lopes et al., 2011)","previouslyFormattedCitation":"(V. Lopes et al., 2011)"},"properties":{"noteIndex":0},"schema":"https://github.com/citation-style-language/schema/raw/master/csl-citation.json"}</w:instrText>
      </w:r>
      <w:r w:rsidR="006110DE">
        <w:rPr>
          <w:rFonts w:ascii="Times New Roman" w:hAnsi="Times New Roman" w:cs="Times New Roman"/>
          <w:sz w:val="20"/>
          <w:szCs w:val="20"/>
        </w:rPr>
        <w:fldChar w:fldCharType="separate"/>
      </w:r>
      <w:r w:rsidR="006110DE" w:rsidRPr="006110DE">
        <w:rPr>
          <w:rFonts w:ascii="Times New Roman" w:hAnsi="Times New Roman" w:cs="Times New Roman"/>
          <w:noProof/>
          <w:sz w:val="20"/>
          <w:szCs w:val="20"/>
        </w:rPr>
        <w:t>(Lopes et al., 2011)</w:t>
      </w:r>
      <w:r w:rsidR="006110DE">
        <w:rPr>
          <w:rFonts w:ascii="Times New Roman" w:hAnsi="Times New Roman" w:cs="Times New Roman"/>
          <w:sz w:val="20"/>
          <w:szCs w:val="20"/>
        </w:rPr>
        <w:fldChar w:fldCharType="end"/>
      </w:r>
      <w:r w:rsidR="00644190">
        <w:rPr>
          <w:rFonts w:ascii="Times New Roman" w:hAnsi="Times New Roman" w:cs="Times New Roman"/>
          <w:sz w:val="20"/>
          <w:szCs w:val="20"/>
        </w:rPr>
        <w:t>,</w:t>
      </w:r>
      <w:r>
        <w:rPr>
          <w:rFonts w:ascii="Times New Roman" w:hAnsi="Times New Roman" w:cs="Times New Roman"/>
          <w:sz w:val="20"/>
          <w:szCs w:val="20"/>
        </w:rPr>
        <w:t xml:space="preserve"> but</w:t>
      </w:r>
      <w:r w:rsidR="00644190">
        <w:rPr>
          <w:rFonts w:ascii="Times New Roman" w:hAnsi="Times New Roman" w:cs="Times New Roman"/>
          <w:sz w:val="20"/>
          <w:szCs w:val="20"/>
        </w:rPr>
        <w:t xml:space="preserve"> less is known about the </w:t>
      </w:r>
      <w:r w:rsidR="0099463B">
        <w:rPr>
          <w:rFonts w:ascii="Times New Roman" w:hAnsi="Times New Roman" w:cs="Times New Roman"/>
          <w:sz w:val="20"/>
          <w:szCs w:val="20"/>
        </w:rPr>
        <w:t xml:space="preserve">specific functions </w:t>
      </w:r>
      <w:r w:rsidR="00644190">
        <w:rPr>
          <w:rFonts w:ascii="Times New Roman" w:hAnsi="Times New Roman" w:cs="Times New Roman"/>
          <w:sz w:val="20"/>
          <w:szCs w:val="20"/>
        </w:rPr>
        <w:t xml:space="preserve">of A2A receptors. There is some evidence from animal studies for the involvement of A2A receptors in drug addiction </w:t>
      </w:r>
      <w:r w:rsidR="006110DE">
        <w:rPr>
          <w:rFonts w:ascii="Times New Roman" w:hAnsi="Times New Roman" w:cs="Times New Roman"/>
          <w:sz w:val="20"/>
          <w:szCs w:val="20"/>
        </w:rPr>
        <w:fldChar w:fldCharType="begin" w:fldLock="1"/>
      </w:r>
      <w:r w:rsidR="00A323DC">
        <w:rPr>
          <w:rFonts w:ascii="Times New Roman" w:hAnsi="Times New Roman" w:cs="Times New Roman"/>
          <w:sz w:val="20"/>
          <w:szCs w:val="20"/>
        </w:rPr>
        <w:instrText>ADDIN CSL_CITATION {"citationItems":[{"id":"ITEM-1","itemData":{"DOI":"10.2174/156802611795347591","ISSN":"15680266","abstract":"Adenosine is a naturally occurring nucleoside present ubiquitously throughout the body as a metabolic intermediate. Besides its metabolic role within the cells, adenosine is released into the extracellular space either by neurons or astrocytes acting as a neuromodulator. Extracellular adenosine exerts its action by activating multiple G-protein coupled receptors (subtypes A1, A2A, A2B and A3) having a wide range of physiological effects in the brain. Adenosine levels rise markedly in response to ischemia, hypoxia, excitotoxicity or inflammation being a neuroprotectant under these conditions. However, adenosine may also contribute to neuronal damage and cell death in other circumstances. These actions are firmly established using multiple animal models. Therefore, increasing attention is now given to the role of adenosine in human brain function and its potential benefit for clinical applications. This RE covers recent studies undertaken mostly in humans revealing the actions of adenosine and related drugs in cognition and memory as well as in various pathological situations such as psychiatric disorders, drug addiction and neurodegenerative disorders. The actual use of adenosine or adenosine receptor ligands in ongoing clinical trials for the treatment of schizophrenia, panic disorder and anxiety, cocaine dependence and Parkinson's disease is discussed. The evidence herein REed highlights the promising potential of adenosine or adenosine receptor ligands as therapeutic agents in several brain disorders. © 2011 Bentham Science Publishers Ltd.","author":[{"dropping-particle":"","family":"Lopes","given":"Luisa","non-dropping-particle":"V.","parse-names":false,"suffix":""},{"dropping-particle":"","family":"M. Sebastiao","given":"Ana","non-dropping-particle":"","parse-names":false,"suffix":""},{"dropping-particle":"","family":"A. Ribeiro","given":"Joaquim","non-dropping-particle":"","parse-names":false,"suffix":""}],"container-title":"Current Topics in Medicinal Chemistry","id":"ITEM-1","issue":"8","issued":{"date-parts":[["2011"]]},"title":"Adenosine and Related Drugs in Brain Diseases: Present and Future in Clinical Trials","type":"article-journal","volume":"11"},"uris":["http://www.mendeley.com/documents/?uuid=5b0634bd-9a6a-3fa0-9728-571475e8e802"]},{"id":"ITEM-2","itemData":{"DOI":"10.1007/978-3-540-89615-9_16","ISSN":"01712004","abstract":"The adenosine receptors (ARs) in the nervous system act as a kind of \"go-between\" to regulate the release of neurotransmitters (this includes all known neurotransmitters) and the action of neuromodulators (e.g., neuropeptides, neurotrophic factors). Receptor-receptor interactions and AR-transporter interplay occur as part of the adenosine's attempt to control synaptic transmission. A2AARs are more abundant in the striatum and A1ARs in the hippocampus, but both receptors interfere with the efficiency and plasticity-regulated synaptic transmission in most brain areas. The omnipresence of adenosine and A2A and A1 ARs in all nervous system cells (neurons and glia), together with the intensive release of adenosine following insults, makes adenosine a kind of \"maestro\" of the tripartite synapse in the homeostatic coordination of the brain function. Under physiological conditions, both A2A and A1 ARs play an important role in sleep and arousal, cognition, memory and learning, whereas under pathological conditions (e.g., Parkinson's disease, Alzheimer's disease, amyotrophic lateral sclerosis, stroke, epilepsy, drug addiction, pain, schizophrenia, depression), ARs operate a time/circumstance window where in some circumstances A1AR agonists may predominate as early neuroprotectors, and in other circumstances A2AAR antagonists may alter the outcomes of some of the pathological deficiencies. In some circumstances, and depending on the therapeutic window, the use of A 2AAR agonists may be initially beneficial; however, at later time points, the use of A2AAR antagonists proved beneficial in several pathologies. Since selective ligands for A1 and A2A ARs are now entering clinical trials, the time has come to determine the role of these receptors in neurological and psychiatric diseases and identify therapies that will alter the outcomes of these diseases, therefore providing a hopeful future for the patients who suffer from these diseases. © 2009 Springer-Verlag Berlin Heidelberg.","author":[{"dropping-particle":"","family":"Sebastião","given":"Ana M.","non-dropping-particle":"","parse-names":false,"suffix":""},{"dropping-particle":"","family":"Ribeiro","given":"Joaquim A.","non-dropping-particle":"","parse-names":false,"suffix":""}],"container-title":"Handbook of Experimental Pharmacology","id":"ITEM-2","issued":{"date-parts":[["2009"]]},"title":"Adenosine receptors and the central nervous system","type":"article","volume":"193"},"uris":["http://www.mendeley.com/documents/?uuid=e8ba937d-4955-3f4e-a293-af614c643349"]}],"mendeley":{"formattedCitation":"(Sebastião and Ribeiro, 2009; V. Lopes et al., 2011)","plainTextFormattedCitation":"(Sebastião and Ribeiro, 2009; V. Lopes et al., 2011)","previouslyFormattedCitation":"(Sebastião and Ribeiro, 2009; V. Lopes et al., 2011)"},"properties":{"noteIndex":0},"schema":"https://github.com/citation-style-language/schema/raw/master/csl-citation.json"}</w:instrText>
      </w:r>
      <w:r w:rsidR="006110DE">
        <w:rPr>
          <w:rFonts w:ascii="Times New Roman" w:hAnsi="Times New Roman" w:cs="Times New Roman"/>
          <w:sz w:val="20"/>
          <w:szCs w:val="20"/>
        </w:rPr>
        <w:fldChar w:fldCharType="separate"/>
      </w:r>
      <w:r w:rsidR="006110DE" w:rsidRPr="006110DE">
        <w:rPr>
          <w:rFonts w:ascii="Times New Roman" w:hAnsi="Times New Roman" w:cs="Times New Roman"/>
          <w:noProof/>
          <w:sz w:val="20"/>
          <w:szCs w:val="20"/>
        </w:rPr>
        <w:t>(Sebastião and Ribeiro, 2009; Lopes et al., 2011)</w:t>
      </w:r>
      <w:r w:rsidR="006110DE">
        <w:rPr>
          <w:rFonts w:ascii="Times New Roman" w:hAnsi="Times New Roman" w:cs="Times New Roman"/>
          <w:sz w:val="20"/>
          <w:szCs w:val="20"/>
        </w:rPr>
        <w:fldChar w:fldCharType="end"/>
      </w:r>
      <w:r w:rsidR="00644190">
        <w:rPr>
          <w:rFonts w:ascii="Times New Roman" w:hAnsi="Times New Roman" w:cs="Times New Roman"/>
          <w:sz w:val="20"/>
          <w:szCs w:val="20"/>
        </w:rPr>
        <w:t xml:space="preserve">, which warrants further research into the modulation of A2A receptors. </w:t>
      </w:r>
    </w:p>
    <w:p w14:paraId="13796B8F" w14:textId="7408AD4C" w:rsidR="00871491" w:rsidRPr="00982A50" w:rsidRDefault="00871491" w:rsidP="00256EF8">
      <w:pPr>
        <w:spacing w:line="480" w:lineRule="auto"/>
        <w:ind w:firstLine="960"/>
        <w:jc w:val="left"/>
        <w:rPr>
          <w:rFonts w:ascii="Times New Roman" w:hAnsi="Times New Roman" w:cs="Times New Roman"/>
          <w:sz w:val="20"/>
          <w:szCs w:val="20"/>
        </w:rPr>
      </w:pPr>
      <w:r w:rsidRPr="00982A50">
        <w:rPr>
          <w:rFonts w:ascii="Times New Roman" w:hAnsi="Times New Roman" w:cs="Times New Roman"/>
          <w:sz w:val="20"/>
          <w:szCs w:val="20"/>
        </w:rPr>
        <w:t xml:space="preserve">Adenosine receptors may </w:t>
      </w:r>
      <w:r w:rsidR="00C30050" w:rsidRPr="00982A50">
        <w:rPr>
          <w:rFonts w:ascii="Times New Roman" w:hAnsi="Times New Roman" w:cs="Times New Roman"/>
          <w:sz w:val="20"/>
          <w:szCs w:val="20"/>
        </w:rPr>
        <w:t xml:space="preserve">play a role in </w:t>
      </w:r>
      <w:r w:rsidRPr="00982A50">
        <w:rPr>
          <w:rFonts w:ascii="Times New Roman" w:hAnsi="Times New Roman" w:cs="Times New Roman"/>
          <w:sz w:val="20"/>
          <w:szCs w:val="20"/>
        </w:rPr>
        <w:t xml:space="preserve">ADHD. There is evidence that caffeine can </w:t>
      </w:r>
    </w:p>
    <w:p w14:paraId="24295E23" w14:textId="69D98F0E" w:rsidR="006603EC" w:rsidRDefault="00B20DD3" w:rsidP="00847071">
      <w:pPr>
        <w:spacing w:line="480" w:lineRule="auto"/>
        <w:jc w:val="left"/>
        <w:rPr>
          <w:rFonts w:ascii="Times New Roman" w:hAnsi="Times New Roman" w:cs="Times New Roman"/>
          <w:sz w:val="20"/>
          <w:szCs w:val="20"/>
        </w:rPr>
      </w:pPr>
      <w:r w:rsidRPr="00982A50">
        <w:rPr>
          <w:rFonts w:ascii="Times New Roman" w:hAnsi="Times New Roman" w:cs="Times New Roman"/>
          <w:sz w:val="20"/>
          <w:szCs w:val="20"/>
        </w:rPr>
        <w:t>ameliorate ADHD symptoms</w:t>
      </w:r>
      <w:r w:rsidR="00871491" w:rsidRPr="00982A50">
        <w:rPr>
          <w:rFonts w:ascii="Times New Roman" w:hAnsi="Times New Roman" w:cs="Times New Roman"/>
          <w:sz w:val="20"/>
          <w:szCs w:val="20"/>
        </w:rPr>
        <w:t xml:space="preserve">, albeit not </w:t>
      </w:r>
      <w:r w:rsidR="004B77D8" w:rsidRPr="00982A50">
        <w:rPr>
          <w:rFonts w:ascii="Times New Roman" w:hAnsi="Times New Roman" w:cs="Times New Roman"/>
          <w:sz w:val="20"/>
          <w:szCs w:val="20"/>
        </w:rPr>
        <w:t>as effectively</w:t>
      </w:r>
      <w:r w:rsidR="00871491" w:rsidRPr="00982A50">
        <w:rPr>
          <w:rFonts w:ascii="Times New Roman" w:hAnsi="Times New Roman" w:cs="Times New Roman"/>
          <w:sz w:val="20"/>
          <w:szCs w:val="20"/>
        </w:rPr>
        <w:t xml:space="preserve"> as f</w:t>
      </w:r>
      <w:r w:rsidR="006B45D1" w:rsidRPr="00982A50">
        <w:rPr>
          <w:rFonts w:ascii="Times New Roman" w:hAnsi="Times New Roman" w:cs="Times New Roman"/>
          <w:sz w:val="20"/>
          <w:szCs w:val="20"/>
        </w:rPr>
        <w:t>irst-line treatments such as</w:t>
      </w:r>
      <w:r w:rsidR="00871491" w:rsidRPr="00982A50">
        <w:rPr>
          <w:rFonts w:ascii="Times New Roman" w:hAnsi="Times New Roman" w:cs="Times New Roman"/>
          <w:sz w:val="20"/>
          <w:szCs w:val="20"/>
        </w:rPr>
        <w:t xml:space="preserve"> psychostimulant</w:t>
      </w:r>
      <w:r w:rsidR="006B45D1" w:rsidRPr="00982A50">
        <w:rPr>
          <w:rFonts w:ascii="Times New Roman" w:hAnsi="Times New Roman" w:cs="Times New Roman"/>
          <w:sz w:val="20"/>
          <w:szCs w:val="20"/>
        </w:rPr>
        <w:t xml:space="preserve"> medication</w:t>
      </w:r>
      <w:r w:rsidR="00871491" w:rsidRPr="00982A50">
        <w:rPr>
          <w:rFonts w:ascii="Times New Roman" w:hAnsi="Times New Roman" w:cs="Times New Roman"/>
          <w:sz w:val="20"/>
          <w:szCs w:val="20"/>
        </w:rPr>
        <w:t xml:space="preserve"> </w:t>
      </w:r>
      <w:r w:rsidR="00847071">
        <w:rPr>
          <w:rFonts w:ascii="Times New Roman" w:hAnsi="Times New Roman" w:cs="Times New Roman"/>
          <w:sz w:val="20"/>
          <w:szCs w:val="20"/>
        </w:rPr>
        <w:fldChar w:fldCharType="begin" w:fldLock="1"/>
      </w:r>
      <w:r w:rsidR="00282F13">
        <w:rPr>
          <w:rFonts w:ascii="Times New Roman" w:hAnsi="Times New Roman" w:cs="Times New Roman"/>
          <w:sz w:val="20"/>
          <w:szCs w:val="20"/>
        </w:rPr>
        <w:instrText>ADDIN CSL_CITATION {"citationItems":[{"id":"ITEM-1","itemData":{"DOI":"10.1177/0269881114541014","ISSN":"14617285","PMID":"24989644","abstract":"Caffeine is one of the most widespread psychotropic substances in the world. It exerts multiple effects on the brain including adenosine receptor antagonism, and thereby has been found to modulate aspects of cognition, including attention, in animal models and in healthy human volunteers. This review considers what is known of the effects of caffeine on symptoms and cognitive functions in attention-deficit hyperactivity disorder (ADHD), a prototypical disorder of cognitive dysfunction. We consider the merits of investigating further caffeine's therapeutic potential as a monotherapy or as an adjunctive agent in ADHD. The potential benefits of re-opening a dialogue regarding the use of caffeine in ADHD clinical practice are highlighted, along with potential implications for the use of adenosine receptor antagonists in ADHD and other disorders characterised by cognitive impairment. © The Author(s) 2014.","author":[{"dropping-particle":"","family":"Ioannidis","given":"Konstantinos","non-dropping-particle":"","parse-names":false,"suffix":""},{"dropping-particle":"","family":"Chamberlain","given":"Samuel R.","non-dropping-particle":"","parse-names":false,"suffix":""},{"dropping-particle":"","family":"Müller","given":"Ulrich","non-dropping-particle":"","parse-names":false,"suffix":""}],"container-title":"Journal of Psychopharmacology","id":"ITEM-1","issued":{"date-parts":[["2014"]]},"title":"Ostracising caffeine from the pharmacological arsenal for attention-deficit hyperactivity disorder - Was this a correct decision? A literature review","type":"article"},"uris":["http://www.mendeley.com/documents/?uuid=f4eb79df-b4d7-4479-9c14-3bcbbcd527f3"]},{"id":"ITEM-2","itemData":{"DOI":"10.1176/ajp.132.7.723","ISSN":"0002953X","abstract":"In this double-blind, crossover study of 8 boys with minimal brain dysfunction, 20 mg of methylphenidate daily was significantly better than 160 mg of caffeine in controlling behavior, especially impulsivity and hyperactivity, and methylphenidate alone was superior to decaffeinated coffee and placebo. The tentative results of this study confirm the primary position of sympathomimetics in the pharmacotherapy of minimal brain dysfunction and, in addition, suggest the involvement of dopamine pathways in this disorder. The authors urge further study of this hypothesis.","author":[{"dropping-particle":"","family":"Garfinkel","given":"B. D.","non-dropping-particle":"","parse-names":false,"suffix":""},{"dropping-particle":"","family":"Webster","given":"C. D.","non-dropping-particle":"","parse-names":false,"suffix":""},{"dropping-particle":"","family":"Sloman","given":"L.","non-dropping-particle":"","parse-names":false,"suffix":""}],"container-title":"The American journal of psychiatry","id":"ITEM-2","issue":"7","issued":{"date-parts":[["1975"]]},"title":"Methylphenidate and caffeine in the treatment of children with minimal brain dysfunction.","type":"article-journal","volume":"132"},"uris":["http://www.mendeley.com/documents/?uuid=39775f36-ba38-3a5d-aeca-1b0cbf326099"]}],"mendeley":{"formattedCitation":"(Garfinkel et al., 1975; Ioannidis et al., 2014)","plainTextFormattedCitation":"(Garfinkel et al., 1975; Ioannidis et al., 2014)","previouslyFormattedCitation":"(Garfinkel et al., 1975; Ioannidis et al., 2014)"},"properties":{"noteIndex":0},"schema":"https://github.com/citation-style-language/schema/raw/master/csl-citation.json"}</w:instrText>
      </w:r>
      <w:r w:rsidR="00847071">
        <w:rPr>
          <w:rFonts w:ascii="Times New Roman" w:hAnsi="Times New Roman" w:cs="Times New Roman"/>
          <w:sz w:val="20"/>
          <w:szCs w:val="20"/>
        </w:rPr>
        <w:fldChar w:fldCharType="separate"/>
      </w:r>
      <w:r w:rsidR="00847071" w:rsidRPr="00847071">
        <w:rPr>
          <w:rFonts w:ascii="Times New Roman" w:hAnsi="Times New Roman" w:cs="Times New Roman"/>
          <w:noProof/>
          <w:sz w:val="20"/>
          <w:szCs w:val="20"/>
        </w:rPr>
        <w:t>(Garfinkel et al., 1975; Ioannidis et al., 2014)</w:t>
      </w:r>
      <w:r w:rsidR="00847071">
        <w:rPr>
          <w:rFonts w:ascii="Times New Roman" w:hAnsi="Times New Roman" w:cs="Times New Roman"/>
          <w:sz w:val="20"/>
          <w:szCs w:val="20"/>
        </w:rPr>
        <w:fldChar w:fldCharType="end"/>
      </w:r>
      <w:r w:rsidR="00964007" w:rsidRPr="00982A50">
        <w:rPr>
          <w:rFonts w:ascii="Times New Roman" w:hAnsi="Times New Roman" w:cs="Times New Roman"/>
          <w:sz w:val="20"/>
          <w:szCs w:val="20"/>
        </w:rPr>
        <w:fldChar w:fldCharType="begin"/>
      </w:r>
      <w:r w:rsidR="00964007" w:rsidRPr="00982A50">
        <w:rPr>
          <w:rFonts w:ascii="Times New Roman" w:hAnsi="Times New Roman" w:cs="Times New Roman"/>
          <w:sz w:val="20"/>
          <w:szCs w:val="20"/>
        </w:rPr>
        <w:instrText xml:space="preserve">EN.CITE </w:instrText>
      </w:r>
      <w:r w:rsidR="00964007" w:rsidRPr="00982A50">
        <w:rPr>
          <w:rFonts w:ascii="Times New Roman" w:hAnsi="Times New Roman" w:cs="Times New Roman"/>
          <w:sz w:val="20"/>
          <w:szCs w:val="20"/>
        </w:rPr>
        <w:fldChar w:fldCharType="begin"/>
      </w:r>
      <w:r w:rsidR="00964007" w:rsidRPr="00982A50">
        <w:rPr>
          <w:rFonts w:ascii="Times New Roman" w:hAnsi="Times New Roman" w:cs="Times New Roman"/>
          <w:sz w:val="20"/>
          <w:szCs w:val="20"/>
        </w:rPr>
        <w:instrText xml:space="preserve">EN.CITE.DATA </w:instrText>
      </w:r>
      <w:r w:rsidR="00964007" w:rsidRPr="00982A50">
        <w:rPr>
          <w:rFonts w:ascii="Times New Roman" w:hAnsi="Times New Roman" w:cs="Times New Roman"/>
          <w:sz w:val="20"/>
          <w:szCs w:val="20"/>
        </w:rPr>
        <w:fldChar w:fldCharType="end"/>
      </w:r>
      <w:r w:rsidR="00964007" w:rsidRPr="00982A50">
        <w:rPr>
          <w:rFonts w:ascii="Times New Roman" w:hAnsi="Times New Roman" w:cs="Times New Roman"/>
          <w:sz w:val="20"/>
          <w:szCs w:val="20"/>
        </w:rPr>
        <w:fldChar w:fldCharType="separate"/>
      </w:r>
      <w:r w:rsidR="00964007" w:rsidRPr="00982A50">
        <w:rPr>
          <w:rFonts w:ascii="Times New Roman" w:hAnsi="Times New Roman" w:cs="Times New Roman"/>
          <w:noProof/>
          <w:sz w:val="20"/>
          <w:szCs w:val="20"/>
        </w:rPr>
        <w:t>(Garfinkel</w:t>
      </w:r>
      <w:r w:rsidR="00B7162D" w:rsidRPr="00982A50">
        <w:rPr>
          <w:rFonts w:ascii="Times New Roman" w:hAnsi="Times New Roman" w:cs="Times New Roman"/>
          <w:noProof/>
          <w:sz w:val="20"/>
          <w:szCs w:val="20"/>
        </w:rPr>
        <w:t xml:space="preserve"> et al</w:t>
      </w:r>
      <w:r w:rsidR="00272FBB" w:rsidRPr="00982A50">
        <w:rPr>
          <w:rFonts w:ascii="Times New Roman" w:hAnsi="Times New Roman" w:cs="Times New Roman"/>
          <w:noProof/>
          <w:sz w:val="20"/>
          <w:szCs w:val="20"/>
        </w:rPr>
        <w:t>.</w:t>
      </w:r>
      <w:r w:rsidR="00B7162D" w:rsidRPr="00982A50">
        <w:rPr>
          <w:rFonts w:ascii="Times New Roman" w:hAnsi="Times New Roman" w:cs="Times New Roman"/>
          <w:noProof/>
          <w:sz w:val="20"/>
          <w:szCs w:val="20"/>
        </w:rPr>
        <w:t>,</w:t>
      </w:r>
      <w:r w:rsidR="00964007" w:rsidRPr="00982A50">
        <w:rPr>
          <w:rFonts w:ascii="Times New Roman" w:hAnsi="Times New Roman" w:cs="Times New Roman"/>
          <w:noProof/>
          <w:sz w:val="20"/>
          <w:szCs w:val="20"/>
        </w:rPr>
        <w:t xml:space="preserve"> 1975; Ioannidis</w:t>
      </w:r>
      <w:r w:rsidR="00B7162D" w:rsidRPr="00982A50">
        <w:rPr>
          <w:rFonts w:ascii="Times New Roman" w:hAnsi="Times New Roman" w:cs="Times New Roman"/>
          <w:noProof/>
          <w:sz w:val="20"/>
          <w:szCs w:val="20"/>
        </w:rPr>
        <w:t xml:space="preserve"> et al</w:t>
      </w:r>
      <w:r w:rsidR="00272FBB" w:rsidRPr="00982A50">
        <w:rPr>
          <w:rFonts w:ascii="Times New Roman" w:hAnsi="Times New Roman" w:cs="Times New Roman"/>
          <w:noProof/>
          <w:sz w:val="20"/>
          <w:szCs w:val="20"/>
        </w:rPr>
        <w:t>.</w:t>
      </w:r>
      <w:r w:rsidR="00B7162D" w:rsidRPr="00982A50">
        <w:rPr>
          <w:rFonts w:ascii="Times New Roman" w:hAnsi="Times New Roman" w:cs="Times New Roman"/>
          <w:noProof/>
          <w:sz w:val="20"/>
          <w:szCs w:val="20"/>
        </w:rPr>
        <w:t>,</w:t>
      </w:r>
      <w:r w:rsidR="00964007" w:rsidRPr="00982A50">
        <w:rPr>
          <w:rFonts w:ascii="Times New Roman" w:hAnsi="Times New Roman" w:cs="Times New Roman"/>
          <w:noProof/>
          <w:sz w:val="20"/>
          <w:szCs w:val="20"/>
        </w:rPr>
        <w:t xml:space="preserve"> 2014)</w:t>
      </w:r>
      <w:r w:rsidR="00964007" w:rsidRPr="00982A50">
        <w:rPr>
          <w:rFonts w:ascii="Times New Roman" w:hAnsi="Times New Roman" w:cs="Times New Roman"/>
          <w:sz w:val="20"/>
          <w:szCs w:val="20"/>
        </w:rPr>
        <w:fldChar w:fldCharType="end"/>
      </w:r>
      <w:r w:rsidR="00C729E7" w:rsidRPr="00982A50">
        <w:rPr>
          <w:rFonts w:ascii="Times New Roman" w:hAnsi="Times New Roman" w:cs="Times New Roman"/>
          <w:sz w:val="20"/>
          <w:szCs w:val="20"/>
        </w:rPr>
        <w:t>.</w:t>
      </w:r>
      <w:r w:rsidR="00C80F95" w:rsidRPr="00982A50">
        <w:rPr>
          <w:rFonts w:ascii="Times New Roman" w:hAnsi="Times New Roman" w:cs="Times New Roman"/>
          <w:sz w:val="20"/>
          <w:szCs w:val="20"/>
        </w:rPr>
        <w:t xml:space="preserve"> Psychostimulants are currently the most effective treatment for ADHD </w:t>
      </w:r>
      <w:r w:rsidR="00A977DB">
        <w:rPr>
          <w:rFonts w:ascii="Times New Roman" w:hAnsi="Times New Roman" w:cs="Times New Roman"/>
          <w:sz w:val="20"/>
          <w:szCs w:val="20"/>
        </w:rPr>
        <w:fldChar w:fldCharType="begin" w:fldLock="1"/>
      </w:r>
      <w:r w:rsidR="00A977DB">
        <w:rPr>
          <w:rFonts w:ascii="Times New Roman" w:hAnsi="Times New Roman" w:cs="Times New Roman"/>
          <w:sz w:val="20"/>
          <w:szCs w:val="20"/>
        </w:rPr>
        <w:instrText>ADDIN CSL_CITATION {"citationItems":[{"id":"ITEM-1","itemData":{"DOI":"10.1177/1087054707311654","ISSN":"10870547","abstract":"Objective: This review explores the relationship between ADHD and substance use disorder (SUD), factors that determine the abuse potential of psychostimulants, and strategies for identifying and treating at-risk ADHD patients. Method: This study uses a Medline review of literature. Results: Psychostimulants, such as methylphenidate and amphetamines, are effective first-line pharmacotherapy for ADHD and when used appropriately in individuals with ADHD do not appear to be frequently abused by patients. Diversion and misuse of prescription stimulants are growing concerns, especially among young adults and college students. Short-acting psychostimulant formulations may have higher potential for abuse, misuse, and diversion, but more data are needed to substantiate this observation. Nonstimulant treatments for ADHD may be considered for patients at particularly high risk for substance use, misuse, or diversion of stimulants. Conclusion: In treating patients with ADHD and comorbid substance use, psychostimulants may be a useful pharmacologic alternative. However, the risks of such treatment with high-risk populations must be considered alongside potential benefits. © 2008 Sage Publications.","author":[{"dropping-particle":"","family":"Kollins","given":"Scott H.","non-dropping-particle":"","parse-names":false,"suffix":""}],"container-title":"Journal of Attention Disorders","id":"ITEM-1","issue":"2","issued":{"date-parts":[["2008"]]},"title":"ADHD, substance use disorders, and psychostimulant treatment: Current literature and treatment guidelines","type":"article","volume":"12"},"uris":["http://www.mendeley.com/documents/?uuid=6623205f-0435-38f3-9e83-e49eb3230150"]}],"mendeley":{"formattedCitation":"(Kollins, 2008)","plainTextFormattedCitation":"(Kollins, 2008)","previouslyFormattedCitation":"(Kollins, 2008)"},"properties":{"noteIndex":0},"schema":"https://github.com/citation-style-language/schema/raw/master/csl-citation.json"}</w:instrText>
      </w:r>
      <w:r w:rsidR="00A977DB">
        <w:rPr>
          <w:rFonts w:ascii="Times New Roman" w:hAnsi="Times New Roman" w:cs="Times New Roman"/>
          <w:sz w:val="20"/>
          <w:szCs w:val="20"/>
        </w:rPr>
        <w:fldChar w:fldCharType="separate"/>
      </w:r>
      <w:r w:rsidR="00A977DB" w:rsidRPr="00A977DB">
        <w:rPr>
          <w:rFonts w:ascii="Times New Roman" w:hAnsi="Times New Roman" w:cs="Times New Roman"/>
          <w:noProof/>
          <w:sz w:val="20"/>
          <w:szCs w:val="20"/>
        </w:rPr>
        <w:t>(Kollins, 2008)</w:t>
      </w:r>
      <w:r w:rsidR="00A977DB">
        <w:rPr>
          <w:rFonts w:ascii="Times New Roman" w:hAnsi="Times New Roman" w:cs="Times New Roman"/>
          <w:sz w:val="20"/>
          <w:szCs w:val="20"/>
        </w:rPr>
        <w:fldChar w:fldCharType="end"/>
      </w:r>
      <w:r w:rsidR="00C80F95" w:rsidRPr="00982A50">
        <w:rPr>
          <w:rFonts w:ascii="Times New Roman" w:hAnsi="Times New Roman" w:cs="Times New Roman"/>
          <w:sz w:val="20"/>
          <w:szCs w:val="20"/>
        </w:rPr>
        <w:t xml:space="preserve"> and predominantly affect dopamine transmission </w:t>
      </w:r>
      <w:r w:rsidR="009A5157" w:rsidRPr="00982A50">
        <w:rPr>
          <w:rFonts w:ascii="Times New Roman" w:hAnsi="Times New Roman" w:cs="Times New Roman"/>
          <w:sz w:val="20"/>
          <w:szCs w:val="20"/>
        </w:rPr>
        <w:t xml:space="preserve">by acting as a dopamine reuptake inhibitor </w:t>
      </w:r>
      <w:r w:rsidR="00A977DB">
        <w:rPr>
          <w:rFonts w:ascii="Times New Roman" w:hAnsi="Times New Roman" w:cs="Times New Roman"/>
          <w:sz w:val="20"/>
          <w:szCs w:val="20"/>
        </w:rPr>
        <w:fldChar w:fldCharType="begin" w:fldLock="1"/>
      </w:r>
      <w:r w:rsidR="00A977DB">
        <w:rPr>
          <w:rFonts w:ascii="Times New Roman" w:hAnsi="Times New Roman" w:cs="Times New Roman"/>
          <w:sz w:val="20"/>
          <w:szCs w:val="20"/>
        </w:rPr>
        <w:instrText>ADDIN CSL_CITATION {"citationItems":[{"id":"ITEM-1","itemData":{"DOI":"10.4065/75.7.711","ISSN":"00256196","abstract":"Methylphenidate is a commonly used medication in the United States. This central nervous system stimulant has a mechanism of action distinct from that of amphetamine. The Food and Drug Administration has approved methylphenidate for the treatment of attention-deficit/hyperactivity disorder and narcolepsy. Treatment with methylphenidate has been advocated in patients with traumatic brain injury and stroke, cancer patients, and those with human immunodeficiency virus infection. Placebo-controlled trials have documented its efficacy as an adjunctive agent in the treatment of depression and pain. This article reviews the current understanding of the mechanism of action and efficacy of methylphenidate in various clinical conditions.","author":[{"dropping-particle":"","family":"Challman","given":"Thomas D.","non-dropping-particle":"","parse-names":false,"suffix":""},{"dropping-particle":"","family":"Lipsky","given":"James J.","non-dropping-particle":"","parse-names":false,"suffix":""}],"container-title":"Mayo Clinic Proceedings","id":"ITEM-1","issue":"7","issued":{"date-parts":[["2000"]]},"title":"Methylphenidate: Its pharmacology and uses","type":"article","volume":"75"},"uris":["http://www.mendeley.com/documents/?uuid=355d8efe-23f7-3ddb-9045-8a1887bb956a"]}],"mendeley":{"formattedCitation":"(Challman and Lipsky, 2000)","plainTextFormattedCitation":"(Challman and Lipsky, 2000)","previouslyFormattedCitation":"(Challman and Lipsky, 2000)"},"properties":{"noteIndex":0},"schema":"https://github.com/citation-style-language/schema/raw/master/csl-citation.json"}</w:instrText>
      </w:r>
      <w:r w:rsidR="00A977DB">
        <w:rPr>
          <w:rFonts w:ascii="Times New Roman" w:hAnsi="Times New Roman" w:cs="Times New Roman"/>
          <w:sz w:val="20"/>
          <w:szCs w:val="20"/>
        </w:rPr>
        <w:fldChar w:fldCharType="separate"/>
      </w:r>
      <w:r w:rsidR="00A977DB" w:rsidRPr="00A977DB">
        <w:rPr>
          <w:rFonts w:ascii="Times New Roman" w:hAnsi="Times New Roman" w:cs="Times New Roman"/>
          <w:noProof/>
          <w:sz w:val="20"/>
          <w:szCs w:val="20"/>
        </w:rPr>
        <w:t>(Challman and Lipsky, 2000)</w:t>
      </w:r>
      <w:r w:rsidR="00A977DB">
        <w:rPr>
          <w:rFonts w:ascii="Times New Roman" w:hAnsi="Times New Roman" w:cs="Times New Roman"/>
          <w:sz w:val="20"/>
          <w:szCs w:val="20"/>
        </w:rPr>
        <w:fldChar w:fldCharType="end"/>
      </w:r>
      <w:r w:rsidR="00C80F95" w:rsidRPr="00982A50">
        <w:rPr>
          <w:rFonts w:ascii="Times New Roman" w:hAnsi="Times New Roman" w:cs="Times New Roman"/>
          <w:sz w:val="20"/>
          <w:szCs w:val="20"/>
        </w:rPr>
        <w:t xml:space="preserve">. </w:t>
      </w:r>
      <w:r w:rsidR="009A5157" w:rsidRPr="00982A50">
        <w:rPr>
          <w:rFonts w:ascii="Times New Roman" w:hAnsi="Times New Roman" w:cs="Times New Roman"/>
          <w:sz w:val="20"/>
          <w:szCs w:val="20"/>
        </w:rPr>
        <w:t xml:space="preserve">Recent research demonstrates that dopamine transmission is also influenced by adenosine receptors </w:t>
      </w:r>
      <w:r w:rsidR="00A977DB">
        <w:rPr>
          <w:rFonts w:ascii="Times New Roman" w:hAnsi="Times New Roman" w:cs="Times New Roman"/>
          <w:sz w:val="20"/>
          <w:szCs w:val="20"/>
        </w:rPr>
        <w:fldChar w:fldCharType="begin" w:fldLock="1"/>
      </w:r>
      <w:r w:rsidR="00A977DB">
        <w:rPr>
          <w:rFonts w:ascii="Times New Roman" w:hAnsi="Times New Roman" w:cs="Times New Roman"/>
          <w:sz w:val="20"/>
          <w:szCs w:val="20"/>
        </w:rPr>
        <w:instrText>ADDIN CSL_CITATION {"citationItems":[{"id":"ITEM-1","itemData":{"DOI":"10.3389/fnana.2011.00036","ISSN":"16625129","abstract":"A very significant density of adenosine A 2A receptors (A 2ARs) is present in the striatum, where they are preferentially localized postsynaptically in striatopallidal medium spiny neurons (MSNs). In this localization A 2ARs establish reciprocal antagonistic interactions with dopamine D 2 receptors (D 2Rs). In one type of interaction, A 2AR and D 2R are forming heteromers and, by means of an allosteric interaction, A 2AR counteracts D 2R-mediated inhibitory modulation of the effects of NMDA receptor stimulation in the striatopallidal neuron. This interaction is probably mostly responsible for the locomotor depressant and activating effects of A 2AR agonist and antagonists, respectively. The second type of interaction involves A 2AR and D 2R that do not form heteromers and takes place at the level of adenylyl cyclase (AC). Due to a strong tonic effect of endogenous dopamine on striatal D 2R, this interaction keeps A 2AR from signaling through AC. However, under conditions of dopamine depletion or with blockade of D 2R, A 2AR-mediated AC activation is unleashed with an increased gene expression and activity of the striatopallidal neuron and with a consequent motor depression.This interaction is probably the main mechanism responsible for the locomotor depression induced by D 2R antagonists. Finally, striatal A 2ARs are also localized presynaptically, in cortico-striatal glutamatergic terminals that contact the striato-nigral MSN. These presynaptic A 2ARs heteromerize with A 1 receptors (A 1Rs) and their activation facilitates glutamate release. These three different types of A 2ARs can be pharmacologically dissected by their ability to bind ligands with different affinity and can therefore provide selective targets for drug development in different basal ganglia disorders. © 2011 Ferré, Quiroz, Orru, Guitart, Navarro, Cortés, Casadó, Canela, Lluis and Franc.","author":[{"dropping-particle":"","family":"Ferré","given":"Sergi","non-dropping-particle":"","parse-names":false,"suffix":""},{"dropping-particle":"","family":"Quiroz","given":"César","non-dropping-particle":"","parse-names":false,"suffix":""},{"dropping-particle":"","family":"Orru","given":"Marco","non-dropping-particle":"","parse-names":false,"suffix":""},{"dropping-particle":"","family":"Guitart","given":"Xavier","non-dropping-particle":"","parse-names":false,"suffix":""},{"dropping-particle":"","family":"Navarro","given":"Gemma","non-dropping-particle":"","parse-names":false,"suffix":""},{"dropping-particle":"","family":"Cortés","given":"Antonio","non-dropping-particle":"","parse-names":false,"suffix":""},{"dropping-particle":"","family":"Casadó","given":"Vicent","non-dropping-particle":"","parse-names":false,"suffix":""},{"dropping-particle":"","family":"Canela","given":"Enric I.","non-dropping-particle":"","parse-names":false,"suffix":""},{"dropping-particle":"","family":"Lluis","given":"Carme","non-dropping-particle":"","parse-names":false,"suffix":""},{"dropping-particle":"","family":"Franco","given":"Rafael","non-dropping-particle":"","parse-names":false,"suffix":""}],"container-title":"Frontiers in Neuroanatomy","id":"ITEM-1","issue":"JUN","issued":{"date-parts":[["2011"]]},"title":"Adenosine A 2A receptors and A 2A receptor heteromers as key players in striatal function","type":"article-journal"},"uris":["http://www.mendeley.com/documents/?uuid=b744d450-097a-381f-8041-35bb68e2c4fe"]}],"mendeley":{"formattedCitation":"(Ferré et al., 2011)","plainTextFormattedCitation":"(Ferré et al., 2011)","previouslyFormattedCitation":"(Ferré et al., 2011)"},"properties":{"noteIndex":0},"schema":"https://github.com/citation-style-language/schema/raw/master/csl-citation.json"}</w:instrText>
      </w:r>
      <w:r w:rsidR="00A977DB">
        <w:rPr>
          <w:rFonts w:ascii="Times New Roman" w:hAnsi="Times New Roman" w:cs="Times New Roman"/>
          <w:sz w:val="20"/>
          <w:szCs w:val="20"/>
        </w:rPr>
        <w:fldChar w:fldCharType="separate"/>
      </w:r>
      <w:r w:rsidR="00A977DB" w:rsidRPr="00A977DB">
        <w:rPr>
          <w:rFonts w:ascii="Times New Roman" w:hAnsi="Times New Roman" w:cs="Times New Roman"/>
          <w:noProof/>
          <w:sz w:val="20"/>
          <w:szCs w:val="20"/>
        </w:rPr>
        <w:t>(Ferré et al., 2011)</w:t>
      </w:r>
      <w:r w:rsidR="00A977DB">
        <w:rPr>
          <w:rFonts w:ascii="Times New Roman" w:hAnsi="Times New Roman" w:cs="Times New Roman"/>
          <w:sz w:val="20"/>
          <w:szCs w:val="20"/>
        </w:rPr>
        <w:fldChar w:fldCharType="end"/>
      </w:r>
      <w:r w:rsidR="009A5157" w:rsidRPr="00982A50">
        <w:rPr>
          <w:rFonts w:ascii="Times New Roman" w:hAnsi="Times New Roman" w:cs="Times New Roman"/>
          <w:sz w:val="20"/>
          <w:szCs w:val="20"/>
        </w:rPr>
        <w:t xml:space="preserve">. </w:t>
      </w:r>
      <w:r w:rsidR="00C729E7" w:rsidRPr="00982A50">
        <w:rPr>
          <w:rFonts w:ascii="Times New Roman" w:hAnsi="Times New Roman" w:cs="Times New Roman"/>
          <w:sz w:val="20"/>
          <w:szCs w:val="20"/>
        </w:rPr>
        <w:t xml:space="preserve">Furthermore, </w:t>
      </w:r>
      <w:r w:rsidR="00C729E7" w:rsidRPr="00982A50">
        <w:rPr>
          <w:rFonts w:ascii="Times New Roman" w:hAnsi="Times New Roman" w:cs="Times New Roman"/>
          <w:sz w:val="20"/>
          <w:szCs w:val="20"/>
        </w:rPr>
        <w:lastRenderedPageBreak/>
        <w:t>c</w:t>
      </w:r>
      <w:r w:rsidR="00F94158" w:rsidRPr="00982A50">
        <w:rPr>
          <w:rFonts w:ascii="Times New Roman" w:hAnsi="Times New Roman" w:cs="Times New Roman"/>
          <w:sz w:val="20"/>
          <w:szCs w:val="20"/>
        </w:rPr>
        <w:t xml:space="preserve">affeine has been shown to modulate impulsive </w:t>
      </w:r>
      <w:proofErr w:type="spellStart"/>
      <w:r w:rsidR="00AD2358" w:rsidRPr="00982A50">
        <w:rPr>
          <w:rFonts w:ascii="Times New Roman" w:hAnsi="Times New Roman" w:cs="Times New Roman"/>
          <w:sz w:val="20"/>
          <w:szCs w:val="20"/>
        </w:rPr>
        <w:t>behaviour</w:t>
      </w:r>
      <w:proofErr w:type="spellEnd"/>
      <w:r w:rsidR="00F94158" w:rsidRPr="00982A50">
        <w:rPr>
          <w:rFonts w:ascii="Times New Roman" w:hAnsi="Times New Roman" w:cs="Times New Roman"/>
          <w:sz w:val="20"/>
          <w:szCs w:val="20"/>
        </w:rPr>
        <w:t xml:space="preserve"> in a r</w:t>
      </w:r>
      <w:r w:rsidR="00AD2358" w:rsidRPr="00982A50">
        <w:rPr>
          <w:rFonts w:ascii="Times New Roman" w:hAnsi="Times New Roman" w:cs="Times New Roman"/>
          <w:sz w:val="20"/>
          <w:szCs w:val="20"/>
        </w:rPr>
        <w:t>odent</w:t>
      </w:r>
      <w:r w:rsidR="00F94158" w:rsidRPr="00982A50">
        <w:rPr>
          <w:rFonts w:ascii="Times New Roman" w:hAnsi="Times New Roman" w:cs="Times New Roman"/>
          <w:sz w:val="20"/>
          <w:szCs w:val="20"/>
        </w:rPr>
        <w:t xml:space="preserve"> model of ADHD </w:t>
      </w:r>
      <w:r w:rsidR="00A977DB">
        <w:rPr>
          <w:rFonts w:ascii="Times New Roman" w:hAnsi="Times New Roman" w:cs="Times New Roman"/>
          <w:sz w:val="20"/>
          <w:szCs w:val="20"/>
        </w:rPr>
        <w:fldChar w:fldCharType="begin" w:fldLock="1"/>
      </w:r>
      <w:r w:rsidR="00A977DB">
        <w:rPr>
          <w:rFonts w:ascii="Times New Roman" w:hAnsi="Times New Roman" w:cs="Times New Roman"/>
          <w:sz w:val="20"/>
          <w:szCs w:val="20"/>
        </w:rPr>
        <w:instrText>ADDIN CSL_CITATION {"citationItems":[{"id":"ITEM-1","itemData":{"DOI":"10.1111/ejn.14348","ISSN":"14609568","abstract":"Attention deficit and hyperactivity disorder (ADHD) is characterized by impaired levels of hyperactivity, impulsivity, and inattention. Adenosine and endocannabinoid systems tightly interact in the modulation of dopamine signaling, involved in the neurobiology of ADHD. In this study, we evaluated the modulating effects of the cannabinoid and adenosine systems in a tolerance to delay of reward task using the most widely used animal model of ADHD. Spontaneous Hypertensive Rats (SHR) and Wistar–Kyoto rats were treated chronically or acutely with caffeine, a non-selective adenosine receptor antagonist, or acutely with a cannabinoid agonist (WIN55212-2, WIN) or antagonist (AM251). Subsequently, animals were tested in the tolerance to delay of reward task, in which they had to choose between a small, but immediate, or a large, but delayed, reward. Treatment with WIN decreased, whereas treatment with AM251 increased the choices of the large reward, selectively in SHR rats, indicating a CB1 receptor-mediated increase in impulsive behavior. An acute pre-treatment with caffeine blocked WIN effects. Conversely, a chronic treatment with caffeine increased the impulsive phenotype and potentiated the WIN effects. The results indicate that both cannabinoid and adenosine receptors modulate impulsive behavior in SHR: the antagonism of cannabinoid receptors might be effective in reducing impulsive symptoms present in ADHD; in addition, caffeine showed the opposite effects on impulsive behavior depending on the length of treatment. These observations are of particular importance to consider when therapeutic manipulation of CB1 receptors is applied to ADHD patients who consume coffee.","author":[{"dropping-particle":"","family":"Leffa","given":"Douglas T.","non-dropping-particle":"","parse-names":false,"suffix":""},{"dropping-particle":"","family":"Ferreira","given":"Samira G.","non-dropping-particle":"","parse-names":false,"suffix":""},{"dropping-particle":"","family":"Machado","given":"Nuno J.","non-dropping-particle":"","parse-names":false,"suffix":""},{"dropping-particle":"","family":"Souza","given":"Carolina M.","non-dropping-particle":"","parse-names":false,"suffix":""},{"dropping-particle":"","family":"Rosa","given":"Fernanda","non-dropping-particle":"da","parse-names":false,"suffix":""},{"dropping-particle":"","family":"Carvalho","given":"Cristiane","non-dropping-particle":"de","parse-names":false,"suffix":""},{"dropping-particle":"","family":"Kincheski","given":"Grasielle C.","non-dropping-particle":"","parse-names":false,"suffix":""},{"dropping-particle":"","family":"Takahashi","given":"Reinaldo N.","non-dropping-particle":"","parse-names":false,"suffix":""},{"dropping-particle":"","family":"Porciúncula","given":"Lisiane O.","non-dropping-particle":"","parse-names":false,"suffix":""},{"dropping-particle":"","family":"Souza","given":"Diogo O.","non-dropping-particle":"","parse-names":false,"suffix":""},{"dropping-particle":"","family":"Cunha","given":"Rodrigo A.","non-dropping-particle":"","parse-names":false,"suffix":""},{"dropping-particle":"","family":"Pandolfo","given":"Pablo","non-dropping-particle":"","parse-names":false,"suffix":""}],"container-title":"European Journal of Neuroscience","id":"ITEM-1","issue":"12","issued":{"date-parts":[["2019"]]},"title":"Caffeine and cannabinoid receptors modulate impulsive behavior in an animal model of attentional deficit and hyperactivity disorder","type":"article-journal","volume":"49"},"uris":["http://www.mendeley.com/documents/?uuid=ac6d16f5-0415-33c2-92ad-297aaa9d8e78"]}],"mendeley":{"formattedCitation":"(Leffa et al., 2019)","plainTextFormattedCitation":"(Leffa et al., 2019)","previouslyFormattedCitation":"(Leffa et al., 2019)"},"properties":{"noteIndex":0},"schema":"https://github.com/citation-style-language/schema/raw/master/csl-citation.json"}</w:instrText>
      </w:r>
      <w:r w:rsidR="00A977DB">
        <w:rPr>
          <w:rFonts w:ascii="Times New Roman" w:hAnsi="Times New Roman" w:cs="Times New Roman"/>
          <w:sz w:val="20"/>
          <w:szCs w:val="20"/>
        </w:rPr>
        <w:fldChar w:fldCharType="separate"/>
      </w:r>
      <w:r w:rsidR="00A977DB" w:rsidRPr="00A977DB">
        <w:rPr>
          <w:rFonts w:ascii="Times New Roman" w:hAnsi="Times New Roman" w:cs="Times New Roman"/>
          <w:noProof/>
          <w:sz w:val="20"/>
          <w:szCs w:val="20"/>
        </w:rPr>
        <w:t>(Leffa et al., 2019)</w:t>
      </w:r>
      <w:r w:rsidR="00A977DB">
        <w:rPr>
          <w:rFonts w:ascii="Times New Roman" w:hAnsi="Times New Roman" w:cs="Times New Roman"/>
          <w:sz w:val="20"/>
          <w:szCs w:val="20"/>
        </w:rPr>
        <w:fldChar w:fldCharType="end"/>
      </w:r>
      <w:r w:rsidR="00171E25" w:rsidRPr="00982A50">
        <w:rPr>
          <w:rFonts w:ascii="Times New Roman" w:hAnsi="Times New Roman" w:cs="Times New Roman"/>
          <w:sz w:val="20"/>
          <w:szCs w:val="20"/>
        </w:rPr>
        <w:t>, whilst a separate rodent model of ADHD indicated that antagonism</w:t>
      </w:r>
      <w:r w:rsidR="005D643F" w:rsidRPr="00982A50">
        <w:rPr>
          <w:rFonts w:ascii="Times New Roman" w:hAnsi="Times New Roman" w:cs="Times New Roman"/>
          <w:sz w:val="20"/>
          <w:szCs w:val="20"/>
        </w:rPr>
        <w:t xml:space="preserve"> of multiple adenosine receptor types</w:t>
      </w:r>
      <w:r w:rsidR="00171E25" w:rsidRPr="00982A50">
        <w:rPr>
          <w:rFonts w:ascii="Times New Roman" w:hAnsi="Times New Roman" w:cs="Times New Roman"/>
          <w:sz w:val="20"/>
          <w:szCs w:val="20"/>
        </w:rPr>
        <w:t xml:space="preserve"> could enhance spatial working memory and social recognition, </w:t>
      </w:r>
      <w:r w:rsidR="005D643F" w:rsidRPr="00982A50">
        <w:rPr>
          <w:rFonts w:ascii="Times New Roman" w:hAnsi="Times New Roman" w:cs="Times New Roman"/>
          <w:sz w:val="20"/>
          <w:szCs w:val="20"/>
        </w:rPr>
        <w:t xml:space="preserve">whereas </w:t>
      </w:r>
      <w:r w:rsidR="00A14E89" w:rsidRPr="00982A50">
        <w:rPr>
          <w:rFonts w:ascii="Times New Roman" w:hAnsi="Times New Roman" w:cs="Times New Roman"/>
          <w:sz w:val="20"/>
          <w:szCs w:val="20"/>
        </w:rPr>
        <w:t xml:space="preserve">antagonism of a </w:t>
      </w:r>
      <w:r w:rsidR="0058474A" w:rsidRPr="00982A50">
        <w:rPr>
          <w:rFonts w:ascii="Times New Roman" w:hAnsi="Times New Roman" w:cs="Times New Roman"/>
          <w:sz w:val="20"/>
          <w:szCs w:val="20"/>
        </w:rPr>
        <w:t>specific</w:t>
      </w:r>
      <w:r w:rsidR="00171E25" w:rsidRPr="00982A50">
        <w:rPr>
          <w:rFonts w:ascii="Times New Roman" w:hAnsi="Times New Roman" w:cs="Times New Roman"/>
          <w:sz w:val="20"/>
          <w:szCs w:val="20"/>
        </w:rPr>
        <w:t xml:space="preserve"> </w:t>
      </w:r>
      <w:r w:rsidR="00A14E89" w:rsidRPr="00982A50">
        <w:rPr>
          <w:rFonts w:ascii="Times New Roman" w:hAnsi="Times New Roman" w:cs="Times New Roman"/>
          <w:sz w:val="20"/>
          <w:szCs w:val="20"/>
        </w:rPr>
        <w:t xml:space="preserve">adenosine receptor, the </w:t>
      </w:r>
      <w:r w:rsidR="00171E25" w:rsidRPr="00982A50">
        <w:rPr>
          <w:rFonts w:ascii="Times New Roman" w:hAnsi="Times New Roman" w:cs="Times New Roman"/>
          <w:sz w:val="20"/>
          <w:szCs w:val="20"/>
        </w:rPr>
        <w:t xml:space="preserve">A2A receptor was required for improvement of social recognition </w:t>
      </w:r>
      <w:r w:rsidR="00A977DB">
        <w:rPr>
          <w:rFonts w:ascii="Times New Roman" w:hAnsi="Times New Roman" w:cs="Times New Roman"/>
          <w:sz w:val="20"/>
          <w:szCs w:val="20"/>
        </w:rPr>
        <w:fldChar w:fldCharType="begin" w:fldLock="1"/>
      </w:r>
      <w:r w:rsidR="00A977DB">
        <w:rPr>
          <w:rFonts w:ascii="Times New Roman" w:hAnsi="Times New Roman" w:cs="Times New Roman"/>
          <w:sz w:val="20"/>
          <w:szCs w:val="20"/>
        </w:rPr>
        <w:instrText>ADDIN CSL_CITATION {"citationItems":[{"id":"ITEM-1","itemData":{"DOI":"10.2741/2870","ISSN":"10939946","abstract":"Over the last decade, adenosine receptors in the central nervous system have been implicated in the modulation of cognitive functions. Despite the general view that endogenous adenosine modulates cognition through the activation of adenosine A1 receptors, evidence is now emerging on a possible role of A2A receptors in learning and memory. The present review attempts to examine results reported in different studies using diverse animal models, to provide a comprehensive picture of the recent evidence of a relationship between adenosinergic function and memory deficits. The present data suggest that caffeine (a nonselective adenosine receptor antagonist) and selective adenosine A2A receptor antagonists can improve memory performance in rodents evaluated through different tasks. They might also afford protection against memory dysfunction elicited in experimental models of aging, Alzheimer's disease, Parkinson's disease and, in spontaneously hypertensive rats (SHR), a putative genetic model of attention deficit hyperactivity disorder (ADHD).","author":[{"dropping-particle":"","family":"Takahashi","given":"Reinaldo Naoto","non-dropping-particle":"","parse-names":false,"suffix":""},{"dropping-particle":"","family":"Pamplona","given":"Fabricio Alano","non-dropping-particle":"","parse-names":false,"suffix":""},{"dropping-particle":"","family":"Prediger","given":"Rui Daniel Schroder","non-dropping-particle":"","parse-names":false,"suffix":""}],"container-title":"Frontiers in Bioscience","id":"ITEM-1","issue":"7","issued":{"date-parts":[["2008"]]},"title":"Adenosine receptor antagonists for cognitive dysfunction: A review of animal studies","type":"article","volume":"13"},"uris":["http://www.mendeley.com/documents/?uuid=eb2d4e97-b965-3431-8f0c-e066e4305cdd"]}],"mendeley":{"formattedCitation":"(Takahashi et al., 2008)","plainTextFormattedCitation":"(Takahashi et al., 2008)","previouslyFormattedCitation":"(Takahashi et al., 2008)"},"properties":{"noteIndex":0},"schema":"https://github.com/citation-style-language/schema/raw/master/csl-citation.json"}</w:instrText>
      </w:r>
      <w:r w:rsidR="00A977DB">
        <w:rPr>
          <w:rFonts w:ascii="Times New Roman" w:hAnsi="Times New Roman" w:cs="Times New Roman"/>
          <w:sz w:val="20"/>
          <w:szCs w:val="20"/>
        </w:rPr>
        <w:fldChar w:fldCharType="separate"/>
      </w:r>
      <w:r w:rsidR="00A977DB" w:rsidRPr="00A977DB">
        <w:rPr>
          <w:rFonts w:ascii="Times New Roman" w:hAnsi="Times New Roman" w:cs="Times New Roman"/>
          <w:noProof/>
          <w:sz w:val="20"/>
          <w:szCs w:val="20"/>
        </w:rPr>
        <w:t>(Takahashi et al., 2008)</w:t>
      </w:r>
      <w:r w:rsidR="00A977DB">
        <w:rPr>
          <w:rFonts w:ascii="Times New Roman" w:hAnsi="Times New Roman" w:cs="Times New Roman"/>
          <w:sz w:val="20"/>
          <w:szCs w:val="20"/>
        </w:rPr>
        <w:fldChar w:fldCharType="end"/>
      </w:r>
      <w:r w:rsidR="00171E25" w:rsidRPr="00982A50">
        <w:rPr>
          <w:rFonts w:ascii="Times New Roman" w:hAnsi="Times New Roman" w:cs="Times New Roman"/>
          <w:sz w:val="20"/>
          <w:szCs w:val="20"/>
        </w:rPr>
        <w:t>.</w:t>
      </w:r>
      <w:r w:rsidR="00245B80" w:rsidRPr="00982A50">
        <w:rPr>
          <w:rFonts w:ascii="Times New Roman" w:hAnsi="Times New Roman" w:cs="Times New Roman"/>
          <w:sz w:val="20"/>
          <w:szCs w:val="20"/>
        </w:rPr>
        <w:t xml:space="preserve"> Moreover, studies indicate that A2A receptors influence mental tracking </w:t>
      </w:r>
      <w:r w:rsidR="00A977DB">
        <w:rPr>
          <w:rFonts w:ascii="Times New Roman" w:hAnsi="Times New Roman" w:cs="Times New Roman"/>
          <w:sz w:val="20"/>
          <w:szCs w:val="20"/>
        </w:rPr>
        <w:fldChar w:fldCharType="begin" w:fldLock="1"/>
      </w:r>
      <w:r w:rsidR="00A977DB">
        <w:rPr>
          <w:rFonts w:ascii="Times New Roman" w:hAnsi="Times New Roman" w:cs="Times New Roman"/>
          <w:sz w:val="20"/>
          <w:szCs w:val="20"/>
        </w:rPr>
        <w:instrText>ADDIN CSL_CITATION {"citationItems":[{"id":"ITEM-1","itemData":{"DOI":"10.1016/j.euroneuro.2016.05.007","ISSN":"18737862","abstract":"Facilitated processing of interoceptive and exteroceptive information in the salience network is suggested to promote the development of anxiety and anxiety disorders. Here, it was investigated whether the adenosine 2 A receptor gene (ADORA2A) 1976T/C (rs5751876) variant – previously associated with anxiety disorders and anxiety-related phenotypes as well as general attentional efficiency –was involved in the regulation of this network. In detail, fMRI recordings of 65 healthy participants (female=35) were analyzed regarding ADORA2A genotype effects on brain connectivity related to (1) interoceptive processing in terms of functional connectivity resting-state fMRI, and (2) exteroceptive processing using dynamic causal modeling in task-based fMRI. In a subsample, cardiac interoceptive accuracy was furthermore measured via the Mental Tracking Task. ADORA2A genotype was found to modulate a fronto-insular network at rest (interoceptive processing) and while performing an executive control task (exteroceptive processing). Across both modalities, the ADORA2A TT risk genotype was associated with increased connectivity between the insula and the prefrontal cortex. The strength in connectivity correlated with interoceptive accuracy. It is concluded that alterations in fronto-insular connectivity are modulated by both the adenosinergic system and interoceptive accuracy. Thus, fronto-insular connectivity in synopsis with ADORA2A genotypic information could serve as combined biomarkers for personalized treatment approaches in anxiety disorders targeting exteroceptive and interoceptive dysfunction.","author":[{"dropping-particle":"","family":"Geiger","given":"Maximilian J.","non-dropping-particle":"","parse-names":false,"suffix":""},{"dropping-particle":"","family":"Domschke","given":"Katharina","non-dropping-particle":"","parse-names":false,"suffix":""},{"dropping-particle":"","family":"Homola","given":"György A.","non-dropping-particle":"","parse-names":false,"suffix":""},{"dropping-particle":"","family":"Schulz","given":"Stefan M.","non-dropping-particle":"","parse-names":false,"suffix":""},{"dropping-particle":"","family":"Nowak","given":"Johannes","non-dropping-particle":"","parse-names":false,"suffix":""},{"dropping-particle":"","family":"Akhrif","given":"Atae","non-dropping-particle":"","parse-names":false,"suffix":""},{"dropping-particle":"","family":"Pauli","given":"Paul","non-dropping-particle":"","parse-names":false,"suffix":""},{"dropping-particle":"","family":"Deckert","given":"Jürgen","non-dropping-particle":"","parse-names":false,"suffix":""},{"dropping-particle":"","family":"Neufang","given":"Susanne","non-dropping-particle":"","parse-names":false,"suffix":""}],"container-title":"European Neuropsychopharmacology","id":"ITEM-1","issue":"8","issued":{"date-parts":[["2016"]]},"title":"ADORA2A genotype modulates interoceptive and exteroceptive processing in a fronto-insular network","type":"article-journal","volume":"26"},"uris":["http://www.mendeley.com/documents/?uuid=47b2cb9d-1732-336b-8108-4116270a0857"]}],"mendeley":{"formattedCitation":"(Geiger et al., 2016)","plainTextFormattedCitation":"(Geiger et al., 2016)","previouslyFormattedCitation":"(Geiger et al., 2016)"},"properties":{"noteIndex":0},"schema":"https://github.com/citation-style-language/schema/raw/master/csl-citation.json"}</w:instrText>
      </w:r>
      <w:r w:rsidR="00A977DB">
        <w:rPr>
          <w:rFonts w:ascii="Times New Roman" w:hAnsi="Times New Roman" w:cs="Times New Roman"/>
          <w:sz w:val="20"/>
          <w:szCs w:val="20"/>
        </w:rPr>
        <w:fldChar w:fldCharType="separate"/>
      </w:r>
      <w:r w:rsidR="00A977DB" w:rsidRPr="00A977DB">
        <w:rPr>
          <w:rFonts w:ascii="Times New Roman" w:hAnsi="Times New Roman" w:cs="Times New Roman"/>
          <w:noProof/>
          <w:sz w:val="20"/>
          <w:szCs w:val="20"/>
        </w:rPr>
        <w:t>(Geiger et al., 2016)</w:t>
      </w:r>
      <w:r w:rsidR="00A977DB">
        <w:rPr>
          <w:rFonts w:ascii="Times New Roman" w:hAnsi="Times New Roman" w:cs="Times New Roman"/>
          <w:sz w:val="20"/>
          <w:szCs w:val="20"/>
        </w:rPr>
        <w:fldChar w:fldCharType="end"/>
      </w:r>
      <w:r w:rsidR="00245B80" w:rsidRPr="00982A50">
        <w:rPr>
          <w:rFonts w:ascii="Times New Roman" w:hAnsi="Times New Roman" w:cs="Times New Roman"/>
          <w:sz w:val="20"/>
          <w:szCs w:val="20"/>
        </w:rPr>
        <w:t xml:space="preserve"> and social cognition </w:t>
      </w:r>
      <w:r w:rsidR="00A977DB">
        <w:rPr>
          <w:rFonts w:ascii="Times New Roman" w:hAnsi="Times New Roman" w:cs="Times New Roman"/>
          <w:sz w:val="20"/>
          <w:szCs w:val="20"/>
        </w:rPr>
        <w:fldChar w:fldCharType="begin" w:fldLock="1"/>
      </w:r>
      <w:r w:rsidR="00A977DB">
        <w:rPr>
          <w:rFonts w:ascii="Times New Roman" w:hAnsi="Times New Roman" w:cs="Times New Roman"/>
          <w:sz w:val="20"/>
          <w:szCs w:val="20"/>
        </w:rPr>
        <w:instrText>ADDIN CSL_CITATION {"citationItems":[{"id":"ITEM-1","itemData":{"DOI":"10.1016/j.euroneuro.2016.04.003","ISSN":"18737862","abstract":"Schizophrenia is a chronic severe mental disorder with a presumed neurodevelopmental origin, and no effective treatment. Schizophrenia is a multifactorial disease with genetic, environmental and neurochemical etiology. The main theories on the pathophysiology of this disorder include alterations in dopaminergic and glutamatergic neurotransmission in limbic and cortical areas of the brain. Early hypotheses also suggested that nucleoside adenosine is a putative affected neurotransmitter system, and clinical evidence suggests that adenosine adjuvants improve treatment outcomes, especially in poorly responsive patients. Hence, it is important to elucidate the role of the neuromodulator adenosine in the pathophysiology of schizophrenia. A2A adenosine receptor (A2AR) subtypes are expressed in brain areas controlling motivational responses and cognition, including striatum, and in lower levels in hippocampus and cerebral cortex. The aim of this study was to characterize A2AR knockout (KO) mice with complete and specific inactivation of A2AR, as an animal model for schizophrenia. We performed behavioral, anatomical and neurochemical studies to assess psychotic-like symptoms in adult male and female KO and wild-type (WT) littermates. Our results show impairments in inhibitory responses and sensory gating in A2AR KO animals. Hyperlocomotion induced by d-amphetamine and MK-801 was reduced in KO animals when compared to WT littermates. Moreover, A2AR KO animals show motor disturbances, social and cognitive alterations. Finally, behavioral impairments were associated with enlargement of brain lateral ventricles and decreased BDNF levels in the hippocampus. These data highlight the role of adenosine in the pathophysiology of schizophrenia and provide new possibilities for the therapeutic management of schizophrenia.","author":[{"dropping-particle":"","family":"Moscoso-Castro","given":"Maria","non-dropping-particle":"","parse-names":false,"suffix":""},{"dropping-particle":"","family":"Gracia-Rubio","given":"Irene","non-dropping-particle":"","parse-names":false,"suffix":""},{"dropping-particle":"","family":"Ciruela","given":"Francisco","non-dropping-particle":"","parse-names":false,"suffix":""},{"dropping-particle":"","family":"Valverde","given":"Olga","non-dropping-particle":"","parse-names":false,"suffix":""}],"container-title":"European Neuropsychopharmacology","id":"ITEM-1","issue":"7","issued":{"date-parts":[["2016"]]},"title":"Genetic blockade of adenosine A2A receptors induces cognitive impairments and anatomical changes related to psychotic symptoms in mice","type":"article-journal","volume":"26"},"uris":["http://www.mendeley.com/documents/?uuid=2ea9fd46-5aab-37ef-8257-a618ae119828"]}],"mendeley":{"formattedCitation":"(Moscoso-Castro et al., 2016)","plainTextFormattedCitation":"(Moscoso-Castro et al., 2016)","previouslyFormattedCitation":"(Moscoso-Castro et al., 2016)"},"properties":{"noteIndex":0},"schema":"https://github.com/citation-style-language/schema/raw/master/csl-citation.json"}</w:instrText>
      </w:r>
      <w:r w:rsidR="00A977DB">
        <w:rPr>
          <w:rFonts w:ascii="Times New Roman" w:hAnsi="Times New Roman" w:cs="Times New Roman"/>
          <w:sz w:val="20"/>
          <w:szCs w:val="20"/>
        </w:rPr>
        <w:fldChar w:fldCharType="separate"/>
      </w:r>
      <w:r w:rsidR="00A977DB" w:rsidRPr="00A977DB">
        <w:rPr>
          <w:rFonts w:ascii="Times New Roman" w:hAnsi="Times New Roman" w:cs="Times New Roman"/>
          <w:noProof/>
          <w:sz w:val="20"/>
          <w:szCs w:val="20"/>
        </w:rPr>
        <w:t>(Moscoso-Castro et al., 2016)</w:t>
      </w:r>
      <w:r w:rsidR="00A977DB">
        <w:rPr>
          <w:rFonts w:ascii="Times New Roman" w:hAnsi="Times New Roman" w:cs="Times New Roman"/>
          <w:sz w:val="20"/>
          <w:szCs w:val="20"/>
        </w:rPr>
        <w:fldChar w:fldCharType="end"/>
      </w:r>
      <w:r w:rsidR="00B7162D" w:rsidRPr="00982A50">
        <w:rPr>
          <w:rFonts w:ascii="Times New Roman" w:hAnsi="Times New Roman" w:cs="Times New Roman"/>
          <w:sz w:val="20"/>
          <w:szCs w:val="20"/>
        </w:rPr>
        <w:t xml:space="preserve">, whilst in animal studies, A2A receptors have been implicated in aspects of working memory </w:t>
      </w:r>
      <w:r w:rsidR="00A977DB">
        <w:rPr>
          <w:rFonts w:ascii="Times New Roman" w:hAnsi="Times New Roman" w:cs="Times New Roman"/>
          <w:sz w:val="20"/>
          <w:szCs w:val="20"/>
        </w:rPr>
        <w:fldChar w:fldCharType="begin" w:fldLock="1"/>
      </w:r>
      <w:r w:rsidR="00A977DB">
        <w:rPr>
          <w:rFonts w:ascii="Times New Roman" w:hAnsi="Times New Roman" w:cs="Times New Roman"/>
          <w:sz w:val="20"/>
          <w:szCs w:val="20"/>
        </w:rPr>
        <w:instrText>ADDIN CSL_CITATION {"citationItems":[{"id":"ITEM-1","itemData":{"DOI":"10.1016/j.nlm.2006.05.004","ISSN":"10747427","abstract":"Adenosine receptors in the central nervous system have been implicated in the modulation of different behavioural patterns and cognitive functions although the specific role of A2A receptor (A2AR) subtype in learning and memory is still unclear. In the present work we establish a novel transgenic rat strain, TGR(NSEhA2A), overexpressing adenosine A2ARs mainly in the cerebral cortex, the hippocampal formation, and the cerebellum. Thereafter, we explore the relevance of this A2ARs overexpression for learning and memory function. Animals were behaviourally assessed in several learning and memory tasks (6-arms radial tunnel maze, T-maze, object recognition, and several Morris water maze paradigms) and other tests for spontaneous motor activity (open field, hexagonal tunnel maze) and anxiety (plus maze) as modification of these behaviours may interfere with the assessment of cognitive function. Neither motor performance and emotional/anxious-like behaviours were altered by overexpression of A2ARs. TGR(NSEhA2A) showed normal hippocampal-dependent learning of spatial reference memory. However, they presented working memory deficits as detected by performance of constant errors in the blind arms of the 6 arm radial tunnel maze, reduced recognition of a novel object and a lack of learning improvement over four trials on the same day which was not observed over consecutive days in a repeated acquisition paradigm in the Morris water maze. Given the interdependence between adenosinic and dopaminergic function, the present results render the novel TGR(NSEhA2A) as a putative animal model for the working memory deficits and cognitive disruptions related to overstimulation of cortical A2ARs or to dopaminergic prefrontal dysfunction as seen in schizophrenic or Parkinson's disease patients. © 2006 Elsevier Inc. All rights reserved.","author":[{"dropping-particle":"","family":"Giménez-Llort","given":"Lydia","non-dropping-particle":"","parse-names":false,"suffix":""},{"dropping-particle":"","family":"Schiffmann","given":"Serge N.","non-dropping-particle":"","parse-names":false,"suffix":""},{"dropping-particle":"","family":"Shmidt","given":"Tanja","non-dropping-particle":"","parse-names":false,"suffix":""},{"dropping-particle":"","family":"Canela","given":"Laia","non-dropping-particle":"","parse-names":false,"suffix":""},{"dropping-particle":"","family":"Camón","given":"Lluïsa","non-dropping-particle":"","parse-names":false,"suffix":""},{"dropping-particle":"","family":"Wassholm","given":"Monica","non-dropping-particle":"","parse-names":false,"suffix":""},{"dropping-particle":"","family":"Canals","given":"Meritxell","non-dropping-particle":"","parse-names":false,"suffix":""},{"dropping-particle":"","family":"Terasmaa","given":"Anton","non-dropping-particle":"","parse-names":false,"suffix":""},{"dropping-particle":"","family":"Fernández-Teruel","given":"Albert","non-dropping-particle":"","parse-names":false,"suffix":""},{"dropping-particle":"","family":"Tobeña","given":"Adolf","non-dropping-particle":"","parse-names":false,"suffix":""},{"dropping-particle":"","family":"Popova","given":"Elena","non-dropping-particle":"","parse-names":false,"suffix":""},{"dropping-particle":"","family":"Ferré","given":"Sergi","non-dropping-particle":"","parse-names":false,"suffix":""},{"dropping-particle":"","family":"Agnati","given":"Luigi","non-dropping-particle":"","parse-names":false,"suffix":""},{"dropping-particle":"","family":"Ciruela","given":"Francisco","non-dropping-particle":"","parse-names":false,"suffix":""},{"dropping-particle":"","family":"Martínez","given":"Emili","non-dropping-particle":"","parse-names":false,"suffix":""},{"dropping-particle":"","family":"Scheel-Kruger","given":"Jörgen","non-dropping-particle":"","parse-names":false,"suffix":""},{"dropping-particle":"","family":"Lluis","given":"Carmen","non-dropping-particle":"","parse-names":false,"suffix":""},{"dropping-particle":"","family":"Franco","given":"Rafael","non-dropping-particle":"","parse-names":false,"suffix":""},{"dropping-particle":"","family":"Fuxe","given":"Kjell","non-dropping-particle":"","parse-names":false,"suffix":""},{"dropping-particle":"","family":"Bader","given":"Michael","non-dropping-particle":"","parse-names":false,"suffix":""}],"container-title":"Neurobiology of Learning and Memory","id":"ITEM-1","issue":"1","issued":{"date-parts":[["2007"]]},"title":"Working memory deficits in transgenic rats overexpressing human adenosine A2A receptors in the brain","type":"article-journal","volume":"87"},"uris":["http://www.mendeley.com/documents/?uuid=0cc75fc3-e20e-390c-88d0-c46df8095b8e"]}],"mendeley":{"formattedCitation":"(Giménez-Llort et al., 2007)","plainTextFormattedCitation":"(Giménez-Llort et al., 2007)","previouslyFormattedCitation":"(Giménez-Llort et al., 2007)"},"properties":{"noteIndex":0},"schema":"https://github.com/citation-style-language/schema/raw/master/csl-citation.json"}</w:instrText>
      </w:r>
      <w:r w:rsidR="00A977DB">
        <w:rPr>
          <w:rFonts w:ascii="Times New Roman" w:hAnsi="Times New Roman" w:cs="Times New Roman"/>
          <w:sz w:val="20"/>
          <w:szCs w:val="20"/>
        </w:rPr>
        <w:fldChar w:fldCharType="separate"/>
      </w:r>
      <w:r w:rsidR="00A977DB" w:rsidRPr="00A977DB">
        <w:rPr>
          <w:rFonts w:ascii="Times New Roman" w:hAnsi="Times New Roman" w:cs="Times New Roman"/>
          <w:noProof/>
          <w:sz w:val="20"/>
          <w:szCs w:val="20"/>
        </w:rPr>
        <w:t>(Giménez-Llort et al., 2007)</w:t>
      </w:r>
      <w:r w:rsidR="00A977DB">
        <w:rPr>
          <w:rFonts w:ascii="Times New Roman" w:hAnsi="Times New Roman" w:cs="Times New Roman"/>
          <w:sz w:val="20"/>
          <w:szCs w:val="20"/>
        </w:rPr>
        <w:fldChar w:fldCharType="end"/>
      </w:r>
      <w:r w:rsidR="00B7162D" w:rsidRPr="00982A50">
        <w:rPr>
          <w:rFonts w:ascii="Times New Roman" w:hAnsi="Times New Roman" w:cs="Times New Roman"/>
          <w:sz w:val="20"/>
          <w:szCs w:val="20"/>
        </w:rPr>
        <w:t xml:space="preserve">, reversal learning </w:t>
      </w:r>
      <w:r w:rsidR="00A977DB">
        <w:rPr>
          <w:rFonts w:ascii="Times New Roman" w:hAnsi="Times New Roman" w:cs="Times New Roman"/>
          <w:sz w:val="20"/>
          <w:szCs w:val="20"/>
        </w:rPr>
        <w:fldChar w:fldCharType="begin" w:fldLock="1"/>
      </w:r>
      <w:r w:rsidR="00A977DB">
        <w:rPr>
          <w:rFonts w:ascii="Times New Roman" w:hAnsi="Times New Roman" w:cs="Times New Roman"/>
          <w:sz w:val="20"/>
          <w:szCs w:val="20"/>
        </w:rPr>
        <w:instrText>ADDIN CSL_CITATION {"citationItems":[{"id":"ITEM-1","itemData":{"DOI":"10.1016/j.bbamem.2010.12.018","ISSN":"00052736","abstract":"Endogenous adenosine is a widely distributed upstream regulator of a broad spectrum of neurotransmitters, receptors, and signaling pathways that converge to contribute to the expression of an array of important brain functions. Over the past decade, the generation and characterization of genetic knockout models for all four G-protein coupled adenosine receptors, the A1 and A2A receptors in particular, has confirmed and extended the neuromodulatory and integrated role of adenosine receptors in the control of a broad spectrum of normal and abnormal brain functions. After a brief introduction of the available adenosine receptor knockout models, this review focuses on findings from the genetic knockout approach, placing particular emphasis on the most recent findings. This review is organized into two sections to separately address (i) the role of adenosine receptors in normal brain processes including neuroplasticity, sleep-wake cycle, motor function, cognition, and emotion-related behaviors; and (ii) their role in the response to various pathologic insults to brain such as ischemic stroke, neurodegeneration, or brain dysfunction/disorders. We largely limit our overview to the prominent adenosine receptor subtypes in brain-the A1 and A2A receptors-for which numerous genetic knockout studies on brain function are available. A1 and A2A receptor knockouts have provided significant new insights into adenosine's control of complex physiologic (e.g., cognition) and pathologic (e.g., neuroinflammation) phenomena. These findings extend and strengthen the support for A1 and A2A receptors in brain as therapeutic targets in several neurologic and psychiatric diseases. However, they also emphasize the importance of considering the disease context-dependent effect when developing adenosine receptor-based therapeutic strategies. This article is part of a Special Issue entitled: \"Adenosine Receptors\". © 2010 Published by Elsevier B.V.","author":[{"dropping-particle":"","family":"Wei","given":"Catherine J.","non-dropping-particle":"","parse-names":false,"suffix":""},{"dropping-particle":"","family":"Li","given":"Wei","non-dropping-particle":"","parse-names":false,"suffix":""},{"dropping-particle":"","family":"Chen","given":"Jiang Fan","non-dropping-particle":"","parse-names":false,"suffix":""}],"container-title":"Biochimica et Biophysica Acta - Biomembranes","id":"ITEM-1","issue":"5","issued":{"date-parts":[["2011"]]},"title":"Normal and abnormal functions of adenosine receptors in the central nervous system revealed by genetic knockout studies","type":"article","volume":"1808"},"uris":["http://www.mendeley.com/documents/?uuid=1470bdbc-0a9a-32b7-aa07-73ff55477bb6"]}],"mendeley":{"formattedCitation":"(Wei et al., 2011)","plainTextFormattedCitation":"(Wei et al., 2011)","previouslyFormattedCitation":"(Wei et al., 2011)"},"properties":{"noteIndex":0},"schema":"https://github.com/citation-style-language/schema/raw/master/csl-citation.json"}</w:instrText>
      </w:r>
      <w:r w:rsidR="00A977DB">
        <w:rPr>
          <w:rFonts w:ascii="Times New Roman" w:hAnsi="Times New Roman" w:cs="Times New Roman"/>
          <w:sz w:val="20"/>
          <w:szCs w:val="20"/>
        </w:rPr>
        <w:fldChar w:fldCharType="separate"/>
      </w:r>
      <w:r w:rsidR="00A977DB" w:rsidRPr="00A977DB">
        <w:rPr>
          <w:rFonts w:ascii="Times New Roman" w:hAnsi="Times New Roman" w:cs="Times New Roman"/>
          <w:noProof/>
          <w:sz w:val="20"/>
          <w:szCs w:val="20"/>
        </w:rPr>
        <w:t>(Wei et al., 2011)</w:t>
      </w:r>
      <w:r w:rsidR="00A977DB">
        <w:rPr>
          <w:rFonts w:ascii="Times New Roman" w:hAnsi="Times New Roman" w:cs="Times New Roman"/>
          <w:sz w:val="20"/>
          <w:szCs w:val="20"/>
        </w:rPr>
        <w:fldChar w:fldCharType="end"/>
      </w:r>
      <w:r w:rsidR="00B7162D" w:rsidRPr="00982A50">
        <w:rPr>
          <w:rFonts w:ascii="Times New Roman" w:hAnsi="Times New Roman" w:cs="Times New Roman"/>
          <w:sz w:val="20"/>
          <w:szCs w:val="20"/>
        </w:rPr>
        <w:t xml:space="preserve"> and habit formation </w:t>
      </w:r>
      <w:r w:rsidR="00A977DB">
        <w:rPr>
          <w:rFonts w:ascii="Times New Roman" w:hAnsi="Times New Roman" w:cs="Times New Roman"/>
          <w:sz w:val="20"/>
          <w:szCs w:val="20"/>
        </w:rPr>
        <w:fldChar w:fldCharType="begin" w:fldLock="1"/>
      </w:r>
      <w:r w:rsidR="00A977DB">
        <w:rPr>
          <w:rFonts w:ascii="Times New Roman" w:hAnsi="Times New Roman" w:cs="Times New Roman"/>
          <w:sz w:val="20"/>
          <w:szCs w:val="20"/>
        </w:rPr>
        <w:instrText>ADDIN CSL_CITATION {"citationItems":[{"id":"ITEM-1","itemData":{"DOI":"10.1523/JNEUROSCI.4215-09.2009","ISSN":"02706474","abstract":"A2A receptors are a major class of G-protein-coupled receptors for adenosine. Highly expressed in the striatum, on the projection neurons giving rise to the striatopallidal or \"indirect\" pathway, they have been implicated in sleep, addiction, and other processes, yet their role in the control of striatal circuits and behavior remains unclear. Using established assays from the instrumental learning paradigm, we showed that mice with striatum-specific deletion of A2A receptors were selectively impaired in habit formation. After training that generated habitual lever pressing in wild-type controls, the performance of striatum-specific A2A knock-out mice remained goal directed, being highly sensitive to outcome devaluation and reversal of the action-outcome contingency. These data demonstrate a critical role for A2A receptors on striatopallidal medium spiny projection neurons in shaping behavior and decision making, providing the first instance of a selective alteration in instrumental learning after striatum-specific genetic manipulations. Copyright © 2009 Society for Neuroscience.","author":[{"dropping-particle":"","family":"Yu","given":"Chunxiu","non-dropping-particle":"","parse-names":false,"suffix":""},{"dropping-particle":"","family":"Gupta","given":"Jay","non-dropping-particle":"","parse-names":false,"suffix":""},{"dropping-particle":"","family":"Chen","given":"Jiang Fan","non-dropping-particle":"","parse-names":false,"suffix":""},{"dropping-particle":"","family":"Yin","given":"Henry H.","non-dropping-particle":"","parse-names":false,"suffix":""}],"container-title":"Journal of Neuroscience","id":"ITEM-1","issue":"48","issued":{"date-parts":[["2009"]]},"title":"Genetic deletion of A2A adenosine receptors in the striatum selectively impairs habit formation","type":"article-journal","volume":"29"},"uris":["http://www.mendeley.com/documents/?uuid=7efabacf-04bc-3eba-9220-684787fd3990"]}],"mendeley":{"formattedCitation":"(Yu et al., 2009)","plainTextFormattedCitation":"(Yu et al., 2009)","previouslyFormattedCitation":"(Yu et al., 2009)"},"properties":{"noteIndex":0},"schema":"https://github.com/citation-style-language/schema/raw/master/csl-citation.json"}</w:instrText>
      </w:r>
      <w:r w:rsidR="00A977DB">
        <w:rPr>
          <w:rFonts w:ascii="Times New Roman" w:hAnsi="Times New Roman" w:cs="Times New Roman"/>
          <w:sz w:val="20"/>
          <w:szCs w:val="20"/>
        </w:rPr>
        <w:fldChar w:fldCharType="separate"/>
      </w:r>
      <w:r w:rsidR="00A977DB" w:rsidRPr="00A977DB">
        <w:rPr>
          <w:rFonts w:ascii="Times New Roman" w:hAnsi="Times New Roman" w:cs="Times New Roman"/>
          <w:noProof/>
          <w:sz w:val="20"/>
          <w:szCs w:val="20"/>
        </w:rPr>
        <w:t>(Yu et al., 2009)</w:t>
      </w:r>
      <w:r w:rsidR="00A977DB">
        <w:rPr>
          <w:rFonts w:ascii="Times New Roman" w:hAnsi="Times New Roman" w:cs="Times New Roman"/>
          <w:sz w:val="20"/>
          <w:szCs w:val="20"/>
        </w:rPr>
        <w:fldChar w:fldCharType="end"/>
      </w:r>
      <w:r w:rsidR="00B7162D" w:rsidRPr="00982A50">
        <w:rPr>
          <w:rFonts w:ascii="Times New Roman" w:hAnsi="Times New Roman" w:cs="Times New Roman"/>
          <w:sz w:val="20"/>
          <w:szCs w:val="20"/>
        </w:rPr>
        <w:t xml:space="preserve">. </w:t>
      </w:r>
      <w:r w:rsidR="00AD1B1C">
        <w:rPr>
          <w:rFonts w:ascii="Times New Roman" w:hAnsi="Times New Roman" w:cs="Times New Roman"/>
          <w:sz w:val="20"/>
          <w:szCs w:val="20"/>
        </w:rPr>
        <w:t xml:space="preserve">Therefore, further research into the relationship between A2A receptors and cognition is merited. </w:t>
      </w:r>
    </w:p>
    <w:p w14:paraId="6EF4DBE6" w14:textId="5A51EE64" w:rsidR="00681DE1" w:rsidRPr="00982A50" w:rsidRDefault="00282F13" w:rsidP="00847071">
      <w:pPr>
        <w:spacing w:line="480" w:lineRule="auto"/>
        <w:jc w:val="left"/>
        <w:rPr>
          <w:rFonts w:ascii="Times New Roman" w:hAnsi="Times New Roman" w:cs="Times New Roman"/>
          <w:sz w:val="20"/>
          <w:szCs w:val="20"/>
        </w:rPr>
      </w:pPr>
      <w:r>
        <w:rPr>
          <w:rFonts w:ascii="Times New Roman" w:hAnsi="Times New Roman" w:cs="Times New Roman"/>
          <w:sz w:val="20"/>
          <w:szCs w:val="20"/>
        </w:rPr>
        <w:tab/>
      </w:r>
      <w:proofErr w:type="spellStart"/>
      <w:r w:rsidR="00B52A86" w:rsidRPr="00982A50">
        <w:rPr>
          <w:rFonts w:ascii="Times New Roman" w:hAnsi="Times New Roman" w:cs="Times New Roman"/>
          <w:sz w:val="20"/>
          <w:szCs w:val="20"/>
        </w:rPr>
        <w:t>Istra</w:t>
      </w:r>
      <w:r w:rsidR="00C66275" w:rsidRPr="00982A50">
        <w:rPr>
          <w:rFonts w:ascii="Times New Roman" w:hAnsi="Times New Roman" w:cs="Times New Roman"/>
          <w:sz w:val="20"/>
          <w:szCs w:val="20"/>
        </w:rPr>
        <w:t>defylli</w:t>
      </w:r>
      <w:r w:rsidR="00C13FBB" w:rsidRPr="00982A50">
        <w:rPr>
          <w:rFonts w:ascii="Times New Roman" w:hAnsi="Times New Roman" w:cs="Times New Roman"/>
          <w:sz w:val="20"/>
          <w:szCs w:val="20"/>
        </w:rPr>
        <w:t>n</w:t>
      </w:r>
      <w:r w:rsidR="00C66275" w:rsidRPr="00982A50">
        <w:rPr>
          <w:rFonts w:ascii="Times New Roman" w:hAnsi="Times New Roman" w:cs="Times New Roman"/>
          <w:sz w:val="20"/>
          <w:szCs w:val="20"/>
        </w:rPr>
        <w:t>e</w:t>
      </w:r>
      <w:proofErr w:type="spellEnd"/>
      <w:r w:rsidR="00EE0195" w:rsidRPr="00982A50">
        <w:rPr>
          <w:rFonts w:ascii="Times New Roman" w:hAnsi="Times New Roman" w:cs="Times New Roman"/>
          <w:sz w:val="20"/>
          <w:szCs w:val="20"/>
        </w:rPr>
        <w:t xml:space="preserve"> is </w:t>
      </w:r>
      <w:r w:rsidR="00C66275" w:rsidRPr="00982A50">
        <w:rPr>
          <w:rFonts w:ascii="Times New Roman" w:hAnsi="Times New Roman" w:cs="Times New Roman"/>
          <w:sz w:val="20"/>
          <w:szCs w:val="20"/>
        </w:rPr>
        <w:t xml:space="preserve">a selective </w:t>
      </w:r>
      <w:r w:rsidR="00671360" w:rsidRPr="00982A50">
        <w:rPr>
          <w:rFonts w:ascii="Times New Roman" w:hAnsi="Times New Roman" w:cs="Times New Roman"/>
          <w:sz w:val="20"/>
          <w:szCs w:val="20"/>
        </w:rPr>
        <w:t>A2A-R</w:t>
      </w:r>
      <w:r w:rsidR="00C66275" w:rsidRPr="00982A50">
        <w:rPr>
          <w:rFonts w:ascii="Times New Roman" w:hAnsi="Times New Roman" w:cs="Times New Roman"/>
          <w:sz w:val="20"/>
          <w:szCs w:val="20"/>
        </w:rPr>
        <w:t xml:space="preserve"> antagonist</w:t>
      </w:r>
      <w:r w:rsidR="007E23D1" w:rsidRPr="00982A50">
        <w:rPr>
          <w:rFonts w:ascii="Times New Roman" w:hAnsi="Times New Roman" w:cs="Times New Roman"/>
          <w:sz w:val="20"/>
          <w:szCs w:val="20"/>
        </w:rPr>
        <w:t>,</w:t>
      </w:r>
      <w:r w:rsidR="004E0BE4" w:rsidRPr="00982A50">
        <w:rPr>
          <w:rFonts w:ascii="Times New Roman" w:hAnsi="Times New Roman" w:cs="Times New Roman"/>
          <w:sz w:val="20"/>
          <w:szCs w:val="20"/>
        </w:rPr>
        <w:t xml:space="preserve"> developed </w:t>
      </w:r>
      <w:r w:rsidR="00EE0195" w:rsidRPr="00982A50">
        <w:rPr>
          <w:rFonts w:ascii="Times New Roman" w:hAnsi="Times New Roman" w:cs="Times New Roman"/>
          <w:sz w:val="20"/>
          <w:szCs w:val="20"/>
        </w:rPr>
        <w:t>as</w:t>
      </w:r>
      <w:r w:rsidR="004E0BE4" w:rsidRPr="00982A50">
        <w:rPr>
          <w:rFonts w:ascii="Times New Roman" w:hAnsi="Times New Roman" w:cs="Times New Roman"/>
          <w:sz w:val="20"/>
          <w:szCs w:val="20"/>
        </w:rPr>
        <w:t xml:space="preserve"> </w:t>
      </w:r>
      <w:r w:rsidR="00DD4C63" w:rsidRPr="00982A50">
        <w:rPr>
          <w:rFonts w:ascii="Times New Roman" w:hAnsi="Times New Roman" w:cs="Times New Roman"/>
          <w:sz w:val="20"/>
          <w:szCs w:val="20"/>
        </w:rPr>
        <w:t xml:space="preserve">an adjunctive </w:t>
      </w:r>
      <w:r w:rsidR="00EE0195" w:rsidRPr="00982A50">
        <w:rPr>
          <w:rFonts w:ascii="Times New Roman" w:hAnsi="Times New Roman" w:cs="Times New Roman"/>
          <w:sz w:val="20"/>
          <w:szCs w:val="20"/>
        </w:rPr>
        <w:t xml:space="preserve">treatment </w:t>
      </w:r>
      <w:r w:rsidR="00DD4C63" w:rsidRPr="00982A50">
        <w:rPr>
          <w:rFonts w:ascii="Times New Roman" w:hAnsi="Times New Roman" w:cs="Times New Roman"/>
          <w:sz w:val="20"/>
          <w:szCs w:val="20"/>
        </w:rPr>
        <w:t xml:space="preserve">in </w:t>
      </w:r>
      <w:r w:rsidR="004E0BE4" w:rsidRPr="00982A50">
        <w:rPr>
          <w:rFonts w:ascii="Times New Roman" w:hAnsi="Times New Roman" w:cs="Times New Roman"/>
          <w:sz w:val="20"/>
          <w:szCs w:val="20"/>
        </w:rPr>
        <w:t>Parkinson’s d</w:t>
      </w:r>
      <w:r w:rsidR="00DD4C63" w:rsidRPr="00982A50">
        <w:rPr>
          <w:rFonts w:ascii="Times New Roman" w:hAnsi="Times New Roman" w:cs="Times New Roman"/>
          <w:sz w:val="20"/>
          <w:szCs w:val="20"/>
        </w:rPr>
        <w:t>isease</w:t>
      </w:r>
      <w:r w:rsidR="00722DBE" w:rsidRPr="00982A50">
        <w:rPr>
          <w:rFonts w:ascii="Times New Roman" w:hAnsi="Times New Roman" w:cs="Times New Roman"/>
          <w:sz w:val="20"/>
          <w:szCs w:val="20"/>
        </w:rPr>
        <w:t xml:space="preserve"> (PD)</w:t>
      </w:r>
      <w:r w:rsidR="00D86137" w:rsidRPr="00982A50">
        <w:rPr>
          <w:rFonts w:ascii="Times New Roman" w:hAnsi="Times New Roman" w:cs="Times New Roman"/>
          <w:sz w:val="20"/>
          <w:szCs w:val="20"/>
        </w:rPr>
        <w:t xml:space="preserve"> </w:t>
      </w: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{"citationItems":[{"id":"ITEM-1","itemData":{"DOI":"10.1002/mds.22095","ISSN":"08853185","abstract":"The objective of this study was to evaluate the efficacy, safety, and tolerability of istradefylline 20 mg once daily versus placebo as an adjunct to levodopa in subjects with Parkinson's disease (PD) who have motor fluctuations. Istradefylline (KW-6002) is an adenosine A2A receptor antagonist that in primate models of PD improves motor function without causing or worsening dyskinesia. This 12-week, multicenter, double-blind, placebo-controlled, randomized, Phase 3 study of istradefylline was conducted in subjects experiencing an average daily OFF time of at least 3 hours (116 randomized to istradefylline; 115 to placebo). All were on stable levodopa regimens; 90% were also on stable regimens of other anti-Parkinson's medications. Istradefylline-treated subjects had significant placebo-corrected reductions in daily OFF time from baseline to endpoint: 4.6% (P = 0.03) and 0.7 hours (P = 0.03). For ON time with troublesome dyskinesia, the changes between istradefylline and placebo were not significant. Istradefylline was well tolerated, with 6 (5.2%) istradefylline-treated and 7 (6.1%) placebo-treated subjects withdrawing from the study because of adverse events. Dyskinesia, lightheadedness, tremor, constipation, and weight decrease were reported more often with istradefylline than placebo. We conclude that istradefylline is well tolerated and significantly reduces OFF time as an adjunct to levodopa in PD subjects with motor fluctuations. © 2008 Movement Disorder Society.","author":[{"dropping-particle":"","family":"Hauser","given":"Robert A.","non-dropping-particle":"","parse-names":false,"suffix":""},{"dropping-particle":"","family":"Shulman","given":"Lisa M.","non-dropping-particle":"","parse-names":false,"suffix":""},{"dropping-particle":"","family":"Trugman","given":"Joel M.","non-dropping-particle":"","parse-names":false,"suffix":""},{"dropping-particle":"","family":"Roberts","given":"John W.","non-dropping-particle":"","parse-names":false,"suffix":""},{"dropping-particle":"","family":"Mori","given":"Akihisa","non-dropping-particle":"","parse-names":false,"suffix":""},{"dropping-particle":"","family":"Ballerini","given":"Rocco","non-dropping-particle":"","parse-names":false,"suffix":""},{"dropping-particle":"","family":"Sussman","given":"Neil M.","non-dropping-particle":"","parse-names":false,"suffix":""}],"container-title":"Movement Disorders","id":"ITEM-1","issue":"15","issued":{"date-parts":[["2008"]]},"title":"Study of istradefylline in patients with Parkinson's disease on levodopa with motor fluctuations","type":"article-journal","volume":"23"},"uris":["http://www.mendeley.com/documents/?uuid=e63f331f-04b3-3fd1-bded-dd6d5720cd49"]}],"mendeley":{"formattedCitation":"(Hauser et al., 2008)","plainTextFormattedCitation":"(Hauser et al., 2008)","previouslyFormattedCitation":"(Hauser et al., 2008)"},"properties":{"noteIndex":0},"schema":"https://github.com/citation-style-language/schema/raw/master/csl-citation.json"}</w:instrText>
      </w:r>
      <w:r>
        <w:rPr>
          <w:rFonts w:ascii="Times New Roman" w:hAnsi="Times New Roman" w:cs="Times New Roman"/>
          <w:sz w:val="20"/>
          <w:szCs w:val="20"/>
        </w:rPr>
        <w:fldChar w:fldCharType="separate"/>
      </w:r>
      <w:r w:rsidRPr="00282F13">
        <w:rPr>
          <w:rFonts w:ascii="Times New Roman" w:hAnsi="Times New Roman" w:cs="Times New Roman"/>
          <w:noProof/>
          <w:sz w:val="20"/>
          <w:szCs w:val="20"/>
        </w:rPr>
        <w:t>(Hauser et al., 2008)</w:t>
      </w:r>
      <w:r>
        <w:rPr>
          <w:rFonts w:ascii="Times New Roman" w:hAnsi="Times New Roman" w:cs="Times New Roman"/>
          <w:sz w:val="20"/>
          <w:szCs w:val="20"/>
        </w:rPr>
        <w:fldChar w:fldCharType="end"/>
      </w:r>
      <w:r w:rsidR="00D86137" w:rsidRPr="00982A50">
        <w:rPr>
          <w:rFonts w:ascii="Times New Roman" w:hAnsi="Times New Roman" w:cs="Times New Roman"/>
          <w:sz w:val="20"/>
          <w:szCs w:val="20"/>
        </w:rPr>
        <w:fldChar w:fldCharType="begin"/>
      </w:r>
      <w:r w:rsidR="00D86137" w:rsidRPr="00982A50">
        <w:rPr>
          <w:rFonts w:ascii="Times New Roman" w:hAnsi="Times New Roman" w:cs="Times New Roman"/>
          <w:sz w:val="20"/>
          <w:szCs w:val="20"/>
        </w:rPr>
        <w:instrText xml:space="preserve">EN.CITE </w:instrText>
      </w:r>
      <w:r w:rsidR="00D86137" w:rsidRPr="00982A50">
        <w:rPr>
          <w:rFonts w:ascii="Times New Roman" w:hAnsi="Times New Roman" w:cs="Times New Roman"/>
          <w:sz w:val="20"/>
          <w:szCs w:val="20"/>
        </w:rPr>
        <w:fldChar w:fldCharType="begin"/>
      </w:r>
      <w:r w:rsidR="00D86137" w:rsidRPr="00982A50">
        <w:rPr>
          <w:rFonts w:ascii="Times New Roman" w:hAnsi="Times New Roman" w:cs="Times New Roman"/>
          <w:sz w:val="20"/>
          <w:szCs w:val="20"/>
        </w:rPr>
        <w:instrText xml:space="preserve">EN.CITE.DATA </w:instrText>
      </w:r>
      <w:r w:rsidR="00D86137" w:rsidRPr="00982A50">
        <w:rPr>
          <w:rFonts w:ascii="Times New Roman" w:hAnsi="Times New Roman" w:cs="Times New Roman"/>
          <w:sz w:val="20"/>
          <w:szCs w:val="20"/>
        </w:rPr>
        <w:fldChar w:fldCharType="end"/>
      </w:r>
      <w:r w:rsidR="00D86137" w:rsidRPr="00982A50">
        <w:rPr>
          <w:rFonts w:ascii="Times New Roman" w:hAnsi="Times New Roman" w:cs="Times New Roman"/>
          <w:sz w:val="20"/>
          <w:szCs w:val="20"/>
        </w:rPr>
        <w:fldChar w:fldCharType="separate"/>
      </w:r>
      <w:r w:rsidR="00D86137" w:rsidRPr="00982A50">
        <w:rPr>
          <w:rFonts w:ascii="Times New Roman" w:hAnsi="Times New Roman" w:cs="Times New Roman"/>
          <w:noProof/>
          <w:sz w:val="20"/>
          <w:szCs w:val="20"/>
        </w:rPr>
        <w:t>(Hauser</w:t>
      </w:r>
      <w:r w:rsidR="00B7162D" w:rsidRPr="00982A50">
        <w:rPr>
          <w:rFonts w:ascii="Times New Roman" w:hAnsi="Times New Roman" w:cs="Times New Roman"/>
          <w:noProof/>
          <w:sz w:val="20"/>
          <w:szCs w:val="20"/>
        </w:rPr>
        <w:t xml:space="preserve"> et al</w:t>
      </w:r>
      <w:r w:rsidR="00272FBB" w:rsidRPr="00982A50">
        <w:rPr>
          <w:rFonts w:ascii="Times New Roman" w:hAnsi="Times New Roman" w:cs="Times New Roman"/>
          <w:noProof/>
          <w:sz w:val="20"/>
          <w:szCs w:val="20"/>
        </w:rPr>
        <w:t>.</w:t>
      </w:r>
      <w:r w:rsidR="00B7162D" w:rsidRPr="00982A50">
        <w:rPr>
          <w:rFonts w:ascii="Times New Roman" w:hAnsi="Times New Roman" w:cs="Times New Roman"/>
          <w:noProof/>
          <w:sz w:val="20"/>
          <w:szCs w:val="20"/>
        </w:rPr>
        <w:t>,</w:t>
      </w:r>
      <w:r w:rsidR="00D86137" w:rsidRPr="00982A50">
        <w:rPr>
          <w:rFonts w:ascii="Times New Roman" w:hAnsi="Times New Roman" w:cs="Times New Roman"/>
          <w:noProof/>
          <w:sz w:val="20"/>
          <w:szCs w:val="20"/>
        </w:rPr>
        <w:t xml:space="preserve"> 2008)</w:t>
      </w:r>
      <w:r w:rsidR="00D86137" w:rsidRPr="00982A50">
        <w:rPr>
          <w:rFonts w:ascii="Times New Roman" w:hAnsi="Times New Roman" w:cs="Times New Roman"/>
          <w:sz w:val="20"/>
          <w:szCs w:val="20"/>
        </w:rPr>
        <w:fldChar w:fldCharType="end"/>
      </w:r>
      <w:r w:rsidR="004E0BE4" w:rsidRPr="00982A50">
        <w:rPr>
          <w:rFonts w:ascii="Times New Roman" w:hAnsi="Times New Roman" w:cs="Times New Roman"/>
          <w:sz w:val="20"/>
          <w:szCs w:val="20"/>
        </w:rPr>
        <w:t xml:space="preserve">. </w:t>
      </w:r>
      <w:r w:rsidR="00965E5D" w:rsidRPr="00982A50">
        <w:rPr>
          <w:rFonts w:ascii="Times New Roman" w:hAnsi="Times New Roman" w:cs="Times New Roman"/>
          <w:sz w:val="20"/>
          <w:szCs w:val="20"/>
        </w:rPr>
        <w:t>It has potent</w:t>
      </w:r>
      <w:r w:rsidR="00893173" w:rsidRPr="00982A50">
        <w:rPr>
          <w:rFonts w:ascii="Times New Roman" w:hAnsi="Times New Roman" w:cs="Times New Roman"/>
          <w:sz w:val="20"/>
          <w:szCs w:val="20"/>
        </w:rPr>
        <w:t xml:space="preserve"> selective</w:t>
      </w:r>
      <w:r w:rsidR="00965E5D" w:rsidRPr="00982A50">
        <w:rPr>
          <w:rFonts w:ascii="Times New Roman" w:hAnsi="Times New Roman" w:cs="Times New Roman"/>
          <w:sz w:val="20"/>
          <w:szCs w:val="20"/>
        </w:rPr>
        <w:t xml:space="preserve"> affinity for A2A receptors </w:t>
      </w:r>
      <w:r w:rsidR="00A977DB">
        <w:rPr>
          <w:rFonts w:ascii="Times New Roman" w:hAnsi="Times New Roman" w:cs="Times New Roman"/>
          <w:sz w:val="20"/>
          <w:szCs w:val="20"/>
        </w:rPr>
        <w:fldChar w:fldCharType="begin" w:fldLock="1"/>
      </w:r>
      <w:r w:rsidR="00A977DB">
        <w:rPr>
          <w:rFonts w:ascii="Times New Roman" w:hAnsi="Times New Roman" w:cs="Times New Roman"/>
          <w:sz w:val="20"/>
          <w:szCs w:val="20"/>
        </w:rPr>
        <w:instrText>ADDIN CSL_CITATION {"citationItems":[{"id":"ITEM-1","itemData":{"DOI":"10.1007/s00210-013-0897-5","ISSN":"00281298","abstract":"Adenosine A2A receptors are suggested to be a promising non-dopaminergic target for the treatment of Parkinson's disease (PD). Istradefylline is an adenosine A2A receptor antagonist that has been reported to exhibit antiparkinsonian activities in PD patients as well as both rodents and nonhuman primate models of PD. The aim of this study was to evaluate the in vitro pharmacological profile of istradefylline as an A2A receptor antagonist. Istradefylline exhibited high affinity for A2A receptors in humans, marmosets, dogs, rats, and mice. The affinities for the other subtypes of adenosine receptors (A1, A2B, and A 3) were lower than that for A2A receptors in each species. Istradefylline demonstrated no significant affinity for other neurotransmitter receptors, including dopamine receptors (D1, D2, D 3, D4, and D5). In addition, istradefylline hardly inhibited monoamine oxidase-A, monoamine oxidase-B, or catechol-O-methyl transferase. A kinetic analysis indicated that istradefylline reversibly binds to the human A2A receptors: The association reached equilibrium within 1 min, and the binding was also almost completely dissociated within 1 min. Istradefylline inhibited the A2A agonist CGS21680-induced accumulation of cAMP in the cultured cells and then shifted the concentration-response curve of CGS21680 to the right without affecting the maximal response of the agonist. These results indicate that istradefylline is a potent, selective, and competitive A2A receptor antagonist. The in vitro pharmacological profile of istradefylline helps to explain the in vivo profile of istradefylline and may be useful for clinical pharmacokinetic- pharmacodynamic considerations of efficacy and safety. © 2013 Springer-Verlag Berlin Heidelberg.","author":[{"dropping-particle":"","family":"Saki","given":"Mayumi","non-dropping-particle":"","parse-names":false,"suffix":""},{"dropping-particle":"","family":"Yamada","given":"Koji","non-dropping-particle":"","parse-names":false,"suffix":""},{"dropping-particle":"","family":"Koshimura","given":"Etsuko","non-dropping-particle":"","parse-names":false,"suffix":""},{"dropping-particle":"","family":"Sasaki","given":"Katsutoshi","non-dropping-particle":"","parse-names":false,"suffix":""},{"dropping-particle":"","family":"Kanda","given":"Tomoyuki","non-dropping-particle":"","parse-names":false,"suffix":""}],"container-title":"Naunyn-Schmiedeberg's Archives of Pharmacology","id":"ITEM-1","issue":"11","issued":{"date-parts":[["2013"]]},"title":"In vitro pharmacological profile of the A2A receptor antagonist istradefylline","type":"article-journal","volume":"386"},"uris":["http://www.mendeley.com/documents/?uuid=c3fc43f7-1d55-34cb-a5ae-60ce7428a088"]}],"mendeley":{"formattedCitation":"(Saki et al., 2013)","plainTextFormattedCitation":"(Saki et al., 2013)","previouslyFormattedCitation":"(Saki et al., 2013)"},"properties":{"noteIndex":0},"schema":"https://github.com/citation-style-language/schema/raw/master/csl-citation.json"}</w:instrText>
      </w:r>
      <w:r w:rsidR="00A977DB">
        <w:rPr>
          <w:rFonts w:ascii="Times New Roman" w:hAnsi="Times New Roman" w:cs="Times New Roman"/>
          <w:sz w:val="20"/>
          <w:szCs w:val="20"/>
        </w:rPr>
        <w:fldChar w:fldCharType="separate"/>
      </w:r>
      <w:r w:rsidR="00A977DB" w:rsidRPr="00A977DB">
        <w:rPr>
          <w:rFonts w:ascii="Times New Roman" w:hAnsi="Times New Roman" w:cs="Times New Roman"/>
          <w:noProof/>
          <w:sz w:val="20"/>
          <w:szCs w:val="20"/>
        </w:rPr>
        <w:t>(Saki et al., 2013)</w:t>
      </w:r>
      <w:r w:rsidR="00A977DB">
        <w:rPr>
          <w:rFonts w:ascii="Times New Roman" w:hAnsi="Times New Roman" w:cs="Times New Roman"/>
          <w:sz w:val="20"/>
          <w:szCs w:val="20"/>
        </w:rPr>
        <w:fldChar w:fldCharType="end"/>
      </w:r>
      <w:r w:rsidR="00641D38" w:rsidRPr="00982A50">
        <w:rPr>
          <w:rFonts w:ascii="Times New Roman" w:hAnsi="Times New Roman" w:cs="Times New Roman"/>
          <w:sz w:val="20"/>
          <w:szCs w:val="20"/>
        </w:rPr>
        <w:t>. Some</w:t>
      </w:r>
      <w:r w:rsidR="00893173" w:rsidRPr="00982A50">
        <w:rPr>
          <w:rFonts w:ascii="Times New Roman" w:hAnsi="Times New Roman" w:cs="Times New Roman"/>
          <w:sz w:val="20"/>
          <w:szCs w:val="20"/>
        </w:rPr>
        <w:t xml:space="preserve"> cognitive enhancing effects of </w:t>
      </w:r>
      <w:proofErr w:type="spellStart"/>
      <w:r w:rsidR="00893173" w:rsidRPr="00982A50">
        <w:rPr>
          <w:rFonts w:ascii="Times New Roman" w:hAnsi="Times New Roman" w:cs="Times New Roman"/>
          <w:sz w:val="20"/>
          <w:szCs w:val="20"/>
        </w:rPr>
        <w:t>istradefylline</w:t>
      </w:r>
      <w:proofErr w:type="spellEnd"/>
      <w:r w:rsidR="00893173" w:rsidRPr="00982A50">
        <w:rPr>
          <w:rFonts w:ascii="Times New Roman" w:hAnsi="Times New Roman" w:cs="Times New Roman"/>
          <w:sz w:val="20"/>
          <w:szCs w:val="20"/>
        </w:rPr>
        <w:t xml:space="preserve"> have been i</w:t>
      </w:r>
      <w:r w:rsidR="00641D38" w:rsidRPr="00982A50">
        <w:rPr>
          <w:rFonts w:ascii="Times New Roman" w:hAnsi="Times New Roman" w:cs="Times New Roman"/>
          <w:sz w:val="20"/>
          <w:szCs w:val="20"/>
        </w:rPr>
        <w:t>dentified</w:t>
      </w:r>
      <w:r w:rsidR="00893173" w:rsidRPr="00982A50">
        <w:rPr>
          <w:rFonts w:ascii="Times New Roman" w:hAnsi="Times New Roman" w:cs="Times New Roman"/>
          <w:sz w:val="20"/>
          <w:szCs w:val="20"/>
        </w:rPr>
        <w:t xml:space="preserve"> in rodents </w:t>
      </w:r>
      <w:r w:rsidR="00A977DB">
        <w:rPr>
          <w:rFonts w:ascii="Times New Roman" w:hAnsi="Times New Roman" w:cs="Times New Roman"/>
          <w:sz w:val="20"/>
          <w:szCs w:val="20"/>
        </w:rPr>
        <w:fldChar w:fldCharType="begin" w:fldLock="1"/>
      </w:r>
      <w:r w:rsidR="00A977DB">
        <w:rPr>
          <w:rFonts w:ascii="Times New Roman" w:hAnsi="Times New Roman" w:cs="Times New Roman"/>
          <w:sz w:val="20"/>
          <w:szCs w:val="20"/>
        </w:rPr>
        <w:instrText>ADDIN CSL_CITATION {"citationItems":[{"id":"ITEM-1","itemData":{"DOI":"10.1007/s00213-013-3158-x","ISSN":"00333158","abstract":"Rationale: Altered cognitive function is a common feature of both the early and later stages of Parkinson's disease (PD) that involves alterations in cortical dopamine content. Adenosine A2A antagonists, such as istradefylline, improve motor function in PD, but their effect on cognitive impairment has not been determined. Objective: The present study investigated whether impairment of working memory due to the loss of dopaminergic input into the prefrontal cortex (PFC) is reversed by administration of istradefylline. We also evaluated whether A2A antagonist administration modulates dopamine levels in the PFC. Methods: Bilateral lesions of the dopaminergic input to the PFC were produced in rats using 6-hydroxydopamine (6-OHDA). Cognitive performance was evaluated using an object recognition task and delayed alternation task. The effects of istradefylline, donepezil and methamphetamine on cognitive performance were examined. In addition, the effect of istradefylline on extracellular dopamine levels in the PFC was studied. Results: PFC dopamine levels and cognitive performance were significantly reduced by 6-OHDA lesioning. Istradefylline, donepezil and methamphetamine improved cognitive performance of PFC-lesioned rats. Istradefylline increased dopamine levels in the PFC in both normal and PFC-lesioned rats. Conclusions: PFC dopaminergic input plays an important role in working memory performance. Blockade of A2A receptors using istradefylline reverses the changes in cognitive function, and this may be due to an increase in PFC dopamine content. Adenosine A2A receptor antagonists not only improve motor performance in PD but may also lead to improved cognition. © 2013 Springer-Verlag Berlin Heidelberg.","author":[{"dropping-particle":"","family":"Kadowaki Horita","given":"Takako","non-dropping-particle":"","parse-names":false,"suffix":""},{"dropping-particle":"","family":"Kobayashi","given":"Minoru","non-dropping-particle":"","parse-names":false,"suffix":""},{"dropping-particle":"","family":"Mori","given":"Akihisa","non-dropping-particle":"","parse-names":false,"suffix":""},{"dropping-particle":"","family":"Jenner","given":"Peter","non-dropping-particle":"","parse-names":false,"suffix":""},{"dropping-particle":"","family":"Kanda","given":"Tomoyuki","non-dropping-particle":"","parse-names":false,"suffix":""}],"container-title":"Psychopharmacology","id":"ITEM-1","issue":"3","issued":{"date-parts":[["2013"]]},"title":"Effects of the adenosine A2A antagonist istradefylline on cognitive performance in rats with a 6-OHDA lesion in prefrontal cortex","type":"article-journal","volume":"230"},"uris":["http://www.mendeley.com/documents/?uuid=c670fd0b-a419-3153-9a97-485d270b214a"]}],"mendeley":{"formattedCitation":"(Kadowaki Horita et al., 2013)","plainTextFormattedCitation":"(Kadowaki Horita et al., 2013)","previouslyFormattedCitation":"(Kadowaki Horita et al., 2013)"},"properties":{"noteIndex":0},"schema":"https://github.com/citation-style-language/schema/raw/master/csl-citation.json"}</w:instrText>
      </w:r>
      <w:r w:rsidR="00A977DB">
        <w:rPr>
          <w:rFonts w:ascii="Times New Roman" w:hAnsi="Times New Roman" w:cs="Times New Roman"/>
          <w:sz w:val="20"/>
          <w:szCs w:val="20"/>
        </w:rPr>
        <w:fldChar w:fldCharType="separate"/>
      </w:r>
      <w:r w:rsidR="00A977DB" w:rsidRPr="00A977DB">
        <w:rPr>
          <w:rFonts w:ascii="Times New Roman" w:hAnsi="Times New Roman" w:cs="Times New Roman"/>
          <w:noProof/>
          <w:sz w:val="20"/>
          <w:szCs w:val="20"/>
        </w:rPr>
        <w:t>(Kadowaki Horita et al., 2013)</w:t>
      </w:r>
      <w:r w:rsidR="00A977DB">
        <w:rPr>
          <w:rFonts w:ascii="Times New Roman" w:hAnsi="Times New Roman" w:cs="Times New Roman"/>
          <w:sz w:val="20"/>
          <w:szCs w:val="20"/>
        </w:rPr>
        <w:fldChar w:fldCharType="end"/>
      </w:r>
      <w:r w:rsidR="00893173" w:rsidRPr="00982A50">
        <w:rPr>
          <w:rFonts w:ascii="Times New Roman" w:hAnsi="Times New Roman" w:cs="Times New Roman"/>
          <w:sz w:val="20"/>
          <w:szCs w:val="20"/>
        </w:rPr>
        <w:t>, as well as in participants with P</w:t>
      </w:r>
      <w:r w:rsidR="00641D38" w:rsidRPr="00982A50">
        <w:rPr>
          <w:rFonts w:ascii="Times New Roman" w:hAnsi="Times New Roman" w:cs="Times New Roman"/>
          <w:sz w:val="20"/>
          <w:szCs w:val="20"/>
        </w:rPr>
        <w:t>arkinson’s Disease</w:t>
      </w:r>
      <w:r w:rsidR="00893173" w:rsidRPr="00982A50">
        <w:rPr>
          <w:rFonts w:ascii="Times New Roman" w:hAnsi="Times New Roman" w:cs="Times New Roman"/>
          <w:sz w:val="20"/>
          <w:szCs w:val="20"/>
        </w:rPr>
        <w:t xml:space="preserve"> </w:t>
      </w:r>
      <w:r w:rsidR="00A977DB">
        <w:rPr>
          <w:rFonts w:ascii="Times New Roman" w:hAnsi="Times New Roman" w:cs="Times New Roman"/>
          <w:sz w:val="20"/>
          <w:szCs w:val="20"/>
        </w:rPr>
        <w:fldChar w:fldCharType="begin" w:fldLock="1"/>
      </w:r>
      <w:r w:rsidR="00A977DB">
        <w:rPr>
          <w:rFonts w:ascii="Times New Roman" w:hAnsi="Times New Roman" w:cs="Times New Roman"/>
          <w:sz w:val="20"/>
          <w:szCs w:val="20"/>
        </w:rPr>
        <w:instrText>ADDIN CSL_CITATION {"citationItems":[{"id":"ITEM-1","itemData":{"DOI":"10.1254/jphs.13250FP","ISSN":"13478648","abstract":"The adenosine?A2A-receptor antagonist istradefylline decreases OFF time in patients with Parkinson's disease who are already treated with optimal doses of dopaminergic medication but can cause an increase in non-troublesome dyskinesia. Preclinical experiments have shown that A 2A antagonists are most effective in potentiating motor function when combined with sub-maximal doses of L-DOPA. However, the effects of combining istradefylline with sub-optimal L-DOPA treatment on established dyskinesia have not been studied. We now examine the effects of acute and repeated administration of istradefylline on dyskinesia in MPTP-treated common marmosets previously primed to exhibit involuntary movements by prior exposure to L-DOPA. In these animals, single dose acute oral administration of istradefylline (10 mg/kg) enhanced and prolonged the anti-parkinsonian effects of a sub-optimal dose of L-DOPA (2.5 mg/kg). The chronic co-administration of istradefylline (10 mg/kg) with L-DOPA (2.5 mg/kg) for 21 days did not worsen the severity of existing dyskinesia. Rather, the severity of dyskinesia tended to be reduced over the 21-day treatment period. These results suggest that istradefylline can be used to potentiate the effects of sub-optimal doses of L-DOPA in the treatment of Parkinson's disease without causing or worsening dyskinesia. © The Japanese Pharmacological Society.","author":[{"dropping-particle":"","family":"Uchida","given":"Shin Ichi","non-dropping-particle":"","parse-names":false,"suffix":""},{"dropping-particle":"","family":"Tashiro","given":"Tomomi","non-dropping-particle":"","parse-names":false,"suffix":""},{"dropping-particle":"","family":"Kawai-Uchida","given":"Mika","non-dropping-particle":"","parse-names":false,"suffix":""},{"dropping-particle":"","family":"Mori","given":"Akihisa","non-dropping-particle":"","parse-names":false,"suffix":""},{"dropping-particle":"","family":"Jenner","given":"Peter","non-dropping-particle":"","parse-names":false,"suffix":""},{"dropping-particle":"","family":"Kanda","given":"Tomoyuki","non-dropping-particle":"","parse-names":false,"suffix":""}],"container-title":"Journal of Pharmacological Sciences","id":"ITEM-1","issue":"4","issued":{"date-parts":[["2014"]]},"title":"The adenosine a2A-receptor antagonist istradefylline enhances the motor response of L-DOPA without worsening dyskinesia in MPTP-treated common marmosets","type":"article-journal","volume":"124"},"uris":["http://www.mendeley.com/documents/?uuid=52876a19-fcbe-3153-a187-9acfd8cc2665"]}],"mendeley":{"formattedCitation":"(Uchida et al., 2014)","plainTextFormattedCitation":"(Uchida et al., 2014)","previouslyFormattedCitation":"(Uchida et al., 2014)"},"properties":{"noteIndex":0},"schema":"https://github.com/citation-style-language/schema/raw/master/csl-citation.json"}</w:instrText>
      </w:r>
      <w:r w:rsidR="00A977DB">
        <w:rPr>
          <w:rFonts w:ascii="Times New Roman" w:hAnsi="Times New Roman" w:cs="Times New Roman"/>
          <w:sz w:val="20"/>
          <w:szCs w:val="20"/>
        </w:rPr>
        <w:fldChar w:fldCharType="separate"/>
      </w:r>
      <w:r w:rsidR="00A977DB" w:rsidRPr="00A977DB">
        <w:rPr>
          <w:rFonts w:ascii="Times New Roman" w:hAnsi="Times New Roman" w:cs="Times New Roman"/>
          <w:noProof/>
          <w:sz w:val="20"/>
          <w:szCs w:val="20"/>
        </w:rPr>
        <w:t>(Uchida et al., 2014)</w:t>
      </w:r>
      <w:r w:rsidR="00A977DB">
        <w:rPr>
          <w:rFonts w:ascii="Times New Roman" w:hAnsi="Times New Roman" w:cs="Times New Roman"/>
          <w:sz w:val="20"/>
          <w:szCs w:val="20"/>
        </w:rPr>
        <w:fldChar w:fldCharType="end"/>
      </w:r>
      <w:r w:rsidR="00641D38" w:rsidRPr="00982A50">
        <w:rPr>
          <w:rFonts w:ascii="Times New Roman" w:hAnsi="Times New Roman" w:cs="Times New Roman"/>
          <w:sz w:val="20"/>
          <w:szCs w:val="20"/>
        </w:rPr>
        <w:t xml:space="preserve">. </w:t>
      </w:r>
    </w:p>
    <w:p w14:paraId="2D1FEA52" w14:textId="37280AFF" w:rsidR="00641D38" w:rsidRPr="00982A50" w:rsidRDefault="00EE0195" w:rsidP="00223B47">
      <w:pPr>
        <w:spacing w:line="480" w:lineRule="auto"/>
        <w:ind w:firstLine="960"/>
        <w:jc w:val="left"/>
        <w:rPr>
          <w:rFonts w:ascii="Times New Roman" w:hAnsi="Times New Roman" w:cs="Times New Roman"/>
          <w:sz w:val="20"/>
          <w:szCs w:val="20"/>
        </w:rPr>
      </w:pPr>
      <w:r w:rsidRPr="00982A50">
        <w:rPr>
          <w:rFonts w:ascii="Times New Roman" w:hAnsi="Times New Roman" w:cs="Times New Roman"/>
          <w:sz w:val="20"/>
          <w:szCs w:val="20"/>
        </w:rPr>
        <w:t xml:space="preserve">The aim of the current study was </w:t>
      </w:r>
      <w:r w:rsidR="00C13FBB" w:rsidRPr="00982A50">
        <w:rPr>
          <w:rFonts w:ascii="Times New Roman" w:hAnsi="Times New Roman" w:cs="Times New Roman"/>
          <w:sz w:val="20"/>
          <w:szCs w:val="20"/>
        </w:rPr>
        <w:t>to use</w:t>
      </w:r>
      <w:r w:rsidRPr="00982A50">
        <w:rPr>
          <w:rFonts w:ascii="Times New Roman" w:hAnsi="Times New Roman" w:cs="Times New Roman"/>
          <w:sz w:val="20"/>
          <w:szCs w:val="20"/>
        </w:rPr>
        <w:t xml:space="preserve"> </w:t>
      </w:r>
      <w:proofErr w:type="spellStart"/>
      <w:r w:rsidRPr="00982A50">
        <w:rPr>
          <w:rFonts w:ascii="Times New Roman" w:hAnsi="Times New Roman" w:cs="Times New Roman"/>
          <w:sz w:val="20"/>
          <w:szCs w:val="20"/>
        </w:rPr>
        <w:t>istradefylline</w:t>
      </w:r>
      <w:proofErr w:type="spellEnd"/>
      <w:r w:rsidRPr="00982A50">
        <w:rPr>
          <w:rFonts w:ascii="Times New Roman" w:hAnsi="Times New Roman" w:cs="Times New Roman"/>
          <w:sz w:val="20"/>
          <w:szCs w:val="20"/>
        </w:rPr>
        <w:t xml:space="preserve"> as a pharmacological probe to explore the role of A2A receptors in human cognition. This was a randomized, double-blind, cross-over design in healthy volunteers. In light of the above pre-clinical research, we hypothesized that </w:t>
      </w:r>
      <w:proofErr w:type="spellStart"/>
      <w:r w:rsidRPr="00982A50">
        <w:rPr>
          <w:rFonts w:ascii="Times New Roman" w:hAnsi="Times New Roman" w:cs="Times New Roman"/>
          <w:sz w:val="20"/>
          <w:szCs w:val="20"/>
        </w:rPr>
        <w:t>istradefyl</w:t>
      </w:r>
      <w:r w:rsidR="00C802C9" w:rsidRPr="00982A50">
        <w:rPr>
          <w:rFonts w:ascii="Times New Roman" w:hAnsi="Times New Roman" w:cs="Times New Roman"/>
          <w:sz w:val="20"/>
          <w:szCs w:val="20"/>
        </w:rPr>
        <w:t>li</w:t>
      </w:r>
      <w:r w:rsidRPr="00982A50">
        <w:rPr>
          <w:rFonts w:ascii="Times New Roman" w:hAnsi="Times New Roman" w:cs="Times New Roman"/>
          <w:sz w:val="20"/>
          <w:szCs w:val="20"/>
        </w:rPr>
        <w:t>ne</w:t>
      </w:r>
      <w:proofErr w:type="spellEnd"/>
      <w:r w:rsidRPr="00982A50">
        <w:rPr>
          <w:rFonts w:ascii="Times New Roman" w:hAnsi="Times New Roman" w:cs="Times New Roman"/>
          <w:sz w:val="20"/>
          <w:szCs w:val="20"/>
        </w:rPr>
        <w:t xml:space="preserve"> would </w:t>
      </w:r>
      <w:r w:rsidRPr="00982A50">
        <w:rPr>
          <w:rFonts w:ascii="Times New Roman" w:hAnsi="Times New Roman" w:cs="Times New Roman"/>
          <w:sz w:val="20"/>
          <w:szCs w:val="20"/>
        </w:rPr>
        <w:lastRenderedPageBreak/>
        <w:t xml:space="preserve">have </w:t>
      </w:r>
      <w:r w:rsidR="00641D38" w:rsidRPr="00982A50">
        <w:rPr>
          <w:rFonts w:ascii="Times New Roman" w:hAnsi="Times New Roman" w:cs="Times New Roman"/>
          <w:sz w:val="20"/>
          <w:szCs w:val="20"/>
        </w:rPr>
        <w:t xml:space="preserve">beneficial </w:t>
      </w:r>
      <w:r w:rsidRPr="00982A50">
        <w:rPr>
          <w:rFonts w:ascii="Times New Roman" w:hAnsi="Times New Roman" w:cs="Times New Roman"/>
          <w:sz w:val="20"/>
          <w:szCs w:val="20"/>
        </w:rPr>
        <w:t>effects on classic executive functions but also on social cognition.</w:t>
      </w:r>
    </w:p>
    <w:p w14:paraId="163AA7EA" w14:textId="77777777" w:rsidR="00FE265F" w:rsidRPr="00982A50" w:rsidRDefault="00FE265F" w:rsidP="00223B47">
      <w:pPr>
        <w:spacing w:line="480" w:lineRule="auto"/>
        <w:ind w:firstLine="960"/>
        <w:jc w:val="left"/>
        <w:rPr>
          <w:rFonts w:ascii="Times New Roman" w:hAnsi="Times New Roman" w:cs="Times New Roman"/>
          <w:sz w:val="20"/>
          <w:szCs w:val="20"/>
        </w:rPr>
      </w:pPr>
    </w:p>
    <w:p w14:paraId="6BAD9B50" w14:textId="7E2C3D93" w:rsidR="00210E96" w:rsidRPr="00982A50" w:rsidRDefault="00210E96" w:rsidP="003A057D">
      <w:pPr>
        <w:spacing w:line="480" w:lineRule="auto"/>
        <w:ind w:firstLine="960"/>
        <w:jc w:val="left"/>
        <w:rPr>
          <w:rFonts w:ascii="Times New Roman" w:hAnsi="Times New Roman" w:cs="Times New Roman"/>
          <w:b/>
          <w:i/>
          <w:sz w:val="20"/>
          <w:szCs w:val="20"/>
        </w:rPr>
      </w:pPr>
      <w:r w:rsidRPr="00982A50">
        <w:rPr>
          <w:rFonts w:ascii="Times New Roman" w:hAnsi="Times New Roman" w:cs="Times New Roman"/>
          <w:b/>
          <w:i/>
          <w:sz w:val="20"/>
          <w:szCs w:val="20"/>
        </w:rPr>
        <w:t>Method</w:t>
      </w:r>
    </w:p>
    <w:p w14:paraId="024337CD" w14:textId="4E390342" w:rsidR="00210E96" w:rsidRPr="00982A50" w:rsidRDefault="00210E96" w:rsidP="00256EF8">
      <w:pPr>
        <w:spacing w:line="480" w:lineRule="auto"/>
        <w:jc w:val="left"/>
        <w:rPr>
          <w:rFonts w:ascii="Times New Roman" w:hAnsi="Times New Roman" w:cs="Times New Roman"/>
          <w:i/>
          <w:color w:val="000000" w:themeColor="text1"/>
          <w:sz w:val="20"/>
          <w:szCs w:val="20"/>
        </w:rPr>
      </w:pPr>
      <w:r w:rsidRPr="00982A50">
        <w:rPr>
          <w:rFonts w:ascii="Times New Roman" w:hAnsi="Times New Roman" w:cs="Times New Roman"/>
          <w:i/>
          <w:color w:val="000000" w:themeColor="text1"/>
          <w:sz w:val="20"/>
          <w:szCs w:val="20"/>
        </w:rPr>
        <w:t>Subjects</w:t>
      </w:r>
      <w:r w:rsidR="00C72DE6" w:rsidRPr="00982A50">
        <w:rPr>
          <w:rFonts w:ascii="Times New Roman" w:hAnsi="Times New Roman" w:cs="Times New Roman"/>
          <w:i/>
          <w:color w:val="000000" w:themeColor="text1"/>
          <w:sz w:val="20"/>
          <w:szCs w:val="20"/>
        </w:rPr>
        <w:t xml:space="preserve"> and screening procedures</w:t>
      </w:r>
    </w:p>
    <w:p w14:paraId="090B6928" w14:textId="6B75D3B9" w:rsidR="006B7794" w:rsidRPr="00982A50" w:rsidRDefault="00A02295" w:rsidP="000B4DC5">
      <w:pPr>
        <w:spacing w:line="480" w:lineRule="auto"/>
        <w:ind w:firstLine="960"/>
        <w:jc w:val="left"/>
        <w:rPr>
          <w:rFonts w:ascii="Times New Roman" w:hAnsi="Times New Roman" w:cs="Times New Roman"/>
          <w:color w:val="000000" w:themeColor="text1"/>
          <w:sz w:val="20"/>
          <w:szCs w:val="20"/>
        </w:rPr>
      </w:pPr>
      <w:r w:rsidRPr="00982A50">
        <w:rPr>
          <w:rFonts w:ascii="Times New Roman" w:hAnsi="Times New Roman" w:cs="Times New Roman"/>
          <w:color w:val="000000" w:themeColor="text1"/>
          <w:sz w:val="20"/>
          <w:szCs w:val="20"/>
          <w:lang w:val="en-GB"/>
        </w:rPr>
        <w:t>Twenty</w:t>
      </w:r>
      <w:r w:rsidR="0087544C" w:rsidRPr="00982A50">
        <w:rPr>
          <w:rFonts w:ascii="Times New Roman" w:hAnsi="Times New Roman" w:cs="Times New Roman"/>
          <w:color w:val="000000" w:themeColor="text1"/>
          <w:sz w:val="20"/>
          <w:szCs w:val="20"/>
        </w:rPr>
        <w:t xml:space="preserve"> heal</w:t>
      </w:r>
      <w:r w:rsidR="002947C1" w:rsidRPr="00982A50">
        <w:rPr>
          <w:rFonts w:ascii="Times New Roman" w:hAnsi="Times New Roman" w:cs="Times New Roman"/>
          <w:color w:val="000000" w:themeColor="text1"/>
          <w:sz w:val="20"/>
          <w:szCs w:val="20"/>
        </w:rPr>
        <w:t xml:space="preserve">thy male volunteers </w:t>
      </w:r>
      <w:r w:rsidR="0087544C" w:rsidRPr="00982A50">
        <w:rPr>
          <w:rFonts w:ascii="Times New Roman" w:hAnsi="Times New Roman" w:cs="Times New Roman"/>
          <w:color w:val="000000" w:themeColor="text1"/>
          <w:sz w:val="20"/>
          <w:szCs w:val="20"/>
        </w:rPr>
        <w:t xml:space="preserve">were recruited using </w:t>
      </w:r>
      <w:r w:rsidR="00C72DE6" w:rsidRPr="00982A50">
        <w:rPr>
          <w:rFonts w:ascii="Times New Roman" w:hAnsi="Times New Roman" w:cs="Times New Roman"/>
          <w:color w:val="000000" w:themeColor="text1"/>
          <w:sz w:val="20"/>
          <w:szCs w:val="20"/>
        </w:rPr>
        <w:t xml:space="preserve">advertisements in a </w:t>
      </w:r>
      <w:r w:rsidR="003357D5" w:rsidRPr="00982A50">
        <w:rPr>
          <w:rFonts w:ascii="Times New Roman" w:hAnsi="Times New Roman" w:cs="Times New Roman"/>
          <w:color w:val="000000" w:themeColor="text1"/>
          <w:sz w:val="20"/>
          <w:szCs w:val="20"/>
        </w:rPr>
        <w:t xml:space="preserve">local </w:t>
      </w:r>
      <w:r w:rsidR="002947C1" w:rsidRPr="00982A50">
        <w:rPr>
          <w:rFonts w:ascii="Times New Roman" w:hAnsi="Times New Roman" w:cs="Times New Roman"/>
          <w:color w:val="000000" w:themeColor="text1"/>
          <w:sz w:val="20"/>
          <w:szCs w:val="20"/>
        </w:rPr>
        <w:t>newspaper</w:t>
      </w:r>
      <w:r w:rsidR="0087544C" w:rsidRPr="00982A50">
        <w:rPr>
          <w:rFonts w:ascii="Times New Roman" w:hAnsi="Times New Roman" w:cs="Times New Roman"/>
          <w:color w:val="000000" w:themeColor="text1"/>
          <w:sz w:val="20"/>
          <w:szCs w:val="20"/>
        </w:rPr>
        <w:t xml:space="preserve">. </w:t>
      </w:r>
      <w:r w:rsidR="006B7794" w:rsidRPr="00982A50">
        <w:rPr>
          <w:rFonts w:ascii="Times New Roman" w:hAnsi="Times New Roman" w:cs="Times New Roman"/>
          <w:color w:val="000000" w:themeColor="text1"/>
          <w:sz w:val="20"/>
          <w:szCs w:val="20"/>
        </w:rPr>
        <w:t>After a complete description of the study had been provided, and the risks and benefits discussed, participants provided written informed consent. A</w:t>
      </w:r>
      <w:r w:rsidR="00C72DE6" w:rsidRPr="00982A50">
        <w:rPr>
          <w:rFonts w:ascii="Times New Roman" w:hAnsi="Times New Roman" w:cs="Times New Roman"/>
          <w:color w:val="000000" w:themeColor="text1"/>
          <w:sz w:val="20"/>
          <w:szCs w:val="20"/>
        </w:rPr>
        <w:t xml:space="preserve">ll potential recruits were </w:t>
      </w:r>
      <w:r w:rsidR="004B3E1E" w:rsidRPr="00982A50">
        <w:rPr>
          <w:rFonts w:ascii="Times New Roman" w:hAnsi="Times New Roman" w:cs="Times New Roman"/>
          <w:color w:val="000000" w:themeColor="text1"/>
          <w:sz w:val="20"/>
          <w:szCs w:val="20"/>
        </w:rPr>
        <w:t xml:space="preserve">screened for </w:t>
      </w:r>
      <w:r w:rsidR="0087544C" w:rsidRPr="00982A50">
        <w:rPr>
          <w:rFonts w:ascii="Times New Roman" w:hAnsi="Times New Roman" w:cs="Times New Roman"/>
          <w:color w:val="000000" w:themeColor="text1"/>
          <w:sz w:val="20"/>
          <w:szCs w:val="20"/>
        </w:rPr>
        <w:t xml:space="preserve">significant history of psychiatric or medical illnesses </w:t>
      </w:r>
      <w:r w:rsidR="00C72DE6" w:rsidRPr="00982A50">
        <w:rPr>
          <w:rFonts w:ascii="Times New Roman" w:hAnsi="Times New Roman" w:cs="Times New Roman"/>
          <w:color w:val="000000" w:themeColor="text1"/>
          <w:sz w:val="20"/>
          <w:szCs w:val="20"/>
        </w:rPr>
        <w:t xml:space="preserve">using a </w:t>
      </w:r>
      <w:r w:rsidR="005C0F93" w:rsidRPr="00982A50">
        <w:rPr>
          <w:rFonts w:ascii="Times New Roman" w:hAnsi="Times New Roman" w:cs="Times New Roman"/>
          <w:color w:val="000000" w:themeColor="text1"/>
          <w:sz w:val="20"/>
          <w:szCs w:val="20"/>
        </w:rPr>
        <w:t xml:space="preserve">structured </w:t>
      </w:r>
      <w:r w:rsidR="00C72DE6" w:rsidRPr="00982A50">
        <w:rPr>
          <w:rFonts w:ascii="Times New Roman" w:hAnsi="Times New Roman" w:cs="Times New Roman"/>
          <w:color w:val="000000" w:themeColor="text1"/>
          <w:sz w:val="20"/>
          <w:szCs w:val="20"/>
        </w:rPr>
        <w:t xml:space="preserve">clinical interview supplemented with the Mini International Neuropsychiatric Inventory (MINI) </w:t>
      </w:r>
      <w:r w:rsidR="00A977DB">
        <w:rPr>
          <w:rFonts w:ascii="Times New Roman" w:hAnsi="Times New Roman" w:cs="Times New Roman"/>
          <w:color w:val="000000" w:themeColor="text1"/>
          <w:sz w:val="20"/>
          <w:szCs w:val="20"/>
        </w:rPr>
        <w:fldChar w:fldCharType="begin" w:fldLock="1"/>
      </w:r>
      <w:r w:rsidR="00A977DB">
        <w:rPr>
          <w:rFonts w:ascii="Times New Roman" w:hAnsi="Times New Roman" w:cs="Times New Roman"/>
          <w:color w:val="000000" w:themeColor="text1"/>
          <w:sz w:val="20"/>
          <w:szCs w:val="20"/>
        </w:rPr>
        <w:instrText>ADDIN CSL_CITATION {"citationItems":[{"id":"ITEM-1","itemData":{"ISSN":"01606689","PMID":"9881538","abstract":"The Mini-International Neuropsychiatric Interview (M.I.N.I.) is a short structured diagnostic interview, developed jointly by psychiatrists and clinicians in the United States and Europe, for DSM-IV and ICD-10 psychiatric disorders. With an administration time of approximately 15 minutes, it was designed to meet the need for a short but accurate structured psychiatric interview for multicenter clinical trials and epidemiology studies and to be used as a first step in outcome tracking in nonresearch clinical settings. The authors describe the development of the M.I.N.I. and its family of interviews: the M.I.N.I.-Screen, the M.I.N.I.-Plus, and the M.I.N.I.-Kid. They report on validation of the M.I.N.I. in relation to the Structured Clinical Interview for DSM-III-R, Patient Version, the Composite International Diagnostic Interview, and expert professional opinion, and they comment on potential applications for this interview.","author":[{"dropping-particle":"V.","family":"Sheehan","given":"David","non-dropping-particle":"","parse-names":false,"suffix":""},{"dropping-particle":"","family":"Lecrubier","given":"Yves","non-dropping-particle":"","parse-names":false,"suffix":""},{"dropping-particle":"","family":"Sheehan","given":"K. Harnett","non-dropping-particle":"","parse-names":false,"suffix":""},{"dropping-particle":"","family":"Amorim","given":"Patricia","non-dropping-particle":"","parse-names":false,"suffix":""},{"dropping-particle":"","family":"Janavs","given":"Juris","non-dropping-particle":"","parse-names":false,"suffix":""},{"dropping-particle":"","family":"Weiller","given":"Emmanuelle","non-dropping-particle":"","parse-names":false,"suffix":""},{"dropping-particle":"","family":"Hergueta","given":"Thierry","non-dropping-particle":"","parse-names":false,"suffix":""},{"dropping-particle":"","family":"Baker","given":"Roxy","non-dropping-particle":"","parse-names":false,"suffix":""},{"dropping-particle":"","family":"Dunbar","given":"Geoffrey C.","non-dropping-particle":"","parse-names":false,"suffix":""}],"container-title":"Journal of Clinical Psychiatry","id":"ITEM-1","issue":"SUPPL. 20","issued":{"date-parts":[["1998"]]},"page":"22-33","title":"The Mini-International Neuropsychiatric Interview (M.I.N.I.): The development and validation of a structured diagnostic psychiatric interview for DSM-IV and ICD-10","type":"paper-conference","volume":"59"},"uris":["http://www.mendeley.com/documents/?uuid=169ffc8b-16d7-345e-b8a1-21aa1d11b92c"]}],"mendeley":{"formattedCitation":"(Sheehan et al., 1998)","plainTextFormattedCitation":"(Sheehan et al., 1998)","previouslyFormattedCitation":"(Sheehan et al., 1998)"},"properties":{"noteIndex":0},"schema":"https://github.com/citation-style-language/schema/raw/master/csl-citation.json"}</w:instrText>
      </w:r>
      <w:r w:rsidR="00A977DB">
        <w:rPr>
          <w:rFonts w:ascii="Times New Roman" w:hAnsi="Times New Roman" w:cs="Times New Roman"/>
          <w:color w:val="000000" w:themeColor="text1"/>
          <w:sz w:val="20"/>
          <w:szCs w:val="20"/>
        </w:rPr>
        <w:fldChar w:fldCharType="separate"/>
      </w:r>
      <w:r w:rsidR="00A977DB" w:rsidRPr="00A977DB">
        <w:rPr>
          <w:rFonts w:ascii="Times New Roman" w:hAnsi="Times New Roman" w:cs="Times New Roman"/>
          <w:noProof/>
          <w:color w:val="000000" w:themeColor="text1"/>
          <w:sz w:val="20"/>
          <w:szCs w:val="20"/>
        </w:rPr>
        <w:t>(Sheehan et al., 1998)</w:t>
      </w:r>
      <w:r w:rsidR="00A977DB">
        <w:rPr>
          <w:rFonts w:ascii="Times New Roman" w:hAnsi="Times New Roman" w:cs="Times New Roman"/>
          <w:color w:val="000000" w:themeColor="text1"/>
          <w:sz w:val="20"/>
          <w:szCs w:val="20"/>
        </w:rPr>
        <w:fldChar w:fldCharType="end"/>
      </w:r>
      <w:r w:rsidR="00C72DE6" w:rsidRPr="00982A50">
        <w:rPr>
          <w:rFonts w:ascii="Times New Roman" w:hAnsi="Times New Roman" w:cs="Times New Roman"/>
          <w:color w:val="000000" w:themeColor="text1"/>
          <w:sz w:val="20"/>
          <w:szCs w:val="20"/>
        </w:rPr>
        <w:t xml:space="preserve">, </w:t>
      </w:r>
      <w:r w:rsidR="008759F2" w:rsidRPr="00982A50">
        <w:rPr>
          <w:rFonts w:ascii="Times New Roman" w:hAnsi="Times New Roman" w:cs="Times New Roman"/>
          <w:color w:val="000000" w:themeColor="text1"/>
          <w:sz w:val="20"/>
          <w:szCs w:val="20"/>
        </w:rPr>
        <w:t>administered by a trained researcher. Participants provided a urine sample prior to participation in order to exclude recent use of</w:t>
      </w:r>
      <w:r w:rsidR="006B7794" w:rsidRPr="00982A50">
        <w:rPr>
          <w:rFonts w:ascii="Times New Roman" w:hAnsi="Times New Roman" w:cs="Times New Roman"/>
          <w:color w:val="000000" w:themeColor="text1"/>
          <w:sz w:val="20"/>
          <w:szCs w:val="20"/>
        </w:rPr>
        <w:t xml:space="preserve"> </w:t>
      </w:r>
      <w:r w:rsidR="008759F2" w:rsidRPr="00982A50">
        <w:rPr>
          <w:rFonts w:ascii="Times New Roman" w:hAnsi="Times New Roman" w:cs="Times New Roman"/>
          <w:color w:val="000000" w:themeColor="text1"/>
          <w:sz w:val="20"/>
          <w:szCs w:val="20"/>
        </w:rPr>
        <w:t xml:space="preserve">illicit substances (One Step 10 in 1 Drug Testing Kit, Home Health UK). </w:t>
      </w:r>
      <w:r w:rsidR="00E81BFB" w:rsidRPr="00982A50">
        <w:rPr>
          <w:rFonts w:ascii="Times New Roman" w:hAnsi="Times New Roman" w:cs="Times New Roman"/>
          <w:color w:val="000000" w:themeColor="text1"/>
          <w:sz w:val="20"/>
          <w:szCs w:val="20"/>
        </w:rPr>
        <w:t>I</w:t>
      </w:r>
      <w:r w:rsidR="006B7794" w:rsidRPr="00982A50">
        <w:rPr>
          <w:rFonts w:ascii="Times New Roman" w:hAnsi="Times New Roman" w:cs="Times New Roman"/>
          <w:color w:val="000000" w:themeColor="text1"/>
          <w:sz w:val="20"/>
          <w:szCs w:val="20"/>
        </w:rPr>
        <w:t>ntelligence Quotient (I</w:t>
      </w:r>
      <w:r w:rsidR="00E81BFB" w:rsidRPr="00982A50">
        <w:rPr>
          <w:rFonts w:ascii="Times New Roman" w:hAnsi="Times New Roman" w:cs="Times New Roman"/>
          <w:color w:val="000000" w:themeColor="text1"/>
          <w:sz w:val="20"/>
          <w:szCs w:val="20"/>
        </w:rPr>
        <w:t>Q</w:t>
      </w:r>
      <w:r w:rsidR="006B7794" w:rsidRPr="00982A50">
        <w:rPr>
          <w:rFonts w:ascii="Times New Roman" w:hAnsi="Times New Roman" w:cs="Times New Roman"/>
          <w:color w:val="000000" w:themeColor="text1"/>
          <w:sz w:val="20"/>
          <w:szCs w:val="20"/>
        </w:rPr>
        <w:t>)</w:t>
      </w:r>
      <w:r w:rsidR="00E81BFB" w:rsidRPr="00982A50">
        <w:rPr>
          <w:rFonts w:ascii="Times New Roman" w:hAnsi="Times New Roman" w:cs="Times New Roman"/>
          <w:color w:val="000000" w:themeColor="text1"/>
          <w:sz w:val="20"/>
          <w:szCs w:val="20"/>
        </w:rPr>
        <w:t xml:space="preserve"> was assessed using the National Adult Reading Test (NART) </w:t>
      </w:r>
      <w:r w:rsidR="00282F13">
        <w:rPr>
          <w:rFonts w:ascii="Times New Roman" w:hAnsi="Times New Roman" w:cs="Times New Roman"/>
          <w:color w:val="000000" w:themeColor="text1"/>
          <w:sz w:val="20"/>
          <w:szCs w:val="20"/>
        </w:rPr>
        <w:fldChar w:fldCharType="begin" w:fldLock="1"/>
      </w:r>
      <w:r w:rsidR="00282F13">
        <w:rPr>
          <w:rFonts w:ascii="Times New Roman" w:hAnsi="Times New Roman" w:cs="Times New Roman"/>
          <w:color w:val="000000" w:themeColor="text1"/>
          <w:sz w:val="20"/>
          <w:szCs w:val="20"/>
        </w:rPr>
        <w:instrText>ADDIN CSL_CITATION {"citationItems":[{"id":"ITEM-1","itemData":{"ISBN":"0700504753","PMID":"366","abstract":"Scoring and scale information for the National Adult Reading Test (NART).","author":[{"dropping-particle":"","family":"Nelson","given":"Hazel E.","non-dropping-particle":"","parse-names":false,"suffix":""}],"container-title":"Windsor, UK: NFER-Nelson","id":"ITEM-1","issued":{"date-parts":[["1982"]]},"title":"The National Adult Reading Test (NART): Test Manual.","type":"article-journal"},"uris":["http://www.mendeley.com/documents/?uuid=42acbafd-05b9-4b8d-8dc7-de81807a923a"]}],"mendeley":{"formattedCitation":"(Nelson, 1982)","plainTextFormattedCitation":"(Nelson, 1982)","previouslyFormattedCitation":"(Nelson, 1982)"},"properties":{"noteIndex":0},"schema":"https://github.com/citation-style-language/schema/raw/master/csl-citation.json"}</w:instrText>
      </w:r>
      <w:r w:rsidR="00282F13">
        <w:rPr>
          <w:rFonts w:ascii="Times New Roman" w:hAnsi="Times New Roman" w:cs="Times New Roman"/>
          <w:color w:val="000000" w:themeColor="text1"/>
          <w:sz w:val="20"/>
          <w:szCs w:val="20"/>
        </w:rPr>
        <w:fldChar w:fldCharType="separate"/>
      </w:r>
      <w:r w:rsidR="00282F13" w:rsidRPr="00282F13">
        <w:rPr>
          <w:rFonts w:ascii="Times New Roman" w:hAnsi="Times New Roman" w:cs="Times New Roman"/>
          <w:noProof/>
          <w:color w:val="000000" w:themeColor="text1"/>
          <w:sz w:val="20"/>
          <w:szCs w:val="20"/>
        </w:rPr>
        <w:t>(Nelson, 1982)</w:t>
      </w:r>
      <w:r w:rsidR="00282F13">
        <w:rPr>
          <w:rFonts w:ascii="Times New Roman" w:hAnsi="Times New Roman" w:cs="Times New Roman"/>
          <w:color w:val="000000" w:themeColor="text1"/>
          <w:sz w:val="20"/>
          <w:szCs w:val="20"/>
        </w:rPr>
        <w:fldChar w:fldCharType="end"/>
      </w:r>
      <w:r w:rsidR="00A64206" w:rsidRPr="00982A50">
        <w:rPr>
          <w:rFonts w:ascii="Times New Roman" w:hAnsi="Times New Roman" w:cs="Times New Roman"/>
          <w:color w:val="000000" w:themeColor="text1"/>
          <w:sz w:val="20"/>
          <w:szCs w:val="20"/>
        </w:rPr>
        <w:fldChar w:fldCharType="begin"/>
      </w:r>
      <w:r w:rsidR="00A64206" w:rsidRPr="00982A50">
        <w:rPr>
          <w:rFonts w:ascii="Times New Roman" w:hAnsi="Times New Roman" w:cs="Times New Roman"/>
          <w:color w:val="000000" w:themeColor="text1"/>
          <w:sz w:val="20"/>
          <w:szCs w:val="20"/>
        </w:rPr>
        <w:instrText>EN.CITE &lt;EndNote&gt;&lt;Cite&gt;&lt;Author&gt;Nelson&lt;/Author&gt;&lt;Year&gt;1982&lt;/Year&gt;&lt;RecNum&gt;832&lt;/RecNum&gt;&lt;DisplayText&gt;(Nelson, 1982)&lt;/DisplayText&gt;&lt;record&gt;&lt;rec-number&gt;832&lt;/rec-number&gt;&lt;foreign-keys&gt;&lt;key app="EN" db-id="sfzf0ws5hxx597ea22rvtsfz55v2psdewtzs" timestamp="1583639589"&gt;832&lt;/key&gt;&lt;/foreign-keys&gt;&lt;ref-type name="Book"&gt;6&lt;/ref-type&gt;&lt;contributors&gt;&lt;authors&gt;&lt;author&gt;Nelson, Hazel E&lt;/author&gt;&lt;/authors&gt;&lt;/contributors&gt;&lt;titles&gt;&lt;title&gt;The National Adult Reading Test (NART): test manual&lt;/title&gt;&lt;/titles&gt;&lt;dates&gt;&lt;year&gt;1982&lt;/year&gt;&lt;/dates&gt;&lt;pub-location&gt;Windsor, UK&lt;/pub-location&gt;&lt;publisher&gt;NFER-Nelson&lt;/publisher&gt;&lt;urls&gt;&lt;/urls&gt;&lt;/record&gt;&lt;/Cite&gt;&lt;/EndNote&gt;</w:instrText>
      </w:r>
      <w:r w:rsidR="00A64206" w:rsidRPr="00982A50">
        <w:rPr>
          <w:rFonts w:ascii="Times New Roman" w:hAnsi="Times New Roman" w:cs="Times New Roman"/>
          <w:color w:val="000000" w:themeColor="text1"/>
          <w:sz w:val="20"/>
          <w:szCs w:val="20"/>
        </w:rPr>
        <w:fldChar w:fldCharType="separate"/>
      </w:r>
      <w:r w:rsidR="00A64206" w:rsidRPr="00982A50">
        <w:rPr>
          <w:rFonts w:ascii="Times New Roman" w:hAnsi="Times New Roman" w:cs="Times New Roman"/>
          <w:noProof/>
          <w:color w:val="000000" w:themeColor="text1"/>
          <w:sz w:val="20"/>
          <w:szCs w:val="20"/>
        </w:rPr>
        <w:t>(Nelson, 1982)</w:t>
      </w:r>
      <w:r w:rsidR="00A64206" w:rsidRPr="00982A50">
        <w:rPr>
          <w:rFonts w:ascii="Times New Roman" w:hAnsi="Times New Roman" w:cs="Times New Roman"/>
          <w:color w:val="000000" w:themeColor="text1"/>
          <w:sz w:val="20"/>
          <w:szCs w:val="20"/>
        </w:rPr>
        <w:fldChar w:fldCharType="end"/>
      </w:r>
      <w:r w:rsidR="00E81BFB" w:rsidRPr="00982A50">
        <w:rPr>
          <w:rFonts w:ascii="Times New Roman" w:hAnsi="Times New Roman" w:cs="Times New Roman"/>
          <w:color w:val="000000" w:themeColor="text1"/>
          <w:sz w:val="20"/>
          <w:szCs w:val="20"/>
        </w:rPr>
        <w:t>, and current depressive mood with the Montgomery-</w:t>
      </w:r>
      <w:proofErr w:type="spellStart"/>
      <w:r w:rsidR="00E81BFB" w:rsidRPr="00982A50">
        <w:rPr>
          <w:rFonts w:ascii="Times New Roman" w:hAnsi="Times New Roman" w:cs="Times New Roman"/>
          <w:color w:val="000000" w:themeColor="text1"/>
          <w:sz w:val="20"/>
          <w:szCs w:val="20"/>
        </w:rPr>
        <w:t>Asberg</w:t>
      </w:r>
      <w:proofErr w:type="spellEnd"/>
      <w:r w:rsidR="00E81BFB" w:rsidRPr="00982A50">
        <w:rPr>
          <w:rFonts w:ascii="Times New Roman" w:hAnsi="Times New Roman" w:cs="Times New Roman"/>
          <w:color w:val="000000" w:themeColor="text1"/>
          <w:sz w:val="20"/>
          <w:szCs w:val="20"/>
        </w:rPr>
        <w:t xml:space="preserve"> Depression Rating Scale (MADRS) </w:t>
      </w:r>
      <w:r w:rsidR="00282F13">
        <w:rPr>
          <w:rFonts w:ascii="Times New Roman" w:hAnsi="Times New Roman" w:cs="Times New Roman"/>
          <w:color w:val="000000" w:themeColor="text1"/>
          <w:sz w:val="20"/>
          <w:szCs w:val="20"/>
        </w:rPr>
        <w:fldChar w:fldCharType="begin" w:fldLock="1"/>
      </w:r>
      <w:r w:rsidR="00282F13">
        <w:rPr>
          <w:rFonts w:ascii="Times New Roman" w:hAnsi="Times New Roman" w:cs="Times New Roman"/>
          <w:color w:val="000000" w:themeColor="text1"/>
          <w:sz w:val="20"/>
          <w:szCs w:val="20"/>
        </w:rPr>
        <w:instrText>ADDIN CSL_CITATION {"citationItems":[{"id":"ITEM-1","itemData":{"abstract":"Citation: Montgomery SA, Asberg M: A new depression scale designed to be sensitive to change. British Journal of Psychiatry 134:382-389, 1979","author":[{"dropping-particle":"","family":"Montgomery SA","given":"Asberg M","non-dropping-particle":"","parse-names":false,"suffix":""}],"container-title":"British Journal Of Psychiatry","id":"ITEM-1","issued":{"date-parts":[["1979"]]},"title":"The Montgomery-Asberg Depression Scale ( MADRS )","type":"article-journal"},"uris":["http://www.mendeley.com/documents/?uuid=3d2d5fa0-9a46-32d0-a48e-88699ddc68a7"]}],"mendeley":{"formattedCitation":"(Montgomery SA, 1979)","plainTextFormattedCitation":"(Montgomery SA, 1979)","previouslyFormattedCitation":"(Montgomery SA, 1979)"},"properties":{"noteIndex":0},"schema":"https://github.com/citation-style-language/schema/raw/master/csl-citation.json"}</w:instrText>
      </w:r>
      <w:r w:rsidR="00282F13">
        <w:rPr>
          <w:rFonts w:ascii="Times New Roman" w:hAnsi="Times New Roman" w:cs="Times New Roman"/>
          <w:color w:val="000000" w:themeColor="text1"/>
          <w:sz w:val="20"/>
          <w:szCs w:val="20"/>
        </w:rPr>
        <w:fldChar w:fldCharType="separate"/>
      </w:r>
      <w:r w:rsidR="00282F13" w:rsidRPr="00282F13">
        <w:rPr>
          <w:rFonts w:ascii="Times New Roman" w:hAnsi="Times New Roman" w:cs="Times New Roman"/>
          <w:noProof/>
          <w:color w:val="000000" w:themeColor="text1"/>
          <w:sz w:val="20"/>
          <w:szCs w:val="20"/>
        </w:rPr>
        <w:t>(Montgomery SA, 1979)</w:t>
      </w:r>
      <w:r w:rsidR="00282F13">
        <w:rPr>
          <w:rFonts w:ascii="Times New Roman" w:hAnsi="Times New Roman" w:cs="Times New Roman"/>
          <w:color w:val="000000" w:themeColor="text1"/>
          <w:sz w:val="20"/>
          <w:szCs w:val="20"/>
        </w:rPr>
        <w:fldChar w:fldCharType="end"/>
      </w:r>
      <w:r w:rsidR="004C2834" w:rsidRPr="00982A50">
        <w:rPr>
          <w:rFonts w:ascii="Times New Roman" w:hAnsi="Times New Roman" w:cs="Times New Roman"/>
          <w:color w:val="000000" w:themeColor="text1"/>
          <w:sz w:val="20"/>
          <w:szCs w:val="20"/>
        </w:rPr>
        <w:fldChar w:fldCharType="begin"/>
      </w:r>
      <w:r w:rsidR="004C2834" w:rsidRPr="00982A50">
        <w:rPr>
          <w:rFonts w:ascii="Times New Roman" w:hAnsi="Times New Roman" w:cs="Times New Roman"/>
          <w:color w:val="000000" w:themeColor="text1"/>
          <w:sz w:val="20"/>
          <w:szCs w:val="20"/>
        </w:rPr>
        <w:instrText>EN.CITE &lt;EndNote&gt;&lt;Cite&gt;&lt;Author&gt;Montgomery&lt;/Author&gt;&lt;Year&gt;1979&lt;/Year&gt;&lt;RecNum&gt;833&lt;/RecNum&gt;&lt;DisplayText&gt;(Montgomery and Asberg, 1979)&lt;/DisplayText&gt;&lt;record&gt;&lt;rec-number&gt;833&lt;/rec-number&gt;&lt;foreign-keys&gt;&lt;key app="EN" db-id="sfzf0ws5hxx597ea22rvtsfz55v2psdewtzs" timestamp="1583640294"&gt;833&lt;/key&gt;&lt;/foreign-keys&gt;&lt;ref-type name="Journal Article"&gt;17&lt;/ref-type&gt;&lt;contributors&gt;&lt;authors&gt;&lt;author&gt;Montgomery, S. A.&lt;/author&gt;&lt;author&gt;Asberg, M.&lt;/author&gt;&lt;/authors&gt;&lt;/contributors&gt;&lt;titles&gt;&lt;title&gt;A new depression scale designed to be sensitive to change&lt;/title&gt;&lt;secondary-title&gt;Br J Psychiatry&lt;/secondary-title&gt;&lt;alt-title&gt;The British journal of psychiatry : the journal of mental science&lt;/alt-title&gt;&lt;/titles&gt;&lt;periodical&gt;&lt;full-title&gt;British Journal of Psychiatry&lt;/full-title&gt;&lt;abbr-1&gt;Br. J. Psychiatry&lt;/abbr-1&gt;&lt;abbr-2&gt;Br J Psychiatry&lt;/abbr-2&gt;&lt;/periodical&gt;&lt;pages&gt;382-9&lt;/pages&gt;&lt;volume&gt;134&lt;/volume&gt;&lt;edition&gt;1979/04/01&lt;/edition&gt;&lt;keywords&gt;&lt;keyword&gt;Adolescent&lt;/keyword&gt;&lt;keyword&gt;Adult&lt;/keyword&gt;&lt;keyword&gt;Aged&lt;/keyword&gt;&lt;keyword&gt;Amitriptyline/therapeutic use&lt;/keyword&gt;&lt;keyword&gt;Clomipramine/therapeutic use&lt;/keyword&gt;&lt;keyword&gt;Depression/drug therapy/*psychology&lt;/keyword&gt;&lt;keyword&gt;England&lt;/keyword&gt;&lt;keyword&gt;Female&lt;/keyword&gt;&lt;keyword&gt;Humans&lt;/keyword&gt;&lt;keyword&gt;Male&lt;/keyword&gt;&lt;keyword&gt;Maprotiline/therapeutic use&lt;/keyword&gt;&lt;keyword&gt;Mianserin/therapeutic use&lt;/keyword&gt;&lt;keyword&gt;Middle Aged&lt;/keyword&gt;&lt;keyword&gt;*Psychiatric Status Rating Scales&lt;/keyword&gt;&lt;keyword&gt;Psychometrics&lt;/keyword&gt;&lt;keyword&gt;Sweden&lt;/keyword&gt;&lt;/keywords&gt;&lt;dates&gt;&lt;year&gt;1979&lt;/year&gt;&lt;pub-dates&gt;&lt;date&gt;Apr&lt;/date&gt;&lt;/pub-dates&gt;&lt;/dates&gt;&lt;isbn&gt;0007-1250 (Print)&amp;#xD;0007-1250&lt;/isbn&gt;&lt;accession-num&gt;444788&lt;/accession-num&gt;&lt;urls&gt;&lt;/urls&gt;&lt;electronic-resource-num&gt;10.1192/bjp.134.4.382&lt;/electronic-resource-num&gt;&lt;remote-database-provider&gt;NLM&lt;/remote-database-provider&gt;&lt;language&gt;eng&lt;/language&gt;&lt;/record&gt;&lt;/Cite&gt;&lt;/EndNote&gt;</w:instrText>
      </w:r>
      <w:r w:rsidR="004C2834" w:rsidRPr="00982A50">
        <w:rPr>
          <w:rFonts w:ascii="Times New Roman" w:hAnsi="Times New Roman" w:cs="Times New Roman"/>
          <w:color w:val="000000" w:themeColor="text1"/>
          <w:sz w:val="20"/>
          <w:szCs w:val="20"/>
        </w:rPr>
        <w:fldChar w:fldCharType="separate"/>
      </w:r>
      <w:r w:rsidR="004C2834" w:rsidRPr="00982A50">
        <w:rPr>
          <w:rFonts w:ascii="Times New Roman" w:hAnsi="Times New Roman" w:cs="Times New Roman"/>
          <w:noProof/>
          <w:color w:val="000000" w:themeColor="text1"/>
          <w:sz w:val="20"/>
          <w:szCs w:val="20"/>
        </w:rPr>
        <w:t>(Montgomery and Asberg, 1979)</w:t>
      </w:r>
      <w:r w:rsidR="004C2834" w:rsidRPr="00982A50">
        <w:rPr>
          <w:rFonts w:ascii="Times New Roman" w:hAnsi="Times New Roman" w:cs="Times New Roman"/>
          <w:color w:val="000000" w:themeColor="text1"/>
          <w:sz w:val="20"/>
          <w:szCs w:val="20"/>
        </w:rPr>
        <w:fldChar w:fldCharType="end"/>
      </w:r>
      <w:r w:rsidR="00E81BFB" w:rsidRPr="00982A50">
        <w:rPr>
          <w:rFonts w:ascii="Times New Roman" w:hAnsi="Times New Roman" w:cs="Times New Roman"/>
          <w:color w:val="000000" w:themeColor="text1"/>
          <w:sz w:val="20"/>
          <w:szCs w:val="20"/>
        </w:rPr>
        <w:t xml:space="preserve">. </w:t>
      </w:r>
      <w:r w:rsidR="00B82617" w:rsidRPr="00982A50">
        <w:rPr>
          <w:rFonts w:ascii="Times New Roman" w:hAnsi="Times New Roman" w:cs="Times New Roman"/>
          <w:color w:val="000000" w:themeColor="text1"/>
          <w:sz w:val="20"/>
          <w:szCs w:val="20"/>
        </w:rPr>
        <w:t xml:space="preserve">Past week total </w:t>
      </w:r>
      <w:r w:rsidR="005C0F93" w:rsidRPr="00982A50">
        <w:rPr>
          <w:rFonts w:ascii="Times New Roman" w:hAnsi="Times New Roman" w:cs="Times New Roman"/>
          <w:color w:val="000000" w:themeColor="text1"/>
          <w:sz w:val="20"/>
          <w:szCs w:val="20"/>
        </w:rPr>
        <w:t xml:space="preserve">caffeine intake was </w:t>
      </w:r>
      <w:r w:rsidR="00B82617" w:rsidRPr="00982A50">
        <w:rPr>
          <w:rFonts w:ascii="Times New Roman" w:hAnsi="Times New Roman" w:cs="Times New Roman"/>
          <w:color w:val="000000" w:themeColor="text1"/>
          <w:sz w:val="20"/>
          <w:szCs w:val="20"/>
        </w:rPr>
        <w:t xml:space="preserve">quantified using a detailed instrument developed for this study: the </w:t>
      </w:r>
      <w:r w:rsidR="006B7794" w:rsidRPr="00982A50">
        <w:rPr>
          <w:rFonts w:ascii="Times New Roman" w:hAnsi="Times New Roman" w:cs="Times New Roman"/>
          <w:color w:val="000000" w:themeColor="text1"/>
          <w:sz w:val="20"/>
          <w:szCs w:val="20"/>
        </w:rPr>
        <w:t xml:space="preserve">Ioannidis </w:t>
      </w:r>
      <w:r w:rsidR="00B82617" w:rsidRPr="00982A50">
        <w:rPr>
          <w:rFonts w:ascii="Times New Roman" w:hAnsi="Times New Roman" w:cs="Times New Roman"/>
          <w:color w:val="000000" w:themeColor="text1"/>
          <w:sz w:val="20"/>
          <w:szCs w:val="20"/>
        </w:rPr>
        <w:t>Caffeine Questionnaire (</w:t>
      </w:r>
      <w:r w:rsidR="006B7794" w:rsidRPr="00982A50">
        <w:rPr>
          <w:rFonts w:ascii="Times New Roman" w:hAnsi="Times New Roman" w:cs="Times New Roman"/>
          <w:color w:val="000000" w:themeColor="text1"/>
          <w:sz w:val="20"/>
          <w:szCs w:val="20"/>
        </w:rPr>
        <w:t>I</w:t>
      </w:r>
      <w:r w:rsidR="00B82617" w:rsidRPr="00982A50">
        <w:rPr>
          <w:rFonts w:ascii="Times New Roman" w:hAnsi="Times New Roman" w:cs="Times New Roman"/>
          <w:color w:val="000000" w:themeColor="text1"/>
          <w:sz w:val="20"/>
          <w:szCs w:val="20"/>
        </w:rPr>
        <w:t xml:space="preserve">CQ; see </w:t>
      </w:r>
      <w:r w:rsidR="001F282A" w:rsidRPr="00982A50">
        <w:rPr>
          <w:rFonts w:ascii="Times New Roman" w:hAnsi="Times New Roman" w:cs="Times New Roman"/>
          <w:color w:val="000000" w:themeColor="text1"/>
          <w:sz w:val="20"/>
          <w:szCs w:val="20"/>
        </w:rPr>
        <w:t>Supplement).</w:t>
      </w:r>
      <w:r w:rsidR="00B82617" w:rsidRPr="00982A50">
        <w:rPr>
          <w:rFonts w:ascii="Times New Roman" w:hAnsi="Times New Roman" w:cs="Times New Roman"/>
          <w:color w:val="000000" w:themeColor="text1"/>
          <w:sz w:val="20"/>
          <w:szCs w:val="20"/>
        </w:rPr>
        <w:t xml:space="preserve"> </w:t>
      </w:r>
      <w:r w:rsidR="00745804" w:rsidRPr="00982A50">
        <w:rPr>
          <w:rFonts w:ascii="Times New Roman" w:hAnsi="Times New Roman" w:cs="Times New Roman"/>
          <w:color w:val="000000" w:themeColor="text1"/>
          <w:sz w:val="20"/>
          <w:szCs w:val="20"/>
        </w:rPr>
        <w:t>Trait impulsivity was assessed using the Barratt Impulsiveness Scale (BIS-11)</w:t>
      </w:r>
      <w:r w:rsidR="00234709" w:rsidRPr="00982A50">
        <w:rPr>
          <w:rFonts w:ascii="Times New Roman" w:hAnsi="Times New Roman" w:cs="Times New Roman"/>
          <w:color w:val="000000" w:themeColor="text1"/>
          <w:sz w:val="20"/>
          <w:szCs w:val="20"/>
        </w:rPr>
        <w:t xml:space="preserve"> </w:t>
      </w:r>
      <w:r w:rsidR="00A977DB">
        <w:rPr>
          <w:rFonts w:ascii="Times New Roman" w:hAnsi="Times New Roman" w:cs="Times New Roman"/>
          <w:color w:val="000000" w:themeColor="text1"/>
          <w:sz w:val="20"/>
          <w:szCs w:val="20"/>
        </w:rPr>
        <w:fldChar w:fldCharType="begin" w:fldLock="1"/>
      </w:r>
      <w:r w:rsidR="00A977DB">
        <w:rPr>
          <w:rFonts w:ascii="Times New Roman" w:hAnsi="Times New Roman" w:cs="Times New Roman"/>
          <w:color w:val="000000" w:themeColor="text1"/>
          <w:sz w:val="20"/>
          <w:szCs w:val="20"/>
        </w:rPr>
        <w:instrText>ADDIN CSL_CITATION {"citationItems":[{"id":"ITEM-1","itemData":{"DOI":"10.1002/1097-4679(199511)51:63.0.CO;2-1","PMID":"8778124","author":[{"dropping-particle":"","family":"Patton, J. H., Stanford, M. S., Barratt","given":"E. S.","non-dropping-particle":"","parse-names":false,"suffix":""}],"container-title":"Journal of Clinical Psychology","id":"ITEM-1","issue":"6","issued":{"date-parts":[["1995"]]},"page":"768-774","title":"Factor structure of the barratt impulsiveness scale","type":"article-journal","volume":"51"},"uris":["http://www.mendeley.com/documents/?uuid=de022e11-9df9-3d6f-8f97-a814cc347378"]},{"id":"ITEM-2","itemData":{"DOI":"10.1016/j.paid.2009.04.008","ISSN":"01918869","abstract":"The Barratt Impulsiveness Scale (BIS-11) is a 30 item self-report instrument designed to assess the personality/behavioral construct of impulsiveness. Originally developed as part of a larger attempt to relate anxiety and impulsiveness to psychomotor efficiency, the BIS is arguably the most commonly administered self-report measure for the assessment of impulsiveness in both research and clinical settings. Over the last 50 years the BIS has significantly influenced the way that impulsivity is conceptualized in psychology and psychiatry. On its golden anniversary we thought it important to update the literature in relation to this influential psychometric instrument. The goal of this paper is threefold: (1) describe the history and development of the BIS-11; (2) present new data supporting the psychometric properties of the subscales; and to (3) review the clinical and personality literature that has reported on the BIS-11 subscales. © 2009 Elsevier Ltd. All rights reserved.","author":[{"dropping-particle":"","family":"Stanford","given":"Matthew S.","non-dropping-particle":"","parse-names":false,"suffix":""},{"dropping-particle":"","family":"Mathias","given":"Charles W.","non-dropping-particle":"","parse-names":false,"suffix":""},{"dropping-particle":"","family":"Dougherty","given":"Donald M.","non-dropping-particle":"","parse-names":false,"suffix":""},{"dropping-particle":"","family":"Lake","given":"Sarah L.","non-dropping-particle":"","parse-names":false,"suffix":""},{"dropping-particle":"","family":"Anderson","given":"Nathaniel E.","non-dropping-particle":"","parse-names":false,"suffix":""},{"dropping-particle":"","family":"Patton","given":"Jim H.","non-dropping-particle":"","parse-names":false,"suffix":""}],"container-title":"Personality and Individual Differences","id":"ITEM-2","issue":"5","issued":{"date-parts":[["2009"]]},"title":"Fifty years of the Barratt Impulsiveness Scale: An update and review","type":"article","volume":"47"},"uris":["http://www.mendeley.com/documents/?uuid=27b19c40-4cba-37b0-b8dd-e5bf32f217c2"]}],"mendeley":{"formattedCitation":"(Patton, J. H., Stanford, M. S., Barratt, 1995; Stanford et al., 2009)","plainTextFormattedCitation":"(Patton, J. H., Stanford, M. S., Barratt, 1995; Stanford et al., 2009)","previouslyFormattedCitation":"(Patton, J. H., Stanford, M. S., Barratt, 1995; Stanford et al., 2009)"},"properties":{"noteIndex":0},"schema":"https://github.com/citation-style-language/schema/raw/master/csl-citation.json"}</w:instrText>
      </w:r>
      <w:r w:rsidR="00A977DB">
        <w:rPr>
          <w:rFonts w:ascii="Times New Roman" w:hAnsi="Times New Roman" w:cs="Times New Roman"/>
          <w:color w:val="000000" w:themeColor="text1"/>
          <w:sz w:val="20"/>
          <w:szCs w:val="20"/>
        </w:rPr>
        <w:fldChar w:fldCharType="separate"/>
      </w:r>
      <w:r w:rsidR="00A977DB" w:rsidRPr="00A977DB">
        <w:rPr>
          <w:rFonts w:ascii="Times New Roman" w:hAnsi="Times New Roman" w:cs="Times New Roman"/>
          <w:noProof/>
          <w:color w:val="000000" w:themeColor="text1"/>
          <w:sz w:val="20"/>
          <w:szCs w:val="20"/>
        </w:rPr>
        <w:t>(Patton, J. H., Stanford, M. S., Barratt, 1995; Stanford et al., 2009)</w:t>
      </w:r>
      <w:r w:rsidR="00A977DB">
        <w:rPr>
          <w:rFonts w:ascii="Times New Roman" w:hAnsi="Times New Roman" w:cs="Times New Roman"/>
          <w:color w:val="000000" w:themeColor="text1"/>
          <w:sz w:val="20"/>
          <w:szCs w:val="20"/>
        </w:rPr>
        <w:fldChar w:fldCharType="end"/>
      </w:r>
      <w:r w:rsidR="00234709" w:rsidRPr="00982A50">
        <w:rPr>
          <w:rFonts w:ascii="Times New Roman" w:hAnsi="Times New Roman" w:cs="Times New Roman"/>
          <w:color w:val="000000" w:themeColor="text1"/>
          <w:sz w:val="20"/>
          <w:szCs w:val="20"/>
        </w:rPr>
        <w:t>.</w:t>
      </w:r>
      <w:r w:rsidR="00745804" w:rsidRPr="00982A50">
        <w:rPr>
          <w:rFonts w:ascii="Times New Roman" w:hAnsi="Times New Roman" w:cs="Times New Roman"/>
          <w:color w:val="000000" w:themeColor="text1"/>
          <w:sz w:val="20"/>
          <w:szCs w:val="20"/>
        </w:rPr>
        <w:t xml:space="preserve"> </w:t>
      </w:r>
      <w:r w:rsidR="000B4DC5" w:rsidRPr="00982A50">
        <w:rPr>
          <w:rFonts w:ascii="Times New Roman" w:hAnsi="Times New Roman" w:cs="Times New Roman"/>
          <w:color w:val="000000" w:themeColor="text1"/>
          <w:sz w:val="20"/>
          <w:szCs w:val="20"/>
        </w:rPr>
        <w:t xml:space="preserve">We </w:t>
      </w:r>
      <w:r w:rsidR="000B4DC5" w:rsidRPr="00982A50">
        <w:rPr>
          <w:rFonts w:ascii="Times New Roman" w:hAnsi="Times New Roman" w:cs="Times New Roman"/>
          <w:color w:val="000000" w:themeColor="text1"/>
          <w:sz w:val="20"/>
          <w:szCs w:val="20"/>
        </w:rPr>
        <w:lastRenderedPageBreak/>
        <w:t xml:space="preserve">included these measures to examine whether they moderated any observed cognitive effects of </w:t>
      </w:r>
      <w:proofErr w:type="spellStart"/>
      <w:r w:rsidR="000B4DC5" w:rsidRPr="00982A50">
        <w:rPr>
          <w:rFonts w:ascii="Times New Roman" w:hAnsi="Times New Roman" w:cs="Times New Roman"/>
          <w:color w:val="000000" w:themeColor="text1"/>
          <w:sz w:val="20"/>
          <w:szCs w:val="20"/>
        </w:rPr>
        <w:t>istradefylline</w:t>
      </w:r>
      <w:proofErr w:type="spellEnd"/>
      <w:r w:rsidR="000B4DC5" w:rsidRPr="00982A50">
        <w:rPr>
          <w:rFonts w:ascii="Times New Roman" w:hAnsi="Times New Roman" w:cs="Times New Roman"/>
          <w:color w:val="000000" w:themeColor="text1"/>
          <w:sz w:val="20"/>
          <w:szCs w:val="20"/>
        </w:rPr>
        <w:t xml:space="preserve">. </w:t>
      </w:r>
    </w:p>
    <w:p w14:paraId="2285BA5F" w14:textId="319DAD3A" w:rsidR="0087544C" w:rsidRPr="00982A50" w:rsidRDefault="0087544C">
      <w:pPr>
        <w:spacing w:line="480" w:lineRule="auto"/>
        <w:ind w:firstLine="960"/>
        <w:jc w:val="left"/>
        <w:rPr>
          <w:rFonts w:ascii="Times New Roman" w:hAnsi="Times New Roman" w:cs="Times New Roman"/>
          <w:color w:val="000000" w:themeColor="text1"/>
          <w:sz w:val="20"/>
          <w:szCs w:val="20"/>
        </w:rPr>
      </w:pPr>
      <w:r w:rsidRPr="00982A50">
        <w:rPr>
          <w:rFonts w:ascii="Times New Roman" w:hAnsi="Times New Roman" w:cs="Times New Roman"/>
          <w:color w:val="000000" w:themeColor="text1"/>
          <w:sz w:val="20"/>
          <w:szCs w:val="20"/>
        </w:rPr>
        <w:t>The study was approved by Local Research Ethics Committee (Cambridge,</w:t>
      </w:r>
      <w:r w:rsidR="007C1B4E" w:rsidRPr="00982A50">
        <w:rPr>
          <w:rFonts w:ascii="Times New Roman" w:hAnsi="Times New Roman" w:cs="Times New Roman"/>
          <w:color w:val="000000" w:themeColor="text1"/>
          <w:sz w:val="20"/>
          <w:szCs w:val="20"/>
        </w:rPr>
        <w:t xml:space="preserve"> REC reference number: 207190</w:t>
      </w:r>
      <w:r w:rsidRPr="00982A50">
        <w:rPr>
          <w:rFonts w:ascii="Times New Roman" w:hAnsi="Times New Roman" w:cs="Times New Roman"/>
          <w:color w:val="000000" w:themeColor="text1"/>
          <w:sz w:val="20"/>
          <w:szCs w:val="20"/>
        </w:rPr>
        <w:t xml:space="preserve">), and </w:t>
      </w:r>
      <w:r w:rsidR="00B82617" w:rsidRPr="00982A50">
        <w:rPr>
          <w:rFonts w:ascii="Times New Roman" w:hAnsi="Times New Roman" w:cs="Times New Roman"/>
          <w:color w:val="000000" w:themeColor="text1"/>
          <w:sz w:val="20"/>
          <w:szCs w:val="20"/>
        </w:rPr>
        <w:t xml:space="preserve">was exempted from clinical trials status by the </w:t>
      </w:r>
      <w:r w:rsidRPr="00982A50">
        <w:rPr>
          <w:rFonts w:ascii="Times New Roman" w:hAnsi="Times New Roman" w:cs="Times New Roman"/>
          <w:color w:val="000000" w:themeColor="text1"/>
          <w:sz w:val="20"/>
          <w:szCs w:val="20"/>
        </w:rPr>
        <w:t>Medicines and Healthcare Products Regulatory Agency (</w:t>
      </w:r>
      <w:r w:rsidR="00B82617" w:rsidRPr="00982A50">
        <w:rPr>
          <w:rFonts w:ascii="Times New Roman" w:hAnsi="Times New Roman" w:cs="Times New Roman"/>
          <w:color w:val="000000" w:themeColor="text1"/>
          <w:sz w:val="20"/>
          <w:szCs w:val="20"/>
        </w:rPr>
        <w:t>MHRA</w:t>
      </w:r>
      <w:r w:rsidRPr="00982A50">
        <w:rPr>
          <w:rFonts w:ascii="Times New Roman" w:hAnsi="Times New Roman" w:cs="Times New Roman"/>
          <w:color w:val="000000" w:themeColor="text1"/>
          <w:sz w:val="20"/>
          <w:szCs w:val="20"/>
        </w:rPr>
        <w:t>).</w:t>
      </w:r>
    </w:p>
    <w:p w14:paraId="7FA8DF4D" w14:textId="77777777" w:rsidR="00C802C9" w:rsidRPr="00982A50" w:rsidRDefault="00C802C9" w:rsidP="00256EF8">
      <w:pPr>
        <w:spacing w:line="480" w:lineRule="auto"/>
        <w:ind w:firstLine="960"/>
        <w:jc w:val="left"/>
        <w:rPr>
          <w:rFonts w:ascii="Times New Roman" w:hAnsi="Times New Roman" w:cs="Times New Roman"/>
          <w:color w:val="000000" w:themeColor="text1"/>
          <w:sz w:val="20"/>
          <w:szCs w:val="20"/>
        </w:rPr>
      </w:pPr>
    </w:p>
    <w:p w14:paraId="5E1BDAFC" w14:textId="0510C8F2" w:rsidR="00210E96" w:rsidRPr="00982A50" w:rsidRDefault="005B3C0D" w:rsidP="00256EF8">
      <w:pPr>
        <w:spacing w:line="480" w:lineRule="auto"/>
        <w:jc w:val="left"/>
        <w:rPr>
          <w:rFonts w:ascii="Times New Roman" w:hAnsi="Times New Roman" w:cs="Times New Roman"/>
          <w:i/>
          <w:color w:val="000000" w:themeColor="text1"/>
          <w:sz w:val="20"/>
          <w:szCs w:val="20"/>
        </w:rPr>
      </w:pPr>
      <w:r w:rsidRPr="00982A50">
        <w:rPr>
          <w:rFonts w:ascii="Times New Roman" w:hAnsi="Times New Roman" w:cs="Times New Roman"/>
          <w:i/>
          <w:color w:val="000000" w:themeColor="text1"/>
          <w:sz w:val="20"/>
          <w:szCs w:val="20"/>
        </w:rPr>
        <w:t>Inclusion/Exclusion Criteria</w:t>
      </w:r>
    </w:p>
    <w:p w14:paraId="6D8B5DBA" w14:textId="10C9CA9B" w:rsidR="005B3C0D" w:rsidRPr="00982A50" w:rsidRDefault="0019210C" w:rsidP="00256EF8">
      <w:pPr>
        <w:spacing w:line="480" w:lineRule="auto"/>
        <w:ind w:firstLine="960"/>
        <w:jc w:val="left"/>
        <w:rPr>
          <w:rFonts w:ascii="Times New Roman" w:hAnsi="Times New Roman" w:cs="Times New Roman"/>
          <w:color w:val="000000" w:themeColor="text1"/>
          <w:sz w:val="20"/>
          <w:szCs w:val="20"/>
        </w:rPr>
      </w:pPr>
      <w:r w:rsidRPr="00982A50">
        <w:rPr>
          <w:rFonts w:ascii="Times New Roman" w:hAnsi="Times New Roman" w:cs="Times New Roman"/>
          <w:color w:val="000000" w:themeColor="text1"/>
          <w:sz w:val="20"/>
          <w:szCs w:val="20"/>
        </w:rPr>
        <w:t>Healthy male participants were recruited, aged 1</w:t>
      </w:r>
      <w:r w:rsidR="0039701F">
        <w:rPr>
          <w:rFonts w:ascii="Times New Roman" w:hAnsi="Times New Roman" w:cs="Times New Roman"/>
          <w:color w:val="000000" w:themeColor="text1"/>
          <w:sz w:val="20"/>
          <w:szCs w:val="20"/>
        </w:rPr>
        <w:t>9-49</w:t>
      </w:r>
      <w:r w:rsidRPr="00982A50">
        <w:rPr>
          <w:rFonts w:ascii="Times New Roman" w:hAnsi="Times New Roman" w:cs="Times New Roman"/>
          <w:color w:val="000000" w:themeColor="text1"/>
          <w:sz w:val="20"/>
          <w:szCs w:val="20"/>
        </w:rPr>
        <w:t xml:space="preserve">. Exclusion criteria included: </w:t>
      </w:r>
      <w:r w:rsidR="005C06EE" w:rsidRPr="00982A50">
        <w:rPr>
          <w:rFonts w:ascii="Times New Roman" w:hAnsi="Times New Roman" w:cs="Times New Roman"/>
          <w:color w:val="000000" w:themeColor="text1"/>
          <w:sz w:val="20"/>
          <w:szCs w:val="20"/>
        </w:rPr>
        <w:t xml:space="preserve">taking </w:t>
      </w:r>
      <w:r w:rsidR="005B3C0D" w:rsidRPr="00982A50">
        <w:rPr>
          <w:rFonts w:ascii="Times New Roman" w:hAnsi="Times New Roman" w:cs="Times New Roman"/>
          <w:color w:val="000000" w:themeColor="text1"/>
          <w:sz w:val="20"/>
          <w:szCs w:val="20"/>
        </w:rPr>
        <w:t xml:space="preserve">medication </w:t>
      </w:r>
      <w:r w:rsidR="005C06EE" w:rsidRPr="00982A50">
        <w:rPr>
          <w:rFonts w:ascii="Times New Roman" w:hAnsi="Times New Roman" w:cs="Times New Roman"/>
          <w:color w:val="000000" w:themeColor="text1"/>
          <w:sz w:val="20"/>
          <w:szCs w:val="20"/>
        </w:rPr>
        <w:t xml:space="preserve">in the past two weeks </w:t>
      </w:r>
      <w:r w:rsidR="005B3C0D" w:rsidRPr="00982A50">
        <w:rPr>
          <w:rFonts w:ascii="Times New Roman" w:hAnsi="Times New Roman" w:cs="Times New Roman"/>
          <w:color w:val="000000" w:themeColor="text1"/>
          <w:sz w:val="20"/>
          <w:szCs w:val="20"/>
        </w:rPr>
        <w:t>likely to impact cognition, history of Parkinson’s Disease, history of clinically significant hepatic/cardiac/renal disease (and other major physical health disorders), current depression (as determined by MINI and the Montgomery-</w:t>
      </w:r>
      <w:proofErr w:type="spellStart"/>
      <w:r w:rsidR="005B3C0D" w:rsidRPr="00982A50">
        <w:rPr>
          <w:rFonts w:ascii="Times New Roman" w:hAnsi="Times New Roman" w:cs="Times New Roman"/>
          <w:color w:val="000000" w:themeColor="text1"/>
          <w:sz w:val="20"/>
          <w:szCs w:val="20"/>
        </w:rPr>
        <w:t>Asperg</w:t>
      </w:r>
      <w:proofErr w:type="spellEnd"/>
      <w:r w:rsidR="005B3C0D" w:rsidRPr="00982A50">
        <w:rPr>
          <w:rFonts w:ascii="Times New Roman" w:hAnsi="Times New Roman" w:cs="Times New Roman"/>
          <w:color w:val="000000" w:themeColor="text1"/>
          <w:sz w:val="20"/>
          <w:szCs w:val="20"/>
        </w:rPr>
        <w:t xml:space="preserve"> Depression Rating Scale), known substance dependence (including nicotine), recent illicit drug use (determined by self-report </w:t>
      </w:r>
      <w:r w:rsidRPr="00982A50">
        <w:rPr>
          <w:rFonts w:ascii="Times New Roman" w:hAnsi="Times New Roman" w:cs="Times New Roman"/>
          <w:color w:val="000000" w:themeColor="text1"/>
          <w:sz w:val="20"/>
          <w:szCs w:val="20"/>
        </w:rPr>
        <w:t>and</w:t>
      </w:r>
      <w:r w:rsidR="005B3C0D" w:rsidRPr="00982A50">
        <w:rPr>
          <w:rFonts w:ascii="Times New Roman" w:hAnsi="Times New Roman" w:cs="Times New Roman"/>
          <w:color w:val="000000" w:themeColor="text1"/>
          <w:sz w:val="20"/>
          <w:szCs w:val="20"/>
        </w:rPr>
        <w:t xml:space="preserve"> urine illicit drug screen), history or presence of major mental disorders (including bipolar disorder, psychosis, </w:t>
      </w:r>
      <w:r w:rsidR="004363AC" w:rsidRPr="00982A50">
        <w:rPr>
          <w:rFonts w:ascii="Times New Roman" w:hAnsi="Times New Roman" w:cs="Times New Roman"/>
          <w:color w:val="000000" w:themeColor="text1"/>
          <w:sz w:val="20"/>
          <w:szCs w:val="20"/>
        </w:rPr>
        <w:t xml:space="preserve">attention-deficit hyperactivity disorder, obsessive-compulsive disorder, </w:t>
      </w:r>
      <w:r w:rsidR="005B3C0D" w:rsidRPr="00982A50">
        <w:rPr>
          <w:rFonts w:ascii="Times New Roman" w:hAnsi="Times New Roman" w:cs="Times New Roman"/>
          <w:color w:val="000000" w:themeColor="text1"/>
          <w:sz w:val="20"/>
          <w:szCs w:val="20"/>
        </w:rPr>
        <w:t xml:space="preserve">or personality disorder), any known contraindication to </w:t>
      </w:r>
      <w:proofErr w:type="spellStart"/>
      <w:r w:rsidR="005B3C0D" w:rsidRPr="00982A50">
        <w:rPr>
          <w:rFonts w:ascii="Times New Roman" w:hAnsi="Times New Roman" w:cs="Times New Roman"/>
          <w:color w:val="000000" w:themeColor="text1"/>
          <w:sz w:val="20"/>
          <w:szCs w:val="20"/>
        </w:rPr>
        <w:t>istradefylline</w:t>
      </w:r>
      <w:proofErr w:type="spellEnd"/>
      <w:r w:rsidR="005B3C0D" w:rsidRPr="00982A50">
        <w:rPr>
          <w:rFonts w:ascii="Times New Roman" w:hAnsi="Times New Roman" w:cs="Times New Roman"/>
          <w:color w:val="000000" w:themeColor="text1"/>
          <w:sz w:val="20"/>
          <w:szCs w:val="20"/>
        </w:rPr>
        <w:t xml:space="preserve">, history of major head injury, baseline cardiovascular parameters outside normal range, insufficient </w:t>
      </w:r>
      <w:r w:rsidR="005C06EE" w:rsidRPr="00982A50">
        <w:rPr>
          <w:rFonts w:ascii="Times New Roman" w:hAnsi="Times New Roman" w:cs="Times New Roman"/>
          <w:color w:val="000000" w:themeColor="text1"/>
          <w:sz w:val="20"/>
          <w:szCs w:val="20"/>
        </w:rPr>
        <w:t>proficiency</w:t>
      </w:r>
      <w:r w:rsidR="005B3C0D" w:rsidRPr="00982A50">
        <w:rPr>
          <w:rFonts w:ascii="Times New Roman" w:hAnsi="Times New Roman" w:cs="Times New Roman"/>
          <w:color w:val="000000" w:themeColor="text1"/>
          <w:sz w:val="20"/>
          <w:szCs w:val="20"/>
        </w:rPr>
        <w:t xml:space="preserve"> with English to understand the procedures, involvement in </w:t>
      </w:r>
      <w:r w:rsidR="005B3C0D" w:rsidRPr="00982A50">
        <w:rPr>
          <w:rFonts w:ascii="Times New Roman" w:hAnsi="Times New Roman" w:cs="Times New Roman"/>
          <w:color w:val="000000" w:themeColor="text1"/>
          <w:sz w:val="20"/>
          <w:szCs w:val="20"/>
        </w:rPr>
        <w:lastRenderedPageBreak/>
        <w:t>research in the preceding three months that could impact the neurocognitive assessment</w:t>
      </w:r>
      <w:r w:rsidR="004363AC" w:rsidRPr="00982A50">
        <w:rPr>
          <w:rFonts w:ascii="Times New Roman" w:hAnsi="Times New Roman" w:cs="Times New Roman"/>
          <w:color w:val="000000" w:themeColor="text1"/>
          <w:sz w:val="20"/>
          <w:szCs w:val="20"/>
        </w:rPr>
        <w:t xml:space="preserve"> (such as participation in studies using the same or similar cognitive tasks)</w:t>
      </w:r>
      <w:r w:rsidR="0039701F">
        <w:rPr>
          <w:rFonts w:ascii="Times New Roman" w:hAnsi="Times New Roman" w:cs="Times New Roman"/>
          <w:color w:val="000000" w:themeColor="text1"/>
          <w:sz w:val="20"/>
          <w:szCs w:val="20"/>
        </w:rPr>
        <w:t>,</w:t>
      </w:r>
      <w:r w:rsidR="00C3747E">
        <w:rPr>
          <w:rFonts w:ascii="Times New Roman" w:hAnsi="Times New Roman" w:cs="Times New Roman"/>
          <w:color w:val="000000" w:themeColor="text1"/>
          <w:sz w:val="20"/>
          <w:szCs w:val="20"/>
        </w:rPr>
        <w:t xml:space="preserve"> </w:t>
      </w:r>
      <w:r w:rsidR="0039701F">
        <w:rPr>
          <w:rFonts w:ascii="Times New Roman" w:hAnsi="Times New Roman" w:cs="Times New Roman"/>
          <w:color w:val="000000" w:themeColor="text1"/>
          <w:sz w:val="20"/>
          <w:szCs w:val="20"/>
        </w:rPr>
        <w:t xml:space="preserve">age outside the 18-49 bracket </w:t>
      </w:r>
      <w:r w:rsidR="005B3C0D" w:rsidRPr="00982A50">
        <w:rPr>
          <w:rFonts w:ascii="Times New Roman" w:hAnsi="Times New Roman" w:cs="Times New Roman"/>
          <w:color w:val="000000" w:themeColor="text1"/>
          <w:sz w:val="20"/>
          <w:szCs w:val="20"/>
        </w:rPr>
        <w:t xml:space="preserve">and IQ &lt; 80 based on the NART. </w:t>
      </w:r>
    </w:p>
    <w:p w14:paraId="00EE71F9" w14:textId="77777777" w:rsidR="007F0C2C" w:rsidRPr="00982A50" w:rsidRDefault="007F0C2C" w:rsidP="003A057D">
      <w:pPr>
        <w:spacing w:line="480" w:lineRule="auto"/>
        <w:jc w:val="left"/>
        <w:rPr>
          <w:rFonts w:ascii="Times New Roman" w:hAnsi="Times New Roman" w:cs="Times New Roman"/>
          <w:i/>
          <w:color w:val="000000" w:themeColor="text1"/>
          <w:sz w:val="20"/>
          <w:szCs w:val="20"/>
        </w:rPr>
      </w:pPr>
    </w:p>
    <w:p w14:paraId="49F53B4A" w14:textId="485506B0" w:rsidR="007F0C2C" w:rsidRPr="00982A50" w:rsidRDefault="007F0C2C" w:rsidP="003A057D">
      <w:pPr>
        <w:spacing w:line="480" w:lineRule="auto"/>
        <w:jc w:val="left"/>
        <w:rPr>
          <w:rFonts w:ascii="Times New Roman" w:hAnsi="Times New Roman" w:cs="Times New Roman"/>
          <w:i/>
          <w:color w:val="000000" w:themeColor="text1"/>
          <w:sz w:val="20"/>
          <w:szCs w:val="20"/>
        </w:rPr>
      </w:pPr>
      <w:r w:rsidRPr="00982A50">
        <w:rPr>
          <w:rFonts w:ascii="Times New Roman" w:hAnsi="Times New Roman" w:cs="Times New Roman"/>
          <w:i/>
          <w:color w:val="000000" w:themeColor="text1"/>
          <w:sz w:val="20"/>
          <w:szCs w:val="20"/>
        </w:rPr>
        <w:t>Study Design</w:t>
      </w:r>
    </w:p>
    <w:p w14:paraId="5EBBA5AB" w14:textId="34C9C64F" w:rsidR="00B25055" w:rsidRPr="00982A50" w:rsidRDefault="005C06EE">
      <w:pPr>
        <w:spacing w:line="480" w:lineRule="auto"/>
        <w:ind w:firstLine="960"/>
        <w:jc w:val="left"/>
        <w:rPr>
          <w:rFonts w:ascii="Times New Roman" w:hAnsi="Times New Roman" w:cs="Times New Roman"/>
          <w:color w:val="000000" w:themeColor="text1"/>
          <w:sz w:val="20"/>
          <w:szCs w:val="20"/>
        </w:rPr>
      </w:pPr>
      <w:r w:rsidRPr="00982A50">
        <w:rPr>
          <w:rFonts w:ascii="Times New Roman" w:hAnsi="Times New Roman" w:cs="Times New Roman"/>
          <w:color w:val="000000" w:themeColor="text1"/>
          <w:sz w:val="20"/>
          <w:szCs w:val="20"/>
        </w:rPr>
        <w:t>Participants meeting</w:t>
      </w:r>
      <w:r w:rsidR="00F803AB" w:rsidRPr="00982A50">
        <w:rPr>
          <w:rFonts w:ascii="Times New Roman" w:hAnsi="Times New Roman" w:cs="Times New Roman"/>
          <w:color w:val="000000" w:themeColor="text1"/>
          <w:sz w:val="20"/>
          <w:szCs w:val="20"/>
        </w:rPr>
        <w:t xml:space="preserve"> the</w:t>
      </w:r>
      <w:r w:rsidRPr="00982A50">
        <w:rPr>
          <w:rFonts w:ascii="Times New Roman" w:hAnsi="Times New Roman" w:cs="Times New Roman"/>
          <w:color w:val="000000" w:themeColor="text1"/>
          <w:sz w:val="20"/>
          <w:szCs w:val="20"/>
        </w:rPr>
        <w:t xml:space="preserve"> inclusion criteria </w:t>
      </w:r>
      <w:r w:rsidR="00730D49" w:rsidRPr="00982A50">
        <w:rPr>
          <w:rFonts w:ascii="Times New Roman" w:hAnsi="Times New Roman" w:cs="Times New Roman"/>
          <w:color w:val="000000" w:themeColor="text1"/>
          <w:sz w:val="20"/>
          <w:szCs w:val="20"/>
        </w:rPr>
        <w:t>a</w:t>
      </w:r>
      <w:r w:rsidR="00BF43BC" w:rsidRPr="00982A50">
        <w:rPr>
          <w:rFonts w:ascii="Times New Roman" w:hAnsi="Times New Roman" w:cs="Times New Roman"/>
          <w:color w:val="000000" w:themeColor="text1"/>
          <w:sz w:val="20"/>
          <w:szCs w:val="20"/>
        </w:rPr>
        <w:t xml:space="preserve">ttended </w:t>
      </w:r>
      <w:r w:rsidR="007F0C2C" w:rsidRPr="00982A50">
        <w:rPr>
          <w:rFonts w:ascii="Times New Roman" w:hAnsi="Times New Roman" w:cs="Times New Roman"/>
          <w:color w:val="000000" w:themeColor="text1"/>
          <w:sz w:val="20"/>
          <w:szCs w:val="20"/>
        </w:rPr>
        <w:t xml:space="preserve">for two study visits: on one occasion they received </w:t>
      </w:r>
      <w:r w:rsidR="00730D49" w:rsidRPr="00982A50">
        <w:rPr>
          <w:rFonts w:ascii="Times New Roman" w:hAnsi="Times New Roman" w:cs="Times New Roman"/>
          <w:color w:val="000000" w:themeColor="text1"/>
          <w:sz w:val="20"/>
          <w:szCs w:val="20"/>
        </w:rPr>
        <w:t xml:space="preserve">a single oral dose of </w:t>
      </w:r>
      <w:proofErr w:type="spellStart"/>
      <w:r w:rsidR="00452B01" w:rsidRPr="00982A50">
        <w:rPr>
          <w:rFonts w:ascii="Times New Roman" w:hAnsi="Times New Roman" w:cs="Times New Roman"/>
          <w:color w:val="000000" w:themeColor="text1"/>
          <w:sz w:val="20"/>
          <w:szCs w:val="20"/>
        </w:rPr>
        <w:t>istradefylline</w:t>
      </w:r>
      <w:proofErr w:type="spellEnd"/>
      <w:r w:rsidR="00730D49" w:rsidRPr="00982A50">
        <w:rPr>
          <w:rFonts w:ascii="Times New Roman" w:hAnsi="Times New Roman" w:cs="Times New Roman"/>
          <w:color w:val="000000" w:themeColor="text1"/>
          <w:sz w:val="20"/>
          <w:szCs w:val="20"/>
        </w:rPr>
        <w:t xml:space="preserve"> (20 mg)</w:t>
      </w:r>
      <w:r w:rsidR="007F0C2C" w:rsidRPr="00982A50">
        <w:rPr>
          <w:rFonts w:ascii="Times New Roman" w:hAnsi="Times New Roman" w:cs="Times New Roman"/>
          <w:color w:val="000000" w:themeColor="text1"/>
          <w:sz w:val="20"/>
          <w:szCs w:val="20"/>
        </w:rPr>
        <w:t xml:space="preserve">, and on the other occasion an oral placebo of identical appearance and weight. Medication was over-encapsulated by the supplying pharmacy to ensure visual blinding. The order of drug dosing was randomized and counter-balanced across participants. This was a </w:t>
      </w:r>
      <w:r w:rsidRPr="00982A50">
        <w:rPr>
          <w:rFonts w:ascii="Times New Roman" w:hAnsi="Times New Roman" w:cs="Times New Roman"/>
          <w:color w:val="000000" w:themeColor="text1"/>
          <w:sz w:val="20"/>
          <w:szCs w:val="20"/>
        </w:rPr>
        <w:t>randomized,</w:t>
      </w:r>
      <w:r w:rsidR="00E20F4F" w:rsidRPr="00982A50">
        <w:rPr>
          <w:rFonts w:ascii="Times New Roman" w:hAnsi="Times New Roman" w:cs="Times New Roman"/>
          <w:color w:val="000000" w:themeColor="text1"/>
          <w:sz w:val="20"/>
          <w:szCs w:val="20"/>
        </w:rPr>
        <w:t xml:space="preserve"> within-subject, cross-over, double-blind</w:t>
      </w:r>
      <w:r w:rsidR="00851493" w:rsidRPr="00982A50">
        <w:rPr>
          <w:rFonts w:ascii="Times New Roman" w:hAnsi="Times New Roman" w:cs="Times New Roman"/>
          <w:color w:val="000000" w:themeColor="text1"/>
          <w:sz w:val="20"/>
          <w:szCs w:val="20"/>
        </w:rPr>
        <w:t xml:space="preserve"> </w:t>
      </w:r>
      <w:r w:rsidR="00E20F4F" w:rsidRPr="00982A50">
        <w:rPr>
          <w:rFonts w:ascii="Times New Roman" w:hAnsi="Times New Roman" w:cs="Times New Roman"/>
          <w:color w:val="000000" w:themeColor="text1"/>
          <w:sz w:val="20"/>
          <w:szCs w:val="20"/>
        </w:rPr>
        <w:t>design</w:t>
      </w:r>
      <w:r w:rsidR="0087544C" w:rsidRPr="00982A50">
        <w:rPr>
          <w:rFonts w:ascii="Times New Roman" w:hAnsi="Times New Roman" w:cs="Times New Roman"/>
          <w:color w:val="000000" w:themeColor="text1"/>
          <w:sz w:val="20"/>
          <w:szCs w:val="20"/>
        </w:rPr>
        <w:t>.</w:t>
      </w:r>
      <w:r w:rsidR="001D0B31" w:rsidRPr="00982A50">
        <w:rPr>
          <w:rFonts w:ascii="Times New Roman" w:hAnsi="Times New Roman" w:cs="Times New Roman"/>
          <w:color w:val="000000" w:themeColor="text1"/>
          <w:sz w:val="20"/>
          <w:szCs w:val="20"/>
        </w:rPr>
        <w:t xml:space="preserve"> </w:t>
      </w:r>
      <w:r w:rsidRPr="00982A50">
        <w:rPr>
          <w:rFonts w:ascii="Times New Roman" w:hAnsi="Times New Roman" w:cs="Times New Roman"/>
          <w:color w:val="000000" w:themeColor="text1"/>
          <w:sz w:val="20"/>
          <w:szCs w:val="20"/>
        </w:rPr>
        <w:t>Based on the</w:t>
      </w:r>
      <w:r w:rsidR="0087544C" w:rsidRPr="00982A50">
        <w:rPr>
          <w:rFonts w:ascii="Times New Roman" w:hAnsi="Times New Roman" w:cs="Times New Roman"/>
          <w:color w:val="000000" w:themeColor="text1"/>
          <w:sz w:val="20"/>
          <w:szCs w:val="20"/>
        </w:rPr>
        <w:t xml:space="preserve"> establi</w:t>
      </w:r>
      <w:r w:rsidR="00E72EE8" w:rsidRPr="00982A50">
        <w:rPr>
          <w:rFonts w:ascii="Times New Roman" w:hAnsi="Times New Roman" w:cs="Times New Roman"/>
          <w:color w:val="000000" w:themeColor="text1"/>
          <w:sz w:val="20"/>
          <w:szCs w:val="20"/>
        </w:rPr>
        <w:t xml:space="preserve">shed pharmacokinetic profile of </w:t>
      </w:r>
      <w:proofErr w:type="spellStart"/>
      <w:r w:rsidR="00E72EE8" w:rsidRPr="00982A50">
        <w:rPr>
          <w:rFonts w:ascii="Times New Roman" w:hAnsi="Times New Roman" w:cs="Times New Roman"/>
          <w:color w:val="000000" w:themeColor="text1"/>
          <w:sz w:val="20"/>
          <w:szCs w:val="20"/>
        </w:rPr>
        <w:t>istradefylline</w:t>
      </w:r>
      <w:proofErr w:type="spellEnd"/>
      <w:r w:rsidR="00272FBB" w:rsidRPr="00982A50">
        <w:rPr>
          <w:rFonts w:ascii="Times New Roman" w:hAnsi="Times New Roman" w:cs="Times New Roman"/>
          <w:color w:val="000000" w:themeColor="text1"/>
          <w:sz w:val="20"/>
          <w:szCs w:val="20"/>
        </w:rPr>
        <w:t xml:space="preserve"> </w:t>
      </w:r>
      <w:r w:rsidR="00A977DB">
        <w:rPr>
          <w:rFonts w:ascii="Times New Roman" w:hAnsi="Times New Roman" w:cs="Times New Roman"/>
          <w:color w:val="000000" w:themeColor="text1"/>
          <w:sz w:val="20"/>
          <w:szCs w:val="20"/>
        </w:rPr>
        <w:fldChar w:fldCharType="begin" w:fldLock="1"/>
      </w:r>
      <w:r w:rsidR="00A977DB">
        <w:rPr>
          <w:rFonts w:ascii="Times New Roman" w:hAnsi="Times New Roman" w:cs="Times New Roman"/>
          <w:color w:val="000000" w:themeColor="text1"/>
          <w:sz w:val="20"/>
          <w:szCs w:val="20"/>
        </w:rPr>
        <w:instrText>ADDIN CSL_CITATION {"citationItems":[{"id":"ITEM-1","itemData":{"DOI":"10.1212/01.WNL.0000081227.84197.0B","ISSN":"00283878","abstract":"Objective: To evaluate the safety and efficacy of the adenosine A2A receptor antagonist istradefylline (KW-6002) in patients with levodopa-treated Parkinson's disease (PD) with both motor fluctuations and peak-dose dyskinesias. Methods: This was a 12-week, double-blind, randomized, placebo-controlled, exploratory study in which PD subjects with both motor fluctuations and peak-dose dyskinesias were randomized to treatment with placebo (n = 29), istradefylline up to 20 mg/day (n = 26), or istradefylline up to 40 mg/day (n = 28). There was no prespecified primary outcome measure, and 19 outcome variables were analyzed. Results: As assessed by home diaries, subjects assigned to istradefylline experienced a mean (± SE) reduction in the proportion of awake time spent in the \"off\" state of 7.1 ± 2. 0% compared with an increase of 2.2 ± 2.7% in the placebo group (p = 0.008). There was a decrease in \"off\" time of 1.2 ± 0.3 hours in the istradefylline group compared with an increase of 0.5 ± 0.5 hour in the placebo group (p = 0.004). Dyskinesia severity was unchanged, but \"on\" time with dyskinesia increased in the istradefylline group compared with the placebo group (percent, p = 0.002; hours, p = 0.001). No differences were observed in change in Unified Parkinson's Disease Rating Scale scores or Clinical Global Impression of Change. Twenty-four percent of placebo-assigned subjects and 20% of istradefylline-assigned subjects withdrew from the study. Both dose regimens of istradefylline were generally well tolerated, and nausea was the most common adverse event. Conclusion: Istradefylline was generally well tolerated and reduced \"off\" time as assessed by home diaries. Severity of dyskinesia was unchanged, but \"on\" time with dyskinesia increased.","author":[{"dropping-particle":"","family":"Hauser","given":"Robert A.","non-dropping-particle":"","parse-names":false,"suffix":""},{"dropping-particle":"","family":"Hubble","given":"Jean P.","non-dropping-particle":"","parse-names":false,"suffix":""},{"dropping-particle":"","family":"Truong","given":"Daniel D.","non-dropping-particle":"","parse-names":false,"suffix":""}],"container-title":"Neurology","id":"ITEM-1","issue":"3","issued":{"date-parts":[["2003"]]},"title":"Randomized trial of the adenosine A2A receptor antagonist istradefylline in advanced PD","type":"article-journal","volume":"61"},"uris":["http://www.mendeley.com/documents/?uuid=9b1f1df9-09e8-3ff9-a508-87ac9ca79df6"]}],"mendeley":{"formattedCitation":"(Hauser et al., 2003)","plainTextFormattedCitation":"(Hauser et al., 2003)","previouslyFormattedCitation":"(Hauser et al., 2003)"},"properties":{"noteIndex":0},"schema":"https://github.com/citation-style-language/schema/raw/master/csl-citation.json"}</w:instrText>
      </w:r>
      <w:r w:rsidR="00A977DB">
        <w:rPr>
          <w:rFonts w:ascii="Times New Roman" w:hAnsi="Times New Roman" w:cs="Times New Roman"/>
          <w:color w:val="000000" w:themeColor="text1"/>
          <w:sz w:val="20"/>
          <w:szCs w:val="20"/>
        </w:rPr>
        <w:fldChar w:fldCharType="separate"/>
      </w:r>
      <w:r w:rsidR="00A977DB" w:rsidRPr="00A977DB">
        <w:rPr>
          <w:rFonts w:ascii="Times New Roman" w:hAnsi="Times New Roman" w:cs="Times New Roman"/>
          <w:noProof/>
          <w:color w:val="000000" w:themeColor="text1"/>
          <w:sz w:val="20"/>
          <w:szCs w:val="20"/>
        </w:rPr>
        <w:t>(Hauser et al., 2003)</w:t>
      </w:r>
      <w:r w:rsidR="00A977DB">
        <w:rPr>
          <w:rFonts w:ascii="Times New Roman" w:hAnsi="Times New Roman" w:cs="Times New Roman"/>
          <w:color w:val="000000" w:themeColor="text1"/>
          <w:sz w:val="20"/>
          <w:szCs w:val="20"/>
        </w:rPr>
        <w:fldChar w:fldCharType="end"/>
      </w:r>
      <w:r w:rsidR="0087544C" w:rsidRPr="00982A50">
        <w:rPr>
          <w:rFonts w:ascii="Times New Roman" w:hAnsi="Times New Roman" w:cs="Times New Roman"/>
          <w:color w:val="000000" w:themeColor="text1"/>
          <w:sz w:val="20"/>
          <w:szCs w:val="20"/>
        </w:rPr>
        <w:t xml:space="preserve">, </w:t>
      </w:r>
      <w:r w:rsidR="00E72EE8" w:rsidRPr="00982A50">
        <w:rPr>
          <w:rFonts w:ascii="Times New Roman" w:hAnsi="Times New Roman" w:cs="Times New Roman"/>
          <w:color w:val="000000" w:themeColor="text1"/>
          <w:sz w:val="20"/>
          <w:szCs w:val="20"/>
        </w:rPr>
        <w:t>cognitive assessments were undertaken from 1.25</w:t>
      </w:r>
      <w:r w:rsidR="0087544C" w:rsidRPr="00982A50">
        <w:rPr>
          <w:rFonts w:ascii="Times New Roman" w:hAnsi="Times New Roman" w:cs="Times New Roman"/>
          <w:color w:val="000000" w:themeColor="text1"/>
          <w:sz w:val="20"/>
          <w:szCs w:val="20"/>
        </w:rPr>
        <w:t xml:space="preserve"> to </w:t>
      </w:r>
      <w:r w:rsidR="004817D8" w:rsidRPr="00982A50">
        <w:rPr>
          <w:rFonts w:ascii="Times New Roman" w:hAnsi="Times New Roman" w:cs="Times New Roman"/>
          <w:color w:val="000000" w:themeColor="text1"/>
          <w:sz w:val="20"/>
          <w:szCs w:val="20"/>
        </w:rPr>
        <w:t>2.75</w:t>
      </w:r>
      <w:r w:rsidR="0087544C" w:rsidRPr="00982A50">
        <w:rPr>
          <w:rFonts w:ascii="Times New Roman" w:hAnsi="Times New Roman" w:cs="Times New Roman"/>
          <w:color w:val="000000" w:themeColor="text1"/>
          <w:sz w:val="20"/>
          <w:szCs w:val="20"/>
        </w:rPr>
        <w:t xml:space="preserve"> hours after capsule administration. </w:t>
      </w:r>
      <w:r w:rsidRPr="00982A50">
        <w:rPr>
          <w:rFonts w:ascii="Times New Roman" w:hAnsi="Times New Roman" w:cs="Times New Roman"/>
          <w:color w:val="000000" w:themeColor="text1"/>
          <w:sz w:val="20"/>
          <w:szCs w:val="20"/>
        </w:rPr>
        <w:t xml:space="preserve">Prior to cognitive assessments, </w:t>
      </w:r>
      <w:r w:rsidR="0087544C" w:rsidRPr="00982A50">
        <w:rPr>
          <w:rFonts w:ascii="Times New Roman" w:hAnsi="Times New Roman" w:cs="Times New Roman"/>
          <w:color w:val="000000" w:themeColor="text1"/>
          <w:sz w:val="20"/>
          <w:szCs w:val="20"/>
        </w:rPr>
        <w:t xml:space="preserve">volunteers spent </w:t>
      </w:r>
      <w:r w:rsidRPr="00982A50">
        <w:rPr>
          <w:rFonts w:ascii="Times New Roman" w:hAnsi="Times New Roman" w:cs="Times New Roman"/>
          <w:color w:val="000000" w:themeColor="text1"/>
          <w:sz w:val="20"/>
          <w:szCs w:val="20"/>
        </w:rPr>
        <w:t xml:space="preserve">time </w:t>
      </w:r>
      <w:r w:rsidR="0087544C" w:rsidRPr="00982A50">
        <w:rPr>
          <w:rFonts w:ascii="Times New Roman" w:hAnsi="Times New Roman" w:cs="Times New Roman"/>
          <w:color w:val="000000" w:themeColor="text1"/>
          <w:sz w:val="20"/>
          <w:szCs w:val="20"/>
        </w:rPr>
        <w:t>in a quiet</w:t>
      </w:r>
      <w:r w:rsidRPr="00982A50">
        <w:rPr>
          <w:rFonts w:ascii="Times New Roman" w:hAnsi="Times New Roman" w:cs="Times New Roman"/>
          <w:color w:val="000000" w:themeColor="text1"/>
          <w:sz w:val="20"/>
          <w:szCs w:val="20"/>
        </w:rPr>
        <w:t xml:space="preserve">, </w:t>
      </w:r>
      <w:r w:rsidR="007F0C2C" w:rsidRPr="00982A50">
        <w:rPr>
          <w:rFonts w:ascii="Times New Roman" w:hAnsi="Times New Roman" w:cs="Times New Roman"/>
          <w:color w:val="000000" w:themeColor="text1"/>
          <w:sz w:val="20"/>
          <w:szCs w:val="20"/>
        </w:rPr>
        <w:t xml:space="preserve">waiting </w:t>
      </w:r>
      <w:r w:rsidR="0087544C" w:rsidRPr="00982A50">
        <w:rPr>
          <w:rFonts w:ascii="Times New Roman" w:hAnsi="Times New Roman" w:cs="Times New Roman"/>
          <w:color w:val="000000" w:themeColor="text1"/>
          <w:sz w:val="20"/>
          <w:szCs w:val="20"/>
        </w:rPr>
        <w:t>room</w:t>
      </w:r>
      <w:r w:rsidR="003C6F37" w:rsidRPr="00982A50">
        <w:rPr>
          <w:rFonts w:ascii="Times New Roman" w:hAnsi="Times New Roman" w:cs="Times New Roman"/>
          <w:color w:val="000000" w:themeColor="text1"/>
          <w:sz w:val="20"/>
          <w:szCs w:val="20"/>
        </w:rPr>
        <w:t>, relaxing</w:t>
      </w:r>
      <w:r w:rsidR="0087544C" w:rsidRPr="00982A50">
        <w:rPr>
          <w:rFonts w:ascii="Times New Roman" w:hAnsi="Times New Roman" w:cs="Times New Roman"/>
          <w:color w:val="000000" w:themeColor="text1"/>
          <w:sz w:val="20"/>
          <w:szCs w:val="20"/>
        </w:rPr>
        <w:t>.</w:t>
      </w:r>
      <w:r w:rsidR="00A01D3B" w:rsidRPr="00982A50">
        <w:rPr>
          <w:rFonts w:ascii="Times New Roman" w:hAnsi="Times New Roman" w:cs="Times New Roman"/>
          <w:color w:val="000000" w:themeColor="text1"/>
          <w:sz w:val="20"/>
          <w:szCs w:val="20"/>
        </w:rPr>
        <w:t xml:space="preserve"> </w:t>
      </w:r>
      <w:r w:rsidR="00A01D3B" w:rsidRPr="00982A50">
        <w:rPr>
          <w:rFonts w:ascii="Times New Roman" w:hAnsi="Times New Roman" w:cs="Times New Roman"/>
          <w:sz w:val="20"/>
          <w:szCs w:val="20"/>
        </w:rPr>
        <w:t>Blood pressure and pulse data were collected three times</w:t>
      </w:r>
      <w:r w:rsidRPr="00982A50">
        <w:rPr>
          <w:rFonts w:ascii="Times New Roman" w:hAnsi="Times New Roman" w:cs="Times New Roman"/>
          <w:sz w:val="20"/>
          <w:szCs w:val="20"/>
        </w:rPr>
        <w:t xml:space="preserve"> per visit: at</w:t>
      </w:r>
      <w:r w:rsidR="00A01D3B" w:rsidRPr="00982A50">
        <w:rPr>
          <w:rFonts w:ascii="Times New Roman" w:hAnsi="Times New Roman" w:cs="Times New Roman"/>
          <w:sz w:val="20"/>
          <w:szCs w:val="20"/>
        </w:rPr>
        <w:t xml:space="preserve"> baseline, before starting cognitive assessments and after completion of the </w:t>
      </w:r>
      <w:r w:rsidRPr="00982A50">
        <w:rPr>
          <w:rFonts w:ascii="Times New Roman" w:hAnsi="Times New Roman" w:cs="Times New Roman"/>
          <w:sz w:val="20"/>
          <w:szCs w:val="20"/>
        </w:rPr>
        <w:t>cognitive tests</w:t>
      </w:r>
      <w:r w:rsidR="00A01D3B" w:rsidRPr="00982A50">
        <w:rPr>
          <w:rFonts w:ascii="Times New Roman" w:hAnsi="Times New Roman" w:cs="Times New Roman"/>
          <w:sz w:val="20"/>
          <w:szCs w:val="20"/>
        </w:rPr>
        <w:t>.</w:t>
      </w:r>
      <w:r w:rsidR="00BD60AF" w:rsidRPr="00982A50">
        <w:rPr>
          <w:rFonts w:ascii="Times New Roman" w:hAnsi="Times New Roman" w:cs="Times New Roman"/>
          <w:sz w:val="20"/>
          <w:szCs w:val="20"/>
        </w:rPr>
        <w:t xml:space="preserve"> </w:t>
      </w:r>
      <w:r w:rsidR="003C6F37" w:rsidRPr="00982A50">
        <w:rPr>
          <w:rFonts w:ascii="Times New Roman" w:hAnsi="Times New Roman" w:cs="Times New Roman"/>
          <w:sz w:val="20"/>
          <w:szCs w:val="20"/>
        </w:rPr>
        <w:t xml:space="preserve">At the end of each study visit, we conducted a debriefing to ask participants if they had noticed any effects of the capsule (including ‘side effects’); and they were asked to indicate one of three options: believed they had </w:t>
      </w:r>
      <w:r w:rsidR="003C6F37" w:rsidRPr="00982A50">
        <w:rPr>
          <w:rFonts w:ascii="Times New Roman" w:hAnsi="Times New Roman" w:cs="Times New Roman"/>
          <w:sz w:val="20"/>
          <w:szCs w:val="20"/>
        </w:rPr>
        <w:lastRenderedPageBreak/>
        <w:t xml:space="preserve">been on active drug, believe they had been on placebo, or completely unsure. We asked the equivalent question to the member of the research team running the sessions, in order to evaluate study team blinding. </w:t>
      </w:r>
    </w:p>
    <w:p w14:paraId="375547F0" w14:textId="77777777" w:rsidR="00FC1B5C" w:rsidRPr="00982A50" w:rsidRDefault="00FC1B5C" w:rsidP="00256EF8">
      <w:pPr>
        <w:spacing w:line="480" w:lineRule="auto"/>
        <w:ind w:firstLine="960"/>
        <w:jc w:val="left"/>
        <w:rPr>
          <w:rFonts w:ascii="Times New Roman" w:hAnsi="Times New Roman" w:cs="Times New Roman"/>
          <w:color w:val="000000" w:themeColor="text1"/>
          <w:sz w:val="20"/>
          <w:szCs w:val="20"/>
        </w:rPr>
      </w:pPr>
    </w:p>
    <w:p w14:paraId="1D0C818D" w14:textId="135BD3A0" w:rsidR="0087544C" w:rsidRPr="00982A50" w:rsidRDefault="0087544C" w:rsidP="00256EF8">
      <w:pPr>
        <w:spacing w:line="480" w:lineRule="auto"/>
        <w:jc w:val="left"/>
        <w:rPr>
          <w:rFonts w:ascii="Times New Roman" w:hAnsi="Times New Roman" w:cs="Times New Roman"/>
          <w:i/>
          <w:sz w:val="20"/>
          <w:szCs w:val="20"/>
        </w:rPr>
      </w:pPr>
      <w:r w:rsidRPr="00982A50">
        <w:rPr>
          <w:rFonts w:ascii="Times New Roman" w:hAnsi="Times New Roman" w:cs="Times New Roman"/>
          <w:i/>
          <w:sz w:val="20"/>
          <w:szCs w:val="20"/>
        </w:rPr>
        <w:t xml:space="preserve">Neuropsychological </w:t>
      </w:r>
      <w:r w:rsidR="00745804" w:rsidRPr="00982A50">
        <w:rPr>
          <w:rFonts w:ascii="Times New Roman" w:hAnsi="Times New Roman" w:cs="Times New Roman"/>
          <w:i/>
          <w:sz w:val="20"/>
          <w:szCs w:val="20"/>
        </w:rPr>
        <w:t>Assessment</w:t>
      </w:r>
    </w:p>
    <w:p w14:paraId="1AFE5DE0" w14:textId="38F2C5A1" w:rsidR="00C16DEA" w:rsidRDefault="0059502A" w:rsidP="00256EF8">
      <w:pPr>
        <w:spacing w:line="480" w:lineRule="auto"/>
        <w:ind w:firstLine="960"/>
        <w:jc w:val="left"/>
        <w:rPr>
          <w:rFonts w:ascii="Times New Roman" w:hAnsi="Times New Roman" w:cs="Times New Roman"/>
          <w:sz w:val="20"/>
          <w:szCs w:val="20"/>
        </w:rPr>
      </w:pPr>
      <w:r w:rsidRPr="00982A50">
        <w:rPr>
          <w:rFonts w:ascii="Times New Roman" w:hAnsi="Times New Roman" w:cs="Times New Roman"/>
          <w:sz w:val="20"/>
          <w:szCs w:val="20"/>
        </w:rPr>
        <w:t>Neuropsychological batteries</w:t>
      </w:r>
      <w:r w:rsidR="0087544C" w:rsidRPr="00982A50">
        <w:rPr>
          <w:rFonts w:ascii="Times New Roman" w:hAnsi="Times New Roman" w:cs="Times New Roman"/>
          <w:sz w:val="20"/>
          <w:szCs w:val="20"/>
        </w:rPr>
        <w:t xml:space="preserve"> </w:t>
      </w:r>
      <w:r w:rsidRPr="00982A50">
        <w:rPr>
          <w:rFonts w:ascii="Times New Roman" w:hAnsi="Times New Roman" w:cs="Times New Roman"/>
          <w:sz w:val="20"/>
          <w:szCs w:val="20"/>
        </w:rPr>
        <w:t xml:space="preserve">consisted of </w:t>
      </w:r>
      <w:r w:rsidR="001860CF" w:rsidRPr="00982A50">
        <w:rPr>
          <w:rFonts w:ascii="Times New Roman" w:hAnsi="Times New Roman" w:cs="Times New Roman"/>
          <w:sz w:val="20"/>
          <w:szCs w:val="20"/>
        </w:rPr>
        <w:t xml:space="preserve">tests </w:t>
      </w:r>
      <w:r w:rsidR="00745804" w:rsidRPr="00982A50">
        <w:rPr>
          <w:rFonts w:ascii="Times New Roman" w:hAnsi="Times New Roman" w:cs="Times New Roman"/>
          <w:sz w:val="20"/>
          <w:szCs w:val="20"/>
        </w:rPr>
        <w:t>from the Cambridge Neuropsychological Test Automated Battery (</w:t>
      </w:r>
      <w:r w:rsidR="0087544C" w:rsidRPr="00982A50">
        <w:rPr>
          <w:rFonts w:ascii="Times New Roman" w:hAnsi="Times New Roman" w:cs="Times New Roman"/>
          <w:sz w:val="20"/>
          <w:szCs w:val="20"/>
        </w:rPr>
        <w:t>CANTAB</w:t>
      </w:r>
      <w:r w:rsidR="00936D97">
        <w:rPr>
          <w:rFonts w:ascii="Times New Roman" w:hAnsi="Times New Roman" w:cs="Times New Roman"/>
          <w:sz w:val="20"/>
          <w:szCs w:val="20"/>
        </w:rPr>
        <w:t>, v6.0.23</w:t>
      </w:r>
      <w:r w:rsidR="00745804" w:rsidRPr="00982A50">
        <w:rPr>
          <w:rFonts w:ascii="Times New Roman" w:hAnsi="Times New Roman" w:cs="Times New Roman"/>
          <w:sz w:val="20"/>
          <w:szCs w:val="20"/>
        </w:rPr>
        <w:t xml:space="preserve">, </w:t>
      </w:r>
      <w:r w:rsidR="0087544C" w:rsidRPr="00982A50">
        <w:rPr>
          <w:rFonts w:ascii="Times New Roman" w:hAnsi="Times New Roman" w:cs="Times New Roman"/>
          <w:sz w:val="20"/>
          <w:szCs w:val="20"/>
        </w:rPr>
        <w:t xml:space="preserve">www.camcog.com) </w:t>
      </w:r>
      <w:r w:rsidR="00C11AC0" w:rsidRPr="00982A50">
        <w:rPr>
          <w:rFonts w:ascii="Times New Roman" w:hAnsi="Times New Roman" w:cs="Times New Roman"/>
          <w:sz w:val="20"/>
          <w:szCs w:val="20"/>
        </w:rPr>
        <w:t xml:space="preserve">for “cold cognition” </w:t>
      </w:r>
      <w:r w:rsidR="0087544C" w:rsidRPr="00982A50">
        <w:rPr>
          <w:rFonts w:ascii="Times New Roman" w:hAnsi="Times New Roman" w:cs="Times New Roman"/>
          <w:sz w:val="20"/>
          <w:szCs w:val="20"/>
        </w:rPr>
        <w:t xml:space="preserve">and </w:t>
      </w:r>
      <w:r w:rsidR="005B00A5" w:rsidRPr="00982A50">
        <w:rPr>
          <w:rFonts w:ascii="Times New Roman" w:hAnsi="Times New Roman" w:cs="Times New Roman"/>
          <w:sz w:val="20"/>
          <w:szCs w:val="20"/>
        </w:rPr>
        <w:t>EMOTICOM</w:t>
      </w:r>
      <w:r w:rsidR="00234709" w:rsidRPr="00982A50">
        <w:rPr>
          <w:rFonts w:ascii="Times New Roman" w:hAnsi="Times New Roman" w:cs="Times New Roman"/>
          <w:sz w:val="20"/>
          <w:szCs w:val="20"/>
        </w:rPr>
        <w:t xml:space="preserve"> (</w:t>
      </w:r>
      <w:r w:rsidR="00E23DE8">
        <w:rPr>
          <w:rFonts w:ascii="Times New Roman" w:hAnsi="Times New Roman" w:cs="Times New Roman"/>
          <w:sz w:val="20"/>
          <w:szCs w:val="20"/>
        </w:rPr>
        <w:t xml:space="preserve">v1, </w:t>
      </w:r>
      <w:r w:rsidR="00EF34E9">
        <w:rPr>
          <w:rFonts w:ascii="Times New Roman" w:hAnsi="Times New Roman" w:cs="Times New Roman"/>
          <w:sz w:val="20"/>
          <w:szCs w:val="20"/>
        </w:rPr>
        <w:fldChar w:fldCharType="begin" w:fldLock="1"/>
      </w:r>
      <w:r w:rsidR="00EF34E9">
        <w:rPr>
          <w:rFonts w:ascii="Times New Roman" w:hAnsi="Times New Roman" w:cs="Times New Roman"/>
          <w:sz w:val="20"/>
          <w:szCs w:val="20"/>
        </w:rPr>
        <w:instrText>ADDIN CSL_CITATION {"citationItems":[{"id":"ITEM-1","itemData":{"DOI":"10.3389/fnbeh.2016.00025","ISSN":"16625153","abstract":"In mental health practice, both pharmacological and non-pharmacological treatments are aimed at improving neuropsychological symptoms, including cognitive and emotional impairments. However, at present there is no established neuropsychological test battery that comprehensively covers multiple affective domains relevant in a range of disorders. Our objective was to generate a standardized test battery, comprised of existing, adapted and novel tasks, to assess four core domains of affective cognition (emotion processing, motivation, impulsivity and social cognition) in order to facilitate and enhance treatment development and evaluation in a broad range of neuropsychiatric disorders. The battery was administered to 200 participants aged 18-50 years (50% female), 42 of whom were retested in order to assess reliability. An exploratory factor analysis identified 11 factors with eigenvalues greater than 1, which accounted for over 70% of the variance. Tasks showed moderate to excellent test-retest reliability and were not strongly correlated with demographic factors such as age or IQ. The EMOTICOM test battery is therefore a promising tool for the assessment of affective cognitive function in a range of contexts.","author":[{"dropping-particle":"","family":"Bland","given":"Amy R.","non-dropping-particle":"","parse-names":false,"suffix":""},{"dropping-particle":"","family":"Roiser","given":"Jonathan P.","non-dropping-particle":"","parse-names":false,"suffix":""},{"dropping-particle":"","family":"Mehta","given":"Mitul A.","non-dropping-particle":"","parse-names":false,"suffix":""},{"dropping-particle":"","family":"Schei","given":"Thea","non-dropping-particle":"","parse-names":false,"suffix":""},{"dropping-particle":"","family":"Boland","given":"Heather","non-dropping-particle":"","parse-names":false,"suffix":""},{"dropping-particle":"","family":"Campbell-Meiklejohn","given":"Daniel K.","non-dropping-particle":"","parse-names":false,"suffix":""},{"dropping-particle":"","family":"Emsley","given":"Richard A.","non-dropping-particle":"","parse-names":false,"suffix":""},{"dropping-particle":"","family":"Munafo","given":"Marcus R.","non-dropping-particle":"","parse-names":false,"suffix":""},{"dropping-particle":"","family":"Penton-Voak","given":"Ian S.","non-dropping-particle":"","parse-names":false,"suffix":""},{"dropping-particle":"","family":"Seara-Cardoso","given":"Ana","non-dropping-particle":"","parse-names":false,"suffix":""},{"dropping-particle":"","family":"Viding","given":"Essi","non-dropping-particle":"","parse-names":false,"suffix":""},{"dropping-particle":"","family":"Voon","given":"Valerie","non-dropping-particle":"","parse-names":false,"suffix":""},{"dropping-particle":"","family":"Sahakian","given":"Barbara J.","non-dropping-particle":"","parse-names":false,"suffix":""},{"dropping-particle":"","family":"Robbins","given":"Trevor W.","non-dropping-particle":"","parse-names":false,"suffix":""},{"dropping-particle":"","family":"Elliott","given":"Rebecca","non-dropping-particle":"","parse-names":false,"suffix":""}],"container-title":"Frontiers in Behavioral Neuroscience","id":"ITEM-1","issued":{"date-parts":[["2016"]]},"title":"EMOTICOM: A neuropsychological test battery to evaluate emotion, motivation, impulsivity, and social cognition","type":"article-journal"},"uris":["http://www.mendeley.com/documents/?uuid=4ade63ff-bede-4147-89de-5b0c30ce85e8"]}],"mendeley":{"formattedCitation":"(Bland et al., 2016)","manualFormatting":"Bland et al., 2016)","plainTextFormattedCitation":"(Bland et al., 2016)","previouslyFormattedCitation":"(Bland et al., 2016)"},"properties":{"noteIndex":0},"schema":"https://github.com/citation-style-language/schema/raw/master/csl-citation.json"}</w:instrText>
      </w:r>
      <w:r w:rsidR="00EF34E9">
        <w:rPr>
          <w:rFonts w:ascii="Times New Roman" w:hAnsi="Times New Roman" w:cs="Times New Roman"/>
          <w:sz w:val="20"/>
          <w:szCs w:val="20"/>
        </w:rPr>
        <w:fldChar w:fldCharType="separate"/>
      </w:r>
      <w:r w:rsidR="00EF34E9" w:rsidRPr="00EF34E9">
        <w:rPr>
          <w:rFonts w:ascii="Times New Roman" w:hAnsi="Times New Roman" w:cs="Times New Roman"/>
          <w:noProof/>
          <w:sz w:val="20"/>
          <w:szCs w:val="20"/>
        </w:rPr>
        <w:t>Bland et al., 2016)</w:t>
      </w:r>
      <w:r w:rsidR="00EF34E9">
        <w:rPr>
          <w:rFonts w:ascii="Times New Roman" w:hAnsi="Times New Roman" w:cs="Times New Roman"/>
          <w:sz w:val="20"/>
          <w:szCs w:val="20"/>
        </w:rPr>
        <w:fldChar w:fldCharType="end"/>
      </w:r>
      <w:r w:rsidR="00320684" w:rsidRPr="00982A50">
        <w:rPr>
          <w:rFonts w:ascii="Times New Roman" w:hAnsi="Times New Roman" w:cs="Times New Roman"/>
          <w:sz w:val="20"/>
          <w:szCs w:val="20"/>
        </w:rPr>
        <w:t xml:space="preserve"> for </w:t>
      </w:r>
      <w:r w:rsidR="00C11AC0" w:rsidRPr="00982A50">
        <w:rPr>
          <w:rFonts w:ascii="Times New Roman" w:hAnsi="Times New Roman" w:cs="Times New Roman"/>
          <w:sz w:val="20"/>
          <w:szCs w:val="20"/>
        </w:rPr>
        <w:t>“hot cognition”</w:t>
      </w:r>
      <w:r w:rsidR="00745804" w:rsidRPr="00982A50">
        <w:rPr>
          <w:rFonts w:ascii="Times New Roman" w:hAnsi="Times New Roman" w:cs="Times New Roman"/>
          <w:sz w:val="20"/>
          <w:szCs w:val="20"/>
        </w:rPr>
        <w:t xml:space="preserve">. Cognitive testing was performed using </w:t>
      </w:r>
      <w:r w:rsidR="000C7406" w:rsidRPr="00982A50">
        <w:rPr>
          <w:rFonts w:ascii="Times New Roman" w:hAnsi="Times New Roman" w:cs="Times New Roman"/>
          <w:sz w:val="20"/>
          <w:szCs w:val="20"/>
        </w:rPr>
        <w:t>a touch-screen computer in a quiet room</w:t>
      </w:r>
      <w:r w:rsidR="00745804" w:rsidRPr="00982A50">
        <w:rPr>
          <w:rFonts w:ascii="Times New Roman" w:hAnsi="Times New Roman" w:cs="Times New Roman"/>
          <w:sz w:val="20"/>
          <w:szCs w:val="20"/>
        </w:rPr>
        <w:t>, supervised by a trained test administrator</w:t>
      </w:r>
      <w:r w:rsidR="0087544C" w:rsidRPr="00982A50">
        <w:rPr>
          <w:rFonts w:ascii="Times New Roman" w:hAnsi="Times New Roman" w:cs="Times New Roman"/>
          <w:sz w:val="20"/>
          <w:szCs w:val="20"/>
        </w:rPr>
        <w:t xml:space="preserve">. </w:t>
      </w:r>
      <w:r w:rsidR="008523FD">
        <w:rPr>
          <w:rFonts w:ascii="Times New Roman" w:hAnsi="Times New Roman" w:cs="Times New Roman"/>
          <w:sz w:val="20"/>
          <w:szCs w:val="20"/>
        </w:rPr>
        <w:t xml:space="preserve">Cognitive tasks included in this study are described in Table </w:t>
      </w:r>
      <w:r w:rsidR="0034479C">
        <w:rPr>
          <w:rFonts w:ascii="Times New Roman" w:hAnsi="Times New Roman" w:cs="Times New Roman"/>
          <w:sz w:val="20"/>
          <w:szCs w:val="20"/>
        </w:rPr>
        <w:t>1</w:t>
      </w:r>
      <w:r w:rsidR="008523FD">
        <w:rPr>
          <w:rFonts w:ascii="Times New Roman" w:hAnsi="Times New Roman" w:cs="Times New Roman"/>
          <w:sz w:val="20"/>
          <w:szCs w:val="20"/>
        </w:rPr>
        <w:t>.</w:t>
      </w:r>
    </w:p>
    <w:p w14:paraId="362C8831" w14:textId="5494931E" w:rsidR="00C43042" w:rsidRDefault="0034479C" w:rsidP="00256EF8">
      <w:pPr>
        <w:spacing w:line="480" w:lineRule="auto"/>
        <w:ind w:firstLine="960"/>
        <w:jc w:val="left"/>
        <w:rPr>
          <w:rFonts w:ascii="Times New Roman" w:hAnsi="Times New Roman" w:cs="Times New Roman"/>
          <w:sz w:val="20"/>
          <w:szCs w:val="20"/>
        </w:rPr>
      </w:pPr>
      <w:r>
        <w:rPr>
          <w:rFonts w:ascii="Times New Roman" w:hAnsi="Times New Roman" w:cs="Times New Roman"/>
          <w:sz w:val="20"/>
          <w:szCs w:val="20"/>
        </w:rPr>
        <w:t>[TABLE 1 AROUND HERE PLEASE]</w:t>
      </w:r>
    </w:p>
    <w:p w14:paraId="14120042" w14:textId="77777777" w:rsidR="00FC1B5C" w:rsidRPr="00982A50" w:rsidRDefault="00FC1B5C" w:rsidP="00256EF8">
      <w:pPr>
        <w:spacing w:line="480" w:lineRule="auto"/>
        <w:ind w:firstLine="960"/>
        <w:jc w:val="left"/>
        <w:rPr>
          <w:rFonts w:ascii="Times New Roman" w:hAnsi="Times New Roman" w:cs="Times New Roman"/>
          <w:color w:val="0070C0"/>
          <w:sz w:val="20"/>
          <w:szCs w:val="20"/>
        </w:rPr>
      </w:pPr>
    </w:p>
    <w:p w14:paraId="79D09DEA" w14:textId="37275071" w:rsidR="00210E96" w:rsidRPr="00982A50" w:rsidRDefault="009C3C42" w:rsidP="00256EF8">
      <w:pPr>
        <w:spacing w:line="480" w:lineRule="auto"/>
        <w:jc w:val="left"/>
        <w:rPr>
          <w:rFonts w:ascii="Times New Roman" w:hAnsi="Times New Roman" w:cs="Times New Roman"/>
          <w:i/>
          <w:sz w:val="20"/>
          <w:szCs w:val="20"/>
        </w:rPr>
      </w:pPr>
      <w:r w:rsidRPr="00982A50">
        <w:rPr>
          <w:rFonts w:ascii="Times New Roman" w:hAnsi="Times New Roman" w:cs="Times New Roman"/>
          <w:i/>
          <w:sz w:val="20"/>
          <w:szCs w:val="20"/>
        </w:rPr>
        <w:t>Statistical Analyse</w:t>
      </w:r>
      <w:r w:rsidR="00210E96" w:rsidRPr="00982A50">
        <w:rPr>
          <w:rFonts w:ascii="Times New Roman" w:hAnsi="Times New Roman" w:cs="Times New Roman"/>
          <w:i/>
          <w:sz w:val="20"/>
          <w:szCs w:val="20"/>
        </w:rPr>
        <w:t>s</w:t>
      </w:r>
    </w:p>
    <w:p w14:paraId="2D1D6BBF" w14:textId="6AD7DD92" w:rsidR="00AD61B7" w:rsidRPr="00982A50" w:rsidRDefault="005A2DAE" w:rsidP="00330DDE">
      <w:pPr>
        <w:spacing w:line="480" w:lineRule="auto"/>
        <w:ind w:firstLine="960"/>
        <w:jc w:val="left"/>
        <w:rPr>
          <w:rFonts w:ascii="Times New Roman" w:hAnsi="Times New Roman" w:cs="Times New Roman"/>
          <w:sz w:val="20"/>
          <w:szCs w:val="20"/>
        </w:rPr>
      </w:pPr>
      <w:r w:rsidRPr="00982A50">
        <w:rPr>
          <w:rFonts w:ascii="Times New Roman" w:hAnsi="Times New Roman" w:cs="Times New Roman"/>
          <w:sz w:val="20"/>
          <w:szCs w:val="20"/>
        </w:rPr>
        <w:t>Analyses were conducted using SPSS v2</w:t>
      </w:r>
      <w:r w:rsidR="00240220" w:rsidRPr="00982A50">
        <w:rPr>
          <w:rFonts w:ascii="Times New Roman" w:hAnsi="Times New Roman" w:cs="Times New Roman"/>
          <w:sz w:val="20"/>
          <w:szCs w:val="20"/>
        </w:rPr>
        <w:t>6</w:t>
      </w:r>
      <w:r w:rsidRPr="00982A50">
        <w:rPr>
          <w:rFonts w:ascii="Times New Roman" w:hAnsi="Times New Roman" w:cs="Times New Roman"/>
          <w:sz w:val="20"/>
          <w:szCs w:val="20"/>
        </w:rPr>
        <w:t xml:space="preserve">.0. </w:t>
      </w:r>
      <w:r w:rsidR="00F80010" w:rsidRPr="00982A50">
        <w:rPr>
          <w:rFonts w:ascii="Times New Roman" w:hAnsi="Times New Roman" w:cs="Times New Roman"/>
          <w:sz w:val="20"/>
          <w:szCs w:val="20"/>
        </w:rPr>
        <w:t>Effects of drug versus placebo on b</w:t>
      </w:r>
      <w:r w:rsidRPr="00982A50">
        <w:rPr>
          <w:rFonts w:ascii="Times New Roman" w:hAnsi="Times New Roman" w:cs="Times New Roman"/>
          <w:sz w:val="20"/>
          <w:szCs w:val="20"/>
        </w:rPr>
        <w:t xml:space="preserve">lood pressure and pulse rate were evaluated using repeated-measures analysis of variance (RM-ANOVA), including effects of time and treatment condition. Effects of </w:t>
      </w:r>
      <w:proofErr w:type="spellStart"/>
      <w:r w:rsidRPr="00982A50">
        <w:rPr>
          <w:rFonts w:ascii="Times New Roman" w:hAnsi="Times New Roman" w:cs="Times New Roman"/>
          <w:sz w:val="20"/>
          <w:szCs w:val="20"/>
        </w:rPr>
        <w:t>istradefylline</w:t>
      </w:r>
      <w:proofErr w:type="spellEnd"/>
      <w:r w:rsidRPr="00982A50">
        <w:rPr>
          <w:rFonts w:ascii="Times New Roman" w:hAnsi="Times New Roman" w:cs="Times New Roman"/>
          <w:sz w:val="20"/>
          <w:szCs w:val="20"/>
        </w:rPr>
        <w:t xml:space="preserve"> on cognition versus placebo were </w:t>
      </w:r>
      <w:r w:rsidRPr="00982A50">
        <w:rPr>
          <w:rFonts w:ascii="Times New Roman" w:hAnsi="Times New Roman" w:cs="Times New Roman"/>
          <w:sz w:val="20"/>
          <w:szCs w:val="20"/>
        </w:rPr>
        <w:lastRenderedPageBreak/>
        <w:t>quantified using paired t-tests.</w:t>
      </w:r>
    </w:p>
    <w:p w14:paraId="2EEA547E" w14:textId="38338FB9" w:rsidR="005A2DAE" w:rsidRPr="00982A50" w:rsidRDefault="00C30B77" w:rsidP="00256EF8">
      <w:pPr>
        <w:spacing w:line="480" w:lineRule="auto"/>
        <w:ind w:firstLine="960"/>
        <w:jc w:val="left"/>
        <w:rPr>
          <w:rFonts w:ascii="Times New Roman" w:hAnsi="Times New Roman" w:cs="Times New Roman"/>
          <w:sz w:val="20"/>
          <w:szCs w:val="20"/>
        </w:rPr>
      </w:pPr>
      <w:r w:rsidRPr="00982A50">
        <w:rPr>
          <w:rFonts w:ascii="Times New Roman" w:hAnsi="Times New Roman" w:cs="Times New Roman"/>
          <w:sz w:val="20"/>
          <w:szCs w:val="20"/>
        </w:rPr>
        <w:t xml:space="preserve">The sample size was determined </w:t>
      </w:r>
      <w:r w:rsidRPr="00982A50">
        <w:rPr>
          <w:rFonts w:ascii="Times New Roman" w:hAnsi="Times New Roman" w:cs="Times New Roman"/>
          <w:i/>
          <w:sz w:val="20"/>
          <w:szCs w:val="20"/>
        </w:rPr>
        <w:t>a priori</w:t>
      </w:r>
      <w:r w:rsidRPr="00982A50">
        <w:rPr>
          <w:rFonts w:ascii="Times New Roman" w:hAnsi="Times New Roman" w:cs="Times New Roman"/>
          <w:sz w:val="20"/>
          <w:szCs w:val="20"/>
        </w:rPr>
        <w:t xml:space="preserve"> based on a power calculation, which indicated that N=20 would yield &gt;80% power to detect a significant effect of drug of effect size d=0.7 or larger, at alpha = 0.05 two-tailed, based on paired t-tests.</w:t>
      </w:r>
      <w:r w:rsidR="002F4D34" w:rsidRPr="00982A50">
        <w:rPr>
          <w:rFonts w:ascii="Times New Roman" w:hAnsi="Times New Roman" w:cs="Times New Roman"/>
          <w:sz w:val="20"/>
          <w:szCs w:val="20"/>
        </w:rPr>
        <w:t xml:space="preserve"> This was the minimum effect size deemed to be of significant interest. Based on the a priori power calculation, there was no correction for multiplicity, and significance was defined as p&lt;0.05. </w:t>
      </w:r>
    </w:p>
    <w:p w14:paraId="25FC49F5" w14:textId="77777777" w:rsidR="00C41842" w:rsidRPr="00982A50" w:rsidRDefault="00C41842" w:rsidP="00256EF8">
      <w:pPr>
        <w:spacing w:line="480" w:lineRule="auto"/>
        <w:ind w:firstLine="960"/>
        <w:jc w:val="left"/>
        <w:rPr>
          <w:rFonts w:ascii="Times New Roman" w:hAnsi="Times New Roman" w:cs="Times New Roman"/>
          <w:sz w:val="20"/>
          <w:szCs w:val="20"/>
        </w:rPr>
      </w:pPr>
    </w:p>
    <w:p w14:paraId="6F187AD4" w14:textId="72FD13D9" w:rsidR="00425C22" w:rsidRPr="00982A50" w:rsidRDefault="00210E96" w:rsidP="00256EF8">
      <w:pPr>
        <w:spacing w:line="480" w:lineRule="auto"/>
        <w:jc w:val="left"/>
        <w:rPr>
          <w:rFonts w:ascii="Times New Roman" w:hAnsi="Times New Roman" w:cs="Times New Roman"/>
          <w:b/>
          <w:i/>
          <w:sz w:val="20"/>
          <w:szCs w:val="20"/>
        </w:rPr>
      </w:pPr>
      <w:r w:rsidRPr="00982A50">
        <w:rPr>
          <w:rFonts w:ascii="Times New Roman" w:hAnsi="Times New Roman" w:cs="Times New Roman"/>
          <w:b/>
          <w:i/>
          <w:sz w:val="20"/>
          <w:szCs w:val="20"/>
        </w:rPr>
        <w:t>Results</w:t>
      </w:r>
    </w:p>
    <w:p w14:paraId="1EF373AB" w14:textId="2F830FEF" w:rsidR="00B4769B" w:rsidRPr="00982A50" w:rsidRDefault="00E737C5" w:rsidP="00256EF8">
      <w:pPr>
        <w:spacing w:line="480" w:lineRule="auto"/>
        <w:ind w:firstLine="960"/>
        <w:jc w:val="left"/>
        <w:rPr>
          <w:rFonts w:ascii="Times New Roman" w:hAnsi="Times New Roman" w:cs="Times New Roman"/>
          <w:sz w:val="20"/>
          <w:szCs w:val="20"/>
        </w:rPr>
      </w:pPr>
      <w:r w:rsidRPr="00982A50">
        <w:rPr>
          <w:rFonts w:ascii="Times New Roman" w:hAnsi="Times New Roman" w:cs="Times New Roman"/>
          <w:sz w:val="20"/>
          <w:szCs w:val="20"/>
        </w:rPr>
        <w:t xml:space="preserve">The characteristics of the study sample are summarized in Table </w:t>
      </w:r>
      <w:r w:rsidR="0034479C">
        <w:rPr>
          <w:rFonts w:ascii="Times New Roman" w:hAnsi="Times New Roman" w:cs="Times New Roman"/>
          <w:sz w:val="20"/>
          <w:szCs w:val="20"/>
        </w:rPr>
        <w:t>2</w:t>
      </w:r>
      <w:r w:rsidRPr="00982A50">
        <w:rPr>
          <w:rFonts w:ascii="Times New Roman" w:hAnsi="Times New Roman" w:cs="Times New Roman"/>
          <w:sz w:val="20"/>
          <w:szCs w:val="20"/>
        </w:rPr>
        <w:t>.</w:t>
      </w:r>
      <w:r w:rsidR="001C5E55" w:rsidRPr="00982A50">
        <w:rPr>
          <w:rFonts w:ascii="Times New Roman" w:hAnsi="Times New Roman" w:cs="Times New Roman"/>
          <w:sz w:val="20"/>
          <w:szCs w:val="20"/>
        </w:rPr>
        <w:t xml:space="preserve"> </w:t>
      </w:r>
      <w:r w:rsidRPr="00982A50">
        <w:rPr>
          <w:rFonts w:ascii="Times New Roman" w:hAnsi="Times New Roman" w:cs="Times New Roman"/>
          <w:sz w:val="20"/>
          <w:szCs w:val="20"/>
        </w:rPr>
        <w:t xml:space="preserve">No adverse events were reported during the study. </w:t>
      </w:r>
    </w:p>
    <w:p w14:paraId="241F4CFA" w14:textId="49DFFAF7" w:rsidR="00B4769B" w:rsidRPr="00982A50" w:rsidRDefault="00B4769B" w:rsidP="003A057D">
      <w:pPr>
        <w:spacing w:line="480" w:lineRule="auto"/>
        <w:jc w:val="left"/>
        <w:rPr>
          <w:rFonts w:ascii="Times New Roman" w:hAnsi="Times New Roman" w:cs="Times New Roman"/>
          <w:sz w:val="20"/>
          <w:szCs w:val="20"/>
        </w:rPr>
      </w:pPr>
    </w:p>
    <w:p w14:paraId="30ABB198" w14:textId="520702FD" w:rsidR="00B4769B" w:rsidRPr="00982A50" w:rsidRDefault="00B4769B" w:rsidP="003A057D">
      <w:pPr>
        <w:spacing w:line="480" w:lineRule="auto"/>
        <w:jc w:val="left"/>
        <w:rPr>
          <w:rFonts w:ascii="Times New Roman" w:hAnsi="Times New Roman" w:cs="Times New Roman"/>
          <w:sz w:val="20"/>
          <w:szCs w:val="20"/>
        </w:rPr>
      </w:pPr>
      <w:r w:rsidRPr="0034479C">
        <w:rPr>
          <w:rFonts w:ascii="Times New Roman" w:hAnsi="Times New Roman" w:cs="Times New Roman"/>
          <w:sz w:val="20"/>
          <w:szCs w:val="20"/>
        </w:rPr>
        <w:t xml:space="preserve">[TABLE </w:t>
      </w:r>
      <w:r w:rsidR="0034479C" w:rsidRPr="00B373AB">
        <w:rPr>
          <w:rFonts w:ascii="Times New Roman" w:hAnsi="Times New Roman" w:cs="Times New Roman"/>
          <w:sz w:val="20"/>
          <w:szCs w:val="20"/>
        </w:rPr>
        <w:t>2</w:t>
      </w:r>
      <w:r w:rsidRPr="0034479C">
        <w:rPr>
          <w:rFonts w:ascii="Times New Roman" w:hAnsi="Times New Roman" w:cs="Times New Roman"/>
          <w:sz w:val="20"/>
          <w:szCs w:val="20"/>
        </w:rPr>
        <w:t xml:space="preserve"> AROUND HERE PLEASE]</w:t>
      </w:r>
    </w:p>
    <w:p w14:paraId="38820A71" w14:textId="77777777" w:rsidR="00B4769B" w:rsidRPr="00982A50" w:rsidRDefault="00B4769B" w:rsidP="003A057D">
      <w:pPr>
        <w:spacing w:line="480" w:lineRule="auto"/>
        <w:jc w:val="left"/>
        <w:rPr>
          <w:rFonts w:ascii="Times New Roman" w:hAnsi="Times New Roman" w:cs="Times New Roman"/>
          <w:sz w:val="20"/>
          <w:szCs w:val="20"/>
        </w:rPr>
      </w:pPr>
    </w:p>
    <w:p w14:paraId="65D4A462" w14:textId="720A8278" w:rsidR="00B4769B" w:rsidRPr="00982A50" w:rsidRDefault="00B4769B" w:rsidP="00B4769B">
      <w:pPr>
        <w:spacing w:line="480" w:lineRule="auto"/>
        <w:ind w:firstLine="960"/>
        <w:jc w:val="left"/>
        <w:rPr>
          <w:rFonts w:ascii="Times New Roman" w:hAnsi="Times New Roman" w:cs="Times New Roman"/>
          <w:sz w:val="20"/>
          <w:szCs w:val="20"/>
        </w:rPr>
      </w:pPr>
      <w:r w:rsidRPr="00982A50">
        <w:rPr>
          <w:rFonts w:ascii="Times New Roman" w:hAnsi="Times New Roman" w:cs="Times New Roman"/>
          <w:sz w:val="20"/>
          <w:szCs w:val="20"/>
        </w:rPr>
        <w:t>Results of neuropsychological test batteries are presented in Table</w:t>
      </w:r>
      <w:r w:rsidR="0034479C">
        <w:rPr>
          <w:rFonts w:ascii="Times New Roman" w:hAnsi="Times New Roman" w:cs="Times New Roman"/>
          <w:sz w:val="20"/>
          <w:szCs w:val="20"/>
        </w:rPr>
        <w:t>s</w:t>
      </w:r>
      <w:r w:rsidRPr="00982A50">
        <w:rPr>
          <w:rFonts w:ascii="Times New Roman" w:hAnsi="Times New Roman" w:cs="Times New Roman"/>
          <w:sz w:val="20"/>
          <w:szCs w:val="20"/>
        </w:rPr>
        <w:t xml:space="preserve"> </w:t>
      </w:r>
      <w:r w:rsidR="0034479C">
        <w:rPr>
          <w:rFonts w:ascii="Times New Roman" w:hAnsi="Times New Roman" w:cs="Times New Roman"/>
          <w:sz w:val="20"/>
          <w:szCs w:val="20"/>
        </w:rPr>
        <w:t>3 and 4</w:t>
      </w:r>
      <w:r w:rsidRPr="00982A50">
        <w:rPr>
          <w:rFonts w:ascii="Times New Roman" w:hAnsi="Times New Roman" w:cs="Times New Roman"/>
          <w:sz w:val="20"/>
          <w:szCs w:val="20"/>
        </w:rPr>
        <w:t xml:space="preserve">. No significant effects of </w:t>
      </w:r>
      <w:proofErr w:type="spellStart"/>
      <w:r w:rsidRPr="00982A50">
        <w:rPr>
          <w:rFonts w:ascii="Times New Roman" w:hAnsi="Times New Roman" w:cs="Times New Roman"/>
          <w:sz w:val="20"/>
          <w:szCs w:val="20"/>
        </w:rPr>
        <w:t>istradefylline</w:t>
      </w:r>
      <w:proofErr w:type="spellEnd"/>
      <w:r w:rsidRPr="00982A50">
        <w:rPr>
          <w:rFonts w:ascii="Times New Roman" w:hAnsi="Times New Roman" w:cs="Times New Roman"/>
          <w:sz w:val="20"/>
          <w:szCs w:val="20"/>
        </w:rPr>
        <w:t xml:space="preserve"> versus placebo were found for the CANTAB tasks (paired t-tests, all p&gt;0.10). On the EMOTICOM tasks, there was a significant effect of </w:t>
      </w:r>
      <w:proofErr w:type="spellStart"/>
      <w:r w:rsidRPr="00982A50">
        <w:rPr>
          <w:rFonts w:ascii="Times New Roman" w:hAnsi="Times New Roman" w:cs="Times New Roman"/>
          <w:sz w:val="20"/>
          <w:szCs w:val="20"/>
        </w:rPr>
        <w:t>istradefylline</w:t>
      </w:r>
      <w:proofErr w:type="spellEnd"/>
      <w:r w:rsidRPr="00982A50">
        <w:rPr>
          <w:rFonts w:ascii="Times New Roman" w:hAnsi="Times New Roman" w:cs="Times New Roman"/>
          <w:sz w:val="20"/>
          <w:szCs w:val="20"/>
        </w:rPr>
        <w:t xml:space="preserve"> versus placebo on the Social </w:t>
      </w:r>
      <w:r w:rsidRPr="00982A50">
        <w:rPr>
          <w:rFonts w:ascii="Times New Roman" w:hAnsi="Times New Roman" w:cs="Times New Roman"/>
          <w:sz w:val="20"/>
          <w:szCs w:val="20"/>
        </w:rPr>
        <w:lastRenderedPageBreak/>
        <w:t>Information Preference task (t=-2.50, df=19, p=0.02</w:t>
      </w:r>
      <w:r w:rsidR="00E42237">
        <w:rPr>
          <w:rFonts w:ascii="Times New Roman" w:hAnsi="Times New Roman" w:cs="Times New Roman"/>
          <w:sz w:val="20"/>
          <w:szCs w:val="20"/>
        </w:rPr>
        <w:t xml:space="preserve">, </w:t>
      </w:r>
      <w:r w:rsidR="00E42237" w:rsidRPr="00675C67">
        <w:rPr>
          <w:rFonts w:ascii="Times New Roman" w:hAnsi="Times New Roman" w:cs="Times New Roman"/>
          <w:i/>
          <w:iCs/>
          <w:sz w:val="20"/>
          <w:szCs w:val="20"/>
        </w:rPr>
        <w:t>d</w:t>
      </w:r>
      <w:r w:rsidR="00E42237">
        <w:rPr>
          <w:rFonts w:ascii="Times New Roman" w:hAnsi="Times New Roman" w:cs="Times New Roman"/>
          <w:sz w:val="20"/>
          <w:szCs w:val="20"/>
        </w:rPr>
        <w:t>=-0.59</w:t>
      </w:r>
      <w:r w:rsidRPr="00982A50">
        <w:rPr>
          <w:rFonts w:ascii="Times New Roman" w:hAnsi="Times New Roman" w:cs="Times New Roman"/>
          <w:sz w:val="20"/>
          <w:szCs w:val="20"/>
        </w:rPr>
        <w:t xml:space="preserve">). This was due to participants on active treatment more positively interpreting social situations than under placebo conditions. No significant effects were detected on the other EMOTICOM tasks (all p&gt;0.10). </w:t>
      </w:r>
    </w:p>
    <w:p w14:paraId="29B340CF" w14:textId="06C42551" w:rsidR="00B4769B" w:rsidRPr="00982A50" w:rsidRDefault="00B4769B" w:rsidP="00B4769B">
      <w:pPr>
        <w:spacing w:line="480" w:lineRule="auto"/>
        <w:ind w:firstLine="960"/>
        <w:jc w:val="left"/>
        <w:rPr>
          <w:rFonts w:ascii="Times New Roman" w:hAnsi="Times New Roman" w:cs="Times New Roman"/>
          <w:sz w:val="20"/>
          <w:szCs w:val="20"/>
        </w:rPr>
      </w:pPr>
      <w:r w:rsidRPr="00982A50">
        <w:rPr>
          <w:rFonts w:ascii="Times New Roman" w:hAnsi="Times New Roman" w:cs="Times New Roman"/>
          <w:sz w:val="20"/>
          <w:szCs w:val="20"/>
        </w:rPr>
        <w:t>Drug-related changes on the Social Information Preference task</w:t>
      </w:r>
      <w:r w:rsidR="00240220" w:rsidRPr="00982A50">
        <w:rPr>
          <w:rFonts w:ascii="Times New Roman" w:hAnsi="Times New Roman" w:cs="Times New Roman"/>
          <w:sz w:val="20"/>
          <w:szCs w:val="20"/>
        </w:rPr>
        <w:t xml:space="preserve"> (affective bias)</w:t>
      </w:r>
      <w:r w:rsidRPr="00982A50">
        <w:rPr>
          <w:rFonts w:ascii="Times New Roman" w:hAnsi="Times New Roman" w:cs="Times New Roman"/>
          <w:sz w:val="20"/>
          <w:szCs w:val="20"/>
        </w:rPr>
        <w:t xml:space="preserve"> did not correlate significantly with baseline caffeine intake (</w:t>
      </w:r>
      <w:r w:rsidRPr="00BE39E4">
        <w:rPr>
          <w:rFonts w:ascii="Times New Roman" w:hAnsi="Times New Roman" w:cs="Times New Roman"/>
          <w:sz w:val="20"/>
          <w:szCs w:val="20"/>
        </w:rPr>
        <w:t>r=</w:t>
      </w:r>
      <w:r w:rsidR="00240220" w:rsidRPr="00BE39E4">
        <w:rPr>
          <w:rFonts w:ascii="Times New Roman" w:hAnsi="Times New Roman" w:cs="Times New Roman"/>
          <w:sz w:val="20"/>
          <w:szCs w:val="20"/>
        </w:rPr>
        <w:t>0.</w:t>
      </w:r>
      <w:r w:rsidR="00BE39E4" w:rsidRPr="00BE39E4">
        <w:rPr>
          <w:rFonts w:ascii="Times New Roman" w:hAnsi="Times New Roman" w:cs="Times New Roman"/>
          <w:sz w:val="20"/>
          <w:szCs w:val="20"/>
        </w:rPr>
        <w:t>0</w:t>
      </w:r>
      <w:r w:rsidR="00240220" w:rsidRPr="00BE39E4">
        <w:rPr>
          <w:rFonts w:ascii="Times New Roman" w:hAnsi="Times New Roman" w:cs="Times New Roman"/>
          <w:sz w:val="20"/>
          <w:szCs w:val="20"/>
        </w:rPr>
        <w:t>95</w:t>
      </w:r>
      <w:r w:rsidRPr="00BE39E4">
        <w:rPr>
          <w:rFonts w:ascii="Times New Roman" w:hAnsi="Times New Roman" w:cs="Times New Roman"/>
          <w:sz w:val="20"/>
          <w:szCs w:val="20"/>
        </w:rPr>
        <w:t>, p=</w:t>
      </w:r>
      <w:r w:rsidR="00240220" w:rsidRPr="00BE39E4">
        <w:rPr>
          <w:rFonts w:ascii="Times New Roman" w:hAnsi="Times New Roman" w:cs="Times New Roman"/>
          <w:sz w:val="20"/>
          <w:szCs w:val="20"/>
        </w:rPr>
        <w:t>0.708</w:t>
      </w:r>
      <w:r w:rsidRPr="00982A50">
        <w:rPr>
          <w:rFonts w:ascii="Times New Roman" w:hAnsi="Times New Roman" w:cs="Times New Roman"/>
          <w:sz w:val="20"/>
          <w:szCs w:val="20"/>
        </w:rPr>
        <w:t>), nor with baseline impulsivity on the BIS (total scores, r=</w:t>
      </w:r>
      <w:r w:rsidR="00240220" w:rsidRPr="00982A50">
        <w:rPr>
          <w:rFonts w:ascii="Times New Roman" w:hAnsi="Times New Roman" w:cs="Times New Roman"/>
          <w:sz w:val="20"/>
          <w:szCs w:val="20"/>
        </w:rPr>
        <w:t>0.105</w:t>
      </w:r>
      <w:r w:rsidRPr="00982A50">
        <w:rPr>
          <w:rFonts w:ascii="Times New Roman" w:hAnsi="Times New Roman" w:cs="Times New Roman"/>
          <w:sz w:val="20"/>
          <w:szCs w:val="20"/>
        </w:rPr>
        <w:t>, p=</w:t>
      </w:r>
      <w:r w:rsidR="00240220" w:rsidRPr="00982A50">
        <w:rPr>
          <w:rFonts w:ascii="Times New Roman" w:hAnsi="Times New Roman" w:cs="Times New Roman"/>
          <w:sz w:val="20"/>
          <w:szCs w:val="20"/>
        </w:rPr>
        <w:t>0.679</w:t>
      </w:r>
      <w:r w:rsidRPr="00982A50">
        <w:rPr>
          <w:rFonts w:ascii="Times New Roman" w:hAnsi="Times New Roman" w:cs="Times New Roman"/>
          <w:sz w:val="20"/>
          <w:szCs w:val="20"/>
        </w:rPr>
        <w:t>).</w:t>
      </w:r>
    </w:p>
    <w:p w14:paraId="5CCA0CAE" w14:textId="77777777" w:rsidR="00B4769B" w:rsidRPr="00982A50" w:rsidRDefault="00B4769B" w:rsidP="00B4769B">
      <w:pPr>
        <w:spacing w:line="480" w:lineRule="auto"/>
        <w:jc w:val="left"/>
        <w:rPr>
          <w:rFonts w:ascii="Times New Roman" w:hAnsi="Times New Roman" w:cs="Times New Roman"/>
          <w:i/>
          <w:color w:val="FF0000"/>
          <w:sz w:val="20"/>
          <w:szCs w:val="20"/>
        </w:rPr>
      </w:pPr>
    </w:p>
    <w:p w14:paraId="7BF39BFE" w14:textId="183C1847" w:rsidR="00B4769B" w:rsidRPr="00982A50" w:rsidRDefault="00B4769B" w:rsidP="00B4769B">
      <w:pPr>
        <w:spacing w:line="480" w:lineRule="auto"/>
        <w:jc w:val="left"/>
        <w:rPr>
          <w:rFonts w:ascii="Times New Roman" w:hAnsi="Times New Roman" w:cs="Times New Roman"/>
          <w:sz w:val="20"/>
          <w:szCs w:val="20"/>
        </w:rPr>
      </w:pPr>
      <w:r w:rsidRPr="00842593">
        <w:rPr>
          <w:rFonts w:ascii="Times New Roman" w:hAnsi="Times New Roman" w:cs="Times New Roman"/>
          <w:sz w:val="20"/>
          <w:szCs w:val="20"/>
        </w:rPr>
        <w:t>[TABLE</w:t>
      </w:r>
      <w:r w:rsidR="0034479C" w:rsidRPr="00B373AB">
        <w:rPr>
          <w:rFonts w:ascii="Times New Roman" w:hAnsi="Times New Roman" w:cs="Times New Roman"/>
          <w:sz w:val="20"/>
          <w:szCs w:val="20"/>
        </w:rPr>
        <w:t>S 3 AND 4</w:t>
      </w:r>
      <w:r w:rsidRPr="00842593">
        <w:rPr>
          <w:rFonts w:ascii="Times New Roman" w:hAnsi="Times New Roman" w:cs="Times New Roman"/>
          <w:sz w:val="20"/>
          <w:szCs w:val="20"/>
        </w:rPr>
        <w:t xml:space="preserve"> AROUND HERE PLEASE]</w:t>
      </w:r>
    </w:p>
    <w:p w14:paraId="64A6168B" w14:textId="77777777" w:rsidR="00B4769B" w:rsidRPr="00982A50" w:rsidRDefault="00B4769B" w:rsidP="00FE265F">
      <w:pPr>
        <w:spacing w:line="480" w:lineRule="auto"/>
        <w:jc w:val="left"/>
        <w:rPr>
          <w:rFonts w:ascii="Times New Roman" w:hAnsi="Times New Roman" w:cs="Times New Roman"/>
          <w:sz w:val="20"/>
          <w:szCs w:val="20"/>
        </w:rPr>
      </w:pPr>
    </w:p>
    <w:p w14:paraId="30AF8A2E" w14:textId="77777777" w:rsidR="008F3274" w:rsidRDefault="00E737C5" w:rsidP="00D62250">
      <w:pPr>
        <w:spacing w:line="480" w:lineRule="auto"/>
        <w:ind w:firstLine="960"/>
        <w:jc w:val="left"/>
        <w:rPr>
          <w:rFonts w:ascii="Times New Roman" w:hAnsi="Times New Roman" w:cs="Times New Roman"/>
          <w:sz w:val="20"/>
          <w:szCs w:val="20"/>
        </w:rPr>
      </w:pPr>
      <w:r w:rsidRPr="00982A50">
        <w:rPr>
          <w:rFonts w:ascii="Times New Roman" w:hAnsi="Times New Roman" w:cs="Times New Roman"/>
          <w:sz w:val="20"/>
          <w:szCs w:val="20"/>
        </w:rPr>
        <w:t>In terms of cardiovascular parameters (Figure 1</w:t>
      </w:r>
      <w:r w:rsidR="00F603B8">
        <w:rPr>
          <w:rFonts w:ascii="Times New Roman" w:hAnsi="Times New Roman" w:cs="Times New Roman"/>
          <w:sz w:val="20"/>
          <w:szCs w:val="20"/>
        </w:rPr>
        <w:t>; in supplementary file</w:t>
      </w:r>
      <w:r w:rsidRPr="00982A50">
        <w:rPr>
          <w:rFonts w:ascii="Times New Roman" w:hAnsi="Times New Roman" w:cs="Times New Roman"/>
          <w:sz w:val="20"/>
          <w:szCs w:val="20"/>
        </w:rPr>
        <w:t>), RM</w:t>
      </w:r>
      <w:r w:rsidR="00B4769B" w:rsidRPr="00982A50">
        <w:rPr>
          <w:rFonts w:ascii="Times New Roman" w:hAnsi="Times New Roman" w:cs="Times New Roman"/>
          <w:sz w:val="20"/>
          <w:szCs w:val="20"/>
        </w:rPr>
        <w:t>-</w:t>
      </w:r>
      <w:r w:rsidRPr="00982A50">
        <w:rPr>
          <w:rFonts w:ascii="Times New Roman" w:hAnsi="Times New Roman" w:cs="Times New Roman"/>
          <w:sz w:val="20"/>
          <w:szCs w:val="20"/>
        </w:rPr>
        <w:t>ANOVA indicated no significant effects of time or of treatment, nor w</w:t>
      </w:r>
      <w:r w:rsidR="00B4769B" w:rsidRPr="00982A50">
        <w:rPr>
          <w:rFonts w:ascii="Times New Roman" w:hAnsi="Times New Roman" w:cs="Times New Roman"/>
          <w:sz w:val="20"/>
          <w:szCs w:val="20"/>
        </w:rPr>
        <w:t xml:space="preserve">ere </w:t>
      </w:r>
      <w:r w:rsidRPr="00982A50">
        <w:rPr>
          <w:rFonts w:ascii="Times New Roman" w:hAnsi="Times New Roman" w:cs="Times New Roman"/>
          <w:sz w:val="20"/>
          <w:szCs w:val="20"/>
        </w:rPr>
        <w:t>there significant treatment</w:t>
      </w:r>
      <w:r w:rsidR="00B4769B" w:rsidRPr="00982A50">
        <w:rPr>
          <w:rFonts w:ascii="Times New Roman" w:hAnsi="Times New Roman" w:cs="Times New Roman"/>
          <w:sz w:val="20"/>
          <w:szCs w:val="20"/>
        </w:rPr>
        <w:t xml:space="preserve"> x time</w:t>
      </w:r>
      <w:r w:rsidRPr="00982A50">
        <w:rPr>
          <w:rFonts w:ascii="Times New Roman" w:hAnsi="Times New Roman" w:cs="Times New Roman"/>
          <w:sz w:val="20"/>
          <w:szCs w:val="20"/>
        </w:rPr>
        <w:t xml:space="preserve"> interaction</w:t>
      </w:r>
      <w:r w:rsidR="00B4769B" w:rsidRPr="00982A50">
        <w:rPr>
          <w:rFonts w:ascii="Times New Roman" w:hAnsi="Times New Roman" w:cs="Times New Roman"/>
          <w:sz w:val="20"/>
          <w:szCs w:val="20"/>
        </w:rPr>
        <w:t>s</w:t>
      </w:r>
      <w:r w:rsidR="008053A3" w:rsidRPr="00982A50">
        <w:rPr>
          <w:rFonts w:ascii="Times New Roman" w:hAnsi="Times New Roman" w:cs="Times New Roman"/>
          <w:sz w:val="20"/>
          <w:szCs w:val="20"/>
        </w:rPr>
        <w:t xml:space="preserve"> (all p &gt; 0.10)</w:t>
      </w:r>
      <w:r w:rsidRPr="00982A50">
        <w:rPr>
          <w:rFonts w:ascii="Times New Roman" w:hAnsi="Times New Roman" w:cs="Times New Roman"/>
          <w:sz w:val="20"/>
          <w:szCs w:val="20"/>
        </w:rPr>
        <w:t xml:space="preserve">. </w:t>
      </w:r>
    </w:p>
    <w:p w14:paraId="3D7F63EA" w14:textId="547C17CF" w:rsidR="00E737C5" w:rsidRPr="00982A50" w:rsidRDefault="00BF4DC9" w:rsidP="00D62250">
      <w:pPr>
        <w:spacing w:line="480" w:lineRule="auto"/>
        <w:ind w:firstLine="960"/>
        <w:jc w:val="left"/>
        <w:rPr>
          <w:rFonts w:ascii="Times New Roman" w:hAnsi="Times New Roman" w:cs="Times New Roman"/>
          <w:sz w:val="20"/>
          <w:szCs w:val="20"/>
        </w:rPr>
      </w:pPr>
      <w:r w:rsidRPr="00982A50">
        <w:rPr>
          <w:rFonts w:ascii="Times New Roman" w:hAnsi="Times New Roman" w:cs="Times New Roman"/>
          <w:sz w:val="20"/>
          <w:szCs w:val="20"/>
        </w:rPr>
        <w:t xml:space="preserve">In relation to study blinding, </w:t>
      </w:r>
      <w:r w:rsidR="00D62250" w:rsidRPr="00982A50">
        <w:rPr>
          <w:rFonts w:ascii="Times New Roman" w:hAnsi="Times New Roman" w:cs="Times New Roman"/>
          <w:sz w:val="20"/>
          <w:szCs w:val="20"/>
        </w:rPr>
        <w:t xml:space="preserve">participants and researchers were unable to accurately identify the </w:t>
      </w:r>
      <w:r w:rsidR="008746BE" w:rsidRPr="00982A50">
        <w:rPr>
          <w:rFonts w:ascii="Times New Roman" w:hAnsi="Times New Roman" w:cs="Times New Roman"/>
          <w:sz w:val="20"/>
          <w:szCs w:val="20"/>
        </w:rPr>
        <w:t xml:space="preserve">active medication </w:t>
      </w:r>
      <w:r w:rsidR="00D62250" w:rsidRPr="00982A50">
        <w:rPr>
          <w:rFonts w:ascii="Times New Roman" w:hAnsi="Times New Roman" w:cs="Times New Roman"/>
          <w:sz w:val="20"/>
          <w:szCs w:val="20"/>
        </w:rPr>
        <w:t xml:space="preserve">sessions </w:t>
      </w:r>
      <w:r w:rsidR="008746BE" w:rsidRPr="00982A50">
        <w:rPr>
          <w:rFonts w:ascii="Times New Roman" w:hAnsi="Times New Roman" w:cs="Times New Roman"/>
          <w:sz w:val="20"/>
          <w:szCs w:val="20"/>
        </w:rPr>
        <w:t xml:space="preserve">beyond chance levels </w:t>
      </w:r>
      <w:r w:rsidRPr="00982A50">
        <w:rPr>
          <w:rFonts w:ascii="Times New Roman" w:hAnsi="Times New Roman" w:cs="Times New Roman"/>
          <w:sz w:val="20"/>
          <w:szCs w:val="20"/>
        </w:rPr>
        <w:t xml:space="preserve">(Table </w:t>
      </w:r>
      <w:r w:rsidR="0034479C">
        <w:rPr>
          <w:rFonts w:ascii="Times New Roman" w:hAnsi="Times New Roman" w:cs="Times New Roman"/>
          <w:sz w:val="20"/>
          <w:szCs w:val="20"/>
        </w:rPr>
        <w:t>5</w:t>
      </w:r>
      <w:r w:rsidRPr="00982A50">
        <w:rPr>
          <w:rFonts w:ascii="Times New Roman" w:hAnsi="Times New Roman" w:cs="Times New Roman"/>
          <w:sz w:val="20"/>
          <w:szCs w:val="20"/>
        </w:rPr>
        <w:t>)</w:t>
      </w:r>
      <w:r w:rsidR="00D62250" w:rsidRPr="00982A50">
        <w:rPr>
          <w:rFonts w:ascii="Times New Roman" w:hAnsi="Times New Roman" w:cs="Times New Roman"/>
          <w:sz w:val="20"/>
          <w:szCs w:val="20"/>
        </w:rPr>
        <w:t xml:space="preserve">, indicating that the </w:t>
      </w:r>
      <w:r w:rsidR="008746BE" w:rsidRPr="00982A50">
        <w:rPr>
          <w:rFonts w:ascii="Times New Roman" w:hAnsi="Times New Roman" w:cs="Times New Roman"/>
          <w:sz w:val="20"/>
          <w:szCs w:val="20"/>
        </w:rPr>
        <w:t>double-</w:t>
      </w:r>
      <w:r w:rsidR="00D62250" w:rsidRPr="00982A50">
        <w:rPr>
          <w:rFonts w:ascii="Times New Roman" w:hAnsi="Times New Roman" w:cs="Times New Roman"/>
          <w:sz w:val="20"/>
          <w:szCs w:val="20"/>
        </w:rPr>
        <w:t>blind was successful</w:t>
      </w:r>
      <w:r w:rsidRPr="00982A50">
        <w:rPr>
          <w:rFonts w:ascii="Times New Roman" w:hAnsi="Times New Roman" w:cs="Times New Roman"/>
          <w:sz w:val="20"/>
          <w:szCs w:val="20"/>
        </w:rPr>
        <w:t>.</w:t>
      </w:r>
      <w:r w:rsidR="00D62250" w:rsidRPr="00982A50">
        <w:rPr>
          <w:rFonts w:ascii="Times New Roman" w:hAnsi="Times New Roman" w:cs="Times New Roman"/>
          <w:sz w:val="20"/>
          <w:szCs w:val="20"/>
        </w:rPr>
        <w:t xml:space="preserve">  </w:t>
      </w:r>
    </w:p>
    <w:p w14:paraId="7040E4AC" w14:textId="77777777" w:rsidR="00BF4DC9" w:rsidRPr="00982A50" w:rsidRDefault="00BF4DC9" w:rsidP="00BF4DC9">
      <w:pPr>
        <w:spacing w:line="480" w:lineRule="auto"/>
        <w:ind w:firstLine="960"/>
        <w:jc w:val="left"/>
        <w:rPr>
          <w:rFonts w:ascii="Times New Roman" w:hAnsi="Times New Roman" w:cs="Times New Roman"/>
          <w:sz w:val="20"/>
          <w:szCs w:val="20"/>
        </w:rPr>
      </w:pPr>
    </w:p>
    <w:p w14:paraId="6A94FD8D" w14:textId="37AA4CFF" w:rsidR="00BF4DC9" w:rsidRPr="00982A50" w:rsidRDefault="00E237E3" w:rsidP="00256EF8">
      <w:pPr>
        <w:spacing w:line="480" w:lineRule="auto"/>
        <w:jc w:val="left"/>
        <w:rPr>
          <w:rFonts w:ascii="Times New Roman" w:hAnsi="Times New Roman" w:cs="Times New Roman"/>
          <w:sz w:val="20"/>
          <w:szCs w:val="20"/>
        </w:rPr>
      </w:pPr>
      <w:r w:rsidRPr="00982A50">
        <w:rPr>
          <w:rFonts w:ascii="Times New Roman" w:hAnsi="Times New Roman" w:cs="Times New Roman"/>
          <w:sz w:val="20"/>
          <w:szCs w:val="20"/>
        </w:rPr>
        <w:lastRenderedPageBreak/>
        <w:t xml:space="preserve"> </w:t>
      </w:r>
      <w:r w:rsidR="00BF4DC9" w:rsidRPr="0034479C">
        <w:rPr>
          <w:rFonts w:ascii="Times New Roman" w:hAnsi="Times New Roman" w:cs="Times New Roman"/>
          <w:sz w:val="20"/>
          <w:szCs w:val="20"/>
        </w:rPr>
        <w:t xml:space="preserve">[TABLE </w:t>
      </w:r>
      <w:r w:rsidR="0034479C" w:rsidRPr="00B373AB">
        <w:rPr>
          <w:rFonts w:ascii="Times New Roman" w:hAnsi="Times New Roman" w:cs="Times New Roman"/>
          <w:sz w:val="20"/>
          <w:szCs w:val="20"/>
        </w:rPr>
        <w:t>5</w:t>
      </w:r>
      <w:r w:rsidR="00BF4DC9" w:rsidRPr="0034479C">
        <w:rPr>
          <w:rFonts w:ascii="Times New Roman" w:hAnsi="Times New Roman" w:cs="Times New Roman"/>
          <w:sz w:val="20"/>
          <w:szCs w:val="20"/>
        </w:rPr>
        <w:t xml:space="preserve"> AROUND HERE PLEASE]</w:t>
      </w:r>
    </w:p>
    <w:p w14:paraId="18C2112F" w14:textId="04917E11" w:rsidR="00177E14" w:rsidRPr="00982A50" w:rsidRDefault="00BF4DC9" w:rsidP="00256EF8">
      <w:pPr>
        <w:spacing w:line="480" w:lineRule="auto"/>
        <w:jc w:val="left"/>
        <w:rPr>
          <w:rFonts w:ascii="Times New Roman" w:hAnsi="Times New Roman" w:cs="Times New Roman"/>
          <w:sz w:val="20"/>
          <w:szCs w:val="20"/>
        </w:rPr>
      </w:pPr>
      <w:r w:rsidRPr="00982A50">
        <w:rPr>
          <w:rFonts w:ascii="Times New Roman" w:hAnsi="Times New Roman" w:cs="Times New Roman"/>
          <w:sz w:val="20"/>
          <w:szCs w:val="20"/>
        </w:rPr>
        <w:tab/>
        <w:t xml:space="preserve"> </w:t>
      </w:r>
    </w:p>
    <w:p w14:paraId="4F4113D0" w14:textId="71EF67FC" w:rsidR="00210E96" w:rsidRPr="00982A50" w:rsidRDefault="00210E96" w:rsidP="00256EF8">
      <w:pPr>
        <w:spacing w:line="480" w:lineRule="auto"/>
        <w:jc w:val="left"/>
        <w:rPr>
          <w:rFonts w:ascii="Times New Roman" w:hAnsi="Times New Roman" w:cs="Times New Roman"/>
          <w:b/>
          <w:i/>
          <w:sz w:val="20"/>
          <w:szCs w:val="20"/>
        </w:rPr>
      </w:pPr>
      <w:r w:rsidRPr="00982A50">
        <w:rPr>
          <w:rFonts w:ascii="Times New Roman" w:hAnsi="Times New Roman" w:cs="Times New Roman"/>
          <w:b/>
          <w:i/>
          <w:sz w:val="20"/>
          <w:szCs w:val="20"/>
        </w:rPr>
        <w:t>Discussion</w:t>
      </w:r>
    </w:p>
    <w:p w14:paraId="3141FC52" w14:textId="189D60B7" w:rsidR="00810451" w:rsidRPr="00982A50" w:rsidRDefault="00C8009D" w:rsidP="00C8009D">
      <w:pPr>
        <w:spacing w:line="480" w:lineRule="auto"/>
        <w:ind w:firstLine="960"/>
        <w:jc w:val="left"/>
        <w:rPr>
          <w:rFonts w:ascii="Times New Roman" w:hAnsi="Times New Roman" w:cs="Times New Roman"/>
          <w:sz w:val="20"/>
          <w:szCs w:val="20"/>
        </w:rPr>
      </w:pPr>
      <w:r w:rsidRPr="00982A50">
        <w:rPr>
          <w:rFonts w:ascii="Times New Roman" w:hAnsi="Times New Roman" w:cs="Times New Roman"/>
          <w:sz w:val="20"/>
          <w:szCs w:val="20"/>
        </w:rPr>
        <w:t xml:space="preserve">Despite </w:t>
      </w:r>
      <w:proofErr w:type="spellStart"/>
      <w:r w:rsidRPr="00982A50">
        <w:rPr>
          <w:rFonts w:ascii="Times New Roman" w:hAnsi="Times New Roman" w:cs="Times New Roman"/>
          <w:sz w:val="20"/>
          <w:szCs w:val="20"/>
        </w:rPr>
        <w:t>istradefylline</w:t>
      </w:r>
      <w:proofErr w:type="spellEnd"/>
      <w:r w:rsidRPr="00982A50">
        <w:rPr>
          <w:rFonts w:ascii="Times New Roman" w:hAnsi="Times New Roman" w:cs="Times New Roman"/>
          <w:sz w:val="20"/>
          <w:szCs w:val="20"/>
        </w:rPr>
        <w:t xml:space="preserve"> being used as an add on treatment for Parkinson’s Disease in some global </w:t>
      </w:r>
      <w:r w:rsidR="003315BE" w:rsidRPr="00982A50">
        <w:rPr>
          <w:rFonts w:ascii="Times New Roman" w:hAnsi="Times New Roman" w:cs="Times New Roman"/>
          <w:sz w:val="20"/>
          <w:szCs w:val="20"/>
        </w:rPr>
        <w:t>jurisdictions</w:t>
      </w:r>
      <w:r w:rsidRPr="00982A50">
        <w:rPr>
          <w:rFonts w:ascii="Times New Roman" w:hAnsi="Times New Roman" w:cs="Times New Roman"/>
          <w:sz w:val="20"/>
          <w:szCs w:val="20"/>
        </w:rPr>
        <w:t xml:space="preserve">, very little is known about its cognitive effects. More broadly, we sought to use </w:t>
      </w:r>
      <w:proofErr w:type="spellStart"/>
      <w:r w:rsidRPr="00982A50">
        <w:rPr>
          <w:rFonts w:ascii="Times New Roman" w:hAnsi="Times New Roman" w:cs="Times New Roman"/>
          <w:sz w:val="20"/>
          <w:szCs w:val="20"/>
        </w:rPr>
        <w:t>istradefylline</w:t>
      </w:r>
      <w:proofErr w:type="spellEnd"/>
      <w:r w:rsidRPr="00982A50">
        <w:rPr>
          <w:rFonts w:ascii="Times New Roman" w:hAnsi="Times New Roman" w:cs="Times New Roman"/>
          <w:sz w:val="20"/>
          <w:szCs w:val="20"/>
        </w:rPr>
        <w:t xml:space="preserve"> to probe the role of adenosine 2a receptors in human cognition. </w:t>
      </w:r>
      <w:r w:rsidR="00216F51" w:rsidRPr="00982A50">
        <w:rPr>
          <w:rFonts w:ascii="Times New Roman" w:hAnsi="Times New Roman" w:cs="Times New Roman"/>
          <w:sz w:val="20"/>
          <w:szCs w:val="20"/>
        </w:rPr>
        <w:t xml:space="preserve">We found a significant </w:t>
      </w:r>
      <w:r w:rsidR="00637E2F" w:rsidRPr="00982A50">
        <w:rPr>
          <w:rFonts w:ascii="Times New Roman" w:hAnsi="Times New Roman" w:cs="Times New Roman"/>
          <w:sz w:val="20"/>
          <w:szCs w:val="20"/>
        </w:rPr>
        <w:t>effect</w:t>
      </w:r>
      <w:r w:rsidR="00216F51" w:rsidRPr="00982A50">
        <w:rPr>
          <w:rFonts w:ascii="Times New Roman" w:hAnsi="Times New Roman" w:cs="Times New Roman"/>
          <w:sz w:val="20"/>
          <w:szCs w:val="20"/>
        </w:rPr>
        <w:t xml:space="preserve"> of </w:t>
      </w:r>
      <w:proofErr w:type="spellStart"/>
      <w:r w:rsidR="00216F51" w:rsidRPr="00982A50">
        <w:rPr>
          <w:rFonts w:ascii="Times New Roman" w:hAnsi="Times New Roman" w:cs="Times New Roman"/>
          <w:sz w:val="20"/>
          <w:szCs w:val="20"/>
        </w:rPr>
        <w:t>istradefylline</w:t>
      </w:r>
      <w:proofErr w:type="spellEnd"/>
      <w:r w:rsidR="00216F51" w:rsidRPr="00982A50">
        <w:rPr>
          <w:rFonts w:ascii="Times New Roman" w:hAnsi="Times New Roman" w:cs="Times New Roman"/>
          <w:sz w:val="20"/>
          <w:szCs w:val="20"/>
        </w:rPr>
        <w:t xml:space="preserve"> on affective bias</w:t>
      </w:r>
      <w:r w:rsidR="00810451" w:rsidRPr="00982A50">
        <w:rPr>
          <w:rFonts w:ascii="Times New Roman" w:hAnsi="Times New Roman" w:cs="Times New Roman"/>
          <w:sz w:val="20"/>
          <w:szCs w:val="20"/>
        </w:rPr>
        <w:t xml:space="preserve"> on the Social Information Preference</w:t>
      </w:r>
      <w:r w:rsidR="00474E33" w:rsidRPr="00982A50">
        <w:rPr>
          <w:rFonts w:ascii="Times New Roman" w:hAnsi="Times New Roman" w:cs="Times New Roman"/>
          <w:sz w:val="20"/>
          <w:szCs w:val="20"/>
        </w:rPr>
        <w:t xml:space="preserve"> (SIP)</w:t>
      </w:r>
      <w:r w:rsidR="00810451" w:rsidRPr="00982A50">
        <w:rPr>
          <w:rFonts w:ascii="Times New Roman" w:hAnsi="Times New Roman" w:cs="Times New Roman"/>
          <w:sz w:val="20"/>
          <w:szCs w:val="20"/>
        </w:rPr>
        <w:t xml:space="preserve"> task</w:t>
      </w:r>
      <w:r w:rsidR="00637E2F" w:rsidRPr="00982A50">
        <w:rPr>
          <w:rFonts w:ascii="Times New Roman" w:hAnsi="Times New Roman" w:cs="Times New Roman"/>
          <w:sz w:val="20"/>
          <w:szCs w:val="20"/>
        </w:rPr>
        <w:t xml:space="preserve">, </w:t>
      </w:r>
      <w:r w:rsidR="003315BE" w:rsidRPr="00982A50">
        <w:rPr>
          <w:rFonts w:ascii="Times New Roman" w:hAnsi="Times New Roman" w:cs="Times New Roman"/>
          <w:sz w:val="20"/>
          <w:szCs w:val="20"/>
        </w:rPr>
        <w:t>which measures</w:t>
      </w:r>
      <w:r w:rsidR="00FD3F74" w:rsidRPr="00982A50">
        <w:rPr>
          <w:rFonts w:ascii="Times New Roman" w:hAnsi="Times New Roman" w:cs="Times New Roman"/>
          <w:sz w:val="20"/>
          <w:szCs w:val="20"/>
        </w:rPr>
        <w:t xml:space="preserve"> the difference in the proportion of selected positive and negative scenario outcomes</w:t>
      </w:r>
      <w:r w:rsidR="00574154">
        <w:rPr>
          <w:rFonts w:ascii="Times New Roman" w:hAnsi="Times New Roman" w:cs="Times New Roman"/>
          <w:sz w:val="20"/>
          <w:szCs w:val="20"/>
        </w:rPr>
        <w:t xml:space="preserve">. This result indicated that participants interpreted social situations more positively in the </w:t>
      </w:r>
      <w:proofErr w:type="spellStart"/>
      <w:r w:rsidR="00574154">
        <w:rPr>
          <w:rFonts w:ascii="Times New Roman" w:hAnsi="Times New Roman" w:cs="Times New Roman"/>
          <w:sz w:val="20"/>
          <w:szCs w:val="20"/>
        </w:rPr>
        <w:t>istradefylline</w:t>
      </w:r>
      <w:proofErr w:type="spellEnd"/>
      <w:r w:rsidR="00574154">
        <w:rPr>
          <w:rFonts w:ascii="Times New Roman" w:hAnsi="Times New Roman" w:cs="Times New Roman"/>
          <w:sz w:val="20"/>
          <w:szCs w:val="20"/>
        </w:rPr>
        <w:t xml:space="preserve"> condition compared to placebo</w:t>
      </w:r>
      <w:r w:rsidR="00FD3F74" w:rsidRPr="00982A50">
        <w:rPr>
          <w:rFonts w:ascii="Times New Roman" w:hAnsi="Times New Roman" w:cs="Times New Roman"/>
          <w:sz w:val="20"/>
          <w:szCs w:val="20"/>
        </w:rPr>
        <w:t>.</w:t>
      </w:r>
      <w:r w:rsidR="003315BE" w:rsidRPr="00982A50">
        <w:rPr>
          <w:rFonts w:ascii="Times New Roman" w:hAnsi="Times New Roman" w:cs="Times New Roman"/>
          <w:sz w:val="20"/>
          <w:szCs w:val="20"/>
        </w:rPr>
        <w:t xml:space="preserve"> However, there were </w:t>
      </w:r>
      <w:r w:rsidR="00637E2F" w:rsidRPr="00982A50">
        <w:rPr>
          <w:rFonts w:ascii="Times New Roman" w:hAnsi="Times New Roman" w:cs="Times New Roman"/>
          <w:sz w:val="20"/>
          <w:szCs w:val="20"/>
        </w:rPr>
        <w:t>no significant effect</w:t>
      </w:r>
      <w:r w:rsidR="003315BE" w:rsidRPr="00982A50">
        <w:rPr>
          <w:rFonts w:ascii="Times New Roman" w:hAnsi="Times New Roman" w:cs="Times New Roman"/>
          <w:sz w:val="20"/>
          <w:szCs w:val="20"/>
        </w:rPr>
        <w:t>s</w:t>
      </w:r>
      <w:r w:rsidR="00637E2F" w:rsidRPr="00982A50">
        <w:rPr>
          <w:rFonts w:ascii="Times New Roman" w:hAnsi="Times New Roman" w:cs="Times New Roman"/>
          <w:sz w:val="20"/>
          <w:szCs w:val="20"/>
        </w:rPr>
        <w:t xml:space="preserve"> on </w:t>
      </w:r>
      <w:r w:rsidR="00AE7CCC" w:rsidRPr="00982A50">
        <w:rPr>
          <w:rFonts w:ascii="Times New Roman" w:hAnsi="Times New Roman" w:cs="Times New Roman"/>
          <w:sz w:val="20"/>
          <w:szCs w:val="20"/>
        </w:rPr>
        <w:t xml:space="preserve">the </w:t>
      </w:r>
      <w:r w:rsidR="00637E2F" w:rsidRPr="00982A50">
        <w:rPr>
          <w:rFonts w:ascii="Times New Roman" w:hAnsi="Times New Roman" w:cs="Times New Roman"/>
          <w:sz w:val="20"/>
          <w:szCs w:val="20"/>
        </w:rPr>
        <w:t xml:space="preserve">other </w:t>
      </w:r>
      <w:r w:rsidR="002310C2" w:rsidRPr="00982A50">
        <w:rPr>
          <w:rFonts w:ascii="Times New Roman" w:hAnsi="Times New Roman" w:cs="Times New Roman"/>
          <w:sz w:val="20"/>
          <w:szCs w:val="20"/>
        </w:rPr>
        <w:t xml:space="preserve">cognitive </w:t>
      </w:r>
      <w:r w:rsidR="00637E2F" w:rsidRPr="00982A50">
        <w:rPr>
          <w:rFonts w:ascii="Times New Roman" w:hAnsi="Times New Roman" w:cs="Times New Roman"/>
          <w:sz w:val="20"/>
          <w:szCs w:val="20"/>
        </w:rPr>
        <w:t>tasks</w:t>
      </w:r>
      <w:r w:rsidR="00AE7CCC" w:rsidRPr="00982A50">
        <w:rPr>
          <w:rFonts w:ascii="Times New Roman" w:hAnsi="Times New Roman" w:cs="Times New Roman"/>
          <w:sz w:val="20"/>
          <w:szCs w:val="20"/>
        </w:rPr>
        <w:t xml:space="preserve"> that were examined</w:t>
      </w:r>
      <w:r w:rsidR="003315BE" w:rsidRPr="00982A50">
        <w:rPr>
          <w:rFonts w:ascii="Times New Roman" w:hAnsi="Times New Roman" w:cs="Times New Roman"/>
          <w:sz w:val="20"/>
          <w:szCs w:val="20"/>
        </w:rPr>
        <w:t xml:space="preserve"> although t</w:t>
      </w:r>
      <w:r w:rsidR="00474E33" w:rsidRPr="00982A50">
        <w:rPr>
          <w:rFonts w:ascii="Times New Roman" w:hAnsi="Times New Roman" w:cs="Times New Roman"/>
          <w:sz w:val="20"/>
          <w:szCs w:val="20"/>
        </w:rPr>
        <w:t xml:space="preserve">here was a </w:t>
      </w:r>
      <w:r w:rsidR="003315BE" w:rsidRPr="00982A50">
        <w:rPr>
          <w:rFonts w:ascii="Times New Roman" w:hAnsi="Times New Roman" w:cs="Times New Roman"/>
          <w:sz w:val="20"/>
          <w:szCs w:val="20"/>
        </w:rPr>
        <w:t xml:space="preserve">non-significant </w:t>
      </w:r>
      <w:r w:rsidR="00AE7CCC" w:rsidRPr="00982A50">
        <w:rPr>
          <w:rFonts w:ascii="Times New Roman" w:hAnsi="Times New Roman" w:cs="Times New Roman"/>
          <w:sz w:val="20"/>
          <w:szCs w:val="20"/>
        </w:rPr>
        <w:t xml:space="preserve">trend </w:t>
      </w:r>
      <w:r w:rsidR="00474E33" w:rsidRPr="00982A50">
        <w:rPr>
          <w:rFonts w:ascii="Times New Roman" w:hAnsi="Times New Roman" w:cs="Times New Roman"/>
          <w:sz w:val="20"/>
          <w:szCs w:val="20"/>
        </w:rPr>
        <w:t xml:space="preserve">effect of </w:t>
      </w:r>
      <w:proofErr w:type="spellStart"/>
      <w:r w:rsidR="00474E33" w:rsidRPr="00982A50">
        <w:rPr>
          <w:rFonts w:ascii="Times New Roman" w:hAnsi="Times New Roman" w:cs="Times New Roman"/>
          <w:sz w:val="20"/>
          <w:szCs w:val="20"/>
        </w:rPr>
        <w:t>istradefylline</w:t>
      </w:r>
      <w:proofErr w:type="spellEnd"/>
      <w:r w:rsidR="00474E33" w:rsidRPr="00982A50">
        <w:rPr>
          <w:rFonts w:ascii="Times New Roman" w:hAnsi="Times New Roman" w:cs="Times New Roman"/>
          <w:sz w:val="20"/>
          <w:szCs w:val="20"/>
        </w:rPr>
        <w:t xml:space="preserve"> on risk adjustment loss on the Cambridge Gamble Task (CGT), </w:t>
      </w:r>
      <w:r w:rsidR="003315BE" w:rsidRPr="00982A50">
        <w:rPr>
          <w:rFonts w:ascii="Times New Roman" w:hAnsi="Times New Roman" w:cs="Times New Roman"/>
          <w:sz w:val="20"/>
          <w:szCs w:val="20"/>
        </w:rPr>
        <w:t xml:space="preserve">indicating possible risky </w:t>
      </w:r>
      <w:proofErr w:type="spellStart"/>
      <w:r w:rsidR="003315BE" w:rsidRPr="00982A50">
        <w:rPr>
          <w:rFonts w:ascii="Times New Roman" w:hAnsi="Times New Roman" w:cs="Times New Roman"/>
          <w:sz w:val="20"/>
          <w:szCs w:val="20"/>
        </w:rPr>
        <w:t>behaviour</w:t>
      </w:r>
      <w:proofErr w:type="spellEnd"/>
      <w:r w:rsidR="00961890" w:rsidRPr="00982A50">
        <w:rPr>
          <w:rFonts w:ascii="Times New Roman" w:hAnsi="Times New Roman" w:cs="Times New Roman"/>
          <w:sz w:val="20"/>
          <w:szCs w:val="20"/>
        </w:rPr>
        <w:t xml:space="preserve"> in the loss condition</w:t>
      </w:r>
      <w:r w:rsidR="003315BE" w:rsidRPr="00982A50">
        <w:rPr>
          <w:rFonts w:ascii="Times New Roman" w:hAnsi="Times New Roman" w:cs="Times New Roman"/>
          <w:sz w:val="20"/>
          <w:szCs w:val="20"/>
        </w:rPr>
        <w:t>.</w:t>
      </w:r>
      <w:r w:rsidR="00B373AB">
        <w:rPr>
          <w:rFonts w:ascii="Times New Roman" w:hAnsi="Times New Roman" w:cs="Times New Roman"/>
          <w:sz w:val="20"/>
          <w:szCs w:val="20"/>
        </w:rPr>
        <w:t xml:space="preserve"> Some caution is needed however, as this study did not correct for multiple comparisons due to the limited sample size.</w:t>
      </w:r>
    </w:p>
    <w:p w14:paraId="48D7B035" w14:textId="7A817118" w:rsidR="00AC248A" w:rsidRPr="00982A50" w:rsidRDefault="00F41502" w:rsidP="00D4487F">
      <w:pPr>
        <w:spacing w:line="480" w:lineRule="auto"/>
        <w:ind w:firstLine="960"/>
        <w:jc w:val="left"/>
        <w:rPr>
          <w:rFonts w:ascii="Times New Roman" w:hAnsi="Times New Roman" w:cs="Times New Roman"/>
          <w:sz w:val="20"/>
          <w:szCs w:val="20"/>
        </w:rPr>
      </w:pPr>
      <w:r w:rsidRPr="00982A50">
        <w:rPr>
          <w:rFonts w:ascii="Times New Roman" w:hAnsi="Times New Roman" w:cs="Times New Roman"/>
          <w:sz w:val="20"/>
          <w:szCs w:val="20"/>
        </w:rPr>
        <w:t xml:space="preserve">The SIP task </w:t>
      </w:r>
      <w:r w:rsidR="00792D35" w:rsidRPr="00982A50">
        <w:rPr>
          <w:rFonts w:ascii="Times New Roman" w:hAnsi="Times New Roman" w:cs="Times New Roman"/>
          <w:sz w:val="20"/>
          <w:szCs w:val="20"/>
        </w:rPr>
        <w:t>assesses a participant’s preference for</w:t>
      </w:r>
      <w:r w:rsidR="00FD3F74" w:rsidRPr="00982A50">
        <w:rPr>
          <w:rFonts w:ascii="Times New Roman" w:hAnsi="Times New Roman" w:cs="Times New Roman"/>
          <w:sz w:val="20"/>
          <w:szCs w:val="20"/>
        </w:rPr>
        <w:t xml:space="preserve"> selecting</w:t>
      </w:r>
      <w:r w:rsidR="003315BE" w:rsidRPr="00982A50">
        <w:rPr>
          <w:rFonts w:ascii="Times New Roman" w:hAnsi="Times New Roman" w:cs="Times New Roman"/>
          <w:sz w:val="20"/>
          <w:szCs w:val="20"/>
        </w:rPr>
        <w:t xml:space="preserve"> </w:t>
      </w:r>
      <w:r w:rsidR="00792D35" w:rsidRPr="00982A50">
        <w:rPr>
          <w:rFonts w:ascii="Times New Roman" w:hAnsi="Times New Roman" w:cs="Times New Roman"/>
          <w:sz w:val="20"/>
          <w:szCs w:val="20"/>
        </w:rPr>
        <w:t>different types of information</w:t>
      </w:r>
      <w:r w:rsidR="00A83FBC" w:rsidRPr="00982A50">
        <w:rPr>
          <w:rFonts w:ascii="Times New Roman" w:hAnsi="Times New Roman" w:cs="Times New Roman"/>
          <w:sz w:val="20"/>
          <w:szCs w:val="20"/>
        </w:rPr>
        <w:t xml:space="preserve"> </w:t>
      </w:r>
      <w:r w:rsidR="003315BE" w:rsidRPr="00982A50">
        <w:rPr>
          <w:rFonts w:ascii="Times New Roman" w:hAnsi="Times New Roman" w:cs="Times New Roman"/>
          <w:sz w:val="20"/>
          <w:szCs w:val="20"/>
        </w:rPr>
        <w:t xml:space="preserve">(facial expression, 'theory of mind' related, and fact-related), to interpret ambiguous or incomplete scenarios, </w:t>
      </w:r>
      <w:r w:rsidR="00A83FBC" w:rsidRPr="00982A50">
        <w:rPr>
          <w:rFonts w:ascii="Times New Roman" w:hAnsi="Times New Roman" w:cs="Times New Roman"/>
          <w:sz w:val="20"/>
          <w:szCs w:val="20"/>
        </w:rPr>
        <w:t>and is from a battery of tasks designed to assess hot cognition (EMOTICOM)</w:t>
      </w:r>
      <w:r w:rsidR="00C7442F" w:rsidRPr="00982A50">
        <w:rPr>
          <w:rFonts w:ascii="Times New Roman" w:hAnsi="Times New Roman" w:cs="Times New Roman"/>
          <w:sz w:val="20"/>
          <w:szCs w:val="20"/>
        </w:rPr>
        <w:t>.</w:t>
      </w:r>
      <w:r w:rsidR="005203C1" w:rsidRPr="00982A50">
        <w:rPr>
          <w:rFonts w:ascii="Times New Roman" w:hAnsi="Times New Roman" w:cs="Times New Roman"/>
          <w:sz w:val="20"/>
          <w:szCs w:val="20"/>
        </w:rPr>
        <w:t xml:space="preserve"> Hot cognition </w:t>
      </w:r>
      <w:r w:rsidR="00AE7CCC" w:rsidRPr="00982A50">
        <w:rPr>
          <w:rFonts w:ascii="Times New Roman" w:hAnsi="Times New Roman" w:cs="Times New Roman"/>
          <w:sz w:val="20"/>
          <w:szCs w:val="20"/>
        </w:rPr>
        <w:lastRenderedPageBreak/>
        <w:t xml:space="preserve">refers to </w:t>
      </w:r>
      <w:r w:rsidR="005203C1" w:rsidRPr="00982A50">
        <w:rPr>
          <w:rFonts w:ascii="Times New Roman" w:hAnsi="Times New Roman" w:cs="Times New Roman"/>
          <w:sz w:val="20"/>
          <w:szCs w:val="20"/>
        </w:rPr>
        <w:t>the cognitive processing of emotionally salient information</w:t>
      </w:r>
      <w:r w:rsidR="00A83FBC" w:rsidRPr="00982A50">
        <w:rPr>
          <w:rFonts w:ascii="Times New Roman" w:hAnsi="Times New Roman" w:cs="Times New Roman"/>
          <w:sz w:val="20"/>
          <w:szCs w:val="20"/>
        </w:rPr>
        <w:t xml:space="preserve"> </w:t>
      </w:r>
      <w:r w:rsidR="00712E83">
        <w:rPr>
          <w:rFonts w:ascii="Times New Roman" w:hAnsi="Times New Roman" w:cs="Times New Roman"/>
          <w:sz w:val="20"/>
          <w:szCs w:val="20"/>
        </w:rPr>
        <w:fldChar w:fldCharType="begin" w:fldLock="1"/>
      </w:r>
      <w:r w:rsidR="006110DE">
        <w:rPr>
          <w:rFonts w:ascii="Times New Roman" w:hAnsi="Times New Roman" w:cs="Times New Roman"/>
          <w:sz w:val="20"/>
          <w:szCs w:val="20"/>
        </w:rPr>
        <w:instrText>ADDIN CSL_CITATION {"citationItems":[{"id":"ITEM-1","itemData":{"DOI":"10.1017/S1092852913000072","ISSN":"10928529","abstract":"We discuss the importance of cognitive abnormalities in unipolar depression, drawing the distinction between \"hot\" (emotion-laden) and \"cold\" (emotion-independent) cognition. \"Cold\" cognitive impairments are present reliably in unipolar depression, underscored by their presence in the diagnostic criteria for major depressive episodes. There is good evidence that some \"cold\" cognitive abnormalities do not disappear completely upon remission, and that they predict poor response to antidepressant drug treatment. However, in many studies the degree of impairment is moderately related to symptoms. We suggest that \"cold\" cognitive deficits in unipolar depression may in part be explicable in terms of alterations in \"hot\" processing, particularly on tasks that utilize feedback, on which depressed patients have been reported to exhibit a \"catastrophic response to perceived failure.\" Other abnormalities in \"hot\" cognition are commonly observed on tasks utilizing emotionally valenced stimuli, with numerous studies reporting mood-congruent processing biases in depression across a range of cognitive domains. Additionally, an emerging literature indicates reliable reward and punishment processing abnormalities in depression, which are especially relevant for hard-to-treat symptoms such as anhedonia. Both emotional and reward biases are strongly influenced by manipulations of the neurochemical systems targeted by antidepressant drugs. Such a pattern of \"hot\" and \"cold\" cognitive abnormalities is consistent with our cognitive neuropsychological model of depression, which proposes central roles for cognitive abnormalities in the generation, maintenance, and treatment of depressive symptoms. Future work should examine in greater detail the role that \"hot\" and \"cold\" cognitive processes play in mediating symptomatic improvement following pharmacological, psychological, and novel brain circuit-level interventions.","author":[{"dropping-particle":"","family":"Roiser","given":"Jonathan P.","non-dropping-particle":"","parse-names":false,"suffix":""},{"dropping-particle":"","family":"Sahakian","given":"Barbara J.","non-dropping-particle":"","parse-names":false,"suffix":""}],"container-title":"CNS spectrums","id":"ITEM-1","issue":"3","issued":{"date-parts":[["2013"]]},"title":"Hot and cold cognition in depression.","type":"article","volume":"18"},"uris":["http://www.mendeley.com/documents/?uuid=49ba0bed-bc83-382c-8df7-d1a4142eb99f"]}],"mendeley":{"formattedCitation":"(Roiser and Sahakian, 2013)","plainTextFormattedCitation":"(Roiser and Sahakian, 2013)","previouslyFormattedCitation":"(Roiser and Sahakian, 2013)"},"properties":{"noteIndex":0},"schema":"https://github.com/citation-style-language/schema/raw/master/csl-citation.json"}</w:instrText>
      </w:r>
      <w:r w:rsidR="00712E83">
        <w:rPr>
          <w:rFonts w:ascii="Times New Roman" w:hAnsi="Times New Roman" w:cs="Times New Roman"/>
          <w:sz w:val="20"/>
          <w:szCs w:val="20"/>
        </w:rPr>
        <w:fldChar w:fldCharType="separate"/>
      </w:r>
      <w:r w:rsidR="00712E83" w:rsidRPr="00712E83">
        <w:rPr>
          <w:rFonts w:ascii="Times New Roman" w:hAnsi="Times New Roman" w:cs="Times New Roman"/>
          <w:noProof/>
          <w:sz w:val="20"/>
          <w:szCs w:val="20"/>
        </w:rPr>
        <w:t>(Roiser and Sahakian, 2013)</w:t>
      </w:r>
      <w:r w:rsidR="00712E83">
        <w:rPr>
          <w:rFonts w:ascii="Times New Roman" w:hAnsi="Times New Roman" w:cs="Times New Roman"/>
          <w:sz w:val="20"/>
          <w:szCs w:val="20"/>
        </w:rPr>
        <w:fldChar w:fldCharType="end"/>
      </w:r>
      <w:r w:rsidR="00D34476" w:rsidRPr="00982A50">
        <w:rPr>
          <w:rFonts w:ascii="Times New Roman" w:hAnsi="Times New Roman" w:cs="Times New Roman"/>
          <w:sz w:val="20"/>
          <w:szCs w:val="20"/>
        </w:rPr>
        <w:t xml:space="preserve"> and disruptions in these processes </w:t>
      </w:r>
      <w:r w:rsidR="00D4487F" w:rsidRPr="00982A50">
        <w:rPr>
          <w:rFonts w:ascii="Times New Roman" w:hAnsi="Times New Roman" w:cs="Times New Roman"/>
          <w:sz w:val="20"/>
          <w:szCs w:val="20"/>
        </w:rPr>
        <w:t xml:space="preserve">have been </w:t>
      </w:r>
      <w:r w:rsidR="00AE7CCC" w:rsidRPr="00982A50">
        <w:rPr>
          <w:rFonts w:ascii="Times New Roman" w:hAnsi="Times New Roman" w:cs="Times New Roman"/>
          <w:sz w:val="20"/>
          <w:szCs w:val="20"/>
        </w:rPr>
        <w:t>implicated in</w:t>
      </w:r>
      <w:r w:rsidR="00D4487F" w:rsidRPr="00982A50">
        <w:rPr>
          <w:rFonts w:ascii="Times New Roman" w:hAnsi="Times New Roman" w:cs="Times New Roman"/>
          <w:sz w:val="20"/>
          <w:szCs w:val="20"/>
        </w:rPr>
        <w:t xml:space="preserve"> neuropsychiatric disorders, including ADHD </w:t>
      </w:r>
      <w:r w:rsidR="00EF34E9">
        <w:rPr>
          <w:rFonts w:ascii="Times New Roman" w:hAnsi="Times New Roman" w:cs="Times New Roman"/>
          <w:sz w:val="20"/>
          <w:szCs w:val="20"/>
        </w:rPr>
        <w:fldChar w:fldCharType="begin" w:fldLock="1"/>
      </w:r>
      <w:r w:rsidR="00E373F0">
        <w:rPr>
          <w:rFonts w:ascii="Times New Roman" w:hAnsi="Times New Roman" w:cs="Times New Roman"/>
          <w:sz w:val="20"/>
          <w:szCs w:val="20"/>
        </w:rPr>
        <w:instrText>ADDIN CSL_CITATION {"citationItems":[{"id":"ITEM-1","itemData":{"DOI":"10.3389/fpsyg.2019.02660","ISSN":"16641078","abstract":"Disruptions in hot cognition, i.e., the processing of emotionally salient information, are prevalent in most neuropsychiatric disorders and constitute a potential treatment target. EMOTICOM is the first comprehensive neuropsychological test battery developed specifically to assess hot cognition. The aim of the study was to validate and establish a Danish language version and reference data for the EMOTICOM test battery. To evaluate the psychometric properties of 11 EMOTICOM tasks, we collected data from 100 healthy Danish participants (50 males, 50 females) including retest data from 49 participants. We assessed test–retest reliability, floor and ceiling effects, task-intercorrelations, and correlations between task performance and relevant demographic and descriptive factors. We found that test–retest reliability varied from poor to excellent while some tasks exhibited floor or ceiling effects. Intercorrelations among EMOTICOM task outcomes were low, indicating that the tasks capture different cognitive constructs. EMOTICOM task performance was largely independent of age, sex, education, and IQ as well as current mood, personality, and self-reported motivation and diligence during task completion. Overall, many of the EMOTICOM tasks were found to be useful and objective measures of hot cognition although select tasks may benefit from modifications to avoid floor and ceiling effects in healthy individuals.","author":[{"dropping-particle":"","family":"Dam","given":"Vibeke H.","non-dropping-particle":"","parse-names":false,"suffix":""},{"dropping-particle":"","family":"Thystrup","given":"Christa K.","non-dropping-particle":"","parse-names":false,"suffix":""},{"dropping-particle":"","family":"Jensen","given":"Peter S.","non-dropping-particle":"","parse-names":false,"suffix":""},{"dropping-particle":"","family":"Bland","given":"Amy R.","non-dropping-particle":"","parse-names":false,"suffix":""},{"dropping-particle":"","family":"Mortensen","given":"Erik L.","non-dropping-particle":"","parse-names":false,"suffix":""},{"dropping-particle":"","family":"Elliott","given":"Rebecca","non-dropping-particle":"","parse-names":false,"suffix":""},{"dropping-particle":"","family":"Sahakian","given":"Barbara J.","non-dropping-particle":"","parse-names":false,"suffix":""},{"dropping-particle":"","family":"Knudsen","given":"Gitte M.","non-dropping-particle":"","parse-names":false,"suffix":""},{"dropping-particle":"","family":"Frokjaer","given":"Vibe G.","non-dropping-particle":"","parse-names":false,"suffix":""},{"dropping-particle":"","family":"Stenbæk","given":"Dea S.","non-dropping-particle":"","parse-names":false,"suffix":""}],"container-title":"Frontiers in Psychology","id":"ITEM-1","issued":{"date-parts":[["2019"]]},"title":"Psychometric Properties and Validation of the EMOTICOM Test Battery in a Healthy Danish Population","type":"article-journal"},"uris":["http://www.mendeley.com/documents/?uuid=017e1f2b-75a9-4898-87c7-8819baa509ac"]}],"mendeley":{"formattedCitation":"(Dam et al., 2019)","plainTextFormattedCitation":"(Dam et al., 2019)","previouslyFormattedCitation":"(Dam et al., 2019)"},"properties":{"noteIndex":0},"schema":"https://github.com/citation-style-language/schema/raw/master/csl-citation.json"}</w:instrText>
      </w:r>
      <w:r w:rsidR="00EF34E9">
        <w:rPr>
          <w:rFonts w:ascii="Times New Roman" w:hAnsi="Times New Roman" w:cs="Times New Roman"/>
          <w:sz w:val="20"/>
          <w:szCs w:val="20"/>
        </w:rPr>
        <w:fldChar w:fldCharType="separate"/>
      </w:r>
      <w:r w:rsidR="00EF34E9" w:rsidRPr="00EF34E9">
        <w:rPr>
          <w:rFonts w:ascii="Times New Roman" w:hAnsi="Times New Roman" w:cs="Times New Roman"/>
          <w:noProof/>
          <w:sz w:val="20"/>
          <w:szCs w:val="20"/>
        </w:rPr>
        <w:t>(Dam et al., 2019)</w:t>
      </w:r>
      <w:r w:rsidR="00EF34E9">
        <w:rPr>
          <w:rFonts w:ascii="Times New Roman" w:hAnsi="Times New Roman" w:cs="Times New Roman"/>
          <w:sz w:val="20"/>
          <w:szCs w:val="20"/>
        </w:rPr>
        <w:fldChar w:fldCharType="end"/>
      </w:r>
      <w:r w:rsidR="008E0355">
        <w:rPr>
          <w:rFonts w:ascii="Times New Roman" w:hAnsi="Times New Roman" w:cs="Times New Roman"/>
          <w:sz w:val="20"/>
          <w:szCs w:val="20"/>
        </w:rPr>
        <w:t xml:space="preserve">, as well as psychosis </w:t>
      </w:r>
      <w:r w:rsidR="008523CE" w:rsidRPr="00A323DC">
        <w:rPr>
          <w:rFonts w:ascii="Times New Roman" w:hAnsi="Times New Roman" w:cs="Times New Roman"/>
          <w:sz w:val="20"/>
          <w:szCs w:val="20"/>
        </w:rPr>
        <w:t xml:space="preserve"> </w:t>
      </w:r>
      <w:r w:rsidR="00A323DC" w:rsidRPr="003A0D38">
        <w:rPr>
          <w:rFonts w:ascii="Times New Roman" w:hAnsi="Times New Roman" w:cs="Times New Roman"/>
          <w:sz w:val="20"/>
          <w:szCs w:val="20"/>
        </w:rPr>
        <w:fldChar w:fldCharType="begin" w:fldLock="1"/>
      </w:r>
      <w:r w:rsidR="00A323DC">
        <w:rPr>
          <w:rFonts w:ascii="Times New Roman" w:hAnsi="Times New Roman" w:cs="Times New Roman"/>
          <w:sz w:val="20"/>
          <w:szCs w:val="20"/>
        </w:rPr>
        <w:instrText>ADDIN CSL_CITATION {"citationItems":[{"id":"ITEM-1","itemData":{"DOI":"10.1016/j.psychres.2014.12.009","ISSN":"18727123","abstract":"This study assessed associations between attributional style and ToM measures in patients with paranoid symptoms and non-clinical controls, as well associations between these aspects of social cognition and executive skills. Using a longitudinal design, we further assessed performance on measures following the remission of paranoid symptoms. Patients and controls completed the Internal Personal and Situational Attributions Questionnaire (IPSAQ), ToM tasks, the Stroop, the modified Wisconsin Card Sorting Test (WCST) and a measure of premorbid IQ at time one. Following the remission of paranoid symptoms, the patient group repeated the assessment process. Patients had a higher personalising bias for negative events and impairments in second order false belief and executive skills compared to control participants. Personalising bias for negative events was associated with poorer IQ, a tendency to make perseverative errors, a poorer performance on the second order false belief task and more severe symptoms. Personalising bias for negative events, performance on the second order false belief task or the tendency to make perseverative errors did not significantly change following symptom remission. The findings increase understanding of the mechanisms that potentially underpin the development and maintenance of paranoia. Specifically targeting personalising attributions for negative events in remitted patients may be an important goal of psychological therapy.","author":[{"dropping-particle":"","family":"Berry","given":"Katherine","non-dropping-particle":"","parse-names":false,"suffix":""},{"dropping-particle":"","family":"Bucci","given":"Sandra","non-dropping-particle":"","parse-names":false,"suffix":""},{"dropping-particle":"","family":"Kinderman","given":"Peter","non-dropping-particle":"","parse-names":false,"suffix":""},{"dropping-particle":"","family":"Emsley","given":"Richard","non-dropping-particle":"","parse-names":false,"suffix":""},{"dropping-particle":"","family":"Corcoran","given":"Rhiannon","non-dropping-particle":"","parse-names":false,"suffix":""}],"container-title":"Psychiatry Research","id":"ITEM-1","issue":"1","issued":{"date-parts":[["2015"]]},"title":"An investigation of attributional style, theory of mind and executive functioning in acute paranoia and remission","type":"article-journal","volume":"226"},"uris":["http://www.mendeley.com/documents/?uuid=7e979293-2baa-39ea-85a0-c8fe7db5a77d"]}],"mendeley":{"formattedCitation":"(Berry et al., 2015)","plainTextFormattedCitation":"(Berry et al., 2015)","previouslyFormattedCitation":"(Berry et al., 2015)"},"properties":{"noteIndex":0},"schema":"https://github.com/citation-style-language/schema/raw/master/csl-citation.json"}</w:instrText>
      </w:r>
      <w:r w:rsidR="00A323DC" w:rsidRPr="003A0D38">
        <w:rPr>
          <w:rFonts w:ascii="Times New Roman" w:hAnsi="Times New Roman" w:cs="Times New Roman"/>
          <w:sz w:val="20"/>
          <w:szCs w:val="20"/>
        </w:rPr>
        <w:fldChar w:fldCharType="separate"/>
      </w:r>
      <w:r w:rsidR="00A323DC" w:rsidRPr="003A0D38">
        <w:rPr>
          <w:rFonts w:ascii="Times New Roman" w:hAnsi="Times New Roman" w:cs="Times New Roman"/>
          <w:noProof/>
          <w:sz w:val="20"/>
          <w:szCs w:val="20"/>
        </w:rPr>
        <w:t>(Berry et al., 2015)</w:t>
      </w:r>
      <w:r w:rsidR="00A323DC" w:rsidRPr="003A0D38">
        <w:rPr>
          <w:rFonts w:ascii="Times New Roman" w:hAnsi="Times New Roman" w:cs="Times New Roman"/>
          <w:sz w:val="20"/>
          <w:szCs w:val="20"/>
        </w:rPr>
        <w:fldChar w:fldCharType="end"/>
      </w:r>
      <w:r w:rsidR="00B929FC">
        <w:rPr>
          <w:rFonts w:ascii="Times New Roman" w:hAnsi="Times New Roman" w:cs="Times New Roman"/>
          <w:sz w:val="20"/>
          <w:szCs w:val="20"/>
        </w:rPr>
        <w:t>.</w:t>
      </w:r>
      <w:r w:rsidR="00782FF5">
        <w:rPr>
          <w:rFonts w:ascii="Times New Roman" w:hAnsi="Times New Roman" w:cs="Times New Roman"/>
          <w:sz w:val="20"/>
          <w:szCs w:val="20"/>
        </w:rPr>
        <w:t xml:space="preserve"> </w:t>
      </w:r>
      <w:r w:rsidR="00A831D2">
        <w:rPr>
          <w:rFonts w:ascii="Times New Roman" w:hAnsi="Times New Roman" w:cs="Times New Roman"/>
          <w:sz w:val="20"/>
          <w:szCs w:val="20"/>
        </w:rPr>
        <w:t xml:space="preserve">Interestingly, </w:t>
      </w:r>
      <w:r w:rsidR="008E0355">
        <w:rPr>
          <w:rFonts w:ascii="Times New Roman" w:hAnsi="Times New Roman" w:cs="Times New Roman"/>
          <w:sz w:val="20"/>
          <w:szCs w:val="20"/>
        </w:rPr>
        <w:t xml:space="preserve">a </w:t>
      </w:r>
      <w:r w:rsidR="00A831D2">
        <w:rPr>
          <w:rFonts w:ascii="Times New Roman" w:hAnsi="Times New Roman" w:cs="Times New Roman"/>
          <w:sz w:val="20"/>
          <w:szCs w:val="20"/>
        </w:rPr>
        <w:t>p</w:t>
      </w:r>
      <w:r w:rsidR="00782FF5">
        <w:rPr>
          <w:rFonts w:ascii="Times New Roman" w:hAnsi="Times New Roman" w:cs="Times New Roman"/>
          <w:sz w:val="20"/>
          <w:szCs w:val="20"/>
        </w:rPr>
        <w:t>revious stud</w:t>
      </w:r>
      <w:r w:rsidR="008E0355">
        <w:rPr>
          <w:rFonts w:ascii="Times New Roman" w:hAnsi="Times New Roman" w:cs="Times New Roman"/>
          <w:sz w:val="20"/>
          <w:szCs w:val="20"/>
        </w:rPr>
        <w:t>y</w:t>
      </w:r>
      <w:r w:rsidR="00782FF5">
        <w:rPr>
          <w:rFonts w:ascii="Times New Roman" w:hAnsi="Times New Roman" w:cs="Times New Roman"/>
          <w:sz w:val="20"/>
          <w:szCs w:val="20"/>
        </w:rPr>
        <w:t xml:space="preserve"> indicated that paranoia </w:t>
      </w:r>
      <w:r w:rsidR="008E0355">
        <w:rPr>
          <w:rFonts w:ascii="Times New Roman" w:hAnsi="Times New Roman" w:cs="Times New Roman"/>
          <w:sz w:val="20"/>
          <w:szCs w:val="20"/>
        </w:rPr>
        <w:t>was</w:t>
      </w:r>
      <w:r w:rsidR="00782FF5">
        <w:rPr>
          <w:rFonts w:ascii="Times New Roman" w:hAnsi="Times New Roman" w:cs="Times New Roman"/>
          <w:sz w:val="20"/>
          <w:szCs w:val="20"/>
        </w:rPr>
        <w:t xml:space="preserve"> associated with a negative interpretation of ambiguous social information </w:t>
      </w:r>
      <w:r w:rsidR="00A323DC">
        <w:rPr>
          <w:rFonts w:ascii="Times New Roman" w:hAnsi="Times New Roman" w:cs="Times New Roman"/>
          <w:sz w:val="20"/>
          <w:szCs w:val="20"/>
        </w:rPr>
        <w:fldChar w:fldCharType="begin" w:fldLock="1"/>
      </w:r>
      <w:r w:rsidR="00A323DC">
        <w:rPr>
          <w:rFonts w:ascii="Times New Roman" w:hAnsi="Times New Roman" w:cs="Times New Roman"/>
          <w:sz w:val="20"/>
          <w:szCs w:val="20"/>
        </w:rPr>
        <w:instrText>ADDIN CSL_CITATION {"citationItems":[{"id":"ITEM-1","itemData":{"DOI":"10.1016/j.beth.2014.08.002","ISSN":"18781888","abstract":"Information in the environment is frequently ambiguous in meaning. Emotional ambiguity, such as the stare of a stranger, or the scream of a child, encompasses possible good or bad emotional consequences. Those with elevated vulnerability to affective disorders tend to interpret such material more negatively than those without, a phenomenon known as \"negative interpretation bias.\" In this study we examined the relationship between vulnerability to psychosis, measured by trait paranoia, and interpretation bias. One set of material permitted broadly positive/negative (valenced) interpretations, while another allowed more or less paranoid interpretations, allowing us to also investigate the content specificity of interpretation biases associated with paranoia. Regression analyses (n = 70) revealed that trait paranoia, trait anxiety, and cognitive inflexibility predicted paranoid interpretation bias, whereas trait anxiety and cognitive inflexibility predicted negative interpretation bias. In a group comparison those with high levels of trait paranoia were negatively biased in their interpretations of ambiguous information relative to those with low trait paranoia, and this effect was most pronounced for material directly related to paranoid concerns. Together these data suggest that a negative interpretation bias occurs in those with elevated vulnerability to paranoia, and that this bias may be strongest for material matching paranoid beliefs. We conclude that content-specific biases may be important in the cause and maintenance of paranoid symptoms.","author":[{"dropping-particle":"","family":"Savulich","given":"George","non-dropping-particle":"","parse-names":false,"suffix":""},{"dropping-particle":"","family":"Freeman","given":"Daniel","non-dropping-particle":"","parse-names":false,"suffix":""},{"dropping-particle":"","family":"Shergill","given":"Sukhi","non-dropping-particle":"","parse-names":false,"suffix":""},{"dropping-particle":"","family":"Yiend","given":"Jenny","non-dropping-particle":"","parse-names":false,"suffix":""}],"container-title":"Behavior Therapy","id":"ITEM-1","issue":"1","issued":{"date-parts":[["2015"]]},"title":"Interpretation Biases in Paranoia","type":"article-journal","volume":"46"},"uris":["http://www.mendeley.com/documents/?uuid=e8abb7bc-96ae-3543-8842-2ddc5168eabb"]}],"mendeley":{"formattedCitation":"(Savulich et al., 2015)","plainTextFormattedCitation":"(Savulich et al., 2015)"},"properties":{"noteIndex":0},"schema":"https://github.com/citation-style-language/schema/raw/master/csl-citation.json"}</w:instrText>
      </w:r>
      <w:r w:rsidR="00A323DC">
        <w:rPr>
          <w:rFonts w:ascii="Times New Roman" w:hAnsi="Times New Roman" w:cs="Times New Roman"/>
          <w:sz w:val="20"/>
          <w:szCs w:val="20"/>
        </w:rPr>
        <w:fldChar w:fldCharType="separate"/>
      </w:r>
      <w:r w:rsidR="00A323DC" w:rsidRPr="00A323DC">
        <w:rPr>
          <w:rFonts w:ascii="Times New Roman" w:hAnsi="Times New Roman" w:cs="Times New Roman"/>
          <w:noProof/>
          <w:sz w:val="20"/>
          <w:szCs w:val="20"/>
        </w:rPr>
        <w:t>(Savulich et al., 2015)</w:t>
      </w:r>
      <w:r w:rsidR="00A323DC">
        <w:rPr>
          <w:rFonts w:ascii="Times New Roman" w:hAnsi="Times New Roman" w:cs="Times New Roman"/>
          <w:sz w:val="20"/>
          <w:szCs w:val="20"/>
        </w:rPr>
        <w:fldChar w:fldCharType="end"/>
      </w:r>
      <w:r w:rsidR="00020BFE">
        <w:rPr>
          <w:rFonts w:ascii="Times New Roman" w:hAnsi="Times New Roman" w:cs="Times New Roman"/>
          <w:sz w:val="20"/>
          <w:szCs w:val="20"/>
        </w:rPr>
        <w:t xml:space="preserve">. Given that </w:t>
      </w:r>
      <w:proofErr w:type="spellStart"/>
      <w:r w:rsidR="00180BED" w:rsidRPr="00982A50">
        <w:rPr>
          <w:rFonts w:ascii="Times New Roman" w:hAnsi="Times New Roman" w:cs="Times New Roman"/>
          <w:sz w:val="20"/>
          <w:szCs w:val="20"/>
        </w:rPr>
        <w:t>istradefylline</w:t>
      </w:r>
      <w:proofErr w:type="spellEnd"/>
      <w:r w:rsidR="00020BFE">
        <w:rPr>
          <w:rFonts w:ascii="Times New Roman" w:hAnsi="Times New Roman" w:cs="Times New Roman"/>
          <w:sz w:val="20"/>
          <w:szCs w:val="20"/>
        </w:rPr>
        <w:t xml:space="preserve"> was associated with more positive interpretation of social situations on the SIP task in the current study, it would be potentially interesting to explore effects of adenosine receptor manipulation in clinical populations </w:t>
      </w:r>
      <w:proofErr w:type="spellStart"/>
      <w:r w:rsidR="00020BFE">
        <w:rPr>
          <w:rFonts w:ascii="Times New Roman" w:hAnsi="Times New Roman" w:cs="Times New Roman"/>
          <w:sz w:val="20"/>
          <w:szCs w:val="20"/>
        </w:rPr>
        <w:t>characterised</w:t>
      </w:r>
      <w:proofErr w:type="spellEnd"/>
      <w:r w:rsidR="00020BFE">
        <w:rPr>
          <w:rFonts w:ascii="Times New Roman" w:hAnsi="Times New Roman" w:cs="Times New Roman"/>
          <w:sz w:val="20"/>
          <w:szCs w:val="20"/>
        </w:rPr>
        <w:t xml:space="preserve"> by abnormalities of social information processing. </w:t>
      </w:r>
    </w:p>
    <w:p w14:paraId="67430848" w14:textId="347E3F55" w:rsidR="00C8009D" w:rsidRPr="00982A50" w:rsidRDefault="00C8009D" w:rsidP="00256EF8">
      <w:pPr>
        <w:spacing w:line="480" w:lineRule="auto"/>
        <w:ind w:firstLine="960"/>
        <w:jc w:val="left"/>
        <w:rPr>
          <w:rFonts w:ascii="Times New Roman" w:hAnsi="Times New Roman" w:cs="Times New Roman"/>
          <w:sz w:val="20"/>
          <w:szCs w:val="20"/>
        </w:rPr>
      </w:pPr>
      <w:r w:rsidRPr="00982A50">
        <w:rPr>
          <w:rFonts w:ascii="Times New Roman" w:hAnsi="Times New Roman" w:cs="Times New Roman"/>
          <w:sz w:val="20"/>
          <w:szCs w:val="20"/>
        </w:rPr>
        <w:t xml:space="preserve">Contrary to our expectations, given pre-clinical findings, and the distribution of adenosine 2a receptors throughout the brain, we did not detect any other effects across a variety of hot and cold cognitive domains. </w:t>
      </w:r>
      <w:r w:rsidR="002756B0" w:rsidRPr="00982A50">
        <w:rPr>
          <w:rFonts w:ascii="Times New Roman" w:hAnsi="Times New Roman" w:cs="Times New Roman"/>
          <w:sz w:val="20"/>
          <w:szCs w:val="20"/>
        </w:rPr>
        <w:t xml:space="preserve">However, it should be noted that this study was designed to detect only drug effects of large size or greater, and so it would have been underpowered to detect </w:t>
      </w:r>
      <w:r w:rsidR="009136C1" w:rsidRPr="00982A50">
        <w:rPr>
          <w:rFonts w:ascii="Times New Roman" w:hAnsi="Times New Roman" w:cs="Times New Roman"/>
          <w:sz w:val="20"/>
          <w:szCs w:val="20"/>
        </w:rPr>
        <w:t>subtler</w:t>
      </w:r>
      <w:r w:rsidR="002756B0" w:rsidRPr="00982A50">
        <w:rPr>
          <w:rFonts w:ascii="Times New Roman" w:hAnsi="Times New Roman" w:cs="Times New Roman"/>
          <w:sz w:val="20"/>
          <w:szCs w:val="20"/>
        </w:rPr>
        <w:t xml:space="preserve"> cognitive effects. Nonetheless, the current data suggest acute doses of 20mg </w:t>
      </w:r>
      <w:proofErr w:type="spellStart"/>
      <w:r w:rsidR="002756B0" w:rsidRPr="00982A50">
        <w:rPr>
          <w:rFonts w:ascii="Times New Roman" w:hAnsi="Times New Roman" w:cs="Times New Roman"/>
          <w:sz w:val="20"/>
          <w:szCs w:val="20"/>
        </w:rPr>
        <w:t>istradefylline</w:t>
      </w:r>
      <w:proofErr w:type="spellEnd"/>
      <w:r w:rsidR="002756B0" w:rsidRPr="00982A50">
        <w:rPr>
          <w:rFonts w:ascii="Times New Roman" w:hAnsi="Times New Roman" w:cs="Times New Roman"/>
          <w:sz w:val="20"/>
          <w:szCs w:val="20"/>
        </w:rPr>
        <w:t xml:space="preserve"> did not have any untoward (e.g. sedative) </w:t>
      </w:r>
      <w:r w:rsidR="003315BE" w:rsidRPr="00982A50">
        <w:rPr>
          <w:rFonts w:ascii="Times New Roman" w:hAnsi="Times New Roman" w:cs="Times New Roman"/>
          <w:sz w:val="20"/>
          <w:szCs w:val="20"/>
        </w:rPr>
        <w:t>deficits</w:t>
      </w:r>
      <w:r w:rsidR="002756B0" w:rsidRPr="00982A50">
        <w:rPr>
          <w:rFonts w:ascii="Times New Roman" w:hAnsi="Times New Roman" w:cs="Times New Roman"/>
          <w:sz w:val="20"/>
          <w:szCs w:val="20"/>
        </w:rPr>
        <w:t xml:space="preserve"> using cognitive tests with established sensitivities to such effects, </w:t>
      </w:r>
      <w:r w:rsidR="009136C1" w:rsidRPr="00982A50">
        <w:rPr>
          <w:rFonts w:ascii="Times New Roman" w:hAnsi="Times New Roman" w:cs="Times New Roman"/>
          <w:sz w:val="20"/>
          <w:szCs w:val="20"/>
        </w:rPr>
        <w:t xml:space="preserve">nor were any cardiovascular effects noted, </w:t>
      </w:r>
      <w:r w:rsidR="002756B0" w:rsidRPr="00982A50">
        <w:rPr>
          <w:rFonts w:ascii="Times New Roman" w:hAnsi="Times New Roman" w:cs="Times New Roman"/>
          <w:sz w:val="20"/>
          <w:szCs w:val="20"/>
        </w:rPr>
        <w:t>which is reassuring in terms of the use of this medication as an add-on treatment for Parkinson’s Disease in some jurisdictions</w:t>
      </w:r>
      <w:r w:rsidR="009136C1" w:rsidRPr="00982A50">
        <w:rPr>
          <w:rFonts w:ascii="Times New Roman" w:hAnsi="Times New Roman" w:cs="Times New Roman"/>
          <w:sz w:val="20"/>
          <w:szCs w:val="20"/>
        </w:rPr>
        <w:t xml:space="preserve">, at least at this dose level. </w:t>
      </w:r>
    </w:p>
    <w:p w14:paraId="6BDB359C" w14:textId="4FDD020E" w:rsidR="00AE7CCC" w:rsidRDefault="00AE7CCC" w:rsidP="000B4A05">
      <w:pPr>
        <w:spacing w:line="480" w:lineRule="auto"/>
        <w:ind w:firstLine="960"/>
        <w:jc w:val="left"/>
        <w:rPr>
          <w:rFonts w:ascii="Times New Roman" w:hAnsi="Times New Roman" w:cs="Times New Roman"/>
          <w:sz w:val="20"/>
          <w:szCs w:val="20"/>
        </w:rPr>
      </w:pPr>
      <w:r w:rsidRPr="00982A50">
        <w:rPr>
          <w:rFonts w:ascii="Times New Roman" w:hAnsi="Times New Roman" w:cs="Times New Roman"/>
          <w:sz w:val="20"/>
          <w:szCs w:val="20"/>
        </w:rPr>
        <w:lastRenderedPageBreak/>
        <w:t xml:space="preserve">Though we believe this to be the first study to comprehensively assess cognitive effects of </w:t>
      </w:r>
      <w:proofErr w:type="spellStart"/>
      <w:r w:rsidRPr="00982A50">
        <w:rPr>
          <w:rFonts w:ascii="Times New Roman" w:hAnsi="Times New Roman" w:cs="Times New Roman"/>
          <w:sz w:val="20"/>
          <w:szCs w:val="20"/>
        </w:rPr>
        <w:t>istrade</w:t>
      </w:r>
      <w:r w:rsidR="00B8755F" w:rsidRPr="00982A50">
        <w:rPr>
          <w:rFonts w:ascii="Times New Roman" w:hAnsi="Times New Roman" w:cs="Times New Roman"/>
          <w:sz w:val="20"/>
          <w:szCs w:val="20"/>
        </w:rPr>
        <w:t>f</w:t>
      </w:r>
      <w:r w:rsidRPr="00982A50">
        <w:rPr>
          <w:rFonts w:ascii="Times New Roman" w:hAnsi="Times New Roman" w:cs="Times New Roman"/>
          <w:sz w:val="20"/>
          <w:szCs w:val="20"/>
        </w:rPr>
        <w:t>ylline</w:t>
      </w:r>
      <w:proofErr w:type="spellEnd"/>
      <w:r w:rsidRPr="00982A50">
        <w:rPr>
          <w:rFonts w:ascii="Times New Roman" w:hAnsi="Times New Roman" w:cs="Times New Roman"/>
          <w:sz w:val="20"/>
          <w:szCs w:val="20"/>
        </w:rPr>
        <w:t xml:space="preserve"> in humans using a range of tests, several limitations should be considered. This was a single-dose study; as such, we do not yet know if </w:t>
      </w:r>
      <w:proofErr w:type="spellStart"/>
      <w:r w:rsidRPr="00982A50">
        <w:rPr>
          <w:rFonts w:ascii="Times New Roman" w:hAnsi="Times New Roman" w:cs="Times New Roman"/>
          <w:sz w:val="20"/>
          <w:szCs w:val="20"/>
        </w:rPr>
        <w:t>istradefylline</w:t>
      </w:r>
      <w:proofErr w:type="spellEnd"/>
      <w:r w:rsidRPr="00982A50">
        <w:rPr>
          <w:rFonts w:ascii="Times New Roman" w:hAnsi="Times New Roman" w:cs="Times New Roman"/>
          <w:sz w:val="20"/>
          <w:szCs w:val="20"/>
        </w:rPr>
        <w:t xml:space="preserve"> given in higher doses and/or with repeated dosing could impact cognition. Our sample size, while adequate to detect large effects, was underpowered to detect </w:t>
      </w:r>
      <w:r w:rsidR="00133D17" w:rsidRPr="00982A50">
        <w:rPr>
          <w:rFonts w:ascii="Times New Roman" w:hAnsi="Times New Roman" w:cs="Times New Roman"/>
          <w:sz w:val="20"/>
          <w:szCs w:val="20"/>
        </w:rPr>
        <w:t>subtler effects.</w:t>
      </w:r>
      <w:r w:rsidR="0039701F">
        <w:rPr>
          <w:rFonts w:ascii="Times New Roman" w:hAnsi="Times New Roman" w:cs="Times New Roman"/>
          <w:sz w:val="20"/>
          <w:szCs w:val="20"/>
        </w:rPr>
        <w:t xml:space="preserve"> It should be noted that this sample had an above average IQ. Future work could examine whether these findings generalize to a wider population. </w:t>
      </w:r>
      <w:r w:rsidR="000B4A05">
        <w:rPr>
          <w:rFonts w:ascii="Times New Roman" w:hAnsi="Times New Roman" w:cs="Times New Roman"/>
          <w:sz w:val="20"/>
          <w:szCs w:val="20"/>
        </w:rPr>
        <w:t xml:space="preserve">Though subjects had higher than population average IQs, we feel it unlikely that ceiling effects contributed to the negative findings reported herein. For example, </w:t>
      </w:r>
      <w:r w:rsidR="0039701F">
        <w:rPr>
          <w:rFonts w:ascii="Times New Roman" w:hAnsi="Times New Roman" w:cs="Times New Roman"/>
          <w:sz w:val="20"/>
          <w:szCs w:val="20"/>
        </w:rPr>
        <w:t>on</w:t>
      </w:r>
      <w:r w:rsidR="00F374F2">
        <w:rPr>
          <w:rFonts w:ascii="Times New Roman" w:hAnsi="Times New Roman" w:cs="Times New Roman"/>
          <w:sz w:val="20"/>
          <w:szCs w:val="20"/>
        </w:rPr>
        <w:t xml:space="preserve"> the CANTAB SWM, there were an average of 51 errors across placebo and drug conditions, while on the CANTAB RVP, the probability of identifying the correct box was 84% across placebo and drug conditions, </w:t>
      </w:r>
      <w:r w:rsidR="0039701F">
        <w:rPr>
          <w:rFonts w:ascii="Times New Roman" w:hAnsi="Times New Roman" w:cs="Times New Roman"/>
          <w:sz w:val="20"/>
          <w:szCs w:val="20"/>
        </w:rPr>
        <w:t xml:space="preserve">suggesting there would be </w:t>
      </w:r>
      <w:r w:rsidR="000B4A05">
        <w:rPr>
          <w:rFonts w:ascii="Times New Roman" w:hAnsi="Times New Roman" w:cs="Times New Roman"/>
          <w:sz w:val="20"/>
          <w:szCs w:val="20"/>
        </w:rPr>
        <w:t xml:space="preserve">ample </w:t>
      </w:r>
      <w:r w:rsidR="0039701F">
        <w:rPr>
          <w:rFonts w:ascii="Times New Roman" w:hAnsi="Times New Roman" w:cs="Times New Roman"/>
          <w:sz w:val="20"/>
          <w:szCs w:val="20"/>
        </w:rPr>
        <w:t>scope for improvement in task performance</w:t>
      </w:r>
      <w:r w:rsidR="000B4A05">
        <w:rPr>
          <w:rFonts w:ascii="Times New Roman" w:hAnsi="Times New Roman" w:cs="Times New Roman"/>
          <w:sz w:val="20"/>
          <w:szCs w:val="20"/>
        </w:rPr>
        <w:t xml:space="preserve"> through a cognitive enhancing manipulation</w:t>
      </w:r>
      <w:r w:rsidR="0039701F">
        <w:rPr>
          <w:rFonts w:ascii="Times New Roman" w:hAnsi="Times New Roman" w:cs="Times New Roman"/>
          <w:sz w:val="20"/>
          <w:szCs w:val="20"/>
        </w:rPr>
        <w:t>.</w:t>
      </w:r>
      <w:r w:rsidR="000B4A05">
        <w:rPr>
          <w:rFonts w:ascii="Times New Roman" w:hAnsi="Times New Roman" w:cs="Times New Roman"/>
          <w:sz w:val="20"/>
          <w:szCs w:val="20"/>
        </w:rPr>
        <w:t xml:space="preserve"> While we cannot rule out the</w:t>
      </w:r>
      <w:r w:rsidR="008523CE">
        <w:rPr>
          <w:rFonts w:ascii="Times New Roman" w:hAnsi="Times New Roman" w:cs="Times New Roman"/>
          <w:sz w:val="20"/>
          <w:szCs w:val="20"/>
        </w:rPr>
        <w:t xml:space="preserve"> possibility that differences in participants’ caffeine intake could have affected the study results, however we feel this is unlikely</w:t>
      </w:r>
      <w:r w:rsidR="000B4A05">
        <w:rPr>
          <w:rFonts w:ascii="Times New Roman" w:hAnsi="Times New Roman" w:cs="Times New Roman"/>
          <w:sz w:val="20"/>
          <w:szCs w:val="20"/>
        </w:rPr>
        <w:t>:</w:t>
      </w:r>
      <w:r w:rsidR="008523CE">
        <w:rPr>
          <w:rFonts w:ascii="Times New Roman" w:hAnsi="Times New Roman" w:cs="Times New Roman"/>
          <w:sz w:val="20"/>
          <w:szCs w:val="20"/>
        </w:rPr>
        <w:t xml:space="preserve"> the study </w:t>
      </w:r>
      <w:r w:rsidR="000B4A05">
        <w:rPr>
          <w:rFonts w:ascii="Times New Roman" w:hAnsi="Times New Roman" w:cs="Times New Roman"/>
          <w:sz w:val="20"/>
          <w:szCs w:val="20"/>
        </w:rPr>
        <w:t>used</w:t>
      </w:r>
      <w:r w:rsidR="008523CE">
        <w:rPr>
          <w:rFonts w:ascii="Times New Roman" w:hAnsi="Times New Roman" w:cs="Times New Roman"/>
          <w:sz w:val="20"/>
          <w:szCs w:val="20"/>
        </w:rPr>
        <w:t xml:space="preserve"> a cross-over design with each participant acting as their own control </w:t>
      </w:r>
      <w:r w:rsidR="008D7BCE">
        <w:rPr>
          <w:rFonts w:ascii="Times New Roman" w:hAnsi="Times New Roman" w:cs="Times New Roman"/>
          <w:sz w:val="20"/>
          <w:szCs w:val="20"/>
        </w:rPr>
        <w:t>to</w:t>
      </w:r>
      <w:r w:rsidR="008523CE">
        <w:rPr>
          <w:rFonts w:ascii="Times New Roman" w:hAnsi="Times New Roman" w:cs="Times New Roman"/>
          <w:sz w:val="20"/>
          <w:szCs w:val="20"/>
        </w:rPr>
        <w:t xml:space="preserve"> minimize inter-individual differences. </w:t>
      </w:r>
      <w:r w:rsidR="00133D17" w:rsidRPr="00982A50">
        <w:rPr>
          <w:rFonts w:ascii="Times New Roman" w:hAnsi="Times New Roman" w:cs="Times New Roman"/>
          <w:sz w:val="20"/>
          <w:szCs w:val="20"/>
        </w:rPr>
        <w:t xml:space="preserve">Lastly, we did not correct for multiple comparisons because this was an exploratory study with a sample size inappropriate for statistical correction due to power. </w:t>
      </w:r>
      <w:r w:rsidR="00D015B1">
        <w:rPr>
          <w:rFonts w:ascii="Times New Roman" w:hAnsi="Times New Roman" w:cs="Times New Roman"/>
          <w:sz w:val="20"/>
          <w:szCs w:val="20"/>
        </w:rPr>
        <w:t>This may provide a potential alternative explanation for the significant result on the SIP.</w:t>
      </w:r>
      <w:r w:rsidR="001809A1">
        <w:rPr>
          <w:rFonts w:ascii="Times New Roman" w:hAnsi="Times New Roman" w:cs="Times New Roman"/>
          <w:sz w:val="20"/>
          <w:szCs w:val="20"/>
        </w:rPr>
        <w:t xml:space="preserve"> </w:t>
      </w:r>
      <w:r w:rsidR="00133D17" w:rsidRPr="00982A50">
        <w:rPr>
          <w:rFonts w:ascii="Times New Roman" w:hAnsi="Times New Roman" w:cs="Times New Roman"/>
          <w:sz w:val="20"/>
          <w:szCs w:val="20"/>
        </w:rPr>
        <w:t xml:space="preserve"> </w:t>
      </w:r>
    </w:p>
    <w:p w14:paraId="2BCA9FFC" w14:textId="0351A335" w:rsidR="001809A1" w:rsidRPr="00982A50" w:rsidRDefault="001809A1" w:rsidP="00256EF8">
      <w:pPr>
        <w:spacing w:line="480" w:lineRule="auto"/>
        <w:ind w:firstLine="960"/>
        <w:jc w:val="left"/>
        <w:rPr>
          <w:rFonts w:ascii="Times New Roman" w:hAnsi="Times New Roman" w:cs="Times New Roman"/>
          <w:sz w:val="20"/>
          <w:szCs w:val="20"/>
        </w:rPr>
      </w:pPr>
      <w:r>
        <w:rPr>
          <w:rFonts w:ascii="Times New Roman" w:hAnsi="Times New Roman" w:cs="Times New Roman"/>
          <w:sz w:val="20"/>
          <w:szCs w:val="20"/>
        </w:rPr>
        <w:lastRenderedPageBreak/>
        <w:t xml:space="preserve">Future work could include electrophysiological measures to help determine if the effect of </w:t>
      </w:r>
      <w:proofErr w:type="spellStart"/>
      <w:r>
        <w:rPr>
          <w:rFonts w:ascii="Times New Roman" w:hAnsi="Times New Roman" w:cs="Times New Roman"/>
          <w:sz w:val="20"/>
          <w:szCs w:val="20"/>
        </w:rPr>
        <w:t>istradefylline</w:t>
      </w:r>
      <w:proofErr w:type="spellEnd"/>
      <w:r>
        <w:rPr>
          <w:rFonts w:ascii="Times New Roman" w:hAnsi="Times New Roman" w:cs="Times New Roman"/>
          <w:sz w:val="20"/>
          <w:szCs w:val="20"/>
        </w:rPr>
        <w:t xml:space="preserve"> on cognition reflects central rather than peripheral effects. The significant result in the current cannot conclusively be determined to be the result of central effects, however we believe it is unlikely to be resulting from peripheral effects as we found no effects of medication on cardiovascular perimeters. </w:t>
      </w:r>
    </w:p>
    <w:p w14:paraId="24177253" w14:textId="4FA4E9A5" w:rsidR="005203C1" w:rsidRPr="00982A50" w:rsidRDefault="003553DD" w:rsidP="00C60C34">
      <w:pPr>
        <w:spacing w:line="480" w:lineRule="auto"/>
        <w:jc w:val="left"/>
        <w:rPr>
          <w:rFonts w:ascii="Times New Roman" w:hAnsi="Times New Roman" w:cs="Times New Roman"/>
          <w:sz w:val="20"/>
          <w:szCs w:val="20"/>
        </w:rPr>
      </w:pPr>
      <w:r w:rsidRPr="00982A50">
        <w:rPr>
          <w:rFonts w:ascii="Times New Roman" w:hAnsi="Times New Roman" w:cs="Times New Roman"/>
          <w:sz w:val="20"/>
          <w:szCs w:val="20"/>
        </w:rPr>
        <w:tab/>
        <w:t xml:space="preserve">In conclusion, we found </w:t>
      </w:r>
      <w:r w:rsidR="00D12635" w:rsidRPr="00982A50">
        <w:rPr>
          <w:rFonts w:ascii="Times New Roman" w:hAnsi="Times New Roman" w:cs="Times New Roman"/>
          <w:sz w:val="20"/>
          <w:szCs w:val="20"/>
        </w:rPr>
        <w:t xml:space="preserve">initial novel evidence of </w:t>
      </w:r>
      <w:r w:rsidRPr="00982A50">
        <w:rPr>
          <w:rFonts w:ascii="Times New Roman" w:hAnsi="Times New Roman" w:cs="Times New Roman"/>
          <w:sz w:val="20"/>
          <w:szCs w:val="20"/>
        </w:rPr>
        <w:t xml:space="preserve">a role for adenosine 2a receptors in emotional processing on the Social Information Preference test, biasing towards positive. This may be relevant to conditions such as ADHD, which are often characterized by emotional dysregulation </w:t>
      </w:r>
      <w:r w:rsidR="00A977DB">
        <w:rPr>
          <w:rFonts w:ascii="Times New Roman" w:hAnsi="Times New Roman" w:cs="Times New Roman"/>
          <w:sz w:val="20"/>
          <w:szCs w:val="20"/>
        </w:rPr>
        <w:fldChar w:fldCharType="begin" w:fldLock="1"/>
      </w:r>
      <w:r w:rsidR="00712E83">
        <w:rPr>
          <w:rFonts w:ascii="Times New Roman" w:hAnsi="Times New Roman" w:cs="Times New Roman"/>
          <w:sz w:val="20"/>
          <w:szCs w:val="20"/>
        </w:rPr>
        <w:instrText>ADDIN CSL_CITATION {"citationItems":[{"id":"ITEM-1","itemData":{"DOI":"10.1016/j.jad.2018.02.007","ISSN":"15732517","abstract":"Background: Clinical observations suggest that adults have more diverse deficits than children with Attention Deficit/Hyperactivity Disorder (ADHD). These seem to entail difficulties with emotionality, self-concept and emotion regulation in particular, along with the cardinal symptoms of inattention, impulsivity, and hyperactivity for adult patients. Here, we probed a model that explicitly distinguished positive and negative affect, problems with self-concept and emotion regulation skills as distinct but correlating factors with the symptom domains of inattention, hyperactivity, and impulsivity. Methods: Participants were 213 newly diagnosed adults with ADHD (62.9% male, mean age 33.5 years). Symptoms were assessed via self-report on the Conners’ Adult ADHD Rating Scales, a modified version of the Positive and Negative Affect Scale and the Emotion Regulation Skill Questionnaire. A confirmatory factor analysis with the R package lavaan, using a robust Maximum Likelihood estimator (MLR) for non-normal data, was conducted to test our new non-hierarchical 7-factor model. Results: All calculated model-fit statistics revealed good model-fit (χ2/df ratio = 2.03, robust RMSEA =.07). The SRMR in our model reached.089, indicating an acceptable model fit. Factor loadings on the postulated factors had salient loadings ≥.31 except for one item on the hyperactivity factor. Latent factor associations were especially salient between emotional dysregulation and problems with self-concept, and also partially with impulsivity/emotional lability. Limitations: The three models of ADHD and emotion regulation as suggested by Shaw et al. (2014) could not be disentangled in this study, though the overall results support the model with shared neurocognitive deficits. Further, we did not separately analyze ADHD with or without comorbid disorders. As our sample of clinical cases with ADHD is highly comorbid (47.9%), other disorders than ADHD might account for the emotion regulation deficits, though a sensitivity analysis revealed no such differences. Conclusions: Our model adequately characterizes the relations between and among clinically and therapeutically relevant symptoms in adult ADHD, thus potentially informing future therapeutic interventions by targeting the successful and flexible use of adaptive emotion regulation skills.","author":[{"dropping-particle":"","family":"Hirsch","given":"Oliver","non-dropping-particle":"","parse-names":false,"suffix":""},{"dropping-particle":"","family":"Chavanon","given":"Mira Lynn","non-dropping-particle":"","parse-names":false,"suffix":""},{"dropping-particle":"","family":"Riechmann","given":"Elke","non-dropping-particle":"","parse-names":false,"suffix":""},{"dropping-particle":"","family":"Christiansen","given":"Hanna","non-dropping-particle":"","parse-names":false,"suffix":""}],"container-title":"Journal of Affective Disorders","id":"ITEM-1","issued":{"date-parts":[["2018"]]},"title":"Emotional dysregulation is a primary symptom in adult Attention-Deficit/Hyperactivity Disorder (ADHD)","type":"article-journal","volume":"232"},"uris":["http://www.mendeley.com/documents/?uuid=a6483dbe-4de0-3e83-9a47-bff15f1bb3ac"]}],"mendeley":{"formattedCitation":"(Hirsch et al., 2018)","plainTextFormattedCitation":"(Hirsch et al., 2018)","previouslyFormattedCitation":"(Hirsch et al., 2018)"},"properties":{"noteIndex":0},"schema":"https://github.com/citation-style-language/schema/raw/master/csl-citation.json"}</w:instrText>
      </w:r>
      <w:r w:rsidR="00A977DB">
        <w:rPr>
          <w:rFonts w:ascii="Times New Roman" w:hAnsi="Times New Roman" w:cs="Times New Roman"/>
          <w:sz w:val="20"/>
          <w:szCs w:val="20"/>
        </w:rPr>
        <w:fldChar w:fldCharType="separate"/>
      </w:r>
      <w:r w:rsidR="00A977DB" w:rsidRPr="00A977DB">
        <w:rPr>
          <w:rFonts w:ascii="Times New Roman" w:hAnsi="Times New Roman" w:cs="Times New Roman"/>
          <w:noProof/>
          <w:sz w:val="20"/>
          <w:szCs w:val="20"/>
        </w:rPr>
        <w:t>(Hirsch et al., 2018)</w:t>
      </w:r>
      <w:r w:rsidR="00A977DB">
        <w:rPr>
          <w:rFonts w:ascii="Times New Roman" w:hAnsi="Times New Roman" w:cs="Times New Roman"/>
          <w:sz w:val="20"/>
          <w:szCs w:val="20"/>
        </w:rPr>
        <w:fldChar w:fldCharType="end"/>
      </w:r>
      <w:r w:rsidR="00D12635" w:rsidRPr="00982A50">
        <w:rPr>
          <w:rFonts w:ascii="Times New Roman" w:hAnsi="Times New Roman" w:cs="Times New Roman"/>
          <w:sz w:val="20"/>
          <w:szCs w:val="20"/>
        </w:rPr>
        <w:t>. The study highlights the need for more research into the role different adenosine receptors in human cognition, both in healt</w:t>
      </w:r>
      <w:r w:rsidR="00C0201E" w:rsidRPr="00982A50">
        <w:rPr>
          <w:rFonts w:ascii="Times New Roman" w:hAnsi="Times New Roman" w:cs="Times New Roman"/>
          <w:sz w:val="20"/>
          <w:szCs w:val="20"/>
        </w:rPr>
        <w:t xml:space="preserve">hy controls and patient groups. </w:t>
      </w:r>
    </w:p>
    <w:p w14:paraId="4422BF41" w14:textId="77777777" w:rsidR="00503273" w:rsidRPr="00982A50" w:rsidRDefault="00503273" w:rsidP="00C60C34">
      <w:pPr>
        <w:spacing w:line="480" w:lineRule="auto"/>
        <w:jc w:val="left"/>
        <w:rPr>
          <w:rFonts w:ascii="Times New Roman" w:hAnsi="Times New Roman" w:cs="Times New Roman"/>
          <w:b/>
          <w:bCs/>
          <w:sz w:val="20"/>
          <w:szCs w:val="20"/>
        </w:rPr>
      </w:pPr>
    </w:p>
    <w:p w14:paraId="64F0CAAC" w14:textId="317CEAE9" w:rsidR="00F231BE" w:rsidRPr="00982A50" w:rsidRDefault="00F231BE" w:rsidP="006C1C47">
      <w:pPr>
        <w:pStyle w:val="NoSpacing"/>
        <w:ind w:left="958" w:hanging="958"/>
        <w:rPr>
          <w:rFonts w:ascii="Times New Roman" w:hAnsi="Times New Roman" w:cs="Times New Roman"/>
          <w:sz w:val="20"/>
          <w:szCs w:val="20"/>
        </w:rPr>
      </w:pPr>
    </w:p>
    <w:p w14:paraId="204CC417" w14:textId="3C0B58DC" w:rsidR="00DE1C31" w:rsidRPr="00982A50" w:rsidRDefault="00DE1C31" w:rsidP="006C1C47">
      <w:pPr>
        <w:pStyle w:val="NoSpacing"/>
        <w:ind w:left="958" w:hanging="958"/>
        <w:rPr>
          <w:rFonts w:ascii="Times New Roman" w:hAnsi="Times New Roman" w:cs="Times New Roman"/>
          <w:sz w:val="20"/>
          <w:szCs w:val="20"/>
        </w:rPr>
      </w:pPr>
    </w:p>
    <w:p w14:paraId="1A5CB3BC" w14:textId="5C362F7A" w:rsidR="00DE1C31" w:rsidRDefault="00DE1C31" w:rsidP="006C1C47">
      <w:pPr>
        <w:pStyle w:val="NoSpacing"/>
        <w:ind w:left="958" w:hanging="958"/>
        <w:rPr>
          <w:rFonts w:ascii="Times New Roman" w:hAnsi="Times New Roman" w:cs="Times New Roman"/>
          <w:sz w:val="20"/>
          <w:szCs w:val="20"/>
        </w:rPr>
      </w:pPr>
    </w:p>
    <w:p w14:paraId="25C85455" w14:textId="115801C5" w:rsidR="00BC45C2" w:rsidRDefault="00BC45C2" w:rsidP="006C1C47">
      <w:pPr>
        <w:pStyle w:val="NoSpacing"/>
        <w:ind w:left="958" w:hanging="958"/>
        <w:rPr>
          <w:rFonts w:ascii="Times New Roman" w:hAnsi="Times New Roman" w:cs="Times New Roman"/>
          <w:sz w:val="20"/>
          <w:szCs w:val="20"/>
        </w:rPr>
      </w:pPr>
    </w:p>
    <w:p w14:paraId="7848A194" w14:textId="1E2F3702" w:rsidR="00BC45C2" w:rsidRDefault="00BC45C2" w:rsidP="006C1C47">
      <w:pPr>
        <w:pStyle w:val="NoSpacing"/>
        <w:ind w:left="958" w:hanging="958"/>
        <w:rPr>
          <w:rFonts w:ascii="Times New Roman" w:hAnsi="Times New Roman" w:cs="Times New Roman"/>
          <w:sz w:val="20"/>
          <w:szCs w:val="20"/>
        </w:rPr>
      </w:pPr>
    </w:p>
    <w:p w14:paraId="145E1369" w14:textId="781B4D4A" w:rsidR="00C95B4C" w:rsidRDefault="00C95B4C" w:rsidP="006C1C47">
      <w:pPr>
        <w:pStyle w:val="NoSpacing"/>
        <w:ind w:left="958" w:hanging="958"/>
        <w:rPr>
          <w:rFonts w:ascii="Times New Roman" w:hAnsi="Times New Roman" w:cs="Times New Roman"/>
          <w:sz w:val="20"/>
          <w:szCs w:val="20"/>
        </w:rPr>
      </w:pPr>
    </w:p>
    <w:p w14:paraId="4A710389" w14:textId="6CA1735C" w:rsidR="00C95B4C" w:rsidRDefault="00C95B4C" w:rsidP="006C1C47">
      <w:pPr>
        <w:pStyle w:val="NoSpacing"/>
        <w:ind w:left="958" w:hanging="958"/>
        <w:rPr>
          <w:rFonts w:ascii="Times New Roman" w:hAnsi="Times New Roman" w:cs="Times New Roman"/>
          <w:sz w:val="20"/>
          <w:szCs w:val="20"/>
        </w:rPr>
      </w:pPr>
    </w:p>
    <w:p w14:paraId="08D39366" w14:textId="37CA7703" w:rsidR="00C95B4C" w:rsidRDefault="00C95B4C" w:rsidP="006C1C47">
      <w:pPr>
        <w:pStyle w:val="NoSpacing"/>
        <w:ind w:left="958" w:hanging="958"/>
        <w:rPr>
          <w:rFonts w:ascii="Times New Roman" w:hAnsi="Times New Roman" w:cs="Times New Roman"/>
          <w:sz w:val="20"/>
          <w:szCs w:val="20"/>
        </w:rPr>
      </w:pPr>
    </w:p>
    <w:p w14:paraId="076D6F4E" w14:textId="77777777" w:rsidR="00981782" w:rsidRDefault="00981782" w:rsidP="00981782">
      <w:pPr>
        <w:pStyle w:val="NoSpacing"/>
        <w:rPr>
          <w:rFonts w:ascii="Times New Roman" w:hAnsi="Times New Roman" w:cs="Times New Roman"/>
          <w:sz w:val="20"/>
          <w:szCs w:val="20"/>
        </w:rPr>
      </w:pPr>
    </w:p>
    <w:p w14:paraId="635CCAD2" w14:textId="5AA4749C" w:rsidR="00C94D20" w:rsidRDefault="00BC45C2" w:rsidP="006C1C47">
      <w:pPr>
        <w:pStyle w:val="NoSpacing"/>
        <w:ind w:left="958" w:hanging="958"/>
        <w:rPr>
          <w:rFonts w:ascii="Times New Roman" w:hAnsi="Times New Roman" w:cs="Times New Roman"/>
          <w:sz w:val="20"/>
          <w:szCs w:val="20"/>
        </w:rPr>
      </w:pPr>
      <w:r>
        <w:rPr>
          <w:rFonts w:ascii="Times New Roman" w:hAnsi="Times New Roman" w:cs="Times New Roman"/>
          <w:sz w:val="20"/>
          <w:szCs w:val="20"/>
        </w:rPr>
        <w:t>References</w:t>
      </w:r>
    </w:p>
    <w:p w14:paraId="3C3349C5" w14:textId="421A0CCC" w:rsidR="00A323DC" w:rsidRPr="00A323DC" w:rsidRDefault="00BC45C2" w:rsidP="00A323DC">
      <w:pPr>
        <w:autoSpaceDE w:val="0"/>
        <w:autoSpaceDN w:val="0"/>
        <w:adjustRightInd w:val="0"/>
        <w:ind w:left="480" w:hanging="480"/>
        <w:rPr>
          <w:rFonts w:ascii="Times New Roman" w:hAnsi="Times New Roman" w:cs="Times New Roman"/>
          <w:noProof/>
          <w:sz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 xml:space="preserve">ADDIN Mendeley Bibliography CSL_BIBLIOGRAPHY </w:instrText>
      </w:r>
      <w:r>
        <w:rPr>
          <w:rFonts w:ascii="Times New Roman" w:hAnsi="Times New Roman" w:cs="Times New Roman"/>
          <w:sz w:val="20"/>
          <w:szCs w:val="20"/>
        </w:rPr>
        <w:fldChar w:fldCharType="separate"/>
      </w:r>
      <w:r w:rsidR="00A323DC" w:rsidRPr="00A323DC">
        <w:rPr>
          <w:rFonts w:ascii="Times New Roman" w:hAnsi="Times New Roman" w:cs="Times New Roman"/>
          <w:noProof/>
          <w:sz w:val="20"/>
        </w:rPr>
        <w:t xml:space="preserve">Ainslie, G., 1975. Specious reward: A behavioral theory of impulsiveness and impulse control. Psychol. </w:t>
      </w:r>
      <w:r w:rsidR="00A323DC" w:rsidRPr="00A323DC">
        <w:rPr>
          <w:rFonts w:ascii="Times New Roman" w:hAnsi="Times New Roman" w:cs="Times New Roman"/>
          <w:noProof/>
          <w:sz w:val="20"/>
        </w:rPr>
        <w:lastRenderedPageBreak/>
        <w:t>Bull. 82. https://doi.org/10.1037/h0076860</w:t>
      </w:r>
    </w:p>
    <w:p w14:paraId="16A1E994"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Berry, K., Bucci, S., Kinderman, P., Emsley, R., Corcoran, R., 2015. An investigation of attributional style, theory of mind and executive functioning in acute paranoia and remission. Psychiatry Res. 226. https://doi.org/10.1016/j.psychres.2014.12.009</w:t>
      </w:r>
    </w:p>
    <w:p w14:paraId="5C8A9287"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Bland, A.R., Roiser, J.P., Mehta, M.A., Schei, T., Boland, H., Campbell-Meiklejohn, D.K., Emsley, R.A., Munafo, M.R., Penton-Voak, I.S., Seara-Cardoso, A., Viding, E., Voon, V., Sahakian, B.J., Robbins, T.W., Elliott, R., 2016. EMOTICOM: A neuropsychological test battery to evaluate emotion, motivation, impulsivity, and social cognition. Front. Behav. Neurosci. https://doi.org/10.3389/fnbeh.2016.00025</w:t>
      </w:r>
    </w:p>
    <w:p w14:paraId="4B2434FC"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Challman, T.D., Lipsky, J.J., 2000. Methylphenidate: Its pharmacology and uses. Mayo Clin. Proc. https://doi.org/10.4065/75.7.711</w:t>
      </w:r>
    </w:p>
    <w:p w14:paraId="47118F9F"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Chamberlain, S.R., Blackwell, A.D., Fineberg, N.A., Robbins, T.W., Sahakian, B.J., 2005. The neuropsychology of obsessive compulsive disorder: The importance of failures in cognitive and behavioural inhibition as candidate endophenotypic markers. Neurosci. Biobehav. Rev. https://doi.org/10.1016/j.neubiorev.2004.11.006</w:t>
      </w:r>
    </w:p>
    <w:p w14:paraId="07BFAC12"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Chamberlain, S.R., Sakakian, B.J., 2006. The neuropsychology of mood disorders. Curr. Psychiatry Rep. https://doi.org/10.1007/s11920-006-0051-x</w:t>
      </w:r>
    </w:p>
    <w:p w14:paraId="5F38D1D4"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Dam, V.H., Thystrup, C.K., Jensen, P.S., Bland, A.R., Mortensen, E.L., Elliott, R., Sahakian, B.J., Knudsen, G.M., Frokjaer, V.G., Stenbæk, D.S., 2019. Psychometric Properties and Validation of the EMOTICOM Test Battery in a Healthy Danish Population. Front. Psychol. https://doi.org/10.3389/fpsyg.2019.02660</w:t>
      </w:r>
    </w:p>
    <w:p w14:paraId="21D6A110"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Encyclopedia of Dietary Supplements, 2010. , Encyclopedia of Dietary Supplements. https://doi.org/10.1201/b14669</w:t>
      </w:r>
    </w:p>
    <w:p w14:paraId="41ED9DA2"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Ferré, S., Quiroz, C., Orru, M., Guitart, X., Navarro, G., Cortés, A., Casadó, V., Canela, E.I., Lluis, C., Franco, R., 2011. Adenosine A 2A receptors and A 2A receptor heteromers as key players in striatal function. Front. Neuroanat. https://doi.org/10.3389/fnana.2011.00036</w:t>
      </w:r>
    </w:p>
    <w:p w14:paraId="53C519E1"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Fink, J.S., Weaver, D.R., Rivkees, S.A., Peterfreund, R.A., Pollack, A.E., Adler, E.M., Reppert, S.M., 1992. Molecular cloning of the rat A2 adenosine receptor: selective co-expression with D2 dopamine receptors in rat striatum. Mol. Brain Res. 14. https://doi.org/10.1016/0169-328X(92)90173-9</w:t>
      </w:r>
    </w:p>
    <w:p w14:paraId="4B7EB843"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García-Villamisar, D., Dattilo, J., 2015. Executive functioning in people with obsessive-compulsive personality traits: Evidence of modest impairment. J. Pers. Disord. 29. https://doi.org/10.1521/pedi_2013_27_101</w:t>
      </w:r>
    </w:p>
    <w:p w14:paraId="576FAEEA"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 xml:space="preserve">Garfinkel, B.D., Webster, C.D., Sloman, L., 1975. Methylphenidate and caffeine in the treatment of children </w:t>
      </w:r>
      <w:r w:rsidRPr="00A323DC">
        <w:rPr>
          <w:rFonts w:ascii="Times New Roman" w:hAnsi="Times New Roman" w:cs="Times New Roman"/>
          <w:noProof/>
          <w:sz w:val="20"/>
        </w:rPr>
        <w:lastRenderedPageBreak/>
        <w:t>with minimal brain dysfunction. Am. J. Psychiatry 132. https://doi.org/10.1176/ajp.132.7.723</w:t>
      </w:r>
    </w:p>
    <w:p w14:paraId="72963945"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Geiger, M.J., Domschke, K., Homola, G.A., Schulz, S.M., Nowak, J., Akhrif, A., Pauli, P., Deckert, J., Neufang, S., 2016. ADORA2A genotype modulates interoceptive and exteroceptive processing in a fronto-insular network. Eur. Neuropsychopharmacol. 26. https://doi.org/10.1016/j.euroneuro.2016.05.007</w:t>
      </w:r>
    </w:p>
    <w:p w14:paraId="08200C59"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Giménez-Llort, L., Schiffmann, S.N., Shmidt, T., Canela, L., Camón, L., Wassholm, M., Canals, M., Terasmaa, A., Fernández-Teruel, A., Tobeña, A., Popova, E., Ferré, S., Agnati, L., Ciruela, F., Martínez, E., Scheel-Kruger, J., Lluis, C., Franco, R., Fuxe, K., Bader, M., 2007. Working memory deficits in transgenic rats overexpressing human adenosine A2A receptors in the brain. Neurobiol. Learn. Mem. 87. https://doi.org/10.1016/j.nlm.2006.05.004</w:t>
      </w:r>
    </w:p>
    <w:p w14:paraId="5086649C"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Hauser, R.A., Hubble, J.P., Truong, D.D., 2003. Randomized trial of the adenosine A2A receptor antagonist istradefylline in advanced PD. Neurology 61. https://doi.org/10.1212/01.WNL.0000081227.84197.0B</w:t>
      </w:r>
    </w:p>
    <w:p w14:paraId="4ECE89F1"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Hauser, R.A., Shulman, L.M., Trugman, J.M., Roberts, J.W., Mori, A., Ballerini, R., Sussman, N.M., 2008. Study of istradefylline in patients with Parkinson’s disease on levodopa with motor fluctuations. Mov. Disord. 23. https://doi.org/10.1002/mds.22095</w:t>
      </w:r>
    </w:p>
    <w:p w14:paraId="648EB126"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Hirsch, O., Chavanon, M.L., Riechmann, E., Christiansen, H., 2018. Emotional dysregulation is a primary symptom in adult Attention-Deficit/Hyperactivity Disorder (ADHD). J. Affect. Disord. 232. https://doi.org/10.1016/j.jad.2018.02.007</w:t>
      </w:r>
    </w:p>
    <w:p w14:paraId="512EED66"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Ioannidis, K., Chamberlain, S.R., Müller, U., 2014. Ostracising caffeine from the pharmacological arsenal for attention-deficit hyperactivity disorder - Was this a correct decision? A literature review. J. Psychopharmacol. https://doi.org/10.1177/0269881114541014</w:t>
      </w:r>
    </w:p>
    <w:p w14:paraId="10563FCB"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Kadowaki Horita, T., Kobayashi, M., Mori, A., Jenner, P., Kanda, T., 2013. Effects of the adenosine A2A antagonist istradefylline on cognitive performance in rats with a 6-OHDA lesion in prefrontal cortex. Psychopharmacology (Berl). 230. https://doi.org/10.1007/s00213-013-3158-x</w:t>
      </w:r>
    </w:p>
    <w:p w14:paraId="57DA0B23"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Kehagia, A.A., Murray, G.K., Robbins, T.W., 2010. Learning and cognitive flexibility: Frontostriatal function and monoaminergic modulation. Curr. Opin. Neurobiol. https://doi.org/10.1016/j.conb.2010.01.007</w:t>
      </w:r>
    </w:p>
    <w:p w14:paraId="62EA26FD"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Kollins, S.H., 2008. ADHD, substance use disorders, and psychostimulant treatment: Current literature and treatment guidelines. J. Atten. Disord. https://doi.org/10.1177/1087054707311654</w:t>
      </w:r>
    </w:p>
    <w:p w14:paraId="4BE6999E"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 xml:space="preserve">Leffa, D.T., Ferreira, S.G., Machado, N.J., Souza, C.M., da Rosa, F., de Carvalho, C., Kincheski, G.C., Takahashi, R.N., Porciúncula, L.O., Souza, D.O., Cunha, R.A., Pandolfo, P., 2019. Caffeine and cannabinoid receptors modulate impulsive behavior in an animal model of attentional deficit and </w:t>
      </w:r>
      <w:r w:rsidRPr="00A323DC">
        <w:rPr>
          <w:rFonts w:ascii="Times New Roman" w:hAnsi="Times New Roman" w:cs="Times New Roman"/>
          <w:noProof/>
          <w:sz w:val="20"/>
        </w:rPr>
        <w:lastRenderedPageBreak/>
        <w:t>hyperactivity disorder. Eur. J. Neurosci. 49. https://doi.org/10.1111/ejn.14348</w:t>
      </w:r>
    </w:p>
    <w:p w14:paraId="163DEC26" w14:textId="77777777" w:rsidR="0099463B" w:rsidRDefault="0099463B"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Lopes, L., M. Sebastiao, A., A. Ribeiro, J., 2011. Adenosine and Related Drugs in Brain Diseases: Present and Future in Clinical Trials. Curr. Top. Med. Chem. 11. https://doi.org/10.2174/156802611795347591</w:t>
      </w:r>
    </w:p>
    <w:p w14:paraId="68A016D7" w14:textId="1D9FCB10"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McLellan, T.M., Caldwell, J.A., Lieberman, H.R., 2016. A review of caffeine’s effects on cognitive, physical and occupational performance. Neurosci. Biobehav. Rev. https://doi.org/10.1016/j.neubiorev.2016.09.001</w:t>
      </w:r>
    </w:p>
    <w:p w14:paraId="60992B24"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Mehta, M.A., Sahakian, B.J., McKenna, P.J., Robbins, T.W., 1999. Systemic sulpiride in young adult volunteers simulates the profile of cognitive deficits in Parkinson’s disease. Psychopharmacology (Berl). 146. https://doi.org/10.1007/s002130051102</w:t>
      </w:r>
    </w:p>
    <w:p w14:paraId="6F18F9A3"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Mehta, M.A., Swainson, R., Ogilvie, A.D., Sahakian, B., Robbins, T.W., 2001. Improved short-term spatial memory but impaired reversal learning following the dopamine D2 agonist bromocriptine in human volunteers. Psychopharmacology (Berl). 159. https://doi.org/10.1007/s002130100851</w:t>
      </w:r>
    </w:p>
    <w:p w14:paraId="2C2DE232"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Montgomery SA, A.M., 1979. The Montgomery-Asberg Depression Scale ( MADRS ). Br. J. Psychiatry.</w:t>
      </w:r>
    </w:p>
    <w:p w14:paraId="774B54EE"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Moscoso-Castro, M., Gracia-Rubio, I., Ciruela, F., Valverde, O., 2016. Genetic blockade of adenosine A2A receptors induces cognitive impairments and anatomical changes related to psychotic symptoms in mice. Eur. Neuropsychopharmacol. 26. https://doi.org/10.1016/j.euroneuro.2016.04.003</w:t>
      </w:r>
    </w:p>
    <w:p w14:paraId="20061437"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Nelson, H.E., 1982. The National Adult Reading Test (NART): Test Manual. Wind. UK NFER-Nelson.</w:t>
      </w:r>
    </w:p>
    <w:p w14:paraId="24424F3C"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Ott, T., Nieder, A., 2019. Dopamine and Cognitive Control in Prefrontal Cortex. Trends Cogn. Sci. https://doi.org/10.1016/j.tics.2018.12.006</w:t>
      </w:r>
    </w:p>
    <w:p w14:paraId="1EE66EB1"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Patton, J. H., Stanford, M. S., Barratt, E.S., 1995. Factor structure of the barratt impulsiveness scale. J. Clin. Psychol. 51, 768–774. https://doi.org/10.1002/1097-4679(199511)51:63.0.CO;2-1</w:t>
      </w:r>
    </w:p>
    <w:p w14:paraId="09313121"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Robbins, T.W., Roberts, A.C., 2007. Differential regulation of fronto-executive function by the monoamines and acetylcholine. Cereb. Cortex 17. https://doi.org/10.1093/cercor/bhm066</w:t>
      </w:r>
    </w:p>
    <w:p w14:paraId="3F3674A3"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Roiser, J.P., Sahakian, B.J., 2013. Hot and cold cognition in depression. CNS Spectr. https://doi.org/10.1017/S1092852913000072</w:t>
      </w:r>
    </w:p>
    <w:p w14:paraId="27256D27"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Saki, M., Yamada, K., Koshimura, E., Sasaki, K., Kanda, T., 2013. In vitro pharmacological profile of the A2A receptor antagonist istradefylline. Naunyn. Schmiedebergs. Arch. Pharmacol. 386. https://doi.org/10.1007/s00210-013-0897-5</w:t>
      </w:r>
    </w:p>
    <w:p w14:paraId="61D94623"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Savulich, G., Freeman, D., Shergill, S., Yiend, J., 2015. Interpretation Biases in Paranoia. Behav. Ther. 46. https://doi.org/10.1016/j.beth.2014.08.002</w:t>
      </w:r>
    </w:p>
    <w:p w14:paraId="676485CD"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Sebastião, A.M., Ribeiro, J.A., 2009. Adenosine receptors and the central nervous system. Handb. Exp. Pharmacol. https://doi.org/10.1007/978-3-540-89615-9_16</w:t>
      </w:r>
    </w:p>
    <w:p w14:paraId="166E088E"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lastRenderedPageBreak/>
        <w:t>Sheehan, D. V., Lecrubier, Y., Sheehan, K.H., Amorim, P., Janavs, J., Weiller, E., Hergueta, T., Baker, R., Dunbar, G.C., 1998. The Mini-International Neuropsychiatric Interview (M.I.N.I.): The development and validation of a structured diagnostic psychiatric interview for DSM-IV and ICD-10, in: Journal of Clinical Psychiatry. pp. 22–33.</w:t>
      </w:r>
    </w:p>
    <w:p w14:paraId="164AE576"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Skandali, N., Rowe, J.B., Voon, V., Deakin, J.B., Cardinal, R.N., Cormack, F., Passamonti, L., Bevan-Jones, W.R., Regenthal, R., Chamberlain, S.R., Robbins, T.W., Sahakian, B.J., 2018. Dissociable effects of acute SSRI (escitalopram) on executive, learning and emotional functions in healthy humans. Neuropsychopharmacology 43. https://doi.org/10.1038/s41386-018-0229-z</w:t>
      </w:r>
    </w:p>
    <w:p w14:paraId="5251AA58"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Soar, K., Mason, C., Potton, A., Dawkins, L., 2012. Neuropsychological effects associated with recreational cocaine use. Psychopharmacology (Berl). 222. https://doi.org/10.1007/s00213-012-2666-4</w:t>
      </w:r>
    </w:p>
    <w:p w14:paraId="2200E0F1"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Stanford, M.S., Mathias, C.W., Dougherty, D.M., Lake, S.L., Anderson, N.E., Patton, J.H., 2009. Fifty years of the Barratt Impulsiveness Scale: An update and review. Pers. Individ. Dif. https://doi.org/10.1016/j.paid.2009.04.008</w:t>
      </w:r>
    </w:p>
    <w:p w14:paraId="16C23167"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Takahashi, R.N., Pamplona, F.A., Prediger, R.D.S., 2008. Adenosine receptor antagonists for cognitive dysfunction: A review of animal studies. Front. Biosci. https://doi.org/10.2741/2870</w:t>
      </w:r>
    </w:p>
    <w:p w14:paraId="711847D2" w14:textId="1CBD6C7D" w:rsidR="00A323DC" w:rsidRPr="00A323DC" w:rsidRDefault="00A323DC" w:rsidP="00675C67">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Uchida, S.I., Tashiro, T., Kawai-Uchida, M., Mori, A., Jenner, P., Kanda, T., 2014. The adenosine a2A-receptor antagonist istradefylline enhances the motor response of L-DOPA without worsening dyskinesia in MPTP-treated common marmosets. J. Pharmacol. Sci. 124. https://doi.org/10.1254/jphs.13250FP</w:t>
      </w:r>
    </w:p>
    <w:p w14:paraId="4B8839C0"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Wei, C.J., Li, W., Chen, J.F., 2011. Normal and abnormal functions of adenosine receptors in the central nervous system revealed by genetic knockout studies. Biochim. Biophys. Acta - Biomembr. https://doi.org/10.1016/j.bbamem.2010.12.018</w:t>
      </w:r>
    </w:p>
    <w:p w14:paraId="441C5B55" w14:textId="77777777" w:rsidR="00A323DC" w:rsidRPr="00A323DC" w:rsidRDefault="00A323DC" w:rsidP="00A323DC">
      <w:pPr>
        <w:autoSpaceDE w:val="0"/>
        <w:autoSpaceDN w:val="0"/>
        <w:adjustRightInd w:val="0"/>
        <w:ind w:left="480" w:hanging="480"/>
        <w:rPr>
          <w:rFonts w:ascii="Times New Roman" w:hAnsi="Times New Roman" w:cs="Times New Roman"/>
          <w:noProof/>
          <w:sz w:val="20"/>
        </w:rPr>
      </w:pPr>
      <w:r w:rsidRPr="00A323DC">
        <w:rPr>
          <w:rFonts w:ascii="Times New Roman" w:hAnsi="Times New Roman" w:cs="Times New Roman"/>
          <w:noProof/>
          <w:sz w:val="20"/>
        </w:rPr>
        <w:t>Yu, C., Gupta, J., Chen, J.F., Yin, H.H., 2009. Genetic deletion of A2A adenosine receptors in the striatum selectively impairs habit formation. J. Neurosci. 29. https://doi.org/10.1523/JNEUROSCI.4215-09.2009</w:t>
      </w:r>
    </w:p>
    <w:p w14:paraId="721A7B95" w14:textId="0EE8AAE4" w:rsidR="00BC45C2" w:rsidRDefault="00BC45C2" w:rsidP="00A323DC">
      <w:pPr>
        <w:autoSpaceDE w:val="0"/>
        <w:autoSpaceDN w:val="0"/>
        <w:adjustRightInd w:val="0"/>
        <w:ind w:left="480" w:hanging="480"/>
        <w:rPr>
          <w:rFonts w:ascii="Times New Roman" w:hAnsi="Times New Roman" w:cs="Times New Roman"/>
          <w:sz w:val="20"/>
          <w:szCs w:val="20"/>
        </w:rPr>
      </w:pPr>
      <w:r>
        <w:rPr>
          <w:rFonts w:ascii="Times New Roman" w:hAnsi="Times New Roman" w:cs="Times New Roman"/>
          <w:sz w:val="20"/>
          <w:szCs w:val="20"/>
        </w:rPr>
        <w:fldChar w:fldCharType="end"/>
      </w:r>
    </w:p>
    <w:p w14:paraId="4E0008DD" w14:textId="0C53B9BD" w:rsidR="00C94D20" w:rsidRDefault="00C94D20" w:rsidP="006C1C47">
      <w:pPr>
        <w:pStyle w:val="NoSpacing"/>
        <w:ind w:left="958" w:hanging="958"/>
        <w:rPr>
          <w:rFonts w:ascii="Times New Roman" w:hAnsi="Times New Roman" w:cs="Times New Roman"/>
          <w:sz w:val="20"/>
          <w:szCs w:val="20"/>
        </w:rPr>
      </w:pPr>
    </w:p>
    <w:p w14:paraId="03093632" w14:textId="1370C7ED" w:rsidR="00981782" w:rsidRDefault="00981782" w:rsidP="006C1C47">
      <w:pPr>
        <w:pStyle w:val="NoSpacing"/>
        <w:ind w:left="958" w:hanging="958"/>
        <w:rPr>
          <w:rFonts w:ascii="Times New Roman" w:hAnsi="Times New Roman" w:cs="Times New Roman"/>
          <w:sz w:val="20"/>
          <w:szCs w:val="20"/>
        </w:rPr>
      </w:pPr>
    </w:p>
    <w:p w14:paraId="0167FF1D" w14:textId="77777777" w:rsidR="00C95B4C" w:rsidRDefault="00C95B4C" w:rsidP="006C1C47">
      <w:pPr>
        <w:pStyle w:val="NoSpacing"/>
        <w:ind w:left="958" w:hanging="958"/>
        <w:rPr>
          <w:rFonts w:ascii="Times New Roman" w:hAnsi="Times New Roman" w:cs="Times New Roman"/>
          <w:sz w:val="20"/>
          <w:szCs w:val="20"/>
        </w:rPr>
      </w:pPr>
    </w:p>
    <w:p w14:paraId="47F25681" w14:textId="77777777" w:rsidR="00C95B4C" w:rsidRDefault="00C95B4C" w:rsidP="00675C67">
      <w:pPr>
        <w:pStyle w:val="NoSpacing"/>
        <w:rPr>
          <w:rFonts w:ascii="Times New Roman" w:hAnsi="Times New Roman" w:cs="Times New Roman"/>
          <w:sz w:val="20"/>
          <w:szCs w:val="20"/>
        </w:rPr>
      </w:pPr>
    </w:p>
    <w:p w14:paraId="749B02BA" w14:textId="1B2E1773" w:rsidR="00C94D20" w:rsidRPr="004D7DB1" w:rsidRDefault="00C94D20" w:rsidP="00C94D20">
      <w:pPr>
        <w:spacing w:line="480" w:lineRule="auto"/>
        <w:ind w:firstLine="960"/>
        <w:jc w:val="left"/>
        <w:rPr>
          <w:rFonts w:ascii="Times New Roman" w:hAnsi="Times New Roman" w:cs="Times New Roman"/>
          <w:b/>
          <w:bCs/>
          <w:sz w:val="20"/>
          <w:szCs w:val="20"/>
        </w:rPr>
      </w:pPr>
      <w:r w:rsidRPr="004D7DB1">
        <w:rPr>
          <w:rFonts w:ascii="Times New Roman" w:hAnsi="Times New Roman" w:cs="Times New Roman"/>
          <w:b/>
          <w:bCs/>
          <w:sz w:val="20"/>
          <w:szCs w:val="20"/>
        </w:rPr>
        <w:t xml:space="preserve">Table </w:t>
      </w:r>
      <w:r w:rsidR="0034479C">
        <w:rPr>
          <w:rFonts w:ascii="Times New Roman" w:hAnsi="Times New Roman" w:cs="Times New Roman"/>
          <w:b/>
          <w:bCs/>
          <w:sz w:val="20"/>
          <w:szCs w:val="20"/>
        </w:rPr>
        <w:t>1</w:t>
      </w:r>
      <w:r w:rsidRPr="004D7DB1">
        <w:rPr>
          <w:rFonts w:ascii="Times New Roman" w:hAnsi="Times New Roman" w:cs="Times New Roman"/>
          <w:b/>
          <w:bCs/>
          <w:sz w:val="20"/>
          <w:szCs w:val="20"/>
        </w:rPr>
        <w:t>: Descriptions of cognitive tasks included in this study</w:t>
      </w:r>
    </w:p>
    <w:tbl>
      <w:tblPr>
        <w:tblStyle w:val="PlainTable5"/>
        <w:tblW w:w="8789" w:type="dxa"/>
        <w:tblLook w:val="04A0" w:firstRow="1" w:lastRow="0" w:firstColumn="1" w:lastColumn="0" w:noHBand="0" w:noVBand="1"/>
      </w:tblPr>
      <w:tblGrid>
        <w:gridCol w:w="2127"/>
        <w:gridCol w:w="6662"/>
      </w:tblGrid>
      <w:tr w:rsidR="00C94D20" w14:paraId="6669E090" w14:textId="77777777" w:rsidTr="00E253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Pr>
          <w:p w14:paraId="79C4A11D" w14:textId="77777777" w:rsidR="00C94D20" w:rsidRPr="009D0E1A" w:rsidRDefault="00C94D20" w:rsidP="00E25302">
            <w:pPr>
              <w:spacing w:line="276" w:lineRule="auto"/>
              <w:jc w:val="left"/>
              <w:rPr>
                <w:rFonts w:ascii="Times New Roman" w:hAnsi="Times New Roman" w:cs="Times New Roman"/>
                <w:b/>
                <w:bCs/>
                <w:i w:val="0"/>
                <w:iCs w:val="0"/>
                <w:sz w:val="20"/>
                <w:szCs w:val="20"/>
              </w:rPr>
            </w:pPr>
            <w:r w:rsidRPr="009D0E1A">
              <w:rPr>
                <w:rFonts w:ascii="Times New Roman" w:hAnsi="Times New Roman" w:cs="Times New Roman"/>
                <w:b/>
                <w:bCs/>
                <w:i w:val="0"/>
                <w:iCs w:val="0"/>
                <w:sz w:val="20"/>
                <w:szCs w:val="20"/>
              </w:rPr>
              <w:lastRenderedPageBreak/>
              <w:t>Task</w:t>
            </w:r>
          </w:p>
        </w:tc>
        <w:tc>
          <w:tcPr>
            <w:tcW w:w="6662" w:type="dxa"/>
          </w:tcPr>
          <w:p w14:paraId="0765C602" w14:textId="77777777" w:rsidR="00C94D20" w:rsidRPr="009D0E1A" w:rsidRDefault="00C94D20" w:rsidP="00E25302">
            <w:pPr>
              <w:spacing w:line="276"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i w:val="0"/>
                <w:iCs w:val="0"/>
                <w:sz w:val="20"/>
                <w:szCs w:val="20"/>
              </w:rPr>
            </w:pPr>
            <w:r w:rsidRPr="009D0E1A">
              <w:rPr>
                <w:rFonts w:ascii="Times New Roman" w:hAnsi="Times New Roman" w:cs="Times New Roman"/>
                <w:b/>
                <w:bCs/>
                <w:i w:val="0"/>
                <w:iCs w:val="0"/>
                <w:sz w:val="20"/>
                <w:szCs w:val="20"/>
              </w:rPr>
              <w:t>Task Description</w:t>
            </w:r>
          </w:p>
        </w:tc>
      </w:tr>
      <w:tr w:rsidR="00C94D20" w14:paraId="65CD95FE" w14:textId="77777777" w:rsidTr="00E25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6D8EA1B" w14:textId="77777777" w:rsidR="00C94D20" w:rsidRDefault="00C94D20" w:rsidP="00E25302">
            <w:pPr>
              <w:spacing w:line="276" w:lineRule="auto"/>
              <w:jc w:val="left"/>
              <w:rPr>
                <w:rFonts w:ascii="Times New Roman" w:hAnsi="Times New Roman" w:cs="Times New Roman"/>
                <w:sz w:val="20"/>
                <w:szCs w:val="20"/>
              </w:rPr>
            </w:pPr>
            <w:r>
              <w:rPr>
                <w:rFonts w:ascii="Times New Roman" w:hAnsi="Times New Roman" w:cs="Times New Roman"/>
                <w:sz w:val="20"/>
                <w:szCs w:val="20"/>
              </w:rPr>
              <w:t>CANTAB Spatial Working Memory (SWM)</w:t>
            </w:r>
          </w:p>
        </w:tc>
        <w:tc>
          <w:tcPr>
            <w:tcW w:w="6662" w:type="dxa"/>
          </w:tcPr>
          <w:p w14:paraId="4A99AF9A" w14:textId="0307531C" w:rsidR="00C94D20" w:rsidRPr="004D7DB1" w:rsidRDefault="00C94D20" w:rsidP="00E25302">
            <w:pPr>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D7DB1">
              <w:rPr>
                <w:rFonts w:ascii="Times New Roman" w:hAnsi="Times New Roman" w:cs="Times New Roman"/>
                <w:sz w:val="20"/>
                <w:szCs w:val="20"/>
              </w:rPr>
              <w:t xml:space="preserve">A measure of working memory. Participants are asked to search a number of </w:t>
            </w:r>
            <w:proofErr w:type="spellStart"/>
            <w:r w:rsidRPr="004D7DB1">
              <w:rPr>
                <w:rFonts w:ascii="Times New Roman" w:hAnsi="Times New Roman" w:cs="Times New Roman"/>
                <w:sz w:val="20"/>
                <w:szCs w:val="20"/>
              </w:rPr>
              <w:t>coloured</w:t>
            </w:r>
            <w:proofErr w:type="spellEnd"/>
            <w:r w:rsidRPr="004D7DB1">
              <w:rPr>
                <w:rFonts w:ascii="Times New Roman" w:hAnsi="Times New Roman" w:cs="Times New Roman"/>
                <w:sz w:val="20"/>
                <w:szCs w:val="20"/>
              </w:rPr>
              <w:t xml:space="preserve"> squares in order to find a yellow token </w:t>
            </w:r>
            <w:r w:rsidR="00ED38A2">
              <w:rPr>
                <w:rFonts w:ascii="Times New Roman" w:hAnsi="Times New Roman" w:cs="Times New Roman"/>
                <w:sz w:val="20"/>
                <w:szCs w:val="20"/>
              </w:rPr>
              <w:fldChar w:fldCharType="begin" w:fldLock="1"/>
            </w:r>
            <w:r w:rsidR="00ED38A2">
              <w:rPr>
                <w:rFonts w:ascii="Times New Roman" w:hAnsi="Times New Roman" w:cs="Times New Roman"/>
                <w:sz w:val="20"/>
                <w:szCs w:val="20"/>
              </w:rPr>
              <w:instrText>ADDIN CSL_CITATION {"citationItems":[{"id":"ITEM-1","itemData":{"DOI":"10.1016/j.neubiorev.2004.11.006","ISSN":"01497634","abstract":"Obsessive compulsive disorder (OCD) is a highly debilitating neuropsychiatric condition with estimated lifetime prevalence of 2-3%, more than twice that of schizophrenia. However, in contrast to other neuropsychiatric conditions of a comparable or lesser prevalence, relatively little is understood about the aetiology, neural substrates and cognitive profile of OCD. Despite strong evidence for OCD being familial, with risk to first-degree relatives much greater than for the background population, its genetic underpinnings have not yet been adequately delineated. Although cognitive dysfunction is evident in the everyday behaviour of OCD sufferers and is central to contemporary psychological models, theory-based studies of neurocognitive function have yet to reveal a reliable cognitive signature, and interpretation has often been confounded by failures to control for co-morbidities. The neuroimaging findings in OCD are amongst the most robust reported in the psychiatric literature, with structural and functional abnormalities frequently reported in orbitofrontal cortex, anterior cingulate cortex, and caudate nucleus. In spite of this, our relative lack of understanding of OCD neurochemical processes continues to impede progress in the development of novel pharmacological treatment approaches. Integrating the neurobiological, cognitive, and clinical findings, we propose that OCD might usefully be conceptualised in terms of lateral orbitofrontal loop dysfunction, and that failures in cognitive and behavioural inhibitory processes appear to underlie many of the symptoms and neurocognitive findings. We highlight existing limitations in the literature, and the potential utility of endophenotypes in overcoming these limitations. We propose that neurocognitive indices of inhibitory functions may represent a useful heuristic in the search for endophenotypes in OCD. This has direct implications not only for OCD but also for putative obsessive-compulsive spectrum conditions including attention deficit hyperactivity disorder, Tourette's syndrome, and trichotillomania (compulsive hair pulling). © 2005 Elsevier Ltd. All rights reserved.","author":[{"dropping-particle":"","family":"Chamberlain","given":"S. R.","non-dropping-particle":"","parse-names":false,"suffix":""},{"dropping-particle":"","family":"Blackwell","given":"A. D.","non-dropping-particle":"","parse-names":false,"suffix":""},{"dropping-particle":"","family":"Fineberg","given":"N. A.","non-dropping-particle":"","parse-names":false,"suffix":""},{"dropping-particle":"","family":"Robbins","given":"T. W.","non-dropping-particle":"","parse-names":false,"suffix":""},{"dropping-particle":"","family":"Sahakian","given":"B. J.","non-dropping-particle":"","parse-names":false,"suffix":""}],"container-title":"Neuroscience and Biobehavioral Reviews","id":"ITEM-1","issue":"3","issued":{"date-parts":[["2005"]]},"title":"The neuropsychology of obsessive compulsive disorder: The importance of failures in cognitive and behavioural inhibition as candidate endophenotypic markers","type":"article","volume":"29"},"uris":["http://www.mendeley.com/documents/?uuid=cb786eee-b46e-3382-a37f-d20b77cb0b08"]}],"mendeley":{"formattedCitation":"(Chamberlain et al., 2005)","plainTextFormattedCitation":"(Chamberlain et al., 2005)","previouslyFormattedCitation":"(Chamberlain et al., 2005)"},"properties":{"noteIndex":0},"schema":"https://github.com/citation-style-language/schema/raw/master/csl-citation.json"}</w:instrText>
            </w:r>
            <w:r w:rsidR="00ED38A2">
              <w:rPr>
                <w:rFonts w:ascii="Times New Roman" w:hAnsi="Times New Roman" w:cs="Times New Roman"/>
                <w:sz w:val="20"/>
                <w:szCs w:val="20"/>
              </w:rPr>
              <w:fldChar w:fldCharType="separate"/>
            </w:r>
            <w:r w:rsidR="00ED38A2" w:rsidRPr="00ED38A2">
              <w:rPr>
                <w:rFonts w:ascii="Times New Roman" w:hAnsi="Times New Roman" w:cs="Times New Roman"/>
                <w:noProof/>
                <w:sz w:val="20"/>
                <w:szCs w:val="20"/>
              </w:rPr>
              <w:t>(Chamberlain et al., 2005)</w:t>
            </w:r>
            <w:r w:rsidR="00ED38A2">
              <w:rPr>
                <w:rFonts w:ascii="Times New Roman" w:hAnsi="Times New Roman" w:cs="Times New Roman"/>
                <w:sz w:val="20"/>
                <w:szCs w:val="20"/>
              </w:rPr>
              <w:fldChar w:fldCharType="end"/>
            </w:r>
            <w:r w:rsidRPr="004D7DB1">
              <w:rPr>
                <w:rFonts w:ascii="Times New Roman" w:hAnsi="Times New Roman" w:cs="Times New Roman"/>
                <w:sz w:val="20"/>
                <w:szCs w:val="20"/>
              </w:rPr>
              <w:t xml:space="preserve">. The number of boxes can be gradually increased to 12 in order to increase the difficulty. Outcome measures include strategy and errors (revisiting boxes already found to be empty).   </w:t>
            </w:r>
          </w:p>
          <w:p w14:paraId="04F27DB7" w14:textId="77777777" w:rsidR="00C94D20" w:rsidRDefault="00C94D20" w:rsidP="00E25302">
            <w:pPr>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94D20" w14:paraId="01FDD3AC" w14:textId="77777777" w:rsidTr="00E25302">
        <w:tc>
          <w:tcPr>
            <w:cnfStyle w:val="001000000000" w:firstRow="0" w:lastRow="0" w:firstColumn="1" w:lastColumn="0" w:oddVBand="0" w:evenVBand="0" w:oddHBand="0" w:evenHBand="0" w:firstRowFirstColumn="0" w:firstRowLastColumn="0" w:lastRowFirstColumn="0" w:lastRowLastColumn="0"/>
            <w:tcW w:w="2127" w:type="dxa"/>
          </w:tcPr>
          <w:p w14:paraId="1B001A2D" w14:textId="77777777" w:rsidR="00C94D20" w:rsidRDefault="00C94D20" w:rsidP="00E25302">
            <w:pPr>
              <w:spacing w:line="276" w:lineRule="auto"/>
              <w:jc w:val="left"/>
              <w:rPr>
                <w:rFonts w:ascii="Times New Roman" w:hAnsi="Times New Roman" w:cs="Times New Roman"/>
                <w:sz w:val="20"/>
                <w:szCs w:val="20"/>
              </w:rPr>
            </w:pPr>
            <w:r>
              <w:rPr>
                <w:rFonts w:ascii="Times New Roman" w:hAnsi="Times New Roman" w:cs="Times New Roman"/>
                <w:sz w:val="20"/>
                <w:szCs w:val="20"/>
              </w:rPr>
              <w:t>CANTAB Rapid Visual Processing (RVP)</w:t>
            </w:r>
          </w:p>
        </w:tc>
        <w:tc>
          <w:tcPr>
            <w:tcW w:w="6662" w:type="dxa"/>
          </w:tcPr>
          <w:p w14:paraId="6DF8EF36" w14:textId="0C3E2157" w:rsidR="00C94D20" w:rsidRDefault="00C94D20" w:rsidP="00E25302">
            <w:pPr>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measure of sustained attention in which participants are required to detect a target sequence of digits </w:t>
            </w:r>
            <w:r w:rsidR="00ED38A2">
              <w:rPr>
                <w:rFonts w:ascii="Times New Roman" w:hAnsi="Times New Roman" w:cs="Times New Roman"/>
                <w:sz w:val="20"/>
                <w:szCs w:val="20"/>
              </w:rPr>
              <w:fldChar w:fldCharType="begin" w:fldLock="1"/>
            </w:r>
            <w:r w:rsidR="002D7982">
              <w:rPr>
                <w:rFonts w:ascii="Times New Roman" w:hAnsi="Times New Roman" w:cs="Times New Roman"/>
                <w:sz w:val="20"/>
                <w:szCs w:val="20"/>
              </w:rPr>
              <w:instrText>ADDIN CSL_CITATION {"citationItems":[{"id":"ITEM-1","itemData":{"DOI":"10.1007/s00213-012-2666-4","ISSN":"00333158","abstract":"Rationale Recent evidence suggests that recreational cocaine use is on the increase, with the UK reporting one of the highest levels of use in the EU (EMCDDA 2010). Nevertheless, very few studies have addressed the neuropsychological effects associated with non-dependent recreational cocaine use. Objectives The current study aimed to assess whether recreational cocaine users show neuropsychological deficits on a battery of tests, previously shown to be sensitive to cocainedependent and psychosis-prone individuals. Schizotypal traits were also measured. Methods Recreational cocaine users (n017) were compared with controls (n024) on drug use patterns, the General Health Questionnaire, the Brief Schizotypal Personality Questionnaire (SPQ-B) and four neuropsychological tasks: spatial working memory, intra/extra-dimensional set shifting, the Stocking of Cambridge and the rapid visual processing. Results Relative to controls, recreational cocaine users produced significantly more errors on the intra/extra-dimensional set shift task and completed fewer stages, made significantly more six box stage errors on the spatial working memory task, and made significantly more errors and fewer hits, with overall poorer detection rates on the rapid visual processing task. Recreational cocaine users reported significantly higher scores on the cognitive perceptual and disorganised thinking SPQ-B subscales and total SPQ-B scores compared to controls. Conclusions Recreational cocaine users displayed impairments on tasks tapping sustained attention, attentional shifting and spatial memory and reported higher schizotypal trait expression. These findings are consistent with the emerging literature suggesting subtle cognitive deficits, putatively reflecting underlying dopaminergic dysfunction, in nondependent, recreational cocaine users. © Springer-Verlag 2012.","author":[{"dropping-particle":"","family":"Soar","given":"Kirstie","non-dropping-particle":"","parse-names":false,"suffix":""},{"dropping-particle":"","family":"Mason","given":"Colette","non-dropping-particle":"","parse-names":false,"suffix":""},{"dropping-particle":"","family":"Potton","given":"Anita","non-dropping-particle":"","parse-names":false,"suffix":""},{"dropping-particle":"","family":"Dawkins","given":"Lynne","non-dropping-particle":"","parse-names":false,"suffix":""}],"container-title":"Psychopharmacology","id":"ITEM-1","issue":"4","issued":{"date-parts":[["2012"]]},"title":"Neuropsychological effects associated with recreational cocaine use","type":"article-journal","volume":"222"},"uris":["http://www.mendeley.com/documents/?uuid=69e8e705-a9f2-324b-90c4-0afa1e2ecfd6"]}],"mendeley":{"formattedCitation":"(Soar et al., 2012)","plainTextFormattedCitation":"(Soar et al., 2012)","previouslyFormattedCitation":"(Soar et al., 2012)"},"properties":{"noteIndex":0},"schema":"https://github.com/citation-style-language/schema/raw/master/csl-citation.json"}</w:instrText>
            </w:r>
            <w:r w:rsidR="00ED38A2">
              <w:rPr>
                <w:rFonts w:ascii="Times New Roman" w:hAnsi="Times New Roman" w:cs="Times New Roman"/>
                <w:sz w:val="20"/>
                <w:szCs w:val="20"/>
              </w:rPr>
              <w:fldChar w:fldCharType="separate"/>
            </w:r>
            <w:r w:rsidR="00ED38A2" w:rsidRPr="00ED38A2">
              <w:rPr>
                <w:rFonts w:ascii="Times New Roman" w:hAnsi="Times New Roman" w:cs="Times New Roman"/>
                <w:noProof/>
                <w:sz w:val="20"/>
                <w:szCs w:val="20"/>
              </w:rPr>
              <w:t>(Soar et al., 2012)</w:t>
            </w:r>
            <w:r w:rsidR="00ED38A2">
              <w:rPr>
                <w:rFonts w:ascii="Times New Roman" w:hAnsi="Times New Roman" w:cs="Times New Roman"/>
                <w:sz w:val="20"/>
                <w:szCs w:val="20"/>
              </w:rPr>
              <w:fldChar w:fldCharType="end"/>
            </w:r>
            <w:r>
              <w:rPr>
                <w:rFonts w:ascii="Times New Roman" w:hAnsi="Times New Roman" w:cs="Times New Roman"/>
                <w:sz w:val="20"/>
                <w:szCs w:val="20"/>
              </w:rPr>
              <w:t xml:space="preserve">. Outcome measures include speed of response, probability of false alarms and sensitivity. </w:t>
            </w:r>
          </w:p>
        </w:tc>
      </w:tr>
      <w:tr w:rsidR="00C94D20" w14:paraId="674277D6" w14:textId="77777777" w:rsidTr="00E25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1AE1414" w14:textId="77777777" w:rsidR="00C94D20" w:rsidRDefault="00C94D20" w:rsidP="00E25302">
            <w:pPr>
              <w:spacing w:line="276" w:lineRule="auto"/>
              <w:jc w:val="left"/>
              <w:rPr>
                <w:rFonts w:ascii="Times New Roman" w:hAnsi="Times New Roman" w:cs="Times New Roman"/>
                <w:sz w:val="20"/>
                <w:szCs w:val="20"/>
              </w:rPr>
            </w:pPr>
            <w:r>
              <w:rPr>
                <w:rFonts w:ascii="Times New Roman" w:hAnsi="Times New Roman" w:cs="Times New Roman"/>
                <w:sz w:val="20"/>
                <w:szCs w:val="20"/>
              </w:rPr>
              <w:t>CANTAB Intra-Extra Dimensional Set Shift (IED)</w:t>
            </w:r>
          </w:p>
        </w:tc>
        <w:tc>
          <w:tcPr>
            <w:tcW w:w="6662" w:type="dxa"/>
          </w:tcPr>
          <w:p w14:paraId="0E44E54A" w14:textId="29F7A857" w:rsidR="00C94D20" w:rsidRPr="004D7DB1" w:rsidRDefault="00C94D20" w:rsidP="00E25302">
            <w:pPr>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w:t>
            </w:r>
            <w:r w:rsidRPr="004D7DB1">
              <w:rPr>
                <w:rFonts w:ascii="Times New Roman" w:hAnsi="Times New Roman" w:cs="Times New Roman"/>
                <w:sz w:val="20"/>
                <w:szCs w:val="20"/>
              </w:rPr>
              <w:t xml:space="preserve">easures set-shifting by testing rule acquisition and reversal. Participants are asked to use feedback to work out a rule to determine which of two stimuli are correct </w:t>
            </w:r>
            <w:r w:rsidR="00282F13">
              <w:rPr>
                <w:rFonts w:ascii="Times New Roman" w:hAnsi="Times New Roman" w:cs="Times New Roman"/>
                <w:sz w:val="20"/>
                <w:szCs w:val="20"/>
              </w:rPr>
              <w:fldChar w:fldCharType="begin" w:fldLock="1"/>
            </w:r>
            <w:r w:rsidR="00ED38A2">
              <w:rPr>
                <w:rFonts w:ascii="Times New Roman" w:hAnsi="Times New Roman" w:cs="Times New Roman"/>
                <w:sz w:val="20"/>
                <w:szCs w:val="20"/>
              </w:rPr>
              <w:instrText>ADDIN CSL_CITATION {"citationItems":[{"id":"ITEM-1","itemData":{"DOI":"10.1521/pedi_2013_27_101","ISSN":"19432763","abstract":"Investigations of executive dysfunctions among people with obsessivecompulsive personality disorders (OCPD) have yielded inconsistent results. The authors speculate that obsessive-compulsive personality traits (OCPT) from a nonclinical population may be associated with specific executive dysfunctions relative to working memory, attentional set-shifting, and planning. A sample consisting of 79 adults (39 females, 40 males) was divided into high and low scorers on the Personality Diagnostic Questionnaire-4 (PDQ-4; Hyler, 1994). In addition, these participants were interviewed using the SCID-II (First, Spitzer, Gibbon &amp; Williams, 1997) to confirm the presence of symptoms of obsessive-compulsive personality. Participants completed a battery of executive tasks associated with the Cambridge Neuropsychological Test Automated Battery (CANTAB), including Spatial Working Memory, Intradimensional/Extradimensional (ID/ED), Attentional Set-Shifting, and Stockings of Cambridge. Also, self-report measures of executive functions as well as of anxiety and depressive symptoms were administered. The analysis of covariance revealed significant differences between participants with OCPT and controls on the Spatial Working Memory tasks, ID/ED tasks, Stockings of Cambridge, and the Dysexecutive Questionnaire (DEX). Nevertheless, there were no significant differences in the number of problems solved in minimum movements. These results suggest that executive dysfunctions are present in people with prominent OCPT and that there is a high convergence between clinical and ecological measures of executive functions in people with obsessive personality traits.","author":[{"dropping-particle":"","family":"García-Villamisar","given":"Domingo","non-dropping-particle":"","parse-names":false,"suffix":""},{"dropping-particle":"","family":"Dattilo","given":"John","non-dropping-particle":"","parse-names":false,"suffix":""}],"container-title":"Journal of Personality Disorders","id":"ITEM-1","issue":"3","issued":{"date-parts":[["2015"]]},"title":"Executive functioning in people with obsessive-compulsive personality traits: Evidence of modest impairment","type":"article-journal","volume":"29"},"uris":["http://www.mendeley.com/documents/?uuid=e296f158-ffb8-36ea-9f8f-81fbb5f742dd"]}],"mendeley":{"formattedCitation":"(García-Villamisar and Dattilo, 2015)","plainTextFormattedCitation":"(García-Villamisar and Dattilo, 2015)","previouslyFormattedCitation":"(García-Villamisar and Dattilo, 2015)"},"properties":{"noteIndex":0},"schema":"https://github.com/citation-style-language/schema/raw/master/csl-citation.json"}</w:instrText>
            </w:r>
            <w:r w:rsidR="00282F13">
              <w:rPr>
                <w:rFonts w:ascii="Times New Roman" w:hAnsi="Times New Roman" w:cs="Times New Roman"/>
                <w:sz w:val="20"/>
                <w:szCs w:val="20"/>
              </w:rPr>
              <w:fldChar w:fldCharType="separate"/>
            </w:r>
            <w:r w:rsidR="00282F13" w:rsidRPr="00282F13">
              <w:rPr>
                <w:rFonts w:ascii="Times New Roman" w:hAnsi="Times New Roman" w:cs="Times New Roman"/>
                <w:noProof/>
                <w:sz w:val="20"/>
                <w:szCs w:val="20"/>
              </w:rPr>
              <w:t>(García-Villamisar and Dattilo, 2015)</w:t>
            </w:r>
            <w:r w:rsidR="00282F13">
              <w:rPr>
                <w:rFonts w:ascii="Times New Roman" w:hAnsi="Times New Roman" w:cs="Times New Roman"/>
                <w:sz w:val="20"/>
                <w:szCs w:val="20"/>
              </w:rPr>
              <w:fldChar w:fldCharType="end"/>
            </w:r>
            <w:r w:rsidRPr="004D7DB1">
              <w:rPr>
                <w:rFonts w:ascii="Times New Roman" w:hAnsi="Times New Roman" w:cs="Times New Roman"/>
                <w:sz w:val="20"/>
                <w:szCs w:val="20"/>
              </w:rPr>
              <w:t xml:space="preserve">. </w:t>
            </w:r>
          </w:p>
          <w:p w14:paraId="041CFDD5" w14:textId="77777777" w:rsidR="00C94D20" w:rsidRDefault="00C94D20" w:rsidP="00E25302">
            <w:pPr>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C94D20" w14:paraId="71254BA4" w14:textId="77777777" w:rsidTr="00E25302">
        <w:tc>
          <w:tcPr>
            <w:cnfStyle w:val="001000000000" w:firstRow="0" w:lastRow="0" w:firstColumn="1" w:lastColumn="0" w:oddVBand="0" w:evenVBand="0" w:oddHBand="0" w:evenHBand="0" w:firstRowFirstColumn="0" w:firstRowLastColumn="0" w:lastRowFirstColumn="0" w:lastRowLastColumn="0"/>
            <w:tcW w:w="2127" w:type="dxa"/>
          </w:tcPr>
          <w:p w14:paraId="7BFC41DF" w14:textId="77777777" w:rsidR="00C94D20" w:rsidRDefault="00C94D20" w:rsidP="00E25302">
            <w:pPr>
              <w:spacing w:line="276" w:lineRule="auto"/>
              <w:jc w:val="left"/>
              <w:rPr>
                <w:rFonts w:ascii="Times New Roman" w:hAnsi="Times New Roman" w:cs="Times New Roman"/>
                <w:sz w:val="20"/>
                <w:szCs w:val="20"/>
              </w:rPr>
            </w:pPr>
            <w:r>
              <w:rPr>
                <w:rFonts w:ascii="Times New Roman" w:hAnsi="Times New Roman" w:cs="Times New Roman"/>
                <w:sz w:val="20"/>
                <w:szCs w:val="20"/>
              </w:rPr>
              <w:t>EMOTICOM Reinforcement Learning (RL)</w:t>
            </w:r>
          </w:p>
        </w:tc>
        <w:tc>
          <w:tcPr>
            <w:tcW w:w="6662" w:type="dxa"/>
          </w:tcPr>
          <w:p w14:paraId="1777FCAE" w14:textId="158AFE10" w:rsidR="00C94D20" w:rsidRDefault="00C94D20" w:rsidP="00E25302">
            <w:pPr>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An assessment of learning through reward and punishment. Participants must choose from a series of paired </w:t>
            </w:r>
            <w:proofErr w:type="spellStart"/>
            <w:r>
              <w:rPr>
                <w:rFonts w:ascii="Times New Roman" w:hAnsi="Times New Roman" w:cs="Times New Roman"/>
                <w:sz w:val="20"/>
                <w:szCs w:val="20"/>
              </w:rPr>
              <w:t>coloured</w:t>
            </w:r>
            <w:proofErr w:type="spellEnd"/>
            <w:r>
              <w:rPr>
                <w:rFonts w:ascii="Times New Roman" w:hAnsi="Times New Roman" w:cs="Times New Roman"/>
                <w:sz w:val="20"/>
                <w:szCs w:val="20"/>
              </w:rPr>
              <w:t xml:space="preserve"> circles, each with a high or low chance of monetary reward/monetary loss </w:t>
            </w:r>
            <w:r w:rsidR="002D7982">
              <w:rPr>
                <w:rFonts w:ascii="Times New Roman" w:hAnsi="Times New Roman" w:cs="Times New Roman"/>
                <w:sz w:val="20"/>
                <w:szCs w:val="20"/>
              </w:rPr>
              <w:fldChar w:fldCharType="begin" w:fldLock="1"/>
            </w:r>
            <w:r w:rsidR="002D7982">
              <w:rPr>
                <w:rFonts w:ascii="Times New Roman" w:hAnsi="Times New Roman" w:cs="Times New Roman"/>
                <w:sz w:val="20"/>
                <w:szCs w:val="20"/>
              </w:rPr>
              <w:instrText>ADDIN CSL_CITATION {"citationItems":[{"id":"ITEM-1","itemData":{"DOI":"10.3389/fnbeh.2016.00025","ISSN":"16625153","abstract":"In mental health practice, both pharmacological and non-pharmacological treatments are aimed at improving neuropsychological symptoms, including cognitive and emotional impairments. However, at present there is no established neuropsychological test battery that comprehensively covers multiple affective domains relevant in a range of disorders. Our objective was to generate a standardized test battery, comprised of existing, adapted and novel tasks, to assess four core domains of affective cognition (emotion processing, motivation, impulsivity and social cognition) in order to facilitate and enhance treatment development and evaluation in a broad range of neuropsychiatric disorders. The battery was administered to 200 participants aged 18-50 years (50% female), 42 of whom were retested in order to assess reliability. An exploratory factor analysis identified 11 factors with eigenvalues greater than 1, which accounted for over 70% of the variance. Tasks showed moderate to excellent test-retest reliability and were not strongly correlated with demographic factors such as age or IQ. The EMOTICOM test battery is therefore a promising tool for the assessment of affective cognitive function in a range of contexts.","author":[{"dropping-particle":"","family":"Bland","given":"Amy R.","non-dropping-particle":"","parse-names":false,"suffix":""},{"dropping-particle":"","family":"Roiser","given":"Jonathan P.","non-dropping-particle":"","parse-names":false,"suffix":""},{"dropping-particle":"","family":"Mehta","given":"Mitul A.","non-dropping-particle":"","parse-names":false,"suffix":""},{"dropping-particle":"","family":"Schei","given":"Thea","non-dropping-particle":"","parse-names":false,"suffix":""},{"dropping-particle":"","family":"Boland","given":"Heather","non-dropping-particle":"","parse-names":false,"suffix":""},{"dropping-particle":"","family":"Campbell-Meiklejohn","given":"Daniel K.","non-dropping-particle":"","parse-names":false,"suffix":""},{"dropping-particle":"","family":"Emsley","given":"Richard A.","non-dropping-particle":"","parse-names":false,"suffix":""},{"dropping-particle":"","family":"Munafo","given":"Marcus R.","non-dropping-particle":"","parse-names":false,"suffix":""},{"dropping-particle":"","family":"Penton-Voak","given":"Ian S.","non-dropping-particle":"","parse-names":false,"suffix":""},{"dropping-particle":"","family":"Seara-Cardoso","given":"Ana","non-dropping-particle":"","parse-names":false,"suffix":""},{"dropping-particle":"","family":"Viding","given":"Essi","non-dropping-particle":"","parse-names":false,"suffix":""},{"dropping-particle":"","family":"Voon","given":"Valerie","non-dropping-particle":"","parse-names":false,"suffix":""},{"dropping-particle":"","family":"Sahakian","given":"Barbara J.","non-dropping-particle":"","parse-names":false,"suffix":""},{"dropping-particle":"","family":"Robbins","given":"Trevor W.","non-dropping-particle":"","parse-names":false,"suffix":""},{"dropping-particle":"","family":"Elliott","given":"Rebecca","non-dropping-particle":"","parse-names":false,"suffix":""}],"container-title":"Frontiers in Behavioral Neuroscience","id":"ITEM-1","issued":{"date-parts":[["2016"]]},"title":"EMOTICOM: A neuropsychological test battery to evaluate emotion, motivation, impulsivity, and social cognition","type":"article-journal"},"uris":["http://www.mendeley.com/documents/?uuid=4ade63ff-bede-4147-89de-5b0c30ce85e8"]}],"mendeley":{"formattedCitation":"(Bland et al., 2016)","plainTextFormattedCitation":"(Bland et al., 2016)","previouslyFormattedCitation":"(Bland et al., 2016)"},"properties":{"noteIndex":0},"schema":"https://github.com/citation-style-language/schema/raw/master/csl-citation.json"}</w:instrText>
            </w:r>
            <w:r w:rsidR="002D7982">
              <w:rPr>
                <w:rFonts w:ascii="Times New Roman" w:hAnsi="Times New Roman" w:cs="Times New Roman"/>
                <w:sz w:val="20"/>
                <w:szCs w:val="20"/>
              </w:rPr>
              <w:fldChar w:fldCharType="separate"/>
            </w:r>
            <w:r w:rsidR="002D7982" w:rsidRPr="002D7982">
              <w:rPr>
                <w:rFonts w:ascii="Times New Roman" w:hAnsi="Times New Roman" w:cs="Times New Roman"/>
                <w:noProof/>
                <w:sz w:val="20"/>
                <w:szCs w:val="20"/>
              </w:rPr>
              <w:t>(Bland et al., 2016)</w:t>
            </w:r>
            <w:r w:rsidR="002D7982">
              <w:rPr>
                <w:rFonts w:ascii="Times New Roman" w:hAnsi="Times New Roman" w:cs="Times New Roman"/>
                <w:sz w:val="20"/>
                <w:szCs w:val="20"/>
              </w:rPr>
              <w:fldChar w:fldCharType="end"/>
            </w:r>
            <w:r>
              <w:rPr>
                <w:rFonts w:ascii="Times New Roman" w:hAnsi="Times New Roman" w:cs="Times New Roman"/>
                <w:sz w:val="20"/>
                <w:szCs w:val="20"/>
              </w:rPr>
              <w:t>.</w:t>
            </w:r>
          </w:p>
        </w:tc>
      </w:tr>
      <w:tr w:rsidR="00C94D20" w14:paraId="658BE5FA" w14:textId="77777777" w:rsidTr="00E25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ED3C7C4" w14:textId="77777777" w:rsidR="00C94D20" w:rsidRDefault="00C94D20" w:rsidP="00E25302">
            <w:pPr>
              <w:spacing w:line="276" w:lineRule="auto"/>
              <w:jc w:val="left"/>
              <w:rPr>
                <w:rFonts w:ascii="Times New Roman" w:hAnsi="Times New Roman" w:cs="Times New Roman"/>
                <w:sz w:val="20"/>
                <w:szCs w:val="20"/>
              </w:rPr>
            </w:pPr>
            <w:r>
              <w:rPr>
                <w:rFonts w:ascii="Times New Roman" w:hAnsi="Times New Roman" w:cs="Times New Roman"/>
                <w:sz w:val="20"/>
                <w:szCs w:val="20"/>
              </w:rPr>
              <w:t xml:space="preserve">EMOTICOM Cambridge Gambling </w:t>
            </w:r>
            <w:proofErr w:type="spellStart"/>
            <w:r>
              <w:rPr>
                <w:rFonts w:ascii="Times New Roman" w:hAnsi="Times New Roman" w:cs="Times New Roman"/>
                <w:sz w:val="20"/>
                <w:szCs w:val="20"/>
              </w:rPr>
              <w:t>Tast</w:t>
            </w:r>
            <w:proofErr w:type="spellEnd"/>
            <w:r>
              <w:rPr>
                <w:rFonts w:ascii="Times New Roman" w:hAnsi="Times New Roman" w:cs="Times New Roman"/>
                <w:sz w:val="20"/>
                <w:szCs w:val="20"/>
              </w:rPr>
              <w:t xml:space="preserve"> (CGT)</w:t>
            </w:r>
          </w:p>
        </w:tc>
        <w:tc>
          <w:tcPr>
            <w:tcW w:w="6662" w:type="dxa"/>
          </w:tcPr>
          <w:p w14:paraId="5DA38756" w14:textId="76899B27" w:rsidR="00C94D20" w:rsidRDefault="00C94D20" w:rsidP="00E25302">
            <w:pPr>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Assesses decision making and risk-taking </w:t>
            </w:r>
            <w:proofErr w:type="spellStart"/>
            <w:r>
              <w:rPr>
                <w:rFonts w:ascii="Times New Roman" w:hAnsi="Times New Roman" w:cs="Times New Roman"/>
                <w:sz w:val="20"/>
                <w:szCs w:val="20"/>
              </w:rPr>
              <w:t>behaviour</w:t>
            </w:r>
            <w:proofErr w:type="spellEnd"/>
            <w:r>
              <w:rPr>
                <w:rFonts w:ascii="Times New Roman" w:hAnsi="Times New Roman" w:cs="Times New Roman"/>
                <w:sz w:val="20"/>
                <w:szCs w:val="20"/>
              </w:rPr>
              <w:t xml:space="preserve">. During the task participants are shown a roulette wheel divided into two </w:t>
            </w:r>
            <w:proofErr w:type="spellStart"/>
            <w:r>
              <w:rPr>
                <w:rFonts w:ascii="Times New Roman" w:hAnsi="Times New Roman" w:cs="Times New Roman"/>
                <w:sz w:val="20"/>
                <w:szCs w:val="20"/>
              </w:rPr>
              <w:t>colours</w:t>
            </w:r>
            <w:proofErr w:type="spellEnd"/>
            <w:r>
              <w:rPr>
                <w:rFonts w:ascii="Times New Roman" w:hAnsi="Times New Roman" w:cs="Times New Roman"/>
                <w:sz w:val="20"/>
                <w:szCs w:val="20"/>
              </w:rPr>
              <w:t xml:space="preserve">, with the proportions of each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changing on every trial. Participants are required to choose the </w:t>
            </w:r>
            <w:proofErr w:type="spellStart"/>
            <w:r>
              <w:rPr>
                <w:rFonts w:ascii="Times New Roman" w:hAnsi="Times New Roman" w:cs="Times New Roman"/>
                <w:sz w:val="20"/>
                <w:szCs w:val="20"/>
              </w:rPr>
              <w:t>colour</w:t>
            </w:r>
            <w:proofErr w:type="spellEnd"/>
            <w:r>
              <w:rPr>
                <w:rFonts w:ascii="Times New Roman" w:hAnsi="Times New Roman" w:cs="Times New Roman"/>
                <w:sz w:val="20"/>
                <w:szCs w:val="20"/>
              </w:rPr>
              <w:t xml:space="preserve"> they wish to bet on and the size of the bet </w:t>
            </w:r>
            <w:r w:rsidR="002D7982">
              <w:rPr>
                <w:rFonts w:ascii="Times New Roman" w:hAnsi="Times New Roman" w:cs="Times New Roman"/>
                <w:sz w:val="20"/>
                <w:szCs w:val="20"/>
              </w:rPr>
              <w:fldChar w:fldCharType="begin" w:fldLock="1"/>
            </w:r>
            <w:r w:rsidR="004252B2">
              <w:rPr>
                <w:rFonts w:ascii="Times New Roman" w:hAnsi="Times New Roman" w:cs="Times New Roman"/>
                <w:sz w:val="20"/>
                <w:szCs w:val="20"/>
              </w:rPr>
              <w:instrText>ADDIN CSL_CITATION {"citationItems":[{"id":"ITEM-1","itemData":{"DOI":"10.3389/fnbeh.2016.00025","ISSN":"16625153","abstract":"In mental health practice, both pharmacological and non-pharmacological treatments are aimed at improving neuropsychological symptoms, including cognitive and emotional impairments. However, at present there is no established neuropsychological test battery that comprehensively covers multiple affective domains relevant in a range of disorders. Our objective was to generate a standardized test battery, comprised of existing, adapted and novel tasks, to assess four core domains of affective cognition (emotion processing, motivation, impulsivity and social cognition) in order to facilitate and enhance treatment development and evaluation in a broad range of neuropsychiatric disorders. The battery was administered to 200 participants aged 18-50 years (50% female), 42 of whom were retested in order to assess reliability. An exploratory factor analysis identified 11 factors with eigenvalues greater than 1, which accounted for over 70% of the variance. Tasks showed moderate to excellent test-retest reliability and were not strongly correlated with demographic factors such as age or IQ. The EMOTICOM test battery is therefore a promising tool for the assessment of affective cognitive function in a range of contexts.","author":[{"dropping-particle":"","family":"Bland","given":"Amy R.","non-dropping-particle":"","parse-names":false,"suffix":""},{"dropping-particle":"","family":"Roiser","given":"Jonathan P.","non-dropping-particle":"","parse-names":false,"suffix":""},{"dropping-particle":"","family":"Mehta","given":"Mitul A.","non-dropping-particle":"","parse-names":false,"suffix":""},{"dropping-particle":"","family":"Schei","given":"Thea","non-dropping-particle":"","parse-names":false,"suffix":""},{"dropping-particle":"","family":"Boland","given":"Heather","non-dropping-particle":"","parse-names":false,"suffix":""},{"dropping-particle":"","family":"Campbell-Meiklejohn","given":"Daniel K.","non-dropping-particle":"","parse-names":false,"suffix":""},{"dropping-particle":"","family":"Emsley","given":"Richard A.","non-dropping-particle":"","parse-names":false,"suffix":""},{"dropping-particle":"","family":"Munafo","given":"Marcus R.","non-dropping-particle":"","parse-names":false,"suffix":""},{"dropping-particle":"","family":"Penton-Voak","given":"Ian S.","non-dropping-particle":"","parse-names":false,"suffix":""},{"dropping-particle":"","family":"Seara-Cardoso","given":"Ana","non-dropping-particle":"","parse-names":false,"suffix":""},{"dropping-particle":"","family":"Viding","given":"Essi","non-dropping-particle":"","parse-names":false,"suffix":""},{"dropping-particle":"","family":"Voon","given":"Valerie","non-dropping-particle":"","parse-names":false,"suffix":""},{"dropping-particle":"","family":"Sahakian","given":"Barbara J.","non-dropping-particle":"","parse-names":false,"suffix":""},{"dropping-particle":"","family":"Robbins","given":"Trevor W.","non-dropping-particle":"","parse-names":false,"suffix":""},{"dropping-particle":"","family":"Elliott","given":"Rebecca","non-dropping-particle":"","parse-names":false,"suffix":""}],"container-title":"Frontiers in Behavioral Neuroscience","id":"ITEM-1","issued":{"date-parts":[["2016"]]},"title":"EMOTICOM: A neuropsychological test battery to evaluate emotion, motivation, impulsivity, and social cognition","type":"article-journal"},"uris":["http://www.mendeley.com/documents/?uuid=4ade63ff-bede-4147-89de-5b0c30ce85e8"]},{"id":"ITEM-2","itemData":{"DOI":"10.3389/fpsyg.2019.02660","ISSN":"16641078","abstract":"Disruptions in hot cognition, i.e., the processing of emotionally salient information, are prevalent in most neuropsychiatric disorders and constitute a potential treatment target. EMOTICOM is the first comprehensive neuropsychological test battery developed specifically to assess hot cognition. The aim of the study was to validate and establish a Danish language version and reference data for the EMOTICOM test battery. To evaluate the psychometric properties of 11 EMOTICOM tasks, we collected data from 100 healthy Danish participants (50 males, 50 females) including retest data from 49 participants. We assessed test–retest reliability, floor and ceiling effects, task-intercorrelations, and correlations between task performance and relevant demographic and descriptive factors. We found that test–retest reliability varied from poor to excellent while some tasks exhibited floor or ceiling effects. Intercorrelations among EMOTICOM task outcomes were low, indicating that the tasks capture different cognitive constructs. EMOTICOM task performance was largely independent of age, sex, education, and IQ as well as current mood, personality, and self-reported motivation and diligence during task completion. Overall, many of the EMOTICOM tasks were found to be useful and objective measures of hot cognition although select tasks may benefit from modifications to avoid floor and ceiling effects in healthy individuals.","author":[{"dropping-particle":"","family":"Dam","given":"Vibeke H.","non-dropping-particle":"","parse-names":false,"suffix":""},{"dropping-particle":"","family":"Thystrup","given":"Christa K.","non-dropping-particle":"","parse-names":false,"suffix":""},{"dropping-particle":"","family":"Jensen","given":"Peter S.","non-dropping-particle":"","parse-names":false,"suffix":""},{"dropping-particle":"","family":"Bland","given":"Amy R.","non-dropping-particle":"","parse-names":false,"suffix":""},{"dropping-particle":"","family":"Mortensen","given":"Erik L.","non-dropping-particle":"","parse-names":false,"suffix":""},{"dropping-particle":"","family":"Elliott","given":"Rebecca","non-dropping-particle":"","parse-names":false,"suffix":""},{"dropping-particle":"","family":"Sahakian","given":"Barbara J.","non-dropping-particle":"","parse-names":false,"suffix":""},{"dropping-particle":"","family":"Knudsen","given":"Gitte M.","non-dropping-particle":"","parse-names":false,"suffix":""},{"dropping-particle":"","family":"Frokjaer","given":"Vibe G.","non-dropping-particle":"","parse-names":false,"suffix":""},{"dropping-particle":"","family":"Stenbæk","given":"Dea S.","non-dropping-particle":"","parse-names":false,"suffix":""}],"container-title":"Frontiers in Psychology","id":"ITEM-2","issued":{"date-parts":[["2019"]]},"title":"Psychometric Properties and Validation of the EMOTICOM Test Battery in a Healthy Danish Population","type":"article-journal"},"uris":["http://www.mendeley.com/documents/?uuid=017e1f2b-75a9-4898-87c7-8819baa509ac"]}],"mendeley":{"formattedCitation":"(Bland et al., 2016; Dam et al., 2019)","plainTextFormattedCitation":"(Bland et al., 2016; Dam et al., 2019)","previouslyFormattedCitation":"(Bland et al., 2016; Dam et al., 2019)"},"properties":{"noteIndex":0},"schema":"https://github.com/citation-style-language/schema/raw/master/csl-citation.json"}</w:instrText>
            </w:r>
            <w:r w:rsidR="002D7982">
              <w:rPr>
                <w:rFonts w:ascii="Times New Roman" w:hAnsi="Times New Roman" w:cs="Times New Roman"/>
                <w:sz w:val="20"/>
                <w:szCs w:val="20"/>
              </w:rPr>
              <w:fldChar w:fldCharType="separate"/>
            </w:r>
            <w:r w:rsidR="002D7982" w:rsidRPr="002D7982">
              <w:rPr>
                <w:rFonts w:ascii="Times New Roman" w:hAnsi="Times New Roman" w:cs="Times New Roman"/>
                <w:noProof/>
                <w:sz w:val="20"/>
                <w:szCs w:val="20"/>
              </w:rPr>
              <w:t>(Bland et al., 2016; Dam et al., 2019)</w:t>
            </w:r>
            <w:r w:rsidR="002D7982">
              <w:rPr>
                <w:rFonts w:ascii="Times New Roman" w:hAnsi="Times New Roman" w:cs="Times New Roman"/>
                <w:sz w:val="20"/>
                <w:szCs w:val="20"/>
              </w:rPr>
              <w:fldChar w:fldCharType="end"/>
            </w:r>
            <w:r>
              <w:rPr>
                <w:rFonts w:ascii="Times New Roman" w:hAnsi="Times New Roman" w:cs="Times New Roman"/>
                <w:sz w:val="20"/>
                <w:szCs w:val="20"/>
              </w:rPr>
              <w:t>.</w:t>
            </w:r>
          </w:p>
        </w:tc>
      </w:tr>
      <w:tr w:rsidR="00C94D20" w14:paraId="1EC2C713" w14:textId="77777777" w:rsidTr="00E25302">
        <w:tc>
          <w:tcPr>
            <w:cnfStyle w:val="001000000000" w:firstRow="0" w:lastRow="0" w:firstColumn="1" w:lastColumn="0" w:oddVBand="0" w:evenVBand="0" w:oddHBand="0" w:evenHBand="0" w:firstRowFirstColumn="0" w:firstRowLastColumn="0" w:lastRowFirstColumn="0" w:lastRowLastColumn="0"/>
            <w:tcW w:w="2127" w:type="dxa"/>
          </w:tcPr>
          <w:p w14:paraId="43028BB3" w14:textId="77777777" w:rsidR="00C94D20" w:rsidRDefault="00C94D20" w:rsidP="00E25302">
            <w:pPr>
              <w:spacing w:line="276" w:lineRule="auto"/>
              <w:jc w:val="left"/>
              <w:rPr>
                <w:rFonts w:ascii="Times New Roman" w:hAnsi="Times New Roman" w:cs="Times New Roman"/>
                <w:sz w:val="20"/>
                <w:szCs w:val="20"/>
              </w:rPr>
            </w:pPr>
            <w:r>
              <w:rPr>
                <w:rFonts w:ascii="Times New Roman" w:hAnsi="Times New Roman" w:cs="Times New Roman"/>
                <w:sz w:val="20"/>
                <w:szCs w:val="20"/>
              </w:rPr>
              <w:t>EMOTICOM Social Information Preference (“Theory of Mind; SIP)</w:t>
            </w:r>
          </w:p>
        </w:tc>
        <w:tc>
          <w:tcPr>
            <w:tcW w:w="6662" w:type="dxa"/>
          </w:tcPr>
          <w:p w14:paraId="53B630BC" w14:textId="2D4A66EF" w:rsidR="00C94D20" w:rsidRPr="004D7DB1" w:rsidRDefault="00C94D20" w:rsidP="00E25302">
            <w:pPr>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 </w:t>
            </w:r>
            <w:r w:rsidRPr="004D7DB1">
              <w:rPr>
                <w:rFonts w:ascii="Times New Roman" w:hAnsi="Times New Roman" w:cs="Times New Roman"/>
                <w:sz w:val="20"/>
                <w:szCs w:val="20"/>
              </w:rPr>
              <w:t xml:space="preserve">task designed to assess information preference by hiding nine pieces of information in a socially ambiguous situation. Participants are instructed to pick four pieces of information to help them decide whether the situation is positive, neutral or negative </w:t>
            </w:r>
            <w:r w:rsidR="004252B2">
              <w:rPr>
                <w:rFonts w:ascii="Times New Roman" w:hAnsi="Times New Roman" w:cs="Times New Roman"/>
                <w:sz w:val="20"/>
                <w:szCs w:val="20"/>
              </w:rPr>
              <w:fldChar w:fldCharType="begin" w:fldLock="1"/>
            </w:r>
            <w:r w:rsidR="004252B2">
              <w:rPr>
                <w:rFonts w:ascii="Times New Roman" w:hAnsi="Times New Roman" w:cs="Times New Roman"/>
                <w:sz w:val="20"/>
                <w:szCs w:val="20"/>
              </w:rPr>
              <w:instrText>ADDIN CSL_CITATION {"citationItems":[{"id":"ITEM-1","itemData":{"DOI":"10.1038/s41386-018-0229-z","ISSN":"1740634X","abstract":"Serotonin is implicated in multiple executive functions including goal-directed learning, cognitive flexibility, response inhibition and emotional regulation. These functions are impaired in several psychiatric disorders, such as depression and obsessive–compulsive disorder. We tested the cognitive effects of the selective serotonin reuptake inhibitor escitalopram, using an acute and clinically relevant dose (20 mg), in 66 healthy male and female volunteers in a double-blind, placebo-controlled study. Participants performed a cognitive test battery including a probabilistic and reversal learning task, the CANTAB intra-dimensional/extra-dimensional shift test of cognitive flexibility, a response inhibition task with interleaved stop-signal and No-Go trials and tasks measuring emotional processing. We showed that acute escitalopram administration impaired learning and cognitive flexibility, but improved the ability to inhibit responses in stop-signal trials while leaving unaffected acute emotional processing. Our findings suggest a dissociation of effects of acute escitalopram on cognitive functions, possibly mediated by differential modulation of brain serotonin levels in distinct functional neural circuits.","author":[{"dropping-particle":"","family":"Skandali","given":"Nikolina","non-dropping-particle":"","parse-names":false,"suffix":""},{"dropping-particle":"","family":"Rowe","given":"James B.","non-dropping-particle":"","parse-names":false,"suffix":""},{"dropping-particle":"","family":"Voon","given":"Valerie","non-dropping-particle":"","parse-names":false,"suffix":""},{"dropping-particle":"","family":"Deakin","given":"Julia B.","non-dropping-particle":"","parse-names":false,"suffix":""},{"dropping-particle":"","family":"Cardinal","given":"Rudolf N.","non-dropping-particle":"","parse-names":false,"suffix":""},{"dropping-particle":"","family":"Cormack","given":"Francesca","non-dropping-particle":"","parse-names":false,"suffix":""},{"dropping-particle":"","family":"Passamonti","given":"Luca","non-dropping-particle":"","parse-names":false,"suffix":""},{"dropping-particle":"","family":"Bevan-Jones","given":"William R.","non-dropping-particle":"","parse-names":false,"suffix":""},{"dropping-particle":"","family":"Regenthal","given":"Ralf","non-dropping-particle":"","parse-names":false,"suffix":""},{"dropping-particle":"","family":"Chamberlain","given":"Samuel R.","non-dropping-particle":"","parse-names":false,"suffix":""},{"dropping-particle":"","family":"Robbins","given":"Trevor W.","non-dropping-particle":"","parse-names":false,"suffix":""},{"dropping-particle":"","family":"Sahakian","given":"Barbara J.","non-dropping-particle":"","parse-names":false,"suffix":""}],"container-title":"Neuropsychopharmacology","id":"ITEM-1","issue":"13","issued":{"date-parts":[["2018"]]},"title":"Dissociable effects of acute SSRI (escitalopram) on executive, learning and emotional functions in healthy humans","type":"article-journal","volume":"43"},"uris":["http://www.mendeley.com/documents/?uuid=0ada8edf-ab54-3c77-8bbe-e18bc791a0a0"]},{"id":"ITEM-2","itemData":{"DOI":"10.3389/fpsyg.2019.02660","ISSN":"16641078","abstract":"Disruptions in hot cognition, i.e., the processing of emotionally salient information, are prevalent in most neuropsychiatric disorders and constitute a potential treatment target. EMOTICOM is the first comprehensive neuropsychological test battery developed specifically to assess hot cognition. The aim of the study was to validate and establish a Danish language version and reference data for the EMOTICOM test battery. To evaluate the psychometric properties of 11 EMOTICOM tasks, we collected data from 100 healthy Danish participants (50 males, 50 females) including retest data from 49 participants. We assessed test–retest reliability, floor and ceiling effects, task-intercorrelations, and correlations between task performance and relevant demographic and descriptive factors. We found that test–retest reliability varied from poor to excellent while some tasks exhibited floor or ceiling effects. Intercorrelations among EMOTICOM task outcomes were low, indicating that the tasks capture different cognitive constructs. EMOTICOM task performance was largely independent of age, sex, education, and IQ as well as current mood, personality, and self-reported motivation and diligence during task completion. Overall, many of the EMOTICOM tasks were found to be useful and objective measures of hot cognition although select tasks may benefit from modifications to avoid floor and ceiling effects in healthy individuals.","author":[{"dropping-particle":"","family":"Dam","given":"Vibeke H.","non-dropping-particle":"","parse-names":false,"suffix":""},{"dropping-particle":"","family":"Thystrup","given":"Christa K.","non-dropping-particle":"","parse-names":false,"suffix":""},{"dropping-particle":"","family":"Jensen","given":"Peter S.","non-dropping-particle":"","parse-names":false,"suffix":""},{"dropping-particle":"","family":"Bland","given":"Amy R.","non-dropping-particle":"","parse-names":false,"suffix":""},{"dropping-particle":"","family":"Mortensen","given":"Erik L.","non-dropping-particle":"","parse-names":false,"suffix":""},{"dropping-particle":"","family":"Elliott","given":"Rebecca","non-dropping-particle":"","parse-names":false,"suffix":""},{"dropping-particle":"","family":"Sahakian","given":"Barbara J.","non-dropping-particle":"","parse-names":false,"suffix":""},{"dropping-particle":"","family":"Knudsen","given":"Gitte M.","non-dropping-particle":"","parse-names":false,"suffix":""},{"dropping-particle":"","family":"Frokjaer","given":"Vibe G.","non-dropping-particle":"","parse-names":false,"suffix":""},{"dropping-particle":"","family":"Stenbæk","given":"Dea S.","non-dropping-particle":"","parse-names":false,"suffix":""}],"container-title":"Frontiers in Psychology","id":"ITEM-2","issued":{"date-parts":[["2019"]]},"title":"Psychometric Properties and Validation of the EMOTICOM Test Battery in a Healthy Danish Population","type":"article-journal"},"uris":["http://www.mendeley.com/documents/?uuid=017e1f2b-75a9-4898-87c7-8819baa509ac"]}],"mendeley":{"formattedCitation":"(Dam et al., 2019; Skandali et al., 2018)","plainTextFormattedCitation":"(Dam et al., 2019; Skandali et al., 2018)","previouslyFormattedCitation":"(Dam et al., 2019; Skandali et al., 2018)"},"properties":{"noteIndex":0},"schema":"https://github.com/citation-style-language/schema/raw/master/csl-citation.json"}</w:instrText>
            </w:r>
            <w:r w:rsidR="004252B2">
              <w:rPr>
                <w:rFonts w:ascii="Times New Roman" w:hAnsi="Times New Roman" w:cs="Times New Roman"/>
                <w:sz w:val="20"/>
                <w:szCs w:val="20"/>
              </w:rPr>
              <w:fldChar w:fldCharType="separate"/>
            </w:r>
            <w:r w:rsidR="004252B2" w:rsidRPr="004252B2">
              <w:rPr>
                <w:rFonts w:ascii="Times New Roman" w:hAnsi="Times New Roman" w:cs="Times New Roman"/>
                <w:noProof/>
                <w:sz w:val="20"/>
                <w:szCs w:val="20"/>
              </w:rPr>
              <w:t>(Dam et al., 2019; Skandali et al., 2018)</w:t>
            </w:r>
            <w:r w:rsidR="004252B2">
              <w:rPr>
                <w:rFonts w:ascii="Times New Roman" w:hAnsi="Times New Roman" w:cs="Times New Roman"/>
                <w:sz w:val="20"/>
                <w:szCs w:val="20"/>
              </w:rPr>
              <w:fldChar w:fldCharType="end"/>
            </w:r>
            <w:r w:rsidRPr="004D7DB1">
              <w:rPr>
                <w:rFonts w:ascii="Times New Roman" w:hAnsi="Times New Roman" w:cs="Times New Roman"/>
                <w:sz w:val="20"/>
                <w:szCs w:val="20"/>
              </w:rPr>
              <w:t xml:space="preserve">. </w:t>
            </w:r>
          </w:p>
          <w:p w14:paraId="0F788CEB" w14:textId="77777777" w:rsidR="00C94D20" w:rsidRDefault="00C94D20" w:rsidP="00E25302">
            <w:pPr>
              <w:spacing w:line="276"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C94D20" w14:paraId="36149673" w14:textId="77777777" w:rsidTr="00E25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15BE41E" w14:textId="77777777" w:rsidR="00C94D20" w:rsidRDefault="00C94D20" w:rsidP="00E25302">
            <w:pPr>
              <w:spacing w:line="276" w:lineRule="auto"/>
              <w:jc w:val="left"/>
              <w:rPr>
                <w:rFonts w:ascii="Times New Roman" w:hAnsi="Times New Roman" w:cs="Times New Roman"/>
                <w:sz w:val="20"/>
                <w:szCs w:val="20"/>
              </w:rPr>
            </w:pPr>
            <w:r>
              <w:rPr>
                <w:rFonts w:ascii="Times New Roman" w:hAnsi="Times New Roman" w:cs="Times New Roman"/>
                <w:sz w:val="20"/>
                <w:szCs w:val="20"/>
              </w:rPr>
              <w:t xml:space="preserve">Delay Discounting task </w:t>
            </w:r>
            <w:r>
              <w:rPr>
                <w:rFonts w:ascii="Times New Roman" w:hAnsi="Times New Roman" w:cs="Times New Roman"/>
                <w:sz w:val="20"/>
                <w:szCs w:val="20"/>
              </w:rPr>
              <w:lastRenderedPageBreak/>
              <w:t>(DD)</w:t>
            </w:r>
          </w:p>
        </w:tc>
        <w:tc>
          <w:tcPr>
            <w:tcW w:w="6662" w:type="dxa"/>
          </w:tcPr>
          <w:p w14:paraId="2D4B1FED" w14:textId="351CFBBA" w:rsidR="00C94D20" w:rsidRDefault="00C94D20" w:rsidP="00E25302">
            <w:pPr>
              <w:spacing w:line="276"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 xml:space="preserve">Participants are offered choices between monetary awards available </w:t>
            </w:r>
            <w:r>
              <w:rPr>
                <w:rFonts w:ascii="Times New Roman" w:hAnsi="Times New Roman" w:cs="Times New Roman"/>
                <w:sz w:val="20"/>
                <w:szCs w:val="20"/>
              </w:rPr>
              <w:lastRenderedPageBreak/>
              <w:t xml:space="preserve">immediately and larger rewards available following a delay </w:t>
            </w:r>
            <w:r w:rsidR="004252B2">
              <w:rPr>
                <w:rFonts w:ascii="Times New Roman" w:hAnsi="Times New Roman" w:cs="Times New Roman"/>
                <w:sz w:val="20"/>
                <w:szCs w:val="20"/>
              </w:rPr>
              <w:fldChar w:fldCharType="begin" w:fldLock="1"/>
            </w:r>
            <w:r w:rsidR="00BC45C2">
              <w:rPr>
                <w:rFonts w:ascii="Times New Roman" w:hAnsi="Times New Roman" w:cs="Times New Roman"/>
                <w:sz w:val="20"/>
                <w:szCs w:val="20"/>
              </w:rPr>
              <w:instrText>ADDIN CSL_CITATION {"citationItems":[{"id":"ITEM-1","itemData":{"DOI":"10.1037/h0076860","ISSN":"00332909","abstract":"In a choice among assured, familiar outcomes of behavior, impulsiveness is the choice of less rewarding over more rewarding alternatives. Discussions of impulsiveness in the literature of economics, sociology, social psychology, dynamic psychology and psychiatry, behavioral psychology, and \"behavior therapy\" are reviewed. Impulsiveness seems to be best accounted for by the hyperbolic curves that have been found to describe the decline in effectiveness of rewards as the rewards are delayed from the time of choice. Such curves predict a reliable change of choice between some alternative rewards as a function of time. This change of choice provides a rationale for the known kinds of impulse control and relates them to several hitherto perplexing phenomena: behavioral rigidity, time-out from positive reinforcement, willpower, self-reward, compulsive traits, projection, boredom, and the capacity of punishing stimuli to attract attention. (31/2 p ref) (PsycINFO Database Record (c) 2006 APA, all rights reserved). © 1975 American Psychological Association.","author":[{"dropping-particle":"","family":"Ainslie","given":"George","non-dropping-particle":"","parse-names":false,"suffix":""}],"container-title":"Psychological Bulletin","id":"ITEM-1","issue":"4","issued":{"date-parts":[["1975"]]},"title":"Specious reward: A behavioral theory of impulsiveness and impulse control","type":"article-journal","volume":"82"},"uris":["http://www.mendeley.com/documents/?uuid=62f131d2-37de-31ca-9b66-28eb3b4f4a2a"]}],"mendeley":{"formattedCitation":"(Ainslie, 1975)","plainTextFormattedCitation":"(Ainslie, 1975)","previouslyFormattedCitation":"(Ainslie, 1975)"},"properties":{"noteIndex":0},"schema":"https://github.com/citation-style-language/schema/raw/master/csl-citation.json"}</w:instrText>
            </w:r>
            <w:r w:rsidR="004252B2">
              <w:rPr>
                <w:rFonts w:ascii="Times New Roman" w:hAnsi="Times New Roman" w:cs="Times New Roman"/>
                <w:sz w:val="20"/>
                <w:szCs w:val="20"/>
              </w:rPr>
              <w:fldChar w:fldCharType="separate"/>
            </w:r>
            <w:r w:rsidR="004252B2" w:rsidRPr="004252B2">
              <w:rPr>
                <w:rFonts w:ascii="Times New Roman" w:hAnsi="Times New Roman" w:cs="Times New Roman"/>
                <w:noProof/>
                <w:sz w:val="20"/>
                <w:szCs w:val="20"/>
              </w:rPr>
              <w:t>(Ainslie, 1975)</w:t>
            </w:r>
            <w:r w:rsidR="004252B2">
              <w:rPr>
                <w:rFonts w:ascii="Times New Roman" w:hAnsi="Times New Roman" w:cs="Times New Roman"/>
                <w:sz w:val="20"/>
                <w:szCs w:val="20"/>
              </w:rPr>
              <w:fldChar w:fldCharType="end"/>
            </w:r>
            <w:r>
              <w:rPr>
                <w:rFonts w:ascii="Times New Roman" w:hAnsi="Times New Roman" w:cs="Times New Roman"/>
                <w:sz w:val="20"/>
                <w:szCs w:val="20"/>
              </w:rPr>
              <w:t>.</w:t>
            </w:r>
          </w:p>
        </w:tc>
      </w:tr>
    </w:tbl>
    <w:p w14:paraId="058ED85A" w14:textId="77777777" w:rsidR="00C94D20" w:rsidRPr="00982A50" w:rsidRDefault="00C94D20" w:rsidP="003A0D38">
      <w:pPr>
        <w:pStyle w:val="NoSpacing"/>
        <w:rPr>
          <w:rFonts w:ascii="Times New Roman" w:hAnsi="Times New Roman" w:cs="Times New Roman"/>
          <w:sz w:val="20"/>
          <w:szCs w:val="20"/>
        </w:rPr>
      </w:pPr>
    </w:p>
    <w:p w14:paraId="43F0AA0F" w14:textId="77777777" w:rsidR="00C94D20" w:rsidRDefault="00C94D20" w:rsidP="00F231BE">
      <w:pPr>
        <w:spacing w:line="480" w:lineRule="auto"/>
        <w:jc w:val="left"/>
        <w:rPr>
          <w:rFonts w:ascii="Times New Roman" w:hAnsi="Times New Roman" w:cs="Times New Roman"/>
          <w:sz w:val="20"/>
          <w:szCs w:val="20"/>
          <w:lang w:val="en-GB"/>
        </w:rPr>
      </w:pPr>
    </w:p>
    <w:p w14:paraId="0970CFAB" w14:textId="77777777" w:rsidR="00C94D20" w:rsidRDefault="00C94D20" w:rsidP="00F231BE">
      <w:pPr>
        <w:spacing w:line="480" w:lineRule="auto"/>
        <w:jc w:val="left"/>
        <w:rPr>
          <w:rFonts w:ascii="Times New Roman" w:hAnsi="Times New Roman" w:cs="Times New Roman"/>
          <w:sz w:val="20"/>
          <w:szCs w:val="20"/>
          <w:lang w:val="en-GB"/>
        </w:rPr>
      </w:pPr>
    </w:p>
    <w:p w14:paraId="4E488768" w14:textId="77777777" w:rsidR="00C94D20" w:rsidRDefault="00C94D20" w:rsidP="00F231BE">
      <w:pPr>
        <w:spacing w:line="480" w:lineRule="auto"/>
        <w:jc w:val="left"/>
        <w:rPr>
          <w:rFonts w:ascii="Times New Roman" w:hAnsi="Times New Roman" w:cs="Times New Roman"/>
          <w:sz w:val="20"/>
          <w:szCs w:val="20"/>
          <w:lang w:val="en-GB"/>
        </w:rPr>
      </w:pPr>
    </w:p>
    <w:p w14:paraId="6ADA5D0C" w14:textId="77777777" w:rsidR="00C94D20" w:rsidRDefault="00C94D20" w:rsidP="00F231BE">
      <w:pPr>
        <w:spacing w:line="480" w:lineRule="auto"/>
        <w:jc w:val="left"/>
        <w:rPr>
          <w:rFonts w:ascii="Times New Roman" w:hAnsi="Times New Roman" w:cs="Times New Roman"/>
          <w:sz w:val="20"/>
          <w:szCs w:val="20"/>
          <w:lang w:val="en-GB"/>
        </w:rPr>
      </w:pPr>
    </w:p>
    <w:p w14:paraId="2153C226" w14:textId="77777777" w:rsidR="00C94D20" w:rsidRDefault="00C94D20" w:rsidP="00F231BE">
      <w:pPr>
        <w:spacing w:line="480" w:lineRule="auto"/>
        <w:jc w:val="left"/>
        <w:rPr>
          <w:rFonts w:ascii="Times New Roman" w:hAnsi="Times New Roman" w:cs="Times New Roman"/>
          <w:sz w:val="20"/>
          <w:szCs w:val="20"/>
          <w:lang w:val="en-GB"/>
        </w:rPr>
      </w:pPr>
    </w:p>
    <w:p w14:paraId="25DB52C0" w14:textId="77777777" w:rsidR="002C73BF" w:rsidRDefault="002C73BF" w:rsidP="00F231BE">
      <w:pPr>
        <w:spacing w:line="480" w:lineRule="auto"/>
        <w:jc w:val="left"/>
        <w:rPr>
          <w:rFonts w:ascii="Times New Roman" w:hAnsi="Times New Roman" w:cs="Times New Roman"/>
          <w:sz w:val="20"/>
          <w:szCs w:val="20"/>
          <w:lang w:val="en-GB"/>
        </w:rPr>
      </w:pPr>
    </w:p>
    <w:p w14:paraId="7788AF52" w14:textId="77777777" w:rsidR="002C73BF" w:rsidRDefault="002C73BF" w:rsidP="00F231BE">
      <w:pPr>
        <w:spacing w:line="480" w:lineRule="auto"/>
        <w:jc w:val="left"/>
        <w:rPr>
          <w:rFonts w:ascii="Times New Roman" w:hAnsi="Times New Roman" w:cs="Times New Roman"/>
          <w:sz w:val="20"/>
          <w:szCs w:val="20"/>
          <w:lang w:val="en-GB"/>
        </w:rPr>
      </w:pPr>
    </w:p>
    <w:p w14:paraId="07529E52" w14:textId="77777777" w:rsidR="002C73BF" w:rsidRDefault="002C73BF" w:rsidP="00F231BE">
      <w:pPr>
        <w:spacing w:line="480" w:lineRule="auto"/>
        <w:jc w:val="left"/>
        <w:rPr>
          <w:rFonts w:ascii="Times New Roman" w:hAnsi="Times New Roman" w:cs="Times New Roman"/>
          <w:sz w:val="20"/>
          <w:szCs w:val="20"/>
          <w:lang w:val="en-GB"/>
        </w:rPr>
      </w:pPr>
    </w:p>
    <w:p w14:paraId="478AECE7" w14:textId="77777777" w:rsidR="002C73BF" w:rsidRDefault="002C73BF" w:rsidP="00F231BE">
      <w:pPr>
        <w:spacing w:line="480" w:lineRule="auto"/>
        <w:jc w:val="left"/>
        <w:rPr>
          <w:rFonts w:ascii="Times New Roman" w:hAnsi="Times New Roman" w:cs="Times New Roman"/>
          <w:sz w:val="20"/>
          <w:szCs w:val="20"/>
          <w:lang w:val="en-GB"/>
        </w:rPr>
      </w:pPr>
    </w:p>
    <w:p w14:paraId="5894FD4F" w14:textId="77777777" w:rsidR="002C73BF" w:rsidRDefault="002C73BF" w:rsidP="00F231BE">
      <w:pPr>
        <w:spacing w:line="480" w:lineRule="auto"/>
        <w:jc w:val="left"/>
        <w:rPr>
          <w:rFonts w:ascii="Times New Roman" w:hAnsi="Times New Roman" w:cs="Times New Roman"/>
          <w:sz w:val="20"/>
          <w:szCs w:val="20"/>
          <w:lang w:val="en-GB"/>
        </w:rPr>
      </w:pPr>
    </w:p>
    <w:p w14:paraId="6ED45415" w14:textId="77777777" w:rsidR="002C73BF" w:rsidRDefault="002C73BF" w:rsidP="00F231BE">
      <w:pPr>
        <w:spacing w:line="480" w:lineRule="auto"/>
        <w:jc w:val="left"/>
        <w:rPr>
          <w:rFonts w:ascii="Times New Roman" w:hAnsi="Times New Roman" w:cs="Times New Roman"/>
          <w:sz w:val="20"/>
          <w:szCs w:val="20"/>
          <w:lang w:val="en-GB"/>
        </w:rPr>
      </w:pPr>
    </w:p>
    <w:p w14:paraId="472B4EBF" w14:textId="77777777" w:rsidR="002C73BF" w:rsidRDefault="002C73BF" w:rsidP="00F231BE">
      <w:pPr>
        <w:spacing w:line="480" w:lineRule="auto"/>
        <w:jc w:val="left"/>
        <w:rPr>
          <w:rFonts w:ascii="Times New Roman" w:hAnsi="Times New Roman" w:cs="Times New Roman"/>
          <w:sz w:val="20"/>
          <w:szCs w:val="20"/>
          <w:lang w:val="en-GB"/>
        </w:rPr>
      </w:pPr>
    </w:p>
    <w:p w14:paraId="2B6264E0" w14:textId="77777777" w:rsidR="002C73BF" w:rsidRDefault="002C73BF" w:rsidP="00F231BE">
      <w:pPr>
        <w:spacing w:line="480" w:lineRule="auto"/>
        <w:jc w:val="left"/>
        <w:rPr>
          <w:rFonts w:ascii="Times New Roman" w:hAnsi="Times New Roman" w:cs="Times New Roman"/>
          <w:sz w:val="20"/>
          <w:szCs w:val="20"/>
          <w:lang w:val="en-GB"/>
        </w:rPr>
      </w:pPr>
    </w:p>
    <w:p w14:paraId="2C5BF003" w14:textId="77777777" w:rsidR="002C73BF" w:rsidRDefault="002C73BF" w:rsidP="00F231BE">
      <w:pPr>
        <w:spacing w:line="480" w:lineRule="auto"/>
        <w:jc w:val="left"/>
        <w:rPr>
          <w:rFonts w:ascii="Times New Roman" w:hAnsi="Times New Roman" w:cs="Times New Roman"/>
          <w:sz w:val="20"/>
          <w:szCs w:val="20"/>
          <w:lang w:val="en-GB"/>
        </w:rPr>
      </w:pPr>
    </w:p>
    <w:p w14:paraId="090CC9EB" w14:textId="1D01DC89" w:rsidR="00961890" w:rsidRPr="00982A50" w:rsidRDefault="00982A50" w:rsidP="00F231BE">
      <w:pPr>
        <w:spacing w:line="480" w:lineRule="auto"/>
        <w:jc w:val="left"/>
        <w:rPr>
          <w:rFonts w:ascii="Times New Roman" w:hAnsi="Times New Roman" w:cs="Times New Roman"/>
          <w:sz w:val="20"/>
          <w:szCs w:val="20"/>
        </w:rPr>
      </w:pPr>
      <w:r w:rsidRPr="00982A50">
        <w:rPr>
          <w:rFonts w:ascii="Times New Roman" w:hAnsi="Times New Roman" w:cs="Times New Roman"/>
          <w:sz w:val="20"/>
          <w:szCs w:val="20"/>
          <w:lang w:val="en-GB"/>
        </w:rPr>
        <w:t xml:space="preserve">Table </w:t>
      </w:r>
      <w:r w:rsidR="0034479C">
        <w:rPr>
          <w:rFonts w:ascii="Times New Roman" w:hAnsi="Times New Roman" w:cs="Times New Roman"/>
          <w:sz w:val="20"/>
          <w:szCs w:val="20"/>
          <w:lang w:val="en-GB"/>
        </w:rPr>
        <w:t>2</w:t>
      </w:r>
      <w:r w:rsidRPr="00982A50">
        <w:rPr>
          <w:rFonts w:ascii="Times New Roman" w:hAnsi="Times New Roman" w:cs="Times New Roman"/>
          <w:sz w:val="20"/>
          <w:szCs w:val="20"/>
          <w:lang w:val="en-GB"/>
        </w:rPr>
        <w:t>. Demographic data and results of self-administered psychological tests</w:t>
      </w:r>
    </w:p>
    <w:p w14:paraId="005061CC" w14:textId="26410998" w:rsidR="00F231BE" w:rsidRPr="00982A50" w:rsidRDefault="00F231BE" w:rsidP="00F231BE">
      <w:pPr>
        <w:rPr>
          <w:rFonts w:ascii="Times New Roman" w:hAnsi="Times New Roman" w:cs="Times New Roman"/>
          <w:sz w:val="20"/>
          <w:szCs w:val="20"/>
          <w:lang w:val="en-GB"/>
        </w:rPr>
      </w:pPr>
    </w:p>
    <w:tbl>
      <w:tblPr>
        <w:tblStyle w:val="TableGrid"/>
        <w:tblpPr w:leftFromText="180" w:rightFromText="180" w:vertAnchor="page" w:horzAnchor="margin" w:tblpY="3396"/>
        <w:tblW w:w="8755" w:type="dxa"/>
        <w:tblLook w:val="04A0" w:firstRow="1" w:lastRow="0" w:firstColumn="1" w:lastColumn="0" w:noHBand="0" w:noVBand="1"/>
      </w:tblPr>
      <w:tblGrid>
        <w:gridCol w:w="4135"/>
        <w:gridCol w:w="2636"/>
        <w:gridCol w:w="1984"/>
      </w:tblGrid>
      <w:tr w:rsidR="00DE1C31" w:rsidRPr="00982A50" w14:paraId="4D6CDE55" w14:textId="77777777" w:rsidTr="00982A50">
        <w:trPr>
          <w:trHeight w:val="611"/>
        </w:trPr>
        <w:tc>
          <w:tcPr>
            <w:tcW w:w="4135" w:type="dxa"/>
            <w:tcBorders>
              <w:left w:val="nil"/>
              <w:bottom w:val="single" w:sz="4" w:space="0" w:color="auto"/>
              <w:right w:val="nil"/>
            </w:tcBorders>
          </w:tcPr>
          <w:p w14:paraId="140BDA37" w14:textId="77777777" w:rsidR="00DE1C31" w:rsidRPr="00982A50" w:rsidRDefault="00DE1C31" w:rsidP="00961890">
            <w:pPr>
              <w:rPr>
                <w:rFonts w:ascii="Times New Roman" w:hAnsi="Times New Roman" w:cs="Times New Roman"/>
                <w:sz w:val="20"/>
                <w:szCs w:val="20"/>
                <w:lang w:val="en-GB"/>
              </w:rPr>
            </w:pPr>
          </w:p>
        </w:tc>
        <w:tc>
          <w:tcPr>
            <w:tcW w:w="2636" w:type="dxa"/>
            <w:tcBorders>
              <w:left w:val="nil"/>
              <w:bottom w:val="single" w:sz="4" w:space="0" w:color="auto"/>
              <w:right w:val="nil"/>
            </w:tcBorders>
          </w:tcPr>
          <w:p w14:paraId="25BF251B"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Mean (SD)</w:t>
            </w:r>
          </w:p>
        </w:tc>
        <w:tc>
          <w:tcPr>
            <w:tcW w:w="1984" w:type="dxa"/>
            <w:tcBorders>
              <w:left w:val="nil"/>
              <w:bottom w:val="single" w:sz="4" w:space="0" w:color="auto"/>
              <w:right w:val="nil"/>
            </w:tcBorders>
          </w:tcPr>
          <w:p w14:paraId="30FF4E55"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Range</w:t>
            </w:r>
          </w:p>
        </w:tc>
      </w:tr>
      <w:tr w:rsidR="00DE1C31" w:rsidRPr="00982A50" w14:paraId="63DE1211" w14:textId="77777777" w:rsidTr="00982A50">
        <w:trPr>
          <w:trHeight w:val="582"/>
        </w:trPr>
        <w:tc>
          <w:tcPr>
            <w:tcW w:w="4135" w:type="dxa"/>
            <w:tcBorders>
              <w:left w:val="nil"/>
              <w:bottom w:val="nil"/>
              <w:right w:val="nil"/>
            </w:tcBorders>
          </w:tcPr>
          <w:p w14:paraId="649A3958"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Age (years)</w:t>
            </w:r>
          </w:p>
        </w:tc>
        <w:tc>
          <w:tcPr>
            <w:tcW w:w="2636" w:type="dxa"/>
            <w:tcBorders>
              <w:left w:val="nil"/>
              <w:bottom w:val="nil"/>
              <w:right w:val="nil"/>
            </w:tcBorders>
          </w:tcPr>
          <w:p w14:paraId="0B96D657"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30.2 (7.9)</w:t>
            </w:r>
          </w:p>
        </w:tc>
        <w:tc>
          <w:tcPr>
            <w:tcW w:w="1984" w:type="dxa"/>
            <w:tcBorders>
              <w:left w:val="nil"/>
              <w:bottom w:val="nil"/>
              <w:right w:val="nil"/>
            </w:tcBorders>
          </w:tcPr>
          <w:p w14:paraId="34A97444"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19-49</w:t>
            </w:r>
          </w:p>
        </w:tc>
      </w:tr>
      <w:tr w:rsidR="00DE1C31" w:rsidRPr="00982A50" w14:paraId="71E9CF3D" w14:textId="77777777" w:rsidTr="00982A50">
        <w:trPr>
          <w:trHeight w:val="582"/>
        </w:trPr>
        <w:tc>
          <w:tcPr>
            <w:tcW w:w="4135" w:type="dxa"/>
            <w:tcBorders>
              <w:top w:val="nil"/>
              <w:left w:val="nil"/>
              <w:bottom w:val="nil"/>
              <w:right w:val="nil"/>
            </w:tcBorders>
          </w:tcPr>
          <w:p w14:paraId="59680D4F"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Caffeine Consumption</w:t>
            </w:r>
          </w:p>
          <w:p w14:paraId="07D38890"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(mg per week)</w:t>
            </w:r>
          </w:p>
        </w:tc>
        <w:tc>
          <w:tcPr>
            <w:tcW w:w="2636" w:type="dxa"/>
            <w:tcBorders>
              <w:top w:val="nil"/>
              <w:left w:val="nil"/>
              <w:bottom w:val="nil"/>
              <w:right w:val="nil"/>
            </w:tcBorders>
          </w:tcPr>
          <w:p w14:paraId="592AAF43"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1670 (1246)</w:t>
            </w:r>
          </w:p>
        </w:tc>
        <w:tc>
          <w:tcPr>
            <w:tcW w:w="1984" w:type="dxa"/>
            <w:tcBorders>
              <w:top w:val="nil"/>
              <w:left w:val="nil"/>
              <w:bottom w:val="nil"/>
              <w:right w:val="nil"/>
            </w:tcBorders>
          </w:tcPr>
          <w:p w14:paraId="55928AF5"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0-4122</w:t>
            </w:r>
          </w:p>
        </w:tc>
      </w:tr>
      <w:tr w:rsidR="00DE1C31" w:rsidRPr="00982A50" w14:paraId="6C797BC7" w14:textId="77777777" w:rsidTr="00982A50">
        <w:trPr>
          <w:trHeight w:val="582"/>
        </w:trPr>
        <w:tc>
          <w:tcPr>
            <w:tcW w:w="4135" w:type="dxa"/>
            <w:tcBorders>
              <w:top w:val="nil"/>
              <w:left w:val="nil"/>
              <w:bottom w:val="nil"/>
              <w:right w:val="nil"/>
            </w:tcBorders>
          </w:tcPr>
          <w:p w14:paraId="31C04921"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NART</w:t>
            </w:r>
          </w:p>
        </w:tc>
        <w:tc>
          <w:tcPr>
            <w:tcW w:w="2636" w:type="dxa"/>
            <w:tcBorders>
              <w:top w:val="nil"/>
              <w:left w:val="nil"/>
              <w:bottom w:val="nil"/>
              <w:right w:val="nil"/>
            </w:tcBorders>
          </w:tcPr>
          <w:p w14:paraId="38C2351B"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121.0 (4.5)</w:t>
            </w:r>
          </w:p>
        </w:tc>
        <w:tc>
          <w:tcPr>
            <w:tcW w:w="1984" w:type="dxa"/>
            <w:tcBorders>
              <w:top w:val="nil"/>
              <w:left w:val="nil"/>
              <w:bottom w:val="nil"/>
              <w:right w:val="nil"/>
            </w:tcBorders>
          </w:tcPr>
          <w:p w14:paraId="0D7C168B"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111-126</w:t>
            </w:r>
          </w:p>
        </w:tc>
      </w:tr>
      <w:tr w:rsidR="00DE1C31" w:rsidRPr="00982A50" w14:paraId="7F2C47BA" w14:textId="77777777" w:rsidTr="00982A50">
        <w:trPr>
          <w:trHeight w:val="582"/>
        </w:trPr>
        <w:tc>
          <w:tcPr>
            <w:tcW w:w="4135" w:type="dxa"/>
            <w:tcBorders>
              <w:top w:val="nil"/>
              <w:left w:val="nil"/>
              <w:bottom w:val="nil"/>
              <w:right w:val="nil"/>
            </w:tcBorders>
          </w:tcPr>
          <w:p w14:paraId="0B8E84B9"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BIS-11 total score</w:t>
            </w:r>
          </w:p>
        </w:tc>
        <w:tc>
          <w:tcPr>
            <w:tcW w:w="2636" w:type="dxa"/>
            <w:tcBorders>
              <w:top w:val="nil"/>
              <w:left w:val="nil"/>
              <w:bottom w:val="nil"/>
              <w:right w:val="nil"/>
            </w:tcBorders>
          </w:tcPr>
          <w:p w14:paraId="75865165"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59.2 (9.3)</w:t>
            </w:r>
          </w:p>
        </w:tc>
        <w:tc>
          <w:tcPr>
            <w:tcW w:w="1984" w:type="dxa"/>
            <w:tcBorders>
              <w:top w:val="nil"/>
              <w:left w:val="nil"/>
              <w:bottom w:val="nil"/>
              <w:right w:val="nil"/>
            </w:tcBorders>
          </w:tcPr>
          <w:p w14:paraId="3CED85A1"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42-77</w:t>
            </w:r>
          </w:p>
        </w:tc>
      </w:tr>
      <w:tr w:rsidR="00DE1C31" w:rsidRPr="00982A50" w14:paraId="58B10C58" w14:textId="77777777" w:rsidTr="00982A50">
        <w:trPr>
          <w:trHeight w:val="582"/>
        </w:trPr>
        <w:tc>
          <w:tcPr>
            <w:tcW w:w="4135" w:type="dxa"/>
            <w:tcBorders>
              <w:top w:val="nil"/>
              <w:left w:val="nil"/>
              <w:bottom w:val="nil"/>
              <w:right w:val="nil"/>
            </w:tcBorders>
          </w:tcPr>
          <w:p w14:paraId="60C8AD65"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 xml:space="preserve">    Motor</w:t>
            </w:r>
          </w:p>
        </w:tc>
        <w:tc>
          <w:tcPr>
            <w:tcW w:w="2636" w:type="dxa"/>
            <w:tcBorders>
              <w:top w:val="nil"/>
              <w:left w:val="nil"/>
              <w:bottom w:val="nil"/>
              <w:right w:val="nil"/>
            </w:tcBorders>
          </w:tcPr>
          <w:p w14:paraId="0DB0DB3A"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22.7 (4.2)</w:t>
            </w:r>
          </w:p>
        </w:tc>
        <w:tc>
          <w:tcPr>
            <w:tcW w:w="1984" w:type="dxa"/>
            <w:tcBorders>
              <w:top w:val="nil"/>
              <w:left w:val="nil"/>
              <w:bottom w:val="nil"/>
              <w:right w:val="nil"/>
            </w:tcBorders>
          </w:tcPr>
          <w:p w14:paraId="54D70A40"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13-29</w:t>
            </w:r>
          </w:p>
        </w:tc>
      </w:tr>
      <w:tr w:rsidR="00DE1C31" w:rsidRPr="00982A50" w14:paraId="09676E45" w14:textId="77777777" w:rsidTr="00982A50">
        <w:trPr>
          <w:trHeight w:val="582"/>
        </w:trPr>
        <w:tc>
          <w:tcPr>
            <w:tcW w:w="4135" w:type="dxa"/>
            <w:tcBorders>
              <w:top w:val="nil"/>
              <w:left w:val="nil"/>
              <w:bottom w:val="nil"/>
              <w:right w:val="nil"/>
            </w:tcBorders>
          </w:tcPr>
          <w:p w14:paraId="1B3376AB"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 xml:space="preserve">    Non-Planning</w:t>
            </w:r>
          </w:p>
        </w:tc>
        <w:tc>
          <w:tcPr>
            <w:tcW w:w="2636" w:type="dxa"/>
            <w:tcBorders>
              <w:top w:val="nil"/>
              <w:left w:val="nil"/>
              <w:bottom w:val="nil"/>
              <w:right w:val="nil"/>
            </w:tcBorders>
          </w:tcPr>
          <w:p w14:paraId="205C4AC6"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21.1 (4.5)</w:t>
            </w:r>
          </w:p>
        </w:tc>
        <w:tc>
          <w:tcPr>
            <w:tcW w:w="1984" w:type="dxa"/>
            <w:tcBorders>
              <w:top w:val="nil"/>
              <w:left w:val="nil"/>
              <w:bottom w:val="nil"/>
              <w:right w:val="nil"/>
            </w:tcBorders>
          </w:tcPr>
          <w:p w14:paraId="0FAD60CE"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11-30</w:t>
            </w:r>
          </w:p>
        </w:tc>
      </w:tr>
      <w:tr w:rsidR="00DE1C31" w:rsidRPr="00982A50" w14:paraId="78D96415" w14:textId="77777777" w:rsidTr="00982A50">
        <w:trPr>
          <w:trHeight w:val="582"/>
        </w:trPr>
        <w:tc>
          <w:tcPr>
            <w:tcW w:w="4135" w:type="dxa"/>
            <w:tcBorders>
              <w:top w:val="nil"/>
              <w:left w:val="nil"/>
              <w:bottom w:val="nil"/>
              <w:right w:val="nil"/>
            </w:tcBorders>
          </w:tcPr>
          <w:p w14:paraId="5FFDFFB7"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 xml:space="preserve">    Attentional</w:t>
            </w:r>
          </w:p>
        </w:tc>
        <w:tc>
          <w:tcPr>
            <w:tcW w:w="2636" w:type="dxa"/>
            <w:tcBorders>
              <w:top w:val="nil"/>
              <w:left w:val="nil"/>
              <w:bottom w:val="nil"/>
              <w:right w:val="nil"/>
            </w:tcBorders>
          </w:tcPr>
          <w:p w14:paraId="2E480798"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15.5 (3.9)</w:t>
            </w:r>
          </w:p>
        </w:tc>
        <w:tc>
          <w:tcPr>
            <w:tcW w:w="1984" w:type="dxa"/>
            <w:tcBorders>
              <w:top w:val="nil"/>
              <w:left w:val="nil"/>
              <w:bottom w:val="nil"/>
              <w:right w:val="nil"/>
            </w:tcBorders>
          </w:tcPr>
          <w:p w14:paraId="1C580C37"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8-23</w:t>
            </w:r>
          </w:p>
        </w:tc>
      </w:tr>
      <w:tr w:rsidR="00DE1C31" w:rsidRPr="00982A50" w14:paraId="6AC4AFA7" w14:textId="77777777" w:rsidTr="00982A50">
        <w:trPr>
          <w:trHeight w:val="582"/>
        </w:trPr>
        <w:tc>
          <w:tcPr>
            <w:tcW w:w="4135" w:type="dxa"/>
            <w:tcBorders>
              <w:top w:val="nil"/>
              <w:left w:val="nil"/>
              <w:bottom w:val="nil"/>
              <w:right w:val="nil"/>
            </w:tcBorders>
          </w:tcPr>
          <w:p w14:paraId="46E16C1F"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SOC</w:t>
            </w:r>
          </w:p>
        </w:tc>
        <w:tc>
          <w:tcPr>
            <w:tcW w:w="2636" w:type="dxa"/>
            <w:tcBorders>
              <w:top w:val="nil"/>
              <w:left w:val="nil"/>
              <w:bottom w:val="nil"/>
              <w:right w:val="nil"/>
            </w:tcBorders>
          </w:tcPr>
          <w:p w14:paraId="50FDA9B7"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116.6 (6.5)</w:t>
            </w:r>
          </w:p>
        </w:tc>
        <w:tc>
          <w:tcPr>
            <w:tcW w:w="1984" w:type="dxa"/>
            <w:tcBorders>
              <w:top w:val="nil"/>
              <w:left w:val="nil"/>
              <w:bottom w:val="nil"/>
              <w:right w:val="nil"/>
            </w:tcBorders>
          </w:tcPr>
          <w:p w14:paraId="2E64C41F"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104-128</w:t>
            </w:r>
          </w:p>
        </w:tc>
      </w:tr>
      <w:tr w:rsidR="00DE1C31" w:rsidRPr="00982A50" w14:paraId="1E5349F4" w14:textId="77777777" w:rsidTr="00982A50">
        <w:trPr>
          <w:trHeight w:val="582"/>
        </w:trPr>
        <w:tc>
          <w:tcPr>
            <w:tcW w:w="4135" w:type="dxa"/>
            <w:tcBorders>
              <w:top w:val="nil"/>
              <w:left w:val="nil"/>
              <w:bottom w:val="nil"/>
              <w:right w:val="nil"/>
            </w:tcBorders>
          </w:tcPr>
          <w:p w14:paraId="16938412"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SDS</w:t>
            </w:r>
          </w:p>
        </w:tc>
        <w:tc>
          <w:tcPr>
            <w:tcW w:w="2636" w:type="dxa"/>
            <w:tcBorders>
              <w:top w:val="nil"/>
              <w:left w:val="nil"/>
              <w:bottom w:val="nil"/>
              <w:right w:val="nil"/>
            </w:tcBorders>
          </w:tcPr>
          <w:p w14:paraId="343E5752"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17.9 (7.2)</w:t>
            </w:r>
          </w:p>
        </w:tc>
        <w:tc>
          <w:tcPr>
            <w:tcW w:w="1984" w:type="dxa"/>
            <w:tcBorders>
              <w:top w:val="nil"/>
              <w:left w:val="nil"/>
              <w:bottom w:val="nil"/>
              <w:right w:val="nil"/>
            </w:tcBorders>
          </w:tcPr>
          <w:p w14:paraId="56A8A1C8"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5-29</w:t>
            </w:r>
          </w:p>
        </w:tc>
      </w:tr>
      <w:tr w:rsidR="00DE1C31" w:rsidRPr="00982A50" w14:paraId="1438ECF3" w14:textId="77777777" w:rsidTr="00982A50">
        <w:trPr>
          <w:trHeight w:val="582"/>
        </w:trPr>
        <w:tc>
          <w:tcPr>
            <w:tcW w:w="4135" w:type="dxa"/>
            <w:tcBorders>
              <w:top w:val="nil"/>
              <w:left w:val="nil"/>
              <w:bottom w:val="nil"/>
              <w:right w:val="nil"/>
            </w:tcBorders>
          </w:tcPr>
          <w:p w14:paraId="7C48D660"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NEO-FFI-3 total score</w:t>
            </w:r>
          </w:p>
        </w:tc>
        <w:tc>
          <w:tcPr>
            <w:tcW w:w="2636" w:type="dxa"/>
            <w:tcBorders>
              <w:top w:val="nil"/>
              <w:left w:val="nil"/>
              <w:bottom w:val="nil"/>
              <w:right w:val="nil"/>
            </w:tcBorders>
          </w:tcPr>
          <w:p w14:paraId="11551EAF"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137.2 (16.9)</w:t>
            </w:r>
          </w:p>
        </w:tc>
        <w:tc>
          <w:tcPr>
            <w:tcW w:w="1984" w:type="dxa"/>
            <w:tcBorders>
              <w:top w:val="nil"/>
              <w:left w:val="nil"/>
              <w:bottom w:val="nil"/>
              <w:right w:val="nil"/>
            </w:tcBorders>
          </w:tcPr>
          <w:p w14:paraId="0986D228"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115-171</w:t>
            </w:r>
          </w:p>
        </w:tc>
      </w:tr>
      <w:tr w:rsidR="00DE1C31" w:rsidRPr="00982A50" w14:paraId="0D35C12A" w14:textId="77777777" w:rsidTr="00982A50">
        <w:trPr>
          <w:trHeight w:val="582"/>
        </w:trPr>
        <w:tc>
          <w:tcPr>
            <w:tcW w:w="4135" w:type="dxa"/>
            <w:tcBorders>
              <w:top w:val="nil"/>
              <w:left w:val="nil"/>
              <w:bottom w:val="nil"/>
              <w:right w:val="nil"/>
            </w:tcBorders>
          </w:tcPr>
          <w:p w14:paraId="66E6E464"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 xml:space="preserve">    Neuroticism</w:t>
            </w:r>
          </w:p>
        </w:tc>
        <w:tc>
          <w:tcPr>
            <w:tcW w:w="2636" w:type="dxa"/>
            <w:tcBorders>
              <w:top w:val="nil"/>
              <w:left w:val="nil"/>
              <w:bottom w:val="nil"/>
              <w:right w:val="nil"/>
            </w:tcBorders>
          </w:tcPr>
          <w:p w14:paraId="42D4C06C"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16.4 (7.7)</w:t>
            </w:r>
          </w:p>
        </w:tc>
        <w:tc>
          <w:tcPr>
            <w:tcW w:w="1984" w:type="dxa"/>
            <w:tcBorders>
              <w:top w:val="nil"/>
              <w:left w:val="nil"/>
              <w:bottom w:val="nil"/>
              <w:right w:val="nil"/>
            </w:tcBorders>
          </w:tcPr>
          <w:p w14:paraId="76E6BEE1"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2-30</w:t>
            </w:r>
          </w:p>
        </w:tc>
      </w:tr>
      <w:tr w:rsidR="00DE1C31" w:rsidRPr="00982A50" w14:paraId="7ADD24B9" w14:textId="77777777" w:rsidTr="00982A50">
        <w:trPr>
          <w:trHeight w:val="582"/>
        </w:trPr>
        <w:tc>
          <w:tcPr>
            <w:tcW w:w="4135" w:type="dxa"/>
            <w:tcBorders>
              <w:top w:val="nil"/>
              <w:left w:val="nil"/>
              <w:bottom w:val="nil"/>
              <w:right w:val="nil"/>
            </w:tcBorders>
          </w:tcPr>
          <w:p w14:paraId="624032CF"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 xml:space="preserve">    Extraversion</w:t>
            </w:r>
          </w:p>
        </w:tc>
        <w:tc>
          <w:tcPr>
            <w:tcW w:w="2636" w:type="dxa"/>
            <w:tcBorders>
              <w:top w:val="nil"/>
              <w:left w:val="nil"/>
              <w:bottom w:val="nil"/>
              <w:right w:val="nil"/>
            </w:tcBorders>
          </w:tcPr>
          <w:p w14:paraId="53EA2523"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28.5 (6.8)</w:t>
            </w:r>
          </w:p>
        </w:tc>
        <w:tc>
          <w:tcPr>
            <w:tcW w:w="1984" w:type="dxa"/>
            <w:tcBorders>
              <w:top w:val="nil"/>
              <w:left w:val="nil"/>
              <w:bottom w:val="nil"/>
              <w:right w:val="nil"/>
            </w:tcBorders>
          </w:tcPr>
          <w:p w14:paraId="589F85CE"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15-43</w:t>
            </w:r>
          </w:p>
        </w:tc>
      </w:tr>
      <w:tr w:rsidR="00DE1C31" w:rsidRPr="00982A50" w14:paraId="68E3EE08" w14:textId="77777777" w:rsidTr="00982A50">
        <w:trPr>
          <w:trHeight w:val="582"/>
        </w:trPr>
        <w:tc>
          <w:tcPr>
            <w:tcW w:w="4135" w:type="dxa"/>
            <w:tcBorders>
              <w:top w:val="nil"/>
              <w:left w:val="nil"/>
              <w:bottom w:val="nil"/>
              <w:right w:val="nil"/>
            </w:tcBorders>
          </w:tcPr>
          <w:p w14:paraId="10D6B4D6"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 xml:space="preserve">    Openness to experience</w:t>
            </w:r>
          </w:p>
        </w:tc>
        <w:tc>
          <w:tcPr>
            <w:tcW w:w="2636" w:type="dxa"/>
            <w:tcBorders>
              <w:top w:val="nil"/>
              <w:left w:val="nil"/>
              <w:bottom w:val="nil"/>
              <w:right w:val="nil"/>
            </w:tcBorders>
          </w:tcPr>
          <w:p w14:paraId="17E43150"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30.9 (5.9)</w:t>
            </w:r>
          </w:p>
        </w:tc>
        <w:tc>
          <w:tcPr>
            <w:tcW w:w="1984" w:type="dxa"/>
            <w:tcBorders>
              <w:top w:val="nil"/>
              <w:left w:val="nil"/>
              <w:bottom w:val="nil"/>
              <w:right w:val="nil"/>
            </w:tcBorders>
          </w:tcPr>
          <w:p w14:paraId="28448D0D"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20-42</w:t>
            </w:r>
          </w:p>
        </w:tc>
      </w:tr>
      <w:tr w:rsidR="00DE1C31" w:rsidRPr="00982A50" w14:paraId="59719F65" w14:textId="77777777" w:rsidTr="00982A50">
        <w:trPr>
          <w:trHeight w:val="582"/>
        </w:trPr>
        <w:tc>
          <w:tcPr>
            <w:tcW w:w="4135" w:type="dxa"/>
            <w:tcBorders>
              <w:top w:val="nil"/>
              <w:left w:val="nil"/>
              <w:bottom w:val="nil"/>
              <w:right w:val="nil"/>
            </w:tcBorders>
          </w:tcPr>
          <w:p w14:paraId="0B2F9F99"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 xml:space="preserve">    Agreeableness</w:t>
            </w:r>
          </w:p>
        </w:tc>
        <w:tc>
          <w:tcPr>
            <w:tcW w:w="2636" w:type="dxa"/>
            <w:tcBorders>
              <w:top w:val="nil"/>
              <w:left w:val="nil"/>
              <w:bottom w:val="nil"/>
              <w:right w:val="nil"/>
            </w:tcBorders>
          </w:tcPr>
          <w:p w14:paraId="3D0A5945"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29.6 (7.0)</w:t>
            </w:r>
          </w:p>
        </w:tc>
        <w:tc>
          <w:tcPr>
            <w:tcW w:w="1984" w:type="dxa"/>
            <w:tcBorders>
              <w:top w:val="nil"/>
              <w:left w:val="nil"/>
              <w:bottom w:val="nil"/>
              <w:right w:val="nil"/>
            </w:tcBorders>
          </w:tcPr>
          <w:p w14:paraId="510F77BE"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13-41</w:t>
            </w:r>
          </w:p>
        </w:tc>
      </w:tr>
      <w:tr w:rsidR="00DE1C31" w:rsidRPr="00982A50" w14:paraId="4744C757" w14:textId="77777777" w:rsidTr="00982A50">
        <w:trPr>
          <w:trHeight w:val="582"/>
        </w:trPr>
        <w:tc>
          <w:tcPr>
            <w:tcW w:w="4135" w:type="dxa"/>
            <w:tcBorders>
              <w:top w:val="nil"/>
              <w:left w:val="nil"/>
              <w:bottom w:val="single" w:sz="4" w:space="0" w:color="auto"/>
              <w:right w:val="nil"/>
            </w:tcBorders>
          </w:tcPr>
          <w:p w14:paraId="76FCCAB1"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 xml:space="preserve">    Conscientiousness</w:t>
            </w:r>
          </w:p>
        </w:tc>
        <w:tc>
          <w:tcPr>
            <w:tcW w:w="2636" w:type="dxa"/>
            <w:tcBorders>
              <w:top w:val="nil"/>
              <w:left w:val="nil"/>
              <w:bottom w:val="single" w:sz="4" w:space="0" w:color="auto"/>
              <w:right w:val="nil"/>
            </w:tcBorders>
          </w:tcPr>
          <w:p w14:paraId="5AF8E2CF"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31.7 (6.9)</w:t>
            </w:r>
          </w:p>
        </w:tc>
        <w:tc>
          <w:tcPr>
            <w:tcW w:w="1984" w:type="dxa"/>
            <w:tcBorders>
              <w:top w:val="nil"/>
              <w:left w:val="nil"/>
              <w:bottom w:val="single" w:sz="4" w:space="0" w:color="auto"/>
              <w:right w:val="nil"/>
            </w:tcBorders>
          </w:tcPr>
          <w:p w14:paraId="1921F871" w14:textId="77777777" w:rsidR="00DE1C31" w:rsidRPr="00982A50" w:rsidRDefault="00DE1C31" w:rsidP="00961890">
            <w:pPr>
              <w:rPr>
                <w:rFonts w:ascii="Times New Roman" w:hAnsi="Times New Roman" w:cs="Times New Roman"/>
                <w:sz w:val="20"/>
                <w:szCs w:val="20"/>
              </w:rPr>
            </w:pPr>
            <w:r w:rsidRPr="00982A50">
              <w:rPr>
                <w:rFonts w:ascii="Times New Roman" w:hAnsi="Times New Roman" w:cs="Times New Roman"/>
                <w:sz w:val="20"/>
                <w:szCs w:val="20"/>
              </w:rPr>
              <w:t>21-46</w:t>
            </w:r>
          </w:p>
        </w:tc>
      </w:tr>
    </w:tbl>
    <w:p w14:paraId="5CD81A65" w14:textId="77777777" w:rsidR="00F231BE" w:rsidRPr="00982A50" w:rsidRDefault="00F231BE" w:rsidP="00F231BE">
      <w:pPr>
        <w:rPr>
          <w:rFonts w:ascii="Times New Roman" w:hAnsi="Times New Roman" w:cs="Times New Roman"/>
          <w:sz w:val="20"/>
          <w:szCs w:val="20"/>
          <w:lang w:val="en-GB"/>
        </w:rPr>
      </w:pPr>
    </w:p>
    <w:p w14:paraId="3A1367FE" w14:textId="77777777" w:rsidR="00DE1C31" w:rsidRPr="00982A50" w:rsidRDefault="00DE1C31" w:rsidP="00F231BE">
      <w:pPr>
        <w:rPr>
          <w:rFonts w:ascii="Times New Roman" w:hAnsi="Times New Roman" w:cs="Times New Roman"/>
          <w:sz w:val="20"/>
          <w:szCs w:val="20"/>
          <w:lang w:val="en-GB"/>
        </w:rPr>
      </w:pPr>
    </w:p>
    <w:p w14:paraId="75667831" w14:textId="1C4910BA" w:rsidR="00DE1C31" w:rsidRPr="00982A50" w:rsidRDefault="00F231BE" w:rsidP="00F231BE">
      <w:pPr>
        <w:rPr>
          <w:rFonts w:ascii="Times New Roman" w:hAnsi="Times New Roman" w:cs="Times New Roman"/>
          <w:sz w:val="20"/>
          <w:szCs w:val="20"/>
        </w:rPr>
      </w:pPr>
      <w:r w:rsidRPr="00982A50">
        <w:rPr>
          <w:rFonts w:ascii="Times New Roman" w:hAnsi="Times New Roman" w:cs="Times New Roman"/>
          <w:sz w:val="20"/>
          <w:szCs w:val="20"/>
          <w:lang w:val="en-GB"/>
        </w:rPr>
        <w:t xml:space="preserve">Abbreviations. </w:t>
      </w:r>
      <w:r w:rsidRPr="00982A50">
        <w:rPr>
          <w:rFonts w:ascii="Times New Roman" w:hAnsi="Times New Roman" w:cs="Times New Roman"/>
          <w:sz w:val="20"/>
          <w:szCs w:val="20"/>
          <w:lang w:val="it-IT"/>
        </w:rPr>
        <w:t xml:space="preserve">SD: standard deviation, </w:t>
      </w:r>
      <w:r w:rsidRPr="00982A50">
        <w:rPr>
          <w:rFonts w:ascii="Times New Roman" w:hAnsi="Times New Roman" w:cs="Times New Roman"/>
          <w:sz w:val="20"/>
          <w:szCs w:val="20"/>
          <w:lang w:val="en-GB"/>
        </w:rPr>
        <w:t>NART: National Adult Reading Test,</w:t>
      </w:r>
      <w:r w:rsidRPr="00982A50">
        <w:rPr>
          <w:rFonts w:ascii="Times New Roman" w:hAnsi="Times New Roman" w:cs="Times New Roman"/>
          <w:sz w:val="20"/>
          <w:szCs w:val="20"/>
        </w:rPr>
        <w:t xml:space="preserve"> BIS-11: </w:t>
      </w:r>
    </w:p>
    <w:p w14:paraId="652B4E9F" w14:textId="401FF505" w:rsidR="008D58C4" w:rsidRPr="00982A50" w:rsidRDefault="00F231BE" w:rsidP="00F231BE">
      <w:pPr>
        <w:rPr>
          <w:rFonts w:ascii="Times New Roman" w:hAnsi="Times New Roman" w:cs="Times New Roman"/>
          <w:sz w:val="20"/>
          <w:szCs w:val="20"/>
          <w:lang w:val="en-GB"/>
        </w:rPr>
      </w:pPr>
      <w:r w:rsidRPr="00982A50">
        <w:rPr>
          <w:rFonts w:ascii="Times New Roman" w:hAnsi="Times New Roman" w:cs="Times New Roman"/>
          <w:sz w:val="20"/>
          <w:szCs w:val="20"/>
          <w:lang w:val="en-GB"/>
        </w:rPr>
        <w:t>Barrat</w:t>
      </w:r>
      <w:r w:rsidR="00DE1C31" w:rsidRPr="00982A50">
        <w:rPr>
          <w:rFonts w:ascii="Times New Roman" w:hAnsi="Times New Roman" w:cs="Times New Roman"/>
          <w:sz w:val="20"/>
          <w:szCs w:val="20"/>
          <w:lang w:val="en-GB"/>
        </w:rPr>
        <w:t>t</w:t>
      </w:r>
      <w:r w:rsidRPr="00982A50">
        <w:rPr>
          <w:rFonts w:ascii="Times New Roman" w:hAnsi="Times New Roman" w:cs="Times New Roman"/>
          <w:sz w:val="20"/>
          <w:szCs w:val="20"/>
          <w:lang w:val="en-GB"/>
        </w:rPr>
        <w:t xml:space="preserve"> Impulsiveness Scale 11 (BIS-11), MADRS: Montgomery-</w:t>
      </w:r>
      <w:proofErr w:type="spellStart"/>
      <w:r w:rsidRPr="00982A50">
        <w:rPr>
          <w:rFonts w:ascii="Times New Roman" w:hAnsi="Times New Roman" w:cs="Times New Roman"/>
          <w:sz w:val="20"/>
          <w:szCs w:val="20"/>
          <w:lang w:val="en-GB"/>
        </w:rPr>
        <w:t>Asberg</w:t>
      </w:r>
      <w:proofErr w:type="spellEnd"/>
      <w:r w:rsidRPr="00982A50">
        <w:rPr>
          <w:rFonts w:ascii="Times New Roman" w:hAnsi="Times New Roman" w:cs="Times New Roman"/>
          <w:sz w:val="20"/>
          <w:szCs w:val="20"/>
          <w:lang w:val="en-GB"/>
        </w:rPr>
        <w:t xml:space="preserve"> Depression Rating Scale </w:t>
      </w:r>
    </w:p>
    <w:p w14:paraId="040B4D7D" w14:textId="77777777" w:rsidR="008D58C4" w:rsidRPr="00982A50" w:rsidRDefault="008D58C4" w:rsidP="00F231BE">
      <w:pPr>
        <w:rPr>
          <w:rFonts w:ascii="Times New Roman" w:hAnsi="Times New Roman" w:cs="Times New Roman"/>
          <w:sz w:val="20"/>
          <w:szCs w:val="20"/>
          <w:lang w:val="en-GB"/>
        </w:rPr>
      </w:pPr>
    </w:p>
    <w:p w14:paraId="0020253E" w14:textId="6B763FD2" w:rsidR="00F231BE" w:rsidRPr="00982A50" w:rsidRDefault="00F231BE" w:rsidP="00F231BE">
      <w:pPr>
        <w:rPr>
          <w:rFonts w:ascii="Times New Roman" w:hAnsi="Times New Roman" w:cs="Times New Roman"/>
          <w:sz w:val="20"/>
          <w:szCs w:val="20"/>
          <w:lang w:val="en-GB"/>
        </w:rPr>
      </w:pPr>
      <w:r w:rsidRPr="00982A50">
        <w:rPr>
          <w:rFonts w:ascii="Times New Roman" w:hAnsi="Times New Roman" w:cs="Times New Roman"/>
          <w:sz w:val="20"/>
          <w:szCs w:val="20"/>
          <w:lang w:val="en-GB"/>
        </w:rPr>
        <w:t xml:space="preserve">Table </w:t>
      </w:r>
      <w:r w:rsidR="0034479C">
        <w:rPr>
          <w:rFonts w:ascii="Times New Roman" w:hAnsi="Times New Roman" w:cs="Times New Roman"/>
          <w:sz w:val="20"/>
          <w:szCs w:val="20"/>
          <w:lang w:val="en-GB"/>
        </w:rPr>
        <w:t>3</w:t>
      </w:r>
      <w:r w:rsidRPr="00982A50">
        <w:rPr>
          <w:rFonts w:ascii="Times New Roman" w:hAnsi="Times New Roman" w:cs="Times New Roman"/>
          <w:sz w:val="20"/>
          <w:szCs w:val="20"/>
          <w:lang w:val="en-GB"/>
        </w:rPr>
        <w:t xml:space="preserve">. Neuropsychiatric data of CANTAB </w:t>
      </w:r>
    </w:p>
    <w:p w14:paraId="2FCC0AE2" w14:textId="7756F235" w:rsidR="00F231BE" w:rsidRPr="00982A50" w:rsidRDefault="00F231BE" w:rsidP="00F231BE">
      <w:pPr>
        <w:rPr>
          <w:rFonts w:ascii="Times New Roman" w:hAnsi="Times New Roman" w:cs="Times New Roman"/>
          <w:sz w:val="20"/>
          <w:szCs w:val="20"/>
          <w:lang w:val="en-GB"/>
        </w:rPr>
      </w:pPr>
    </w:p>
    <w:tbl>
      <w:tblPr>
        <w:tblpPr w:leftFromText="142" w:rightFromText="142" w:vertAnchor="page" w:horzAnchor="margin" w:tblpY="3078"/>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03"/>
        <w:gridCol w:w="2649"/>
        <w:gridCol w:w="1293"/>
        <w:gridCol w:w="1185"/>
        <w:gridCol w:w="845"/>
        <w:gridCol w:w="751"/>
        <w:gridCol w:w="872"/>
      </w:tblGrid>
      <w:tr w:rsidR="00A051F0" w:rsidRPr="00982A50" w14:paraId="7BE5C637" w14:textId="794494F4" w:rsidTr="003A0D38">
        <w:trPr>
          <w:trHeight w:val="360"/>
        </w:trPr>
        <w:tc>
          <w:tcPr>
            <w:tcW w:w="542" w:type="pct"/>
            <w:vMerge w:val="restart"/>
            <w:tcBorders>
              <w:top w:val="single" w:sz="4" w:space="0" w:color="000000"/>
              <w:left w:val="nil"/>
              <w:right w:val="nil"/>
            </w:tcBorders>
            <w:shd w:val="clear" w:color="auto" w:fill="auto"/>
            <w:tcMar>
              <w:top w:w="80" w:type="dxa"/>
              <w:left w:w="80" w:type="dxa"/>
              <w:bottom w:w="80" w:type="dxa"/>
              <w:right w:w="80" w:type="dxa"/>
            </w:tcMar>
            <w:vAlign w:val="center"/>
          </w:tcPr>
          <w:p w14:paraId="57EBE89D"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lastRenderedPageBreak/>
              <w:t>Batteries</w:t>
            </w:r>
          </w:p>
        </w:tc>
        <w:tc>
          <w:tcPr>
            <w:tcW w:w="1569" w:type="pct"/>
            <w:vMerge w:val="restart"/>
            <w:tcBorders>
              <w:top w:val="single" w:sz="4" w:space="0" w:color="000000"/>
              <w:left w:val="nil"/>
              <w:right w:val="nil"/>
            </w:tcBorders>
            <w:vAlign w:val="center"/>
          </w:tcPr>
          <w:p w14:paraId="1047B29E"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Measures</w:t>
            </w:r>
          </w:p>
        </w:tc>
        <w:tc>
          <w:tcPr>
            <w:tcW w:w="1478" w:type="pct"/>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99C1A3C"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Drug Conditions (SD)</w:t>
            </w:r>
          </w:p>
          <w:p w14:paraId="64A74A88"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(20 participants each)</w:t>
            </w:r>
          </w:p>
        </w:tc>
        <w:tc>
          <w:tcPr>
            <w:tcW w:w="507" w:type="pct"/>
            <w:vMerge w:val="restart"/>
            <w:tcBorders>
              <w:top w:val="single" w:sz="4" w:space="0" w:color="000000"/>
              <w:left w:val="nil"/>
              <w:right w:val="nil"/>
            </w:tcBorders>
            <w:shd w:val="clear" w:color="auto" w:fill="auto"/>
            <w:tcMar>
              <w:top w:w="80" w:type="dxa"/>
              <w:left w:w="80" w:type="dxa"/>
              <w:bottom w:w="80" w:type="dxa"/>
              <w:right w:w="80" w:type="dxa"/>
            </w:tcMar>
            <w:vAlign w:val="center"/>
          </w:tcPr>
          <w:p w14:paraId="00E34257" w14:textId="77777777" w:rsidR="00A051F0" w:rsidRPr="00982A50" w:rsidRDefault="00A051F0" w:rsidP="00DE1C31">
            <w:pPr>
              <w:pBdr>
                <w:top w:val="nil"/>
                <w:left w:val="nil"/>
                <w:bottom w:val="nil"/>
                <w:right w:val="nil"/>
                <w:between w:val="nil"/>
                <w:bar w:val="nil"/>
              </w:pBdr>
              <w:jc w:val="cente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Statistic (t value)</w:t>
            </w:r>
          </w:p>
        </w:tc>
        <w:tc>
          <w:tcPr>
            <w:tcW w:w="452" w:type="pct"/>
            <w:vMerge w:val="restart"/>
            <w:tcBorders>
              <w:top w:val="single" w:sz="4" w:space="0" w:color="000000"/>
              <w:left w:val="nil"/>
              <w:right w:val="nil"/>
            </w:tcBorders>
            <w:vAlign w:val="center"/>
          </w:tcPr>
          <w:p w14:paraId="2974AB8B" w14:textId="77777777" w:rsidR="00A051F0" w:rsidRPr="00982A50" w:rsidRDefault="00A051F0" w:rsidP="00DE1C31">
            <w:pPr>
              <w:pBdr>
                <w:top w:val="nil"/>
                <w:left w:val="nil"/>
                <w:bottom w:val="nil"/>
                <w:right w:val="nil"/>
                <w:between w:val="nil"/>
                <w:bar w:val="nil"/>
              </w:pBdr>
              <w:jc w:val="cente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p value</w:t>
            </w:r>
          </w:p>
        </w:tc>
        <w:tc>
          <w:tcPr>
            <w:tcW w:w="451" w:type="pct"/>
            <w:tcBorders>
              <w:top w:val="single" w:sz="4" w:space="0" w:color="000000"/>
              <w:left w:val="nil"/>
              <w:right w:val="nil"/>
            </w:tcBorders>
          </w:tcPr>
          <w:p w14:paraId="571349FA" w14:textId="26B71C5E" w:rsidR="00A051F0" w:rsidRPr="00982A50" w:rsidRDefault="00A051F0" w:rsidP="00DE1C31">
            <w:pPr>
              <w:pBdr>
                <w:top w:val="nil"/>
                <w:left w:val="nil"/>
                <w:bottom w:val="nil"/>
                <w:right w:val="nil"/>
                <w:between w:val="nil"/>
                <w:bar w:val="nil"/>
              </w:pBdr>
              <w:jc w:val="center"/>
              <w:rPr>
                <w:rFonts w:ascii="Times New Roman" w:eastAsia="Century" w:hAnsi="Times New Roman" w:cs="Times New Roman"/>
                <w:color w:val="000000"/>
                <w:sz w:val="20"/>
                <w:szCs w:val="20"/>
                <w:u w:color="000000"/>
                <w:bdr w:val="nil"/>
                <w:lang w:eastAsia="en-GB"/>
              </w:rPr>
            </w:pPr>
            <w:r>
              <w:rPr>
                <w:rFonts w:ascii="Times New Roman" w:eastAsia="Century" w:hAnsi="Times New Roman" w:cs="Times New Roman"/>
                <w:color w:val="000000"/>
                <w:sz w:val="20"/>
                <w:szCs w:val="20"/>
                <w:u w:color="000000"/>
                <w:bdr w:val="nil"/>
                <w:lang w:eastAsia="en-GB"/>
              </w:rPr>
              <w:t xml:space="preserve">Cohen’s </w:t>
            </w:r>
            <w:r w:rsidRPr="003A0D38">
              <w:rPr>
                <w:rFonts w:ascii="Times New Roman" w:eastAsia="Century" w:hAnsi="Times New Roman" w:cs="Times New Roman"/>
                <w:i/>
                <w:iCs/>
                <w:color w:val="000000"/>
                <w:sz w:val="20"/>
                <w:szCs w:val="20"/>
                <w:u w:color="000000"/>
                <w:bdr w:val="nil"/>
                <w:lang w:eastAsia="en-GB"/>
              </w:rPr>
              <w:t>d</w:t>
            </w:r>
          </w:p>
        </w:tc>
      </w:tr>
      <w:tr w:rsidR="00A051F0" w:rsidRPr="00982A50" w14:paraId="2C2769BA" w14:textId="1A09E70C" w:rsidTr="003A0D38">
        <w:trPr>
          <w:trHeight w:val="360"/>
        </w:trPr>
        <w:tc>
          <w:tcPr>
            <w:tcW w:w="542" w:type="pct"/>
            <w:vMerge/>
            <w:tcBorders>
              <w:left w:val="nil"/>
              <w:bottom w:val="single" w:sz="4" w:space="0" w:color="000000"/>
              <w:right w:val="nil"/>
            </w:tcBorders>
            <w:shd w:val="clear" w:color="auto" w:fill="auto"/>
            <w:tcMar>
              <w:top w:w="80" w:type="dxa"/>
              <w:left w:w="80" w:type="dxa"/>
              <w:bottom w:w="80" w:type="dxa"/>
              <w:right w:w="80" w:type="dxa"/>
            </w:tcMar>
            <w:vAlign w:val="center"/>
          </w:tcPr>
          <w:p w14:paraId="38F225B4" w14:textId="77777777" w:rsidR="00A051F0" w:rsidRPr="00982A50" w:rsidRDefault="00A051F0" w:rsidP="00DE1C31">
            <w:pPr>
              <w:pBdr>
                <w:top w:val="nil"/>
                <w:left w:val="nil"/>
                <w:bottom w:val="nil"/>
                <w:right w:val="nil"/>
                <w:between w:val="nil"/>
                <w:bar w:val="nil"/>
              </w:pBdr>
              <w:rPr>
                <w:rFonts w:ascii="Times New Roman" w:eastAsia="MS Mincho" w:hAnsi="Times New Roman" w:cs="Times New Roman"/>
                <w:sz w:val="20"/>
                <w:szCs w:val="20"/>
                <w:bdr w:val="nil"/>
                <w:lang w:eastAsia="en-US"/>
              </w:rPr>
            </w:pPr>
          </w:p>
        </w:tc>
        <w:tc>
          <w:tcPr>
            <w:tcW w:w="1569" w:type="pct"/>
            <w:vMerge/>
            <w:tcBorders>
              <w:left w:val="nil"/>
              <w:bottom w:val="single" w:sz="4" w:space="0" w:color="000000"/>
              <w:right w:val="nil"/>
            </w:tcBorders>
            <w:vAlign w:val="center"/>
          </w:tcPr>
          <w:p w14:paraId="3C9D340C"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p>
        </w:tc>
        <w:tc>
          <w:tcPr>
            <w:tcW w:w="771"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5E27909"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proofErr w:type="spellStart"/>
            <w:r w:rsidRPr="00982A50">
              <w:rPr>
                <w:rFonts w:ascii="Times New Roman" w:eastAsia="Century" w:hAnsi="Times New Roman" w:cs="Times New Roman"/>
                <w:color w:val="000000"/>
                <w:sz w:val="20"/>
                <w:szCs w:val="20"/>
                <w:u w:color="000000"/>
                <w:bdr w:val="nil"/>
                <w:lang w:eastAsia="en-GB"/>
              </w:rPr>
              <w:t>Istradefylline</w:t>
            </w:r>
            <w:proofErr w:type="spellEnd"/>
          </w:p>
        </w:tc>
        <w:tc>
          <w:tcPr>
            <w:tcW w:w="707" w:type="pct"/>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C4A55D1"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Placebo</w:t>
            </w:r>
          </w:p>
        </w:tc>
        <w:tc>
          <w:tcPr>
            <w:tcW w:w="507" w:type="pct"/>
            <w:vMerge/>
            <w:tcBorders>
              <w:left w:val="nil"/>
              <w:bottom w:val="single" w:sz="4" w:space="0" w:color="000000"/>
              <w:right w:val="nil"/>
            </w:tcBorders>
            <w:shd w:val="clear" w:color="auto" w:fill="auto"/>
            <w:tcMar>
              <w:top w:w="80" w:type="dxa"/>
              <w:left w:w="80" w:type="dxa"/>
              <w:bottom w:w="80" w:type="dxa"/>
              <w:right w:w="80" w:type="dxa"/>
            </w:tcMar>
            <w:vAlign w:val="center"/>
          </w:tcPr>
          <w:p w14:paraId="1ACAFD08" w14:textId="77777777" w:rsidR="00A051F0" w:rsidRPr="00982A50" w:rsidRDefault="00A051F0" w:rsidP="00DE1C31">
            <w:pPr>
              <w:pBdr>
                <w:top w:val="nil"/>
                <w:left w:val="nil"/>
                <w:bottom w:val="nil"/>
                <w:right w:val="nil"/>
                <w:between w:val="nil"/>
                <w:bar w:val="nil"/>
              </w:pBdr>
              <w:rPr>
                <w:rFonts w:ascii="Times New Roman" w:eastAsia="MS Mincho" w:hAnsi="Times New Roman" w:cs="Times New Roman"/>
                <w:sz w:val="20"/>
                <w:szCs w:val="20"/>
                <w:bdr w:val="nil"/>
                <w:lang w:eastAsia="en-US"/>
              </w:rPr>
            </w:pPr>
          </w:p>
        </w:tc>
        <w:tc>
          <w:tcPr>
            <w:tcW w:w="452" w:type="pct"/>
            <w:vMerge/>
            <w:tcBorders>
              <w:left w:val="nil"/>
              <w:bottom w:val="single" w:sz="4" w:space="0" w:color="000000"/>
              <w:right w:val="nil"/>
            </w:tcBorders>
          </w:tcPr>
          <w:p w14:paraId="7859E808" w14:textId="77777777" w:rsidR="00A051F0" w:rsidRPr="00982A50" w:rsidRDefault="00A051F0" w:rsidP="00DE1C31">
            <w:pPr>
              <w:pBdr>
                <w:top w:val="nil"/>
                <w:left w:val="nil"/>
                <w:bottom w:val="nil"/>
                <w:right w:val="nil"/>
                <w:between w:val="nil"/>
                <w:bar w:val="nil"/>
              </w:pBdr>
              <w:rPr>
                <w:rFonts w:ascii="Times New Roman" w:eastAsia="MS Mincho" w:hAnsi="Times New Roman" w:cs="Times New Roman"/>
                <w:sz w:val="20"/>
                <w:szCs w:val="20"/>
                <w:bdr w:val="nil"/>
                <w:lang w:eastAsia="en-US"/>
              </w:rPr>
            </w:pPr>
          </w:p>
        </w:tc>
        <w:tc>
          <w:tcPr>
            <w:tcW w:w="451" w:type="pct"/>
            <w:tcBorders>
              <w:left w:val="nil"/>
              <w:bottom w:val="single" w:sz="4" w:space="0" w:color="000000"/>
              <w:right w:val="nil"/>
            </w:tcBorders>
          </w:tcPr>
          <w:p w14:paraId="08F16811" w14:textId="77777777" w:rsidR="00A051F0" w:rsidRPr="00982A50" w:rsidRDefault="00A051F0" w:rsidP="00DE1C31">
            <w:pPr>
              <w:pBdr>
                <w:top w:val="nil"/>
                <w:left w:val="nil"/>
                <w:bottom w:val="nil"/>
                <w:right w:val="nil"/>
                <w:between w:val="nil"/>
                <w:bar w:val="nil"/>
              </w:pBdr>
              <w:rPr>
                <w:rFonts w:ascii="Times New Roman" w:eastAsia="MS Mincho" w:hAnsi="Times New Roman" w:cs="Times New Roman"/>
                <w:sz w:val="20"/>
                <w:szCs w:val="20"/>
                <w:bdr w:val="nil"/>
                <w:lang w:eastAsia="en-US"/>
              </w:rPr>
            </w:pPr>
          </w:p>
        </w:tc>
      </w:tr>
      <w:tr w:rsidR="00A051F0" w:rsidRPr="00982A50" w14:paraId="344CA370" w14:textId="30320A33" w:rsidTr="003A0D38">
        <w:trPr>
          <w:trHeight w:val="360"/>
        </w:trPr>
        <w:tc>
          <w:tcPr>
            <w:tcW w:w="542"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F0FD0EB"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IED</w:t>
            </w:r>
          </w:p>
        </w:tc>
        <w:tc>
          <w:tcPr>
            <w:tcW w:w="1569" w:type="pct"/>
            <w:tcBorders>
              <w:top w:val="single" w:sz="4" w:space="0" w:color="000000"/>
              <w:left w:val="nil"/>
              <w:bottom w:val="nil"/>
              <w:right w:val="nil"/>
            </w:tcBorders>
            <w:vAlign w:val="center"/>
          </w:tcPr>
          <w:p w14:paraId="1CCECB19"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Adjusted total error</w:t>
            </w:r>
          </w:p>
        </w:tc>
        <w:tc>
          <w:tcPr>
            <w:tcW w:w="771"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4523E25"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11.3 (7.9)</w:t>
            </w:r>
          </w:p>
        </w:tc>
        <w:tc>
          <w:tcPr>
            <w:tcW w:w="707"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226F6E5"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12.2 (11.7)</w:t>
            </w:r>
          </w:p>
        </w:tc>
        <w:tc>
          <w:tcPr>
            <w:tcW w:w="507"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BDA86C8" w14:textId="77777777" w:rsidR="00A051F0" w:rsidRPr="00982A50" w:rsidRDefault="00A051F0" w:rsidP="00DE1C31">
            <w:pPr>
              <w:pBdr>
                <w:top w:val="nil"/>
                <w:left w:val="nil"/>
                <w:bottom w:val="nil"/>
                <w:right w:val="nil"/>
                <w:between w:val="nil"/>
                <w:bar w:val="nil"/>
              </w:pBdr>
              <w:jc w:val="cente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0.42</w:t>
            </w:r>
          </w:p>
        </w:tc>
        <w:tc>
          <w:tcPr>
            <w:tcW w:w="452" w:type="pct"/>
            <w:tcBorders>
              <w:top w:val="single" w:sz="4" w:space="0" w:color="000000"/>
              <w:left w:val="nil"/>
              <w:bottom w:val="nil"/>
              <w:right w:val="nil"/>
            </w:tcBorders>
            <w:vAlign w:val="center"/>
          </w:tcPr>
          <w:p w14:paraId="19718D76" w14:textId="77777777" w:rsidR="00A051F0" w:rsidRPr="00982A50" w:rsidRDefault="00A051F0" w:rsidP="00DE1C31">
            <w:pPr>
              <w:pBdr>
                <w:top w:val="nil"/>
                <w:left w:val="nil"/>
                <w:bottom w:val="nil"/>
                <w:right w:val="nil"/>
                <w:between w:val="nil"/>
                <w:bar w:val="nil"/>
              </w:pBdr>
              <w:jc w:val="cente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0.68</w:t>
            </w:r>
          </w:p>
        </w:tc>
        <w:tc>
          <w:tcPr>
            <w:tcW w:w="451" w:type="pct"/>
            <w:tcBorders>
              <w:top w:val="single" w:sz="4" w:space="0" w:color="000000"/>
              <w:left w:val="nil"/>
              <w:bottom w:val="nil"/>
              <w:right w:val="nil"/>
            </w:tcBorders>
          </w:tcPr>
          <w:p w14:paraId="0ABE1EF2" w14:textId="26AC1589" w:rsidR="00A051F0" w:rsidRPr="00982A50" w:rsidRDefault="00A051F0" w:rsidP="00DE1C31">
            <w:pPr>
              <w:pBdr>
                <w:top w:val="nil"/>
                <w:left w:val="nil"/>
                <w:bottom w:val="nil"/>
                <w:right w:val="nil"/>
                <w:between w:val="nil"/>
                <w:bar w:val="nil"/>
              </w:pBdr>
              <w:jc w:val="center"/>
              <w:rPr>
                <w:rFonts w:ascii="Times New Roman" w:eastAsia="Century" w:hAnsi="Times New Roman" w:cs="Times New Roman"/>
                <w:color w:val="000000"/>
                <w:sz w:val="20"/>
                <w:szCs w:val="20"/>
                <w:u w:color="000000"/>
                <w:bdr w:val="nil"/>
                <w:lang w:eastAsia="en-GB"/>
              </w:rPr>
            </w:pPr>
            <w:r>
              <w:rPr>
                <w:rFonts w:ascii="Times New Roman" w:eastAsia="Century" w:hAnsi="Times New Roman" w:cs="Times New Roman"/>
                <w:color w:val="000000"/>
                <w:sz w:val="20"/>
                <w:szCs w:val="20"/>
                <w:u w:color="000000"/>
                <w:bdr w:val="nil"/>
                <w:lang w:eastAsia="en-GB"/>
              </w:rPr>
              <w:t>0.09</w:t>
            </w:r>
          </w:p>
        </w:tc>
      </w:tr>
      <w:tr w:rsidR="00A051F0" w:rsidRPr="00982A50" w14:paraId="3D66DED7" w14:textId="3AB5EA47" w:rsidTr="003A0D38">
        <w:trPr>
          <w:trHeight w:val="350"/>
        </w:trPr>
        <w:tc>
          <w:tcPr>
            <w:tcW w:w="542" w:type="pct"/>
            <w:tcBorders>
              <w:top w:val="nil"/>
              <w:left w:val="nil"/>
              <w:bottom w:val="nil"/>
              <w:right w:val="nil"/>
            </w:tcBorders>
            <w:shd w:val="clear" w:color="auto" w:fill="auto"/>
            <w:tcMar>
              <w:top w:w="80" w:type="dxa"/>
              <w:left w:w="80" w:type="dxa"/>
              <w:bottom w:w="80" w:type="dxa"/>
              <w:right w:w="80" w:type="dxa"/>
            </w:tcMar>
            <w:vAlign w:val="center"/>
          </w:tcPr>
          <w:p w14:paraId="7B26C2AC"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 xml:space="preserve">  </w:t>
            </w:r>
          </w:p>
        </w:tc>
        <w:tc>
          <w:tcPr>
            <w:tcW w:w="1569" w:type="pct"/>
            <w:tcBorders>
              <w:top w:val="nil"/>
              <w:left w:val="nil"/>
              <w:bottom w:val="nil"/>
              <w:right w:val="nil"/>
            </w:tcBorders>
            <w:vAlign w:val="center"/>
          </w:tcPr>
          <w:p w14:paraId="19072929"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Extra dimensional error</w:t>
            </w:r>
          </w:p>
        </w:tc>
        <w:tc>
          <w:tcPr>
            <w:tcW w:w="771" w:type="pct"/>
            <w:tcBorders>
              <w:top w:val="nil"/>
              <w:left w:val="nil"/>
              <w:bottom w:val="nil"/>
              <w:right w:val="nil"/>
            </w:tcBorders>
            <w:shd w:val="clear" w:color="auto" w:fill="auto"/>
            <w:tcMar>
              <w:top w:w="80" w:type="dxa"/>
              <w:left w:w="80" w:type="dxa"/>
              <w:bottom w:w="80" w:type="dxa"/>
              <w:right w:w="80" w:type="dxa"/>
            </w:tcMar>
            <w:vAlign w:val="center"/>
          </w:tcPr>
          <w:p w14:paraId="42C2DA4B"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2.7 (3.0)</w:t>
            </w:r>
          </w:p>
        </w:tc>
        <w:tc>
          <w:tcPr>
            <w:tcW w:w="707" w:type="pct"/>
            <w:tcBorders>
              <w:top w:val="nil"/>
              <w:left w:val="nil"/>
              <w:bottom w:val="nil"/>
              <w:right w:val="nil"/>
            </w:tcBorders>
            <w:shd w:val="clear" w:color="auto" w:fill="auto"/>
            <w:tcMar>
              <w:top w:w="80" w:type="dxa"/>
              <w:left w:w="80" w:type="dxa"/>
              <w:bottom w:w="80" w:type="dxa"/>
              <w:right w:w="80" w:type="dxa"/>
            </w:tcMar>
            <w:vAlign w:val="center"/>
          </w:tcPr>
          <w:p w14:paraId="483D4543"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3.5 (5.2)</w:t>
            </w:r>
          </w:p>
        </w:tc>
        <w:tc>
          <w:tcPr>
            <w:tcW w:w="507" w:type="pct"/>
            <w:tcBorders>
              <w:top w:val="nil"/>
              <w:left w:val="nil"/>
              <w:bottom w:val="nil"/>
              <w:right w:val="nil"/>
            </w:tcBorders>
            <w:shd w:val="clear" w:color="auto" w:fill="auto"/>
            <w:tcMar>
              <w:top w:w="80" w:type="dxa"/>
              <w:left w:w="80" w:type="dxa"/>
              <w:bottom w:w="80" w:type="dxa"/>
              <w:right w:w="80" w:type="dxa"/>
            </w:tcMar>
            <w:vAlign w:val="center"/>
          </w:tcPr>
          <w:p w14:paraId="71970942" w14:textId="77777777" w:rsidR="00A051F0" w:rsidRPr="00982A50" w:rsidRDefault="00A051F0" w:rsidP="00DE1C31">
            <w:pPr>
              <w:pBdr>
                <w:top w:val="nil"/>
                <w:left w:val="nil"/>
                <w:bottom w:val="nil"/>
                <w:right w:val="nil"/>
                <w:between w:val="nil"/>
                <w:bar w:val="nil"/>
              </w:pBdr>
              <w:jc w:val="cente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0.81</w:t>
            </w:r>
          </w:p>
        </w:tc>
        <w:tc>
          <w:tcPr>
            <w:tcW w:w="452" w:type="pct"/>
            <w:tcBorders>
              <w:top w:val="nil"/>
              <w:left w:val="nil"/>
              <w:bottom w:val="nil"/>
              <w:right w:val="nil"/>
            </w:tcBorders>
            <w:vAlign w:val="center"/>
          </w:tcPr>
          <w:p w14:paraId="4A4B14B9" w14:textId="77777777" w:rsidR="00A051F0" w:rsidRPr="00982A50" w:rsidRDefault="00A051F0" w:rsidP="00DE1C31">
            <w:pPr>
              <w:pBdr>
                <w:top w:val="nil"/>
                <w:left w:val="nil"/>
                <w:bottom w:val="nil"/>
                <w:right w:val="nil"/>
                <w:between w:val="nil"/>
                <w:bar w:val="nil"/>
              </w:pBdr>
              <w:jc w:val="cente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0.43</w:t>
            </w:r>
          </w:p>
        </w:tc>
        <w:tc>
          <w:tcPr>
            <w:tcW w:w="451" w:type="pct"/>
            <w:tcBorders>
              <w:top w:val="nil"/>
              <w:left w:val="nil"/>
              <w:bottom w:val="nil"/>
              <w:right w:val="nil"/>
            </w:tcBorders>
          </w:tcPr>
          <w:p w14:paraId="6FE980C1" w14:textId="7623FF39" w:rsidR="00A051F0" w:rsidRPr="00982A50" w:rsidRDefault="00A051F0" w:rsidP="00DE1C31">
            <w:pPr>
              <w:pBdr>
                <w:top w:val="nil"/>
                <w:left w:val="nil"/>
                <w:bottom w:val="nil"/>
                <w:right w:val="nil"/>
                <w:between w:val="nil"/>
                <w:bar w:val="nil"/>
              </w:pBdr>
              <w:jc w:val="center"/>
              <w:rPr>
                <w:rFonts w:ascii="Times New Roman" w:eastAsia="Century" w:hAnsi="Times New Roman" w:cs="Times New Roman"/>
                <w:color w:val="000000"/>
                <w:sz w:val="20"/>
                <w:szCs w:val="20"/>
                <w:u w:color="000000"/>
                <w:bdr w:val="nil"/>
                <w:lang w:eastAsia="en-GB"/>
              </w:rPr>
            </w:pPr>
            <w:r>
              <w:rPr>
                <w:rFonts w:ascii="Times New Roman" w:eastAsia="Century" w:hAnsi="Times New Roman" w:cs="Times New Roman"/>
                <w:color w:val="000000"/>
                <w:sz w:val="20"/>
                <w:szCs w:val="20"/>
                <w:u w:color="000000"/>
                <w:bdr w:val="nil"/>
                <w:lang w:eastAsia="en-GB"/>
              </w:rPr>
              <w:t>0.18</w:t>
            </w:r>
          </w:p>
        </w:tc>
      </w:tr>
      <w:tr w:rsidR="00A051F0" w:rsidRPr="00982A50" w14:paraId="101AC565" w14:textId="6BFD5995" w:rsidTr="003A0D38">
        <w:trPr>
          <w:trHeight w:val="350"/>
        </w:trPr>
        <w:tc>
          <w:tcPr>
            <w:tcW w:w="542" w:type="pct"/>
            <w:tcBorders>
              <w:top w:val="nil"/>
              <w:left w:val="nil"/>
              <w:bottom w:val="nil"/>
              <w:right w:val="nil"/>
            </w:tcBorders>
            <w:shd w:val="clear" w:color="auto" w:fill="auto"/>
            <w:tcMar>
              <w:top w:w="80" w:type="dxa"/>
              <w:left w:w="80" w:type="dxa"/>
              <w:bottom w:w="80" w:type="dxa"/>
              <w:right w:w="80" w:type="dxa"/>
            </w:tcMar>
            <w:vAlign w:val="center"/>
          </w:tcPr>
          <w:p w14:paraId="2E7FAB95"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RVP</w:t>
            </w:r>
          </w:p>
        </w:tc>
        <w:tc>
          <w:tcPr>
            <w:tcW w:w="1569" w:type="pct"/>
            <w:tcBorders>
              <w:top w:val="nil"/>
              <w:left w:val="nil"/>
              <w:bottom w:val="nil"/>
              <w:right w:val="nil"/>
            </w:tcBorders>
            <w:vAlign w:val="center"/>
          </w:tcPr>
          <w:p w14:paraId="72E645EC" w14:textId="327B4324"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Media</w:t>
            </w:r>
            <w:r>
              <w:rPr>
                <w:rFonts w:ascii="Times New Roman" w:eastAsia="Century" w:hAnsi="Times New Roman" w:cs="Times New Roman"/>
                <w:color w:val="000000"/>
                <w:sz w:val="20"/>
                <w:szCs w:val="20"/>
                <w:u w:color="000000"/>
                <w:bdr w:val="nil"/>
                <w:lang w:eastAsia="en-GB"/>
              </w:rPr>
              <w:t>n</w:t>
            </w:r>
            <w:r w:rsidRPr="00982A50">
              <w:rPr>
                <w:rFonts w:ascii="Times New Roman" w:eastAsia="Century" w:hAnsi="Times New Roman" w:cs="Times New Roman"/>
                <w:color w:val="000000"/>
                <w:sz w:val="20"/>
                <w:szCs w:val="20"/>
                <w:u w:color="000000"/>
                <w:bdr w:val="nil"/>
                <w:lang w:eastAsia="en-GB"/>
              </w:rPr>
              <w:t xml:space="preserve"> latency</w:t>
            </w:r>
          </w:p>
        </w:tc>
        <w:tc>
          <w:tcPr>
            <w:tcW w:w="771" w:type="pct"/>
            <w:tcBorders>
              <w:top w:val="nil"/>
              <w:left w:val="nil"/>
              <w:bottom w:val="nil"/>
              <w:right w:val="nil"/>
            </w:tcBorders>
            <w:shd w:val="clear" w:color="auto" w:fill="auto"/>
            <w:tcMar>
              <w:top w:w="80" w:type="dxa"/>
              <w:left w:w="80" w:type="dxa"/>
              <w:bottom w:w="80" w:type="dxa"/>
              <w:right w:w="80" w:type="dxa"/>
            </w:tcMar>
            <w:vAlign w:val="center"/>
          </w:tcPr>
          <w:p w14:paraId="071563ED"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358.1 (59.3)</w:t>
            </w:r>
          </w:p>
        </w:tc>
        <w:tc>
          <w:tcPr>
            <w:tcW w:w="707" w:type="pct"/>
            <w:tcBorders>
              <w:top w:val="nil"/>
              <w:left w:val="nil"/>
              <w:bottom w:val="nil"/>
              <w:right w:val="nil"/>
            </w:tcBorders>
            <w:shd w:val="clear" w:color="auto" w:fill="auto"/>
            <w:tcMar>
              <w:top w:w="80" w:type="dxa"/>
              <w:left w:w="80" w:type="dxa"/>
              <w:bottom w:w="80" w:type="dxa"/>
              <w:right w:w="80" w:type="dxa"/>
            </w:tcMar>
            <w:vAlign w:val="center"/>
          </w:tcPr>
          <w:p w14:paraId="5AA731DE"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344.3 (39.5)</w:t>
            </w:r>
          </w:p>
        </w:tc>
        <w:tc>
          <w:tcPr>
            <w:tcW w:w="507" w:type="pct"/>
            <w:tcBorders>
              <w:top w:val="nil"/>
              <w:left w:val="nil"/>
              <w:bottom w:val="nil"/>
              <w:right w:val="nil"/>
            </w:tcBorders>
            <w:shd w:val="clear" w:color="auto" w:fill="auto"/>
          </w:tcPr>
          <w:p w14:paraId="5B310962" w14:textId="77777777" w:rsidR="00A051F0" w:rsidRPr="00982A50" w:rsidRDefault="00A051F0" w:rsidP="00DE1C31">
            <w:pPr>
              <w:pBdr>
                <w:top w:val="nil"/>
                <w:left w:val="nil"/>
                <w:bottom w:val="nil"/>
                <w:right w:val="nil"/>
                <w:between w:val="nil"/>
                <w:bar w:val="nil"/>
              </w:pBdr>
              <w:jc w:val="center"/>
              <w:rPr>
                <w:rFonts w:ascii="Times New Roman" w:eastAsia="MS Mincho" w:hAnsi="Times New Roman" w:cs="Times New Roman"/>
                <w:sz w:val="20"/>
                <w:szCs w:val="20"/>
                <w:bdr w:val="nil"/>
                <w:lang w:eastAsia="en-US"/>
              </w:rPr>
            </w:pPr>
            <w:r w:rsidRPr="00982A50">
              <w:rPr>
                <w:rFonts w:ascii="Times New Roman" w:eastAsia="MS Mincho" w:hAnsi="Times New Roman" w:cs="Times New Roman"/>
                <w:sz w:val="20"/>
                <w:szCs w:val="20"/>
                <w:bdr w:val="nil"/>
                <w:lang w:eastAsia="en-US"/>
              </w:rPr>
              <w:t>1.73</w:t>
            </w:r>
          </w:p>
        </w:tc>
        <w:tc>
          <w:tcPr>
            <w:tcW w:w="452" w:type="pct"/>
            <w:tcBorders>
              <w:top w:val="nil"/>
              <w:left w:val="nil"/>
              <w:bottom w:val="nil"/>
              <w:right w:val="nil"/>
            </w:tcBorders>
          </w:tcPr>
          <w:p w14:paraId="0341D87C" w14:textId="77777777" w:rsidR="00A051F0" w:rsidRPr="00982A50" w:rsidRDefault="00A051F0" w:rsidP="00DE1C31">
            <w:pPr>
              <w:pBdr>
                <w:top w:val="nil"/>
                <w:left w:val="nil"/>
                <w:bottom w:val="nil"/>
                <w:right w:val="nil"/>
                <w:between w:val="nil"/>
                <w:bar w:val="nil"/>
              </w:pBdr>
              <w:jc w:val="center"/>
              <w:rPr>
                <w:rFonts w:ascii="Times New Roman" w:eastAsia="MS Mincho" w:hAnsi="Times New Roman" w:cs="Times New Roman"/>
                <w:sz w:val="20"/>
                <w:szCs w:val="20"/>
                <w:bdr w:val="nil"/>
                <w:lang w:eastAsia="en-US"/>
              </w:rPr>
            </w:pPr>
            <w:r w:rsidRPr="00982A50">
              <w:rPr>
                <w:rFonts w:ascii="Times New Roman" w:eastAsia="MS Mincho" w:hAnsi="Times New Roman" w:cs="Times New Roman"/>
                <w:sz w:val="20"/>
                <w:szCs w:val="20"/>
                <w:bdr w:val="nil"/>
                <w:lang w:eastAsia="en-US"/>
              </w:rPr>
              <w:t>0.10</w:t>
            </w:r>
          </w:p>
        </w:tc>
        <w:tc>
          <w:tcPr>
            <w:tcW w:w="451" w:type="pct"/>
            <w:tcBorders>
              <w:top w:val="nil"/>
              <w:left w:val="nil"/>
              <w:bottom w:val="nil"/>
              <w:right w:val="nil"/>
            </w:tcBorders>
          </w:tcPr>
          <w:p w14:paraId="71629180" w14:textId="3FAFCC19" w:rsidR="00A051F0" w:rsidRPr="00982A50" w:rsidRDefault="00A051F0" w:rsidP="00DE1C31">
            <w:pPr>
              <w:pBdr>
                <w:top w:val="nil"/>
                <w:left w:val="nil"/>
                <w:bottom w:val="nil"/>
                <w:right w:val="nil"/>
                <w:between w:val="nil"/>
                <w:bar w:val="nil"/>
              </w:pBdr>
              <w:jc w:val="center"/>
              <w:rPr>
                <w:rFonts w:ascii="Times New Roman" w:eastAsia="MS Mincho" w:hAnsi="Times New Roman" w:cs="Times New Roman"/>
                <w:sz w:val="20"/>
                <w:szCs w:val="20"/>
                <w:bdr w:val="nil"/>
                <w:lang w:eastAsia="en-US"/>
              </w:rPr>
            </w:pPr>
            <w:r>
              <w:rPr>
                <w:rFonts w:ascii="Times New Roman" w:eastAsia="MS Mincho" w:hAnsi="Times New Roman" w:cs="Times New Roman"/>
                <w:sz w:val="20"/>
                <w:szCs w:val="20"/>
                <w:bdr w:val="nil"/>
                <w:lang w:eastAsia="en-US"/>
              </w:rPr>
              <w:t>-0.39</w:t>
            </w:r>
          </w:p>
        </w:tc>
      </w:tr>
      <w:tr w:rsidR="00A051F0" w:rsidRPr="00982A50" w14:paraId="12159E40" w14:textId="6D74DCC0" w:rsidTr="003A0D38">
        <w:trPr>
          <w:trHeight w:val="350"/>
        </w:trPr>
        <w:tc>
          <w:tcPr>
            <w:tcW w:w="542" w:type="pct"/>
            <w:tcBorders>
              <w:top w:val="nil"/>
              <w:left w:val="nil"/>
              <w:bottom w:val="nil"/>
              <w:right w:val="nil"/>
            </w:tcBorders>
            <w:shd w:val="clear" w:color="auto" w:fill="auto"/>
            <w:tcMar>
              <w:top w:w="80" w:type="dxa"/>
              <w:left w:w="80" w:type="dxa"/>
              <w:bottom w:w="80" w:type="dxa"/>
              <w:right w:w="80" w:type="dxa"/>
            </w:tcMar>
            <w:vAlign w:val="center"/>
          </w:tcPr>
          <w:p w14:paraId="6E137DF2"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 xml:space="preserve"> </w:t>
            </w:r>
          </w:p>
        </w:tc>
        <w:tc>
          <w:tcPr>
            <w:tcW w:w="1569" w:type="pct"/>
            <w:tcBorders>
              <w:top w:val="nil"/>
              <w:left w:val="nil"/>
              <w:bottom w:val="nil"/>
              <w:right w:val="nil"/>
            </w:tcBorders>
            <w:vAlign w:val="center"/>
          </w:tcPr>
          <w:p w14:paraId="7CD39DFA"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Probability of hit</w:t>
            </w:r>
          </w:p>
        </w:tc>
        <w:tc>
          <w:tcPr>
            <w:tcW w:w="771" w:type="pct"/>
            <w:tcBorders>
              <w:top w:val="nil"/>
              <w:left w:val="nil"/>
              <w:bottom w:val="nil"/>
              <w:right w:val="nil"/>
            </w:tcBorders>
            <w:shd w:val="clear" w:color="auto" w:fill="auto"/>
            <w:tcMar>
              <w:top w:w="80" w:type="dxa"/>
              <w:left w:w="80" w:type="dxa"/>
              <w:bottom w:w="80" w:type="dxa"/>
              <w:right w:w="80" w:type="dxa"/>
            </w:tcMar>
            <w:vAlign w:val="center"/>
          </w:tcPr>
          <w:p w14:paraId="5D6083C4"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0.80 (0.14)</w:t>
            </w:r>
          </w:p>
        </w:tc>
        <w:tc>
          <w:tcPr>
            <w:tcW w:w="707" w:type="pct"/>
            <w:tcBorders>
              <w:top w:val="nil"/>
              <w:left w:val="nil"/>
              <w:bottom w:val="nil"/>
              <w:right w:val="nil"/>
            </w:tcBorders>
            <w:shd w:val="clear" w:color="auto" w:fill="auto"/>
            <w:tcMar>
              <w:top w:w="80" w:type="dxa"/>
              <w:left w:w="80" w:type="dxa"/>
              <w:bottom w:w="80" w:type="dxa"/>
              <w:right w:w="80" w:type="dxa"/>
            </w:tcMar>
            <w:vAlign w:val="center"/>
          </w:tcPr>
          <w:p w14:paraId="5AABF175"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0.77 (0.17)</w:t>
            </w:r>
          </w:p>
        </w:tc>
        <w:tc>
          <w:tcPr>
            <w:tcW w:w="507" w:type="pct"/>
            <w:tcBorders>
              <w:top w:val="nil"/>
              <w:left w:val="nil"/>
              <w:bottom w:val="nil"/>
              <w:right w:val="nil"/>
            </w:tcBorders>
            <w:shd w:val="clear" w:color="auto" w:fill="auto"/>
          </w:tcPr>
          <w:p w14:paraId="115B0DFE" w14:textId="77777777" w:rsidR="00A051F0" w:rsidRPr="00982A50" w:rsidRDefault="00A051F0" w:rsidP="00DE1C31">
            <w:pPr>
              <w:pBdr>
                <w:top w:val="nil"/>
                <w:left w:val="nil"/>
                <w:bottom w:val="nil"/>
                <w:right w:val="nil"/>
                <w:between w:val="nil"/>
                <w:bar w:val="nil"/>
              </w:pBdr>
              <w:jc w:val="center"/>
              <w:rPr>
                <w:rFonts w:ascii="Times New Roman" w:eastAsia="MS Mincho" w:hAnsi="Times New Roman" w:cs="Times New Roman"/>
                <w:sz w:val="20"/>
                <w:szCs w:val="20"/>
                <w:bdr w:val="nil"/>
                <w:lang w:eastAsia="en-US"/>
              </w:rPr>
            </w:pPr>
            <w:r w:rsidRPr="00982A50">
              <w:rPr>
                <w:rFonts w:ascii="Times New Roman" w:eastAsia="MS Mincho" w:hAnsi="Times New Roman" w:cs="Times New Roman"/>
                <w:sz w:val="20"/>
                <w:szCs w:val="20"/>
                <w:bdr w:val="nil"/>
                <w:lang w:eastAsia="en-US"/>
              </w:rPr>
              <w:t>1.02</w:t>
            </w:r>
          </w:p>
        </w:tc>
        <w:tc>
          <w:tcPr>
            <w:tcW w:w="452" w:type="pct"/>
            <w:tcBorders>
              <w:top w:val="nil"/>
              <w:left w:val="nil"/>
              <w:bottom w:val="nil"/>
              <w:right w:val="nil"/>
            </w:tcBorders>
          </w:tcPr>
          <w:p w14:paraId="6D347FBE" w14:textId="77777777" w:rsidR="00A051F0" w:rsidRPr="00982A50" w:rsidRDefault="00A051F0" w:rsidP="00DE1C31">
            <w:pPr>
              <w:pBdr>
                <w:top w:val="nil"/>
                <w:left w:val="nil"/>
                <w:bottom w:val="nil"/>
                <w:right w:val="nil"/>
                <w:between w:val="nil"/>
                <w:bar w:val="nil"/>
              </w:pBdr>
              <w:jc w:val="center"/>
              <w:rPr>
                <w:rFonts w:ascii="Times New Roman" w:eastAsia="MS Mincho" w:hAnsi="Times New Roman" w:cs="Times New Roman"/>
                <w:sz w:val="20"/>
                <w:szCs w:val="20"/>
                <w:bdr w:val="nil"/>
                <w:lang w:eastAsia="en-US"/>
              </w:rPr>
            </w:pPr>
            <w:r w:rsidRPr="00982A50">
              <w:rPr>
                <w:rFonts w:ascii="Times New Roman" w:eastAsia="MS Mincho" w:hAnsi="Times New Roman" w:cs="Times New Roman"/>
                <w:sz w:val="20"/>
                <w:szCs w:val="20"/>
                <w:bdr w:val="nil"/>
                <w:lang w:eastAsia="en-US"/>
              </w:rPr>
              <w:t>0.32</w:t>
            </w:r>
          </w:p>
        </w:tc>
        <w:tc>
          <w:tcPr>
            <w:tcW w:w="451" w:type="pct"/>
            <w:tcBorders>
              <w:top w:val="nil"/>
              <w:left w:val="nil"/>
              <w:bottom w:val="nil"/>
              <w:right w:val="nil"/>
            </w:tcBorders>
          </w:tcPr>
          <w:p w14:paraId="37459854" w14:textId="36130317" w:rsidR="00A051F0" w:rsidRPr="00982A50" w:rsidRDefault="00A051F0" w:rsidP="00DE1C31">
            <w:pPr>
              <w:pBdr>
                <w:top w:val="nil"/>
                <w:left w:val="nil"/>
                <w:bottom w:val="nil"/>
                <w:right w:val="nil"/>
                <w:between w:val="nil"/>
                <w:bar w:val="nil"/>
              </w:pBdr>
              <w:jc w:val="center"/>
              <w:rPr>
                <w:rFonts w:ascii="Times New Roman" w:eastAsia="MS Mincho" w:hAnsi="Times New Roman" w:cs="Times New Roman"/>
                <w:sz w:val="20"/>
                <w:szCs w:val="20"/>
                <w:bdr w:val="nil"/>
                <w:lang w:eastAsia="en-US"/>
              </w:rPr>
            </w:pPr>
            <w:r>
              <w:rPr>
                <w:rFonts w:ascii="Times New Roman" w:eastAsia="MS Mincho" w:hAnsi="Times New Roman" w:cs="Times New Roman"/>
                <w:sz w:val="20"/>
                <w:szCs w:val="20"/>
                <w:bdr w:val="nil"/>
                <w:lang w:eastAsia="en-US"/>
              </w:rPr>
              <w:t>-0.23</w:t>
            </w:r>
          </w:p>
        </w:tc>
      </w:tr>
      <w:tr w:rsidR="00A051F0" w:rsidRPr="00982A50" w14:paraId="48BCA165" w14:textId="03F19B9F" w:rsidTr="003A0D38">
        <w:trPr>
          <w:trHeight w:val="350"/>
        </w:trPr>
        <w:tc>
          <w:tcPr>
            <w:tcW w:w="542" w:type="pct"/>
            <w:tcBorders>
              <w:top w:val="nil"/>
              <w:left w:val="nil"/>
              <w:bottom w:val="nil"/>
              <w:right w:val="nil"/>
            </w:tcBorders>
            <w:shd w:val="clear" w:color="auto" w:fill="auto"/>
            <w:tcMar>
              <w:top w:w="80" w:type="dxa"/>
              <w:left w:w="80" w:type="dxa"/>
              <w:bottom w:w="80" w:type="dxa"/>
              <w:right w:w="80" w:type="dxa"/>
            </w:tcMar>
            <w:vAlign w:val="center"/>
          </w:tcPr>
          <w:p w14:paraId="6264CB66"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 xml:space="preserve">  </w:t>
            </w:r>
          </w:p>
        </w:tc>
        <w:tc>
          <w:tcPr>
            <w:tcW w:w="1569" w:type="pct"/>
            <w:tcBorders>
              <w:top w:val="nil"/>
              <w:left w:val="nil"/>
              <w:bottom w:val="nil"/>
              <w:right w:val="nil"/>
            </w:tcBorders>
            <w:vAlign w:val="center"/>
          </w:tcPr>
          <w:p w14:paraId="4FDBF334"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Probability of false alarm (*10</w:t>
            </w:r>
            <w:r w:rsidRPr="00982A50">
              <w:rPr>
                <w:rFonts w:ascii="Times New Roman" w:eastAsia="Century" w:hAnsi="Times New Roman" w:cs="Times New Roman"/>
                <w:color w:val="000000"/>
                <w:sz w:val="20"/>
                <w:szCs w:val="20"/>
                <w:u w:color="000000"/>
                <w:bdr w:val="nil"/>
                <w:vertAlign w:val="superscript"/>
                <w:lang w:eastAsia="en-GB"/>
              </w:rPr>
              <w:t>2</w:t>
            </w:r>
            <w:r w:rsidRPr="00982A50">
              <w:rPr>
                <w:rFonts w:ascii="Times New Roman" w:eastAsia="Century" w:hAnsi="Times New Roman" w:cs="Times New Roman"/>
                <w:color w:val="000000"/>
                <w:sz w:val="20"/>
                <w:szCs w:val="20"/>
                <w:u w:color="000000"/>
                <w:bdr w:val="nil"/>
                <w:lang w:eastAsia="en-GB"/>
              </w:rPr>
              <w:t>)</w:t>
            </w:r>
          </w:p>
        </w:tc>
        <w:tc>
          <w:tcPr>
            <w:tcW w:w="771" w:type="pct"/>
            <w:tcBorders>
              <w:top w:val="nil"/>
              <w:left w:val="nil"/>
              <w:bottom w:val="nil"/>
              <w:right w:val="nil"/>
            </w:tcBorders>
            <w:shd w:val="clear" w:color="auto" w:fill="auto"/>
            <w:tcMar>
              <w:top w:w="80" w:type="dxa"/>
              <w:left w:w="80" w:type="dxa"/>
              <w:bottom w:w="80" w:type="dxa"/>
              <w:right w:w="80" w:type="dxa"/>
            </w:tcMar>
            <w:vAlign w:val="center"/>
          </w:tcPr>
          <w:p w14:paraId="440DE1FD"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0.30 (0.38)</w:t>
            </w:r>
          </w:p>
        </w:tc>
        <w:tc>
          <w:tcPr>
            <w:tcW w:w="707" w:type="pct"/>
            <w:tcBorders>
              <w:top w:val="nil"/>
              <w:left w:val="nil"/>
              <w:bottom w:val="nil"/>
              <w:right w:val="nil"/>
            </w:tcBorders>
            <w:shd w:val="clear" w:color="auto" w:fill="auto"/>
            <w:tcMar>
              <w:top w:w="80" w:type="dxa"/>
              <w:left w:w="80" w:type="dxa"/>
              <w:bottom w:w="80" w:type="dxa"/>
              <w:right w:w="80" w:type="dxa"/>
            </w:tcMar>
            <w:vAlign w:val="center"/>
          </w:tcPr>
          <w:p w14:paraId="63A3876A"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0.34 (0.49)</w:t>
            </w:r>
          </w:p>
        </w:tc>
        <w:tc>
          <w:tcPr>
            <w:tcW w:w="507" w:type="pct"/>
            <w:tcBorders>
              <w:top w:val="nil"/>
              <w:left w:val="nil"/>
              <w:bottom w:val="nil"/>
              <w:right w:val="nil"/>
            </w:tcBorders>
            <w:shd w:val="clear" w:color="auto" w:fill="auto"/>
          </w:tcPr>
          <w:p w14:paraId="138EEBEA" w14:textId="77777777" w:rsidR="00A051F0" w:rsidRPr="00982A50" w:rsidRDefault="00A051F0" w:rsidP="00DE1C31">
            <w:pPr>
              <w:pBdr>
                <w:top w:val="nil"/>
                <w:left w:val="nil"/>
                <w:bottom w:val="nil"/>
                <w:right w:val="nil"/>
                <w:between w:val="nil"/>
                <w:bar w:val="nil"/>
              </w:pBdr>
              <w:jc w:val="center"/>
              <w:rPr>
                <w:rFonts w:ascii="Times New Roman" w:eastAsia="MS Mincho" w:hAnsi="Times New Roman" w:cs="Times New Roman"/>
                <w:sz w:val="20"/>
                <w:szCs w:val="20"/>
                <w:bdr w:val="nil"/>
                <w:lang w:eastAsia="en-US"/>
              </w:rPr>
            </w:pPr>
            <w:r w:rsidRPr="00982A50">
              <w:rPr>
                <w:rFonts w:ascii="Times New Roman" w:eastAsia="MS Mincho" w:hAnsi="Times New Roman" w:cs="Times New Roman"/>
                <w:sz w:val="20"/>
                <w:szCs w:val="20"/>
                <w:bdr w:val="nil"/>
                <w:lang w:eastAsia="en-US"/>
              </w:rPr>
              <w:t>0.24</w:t>
            </w:r>
          </w:p>
        </w:tc>
        <w:tc>
          <w:tcPr>
            <w:tcW w:w="452" w:type="pct"/>
            <w:tcBorders>
              <w:top w:val="nil"/>
              <w:left w:val="nil"/>
              <w:bottom w:val="nil"/>
              <w:right w:val="nil"/>
            </w:tcBorders>
          </w:tcPr>
          <w:p w14:paraId="6CFD33E4" w14:textId="77777777" w:rsidR="00A051F0" w:rsidRPr="00982A50" w:rsidRDefault="00A051F0" w:rsidP="00DE1C31">
            <w:pPr>
              <w:pBdr>
                <w:top w:val="nil"/>
                <w:left w:val="nil"/>
                <w:bottom w:val="nil"/>
                <w:right w:val="nil"/>
                <w:between w:val="nil"/>
                <w:bar w:val="nil"/>
              </w:pBdr>
              <w:jc w:val="center"/>
              <w:rPr>
                <w:rFonts w:ascii="Times New Roman" w:eastAsia="MS Mincho" w:hAnsi="Times New Roman" w:cs="Times New Roman"/>
                <w:sz w:val="20"/>
                <w:szCs w:val="20"/>
                <w:bdr w:val="nil"/>
                <w:lang w:eastAsia="en-US"/>
              </w:rPr>
            </w:pPr>
            <w:r w:rsidRPr="00982A50">
              <w:rPr>
                <w:rFonts w:ascii="Times New Roman" w:eastAsia="MS Mincho" w:hAnsi="Times New Roman" w:cs="Times New Roman"/>
                <w:sz w:val="20"/>
                <w:szCs w:val="20"/>
                <w:bdr w:val="nil"/>
                <w:lang w:eastAsia="en-US"/>
              </w:rPr>
              <w:t>0.81</w:t>
            </w:r>
          </w:p>
        </w:tc>
        <w:tc>
          <w:tcPr>
            <w:tcW w:w="451" w:type="pct"/>
            <w:tcBorders>
              <w:top w:val="nil"/>
              <w:left w:val="nil"/>
              <w:bottom w:val="nil"/>
              <w:right w:val="nil"/>
            </w:tcBorders>
          </w:tcPr>
          <w:p w14:paraId="66EBD2B7" w14:textId="04F8F51C" w:rsidR="00A051F0" w:rsidRPr="00982A50" w:rsidRDefault="00A051F0" w:rsidP="00DE1C31">
            <w:pPr>
              <w:pBdr>
                <w:top w:val="nil"/>
                <w:left w:val="nil"/>
                <w:bottom w:val="nil"/>
                <w:right w:val="nil"/>
                <w:between w:val="nil"/>
                <w:bar w:val="nil"/>
              </w:pBdr>
              <w:jc w:val="center"/>
              <w:rPr>
                <w:rFonts w:ascii="Times New Roman" w:eastAsia="MS Mincho" w:hAnsi="Times New Roman" w:cs="Times New Roman"/>
                <w:sz w:val="20"/>
                <w:szCs w:val="20"/>
                <w:bdr w:val="nil"/>
                <w:lang w:eastAsia="en-US"/>
              </w:rPr>
            </w:pPr>
            <w:r>
              <w:rPr>
                <w:rFonts w:ascii="Times New Roman" w:eastAsia="MS Mincho" w:hAnsi="Times New Roman" w:cs="Times New Roman"/>
                <w:sz w:val="20"/>
                <w:szCs w:val="20"/>
                <w:bdr w:val="nil"/>
                <w:lang w:eastAsia="en-US"/>
              </w:rPr>
              <w:t>0.05</w:t>
            </w:r>
          </w:p>
        </w:tc>
      </w:tr>
      <w:tr w:rsidR="00A051F0" w:rsidRPr="00982A50" w14:paraId="3BD80B4A" w14:textId="7FFF99E8" w:rsidTr="003A0D38">
        <w:trPr>
          <w:trHeight w:val="350"/>
        </w:trPr>
        <w:tc>
          <w:tcPr>
            <w:tcW w:w="542" w:type="pct"/>
            <w:tcBorders>
              <w:top w:val="nil"/>
              <w:left w:val="nil"/>
              <w:bottom w:val="nil"/>
              <w:right w:val="nil"/>
            </w:tcBorders>
            <w:shd w:val="clear" w:color="auto" w:fill="auto"/>
            <w:tcMar>
              <w:top w:w="80" w:type="dxa"/>
              <w:left w:w="80" w:type="dxa"/>
              <w:bottom w:w="80" w:type="dxa"/>
              <w:right w:w="80" w:type="dxa"/>
            </w:tcMar>
            <w:vAlign w:val="center"/>
          </w:tcPr>
          <w:p w14:paraId="07888B5E"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SWM</w:t>
            </w:r>
          </w:p>
        </w:tc>
        <w:tc>
          <w:tcPr>
            <w:tcW w:w="1569" w:type="pct"/>
            <w:tcBorders>
              <w:top w:val="nil"/>
              <w:left w:val="nil"/>
              <w:bottom w:val="nil"/>
              <w:right w:val="nil"/>
            </w:tcBorders>
            <w:vAlign w:val="center"/>
          </w:tcPr>
          <w:p w14:paraId="1C57494D"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Between-search errors</w:t>
            </w:r>
          </w:p>
        </w:tc>
        <w:tc>
          <w:tcPr>
            <w:tcW w:w="771" w:type="pct"/>
            <w:tcBorders>
              <w:top w:val="nil"/>
              <w:left w:val="nil"/>
              <w:bottom w:val="nil"/>
              <w:right w:val="nil"/>
            </w:tcBorders>
            <w:shd w:val="clear" w:color="auto" w:fill="auto"/>
            <w:tcMar>
              <w:top w:w="80" w:type="dxa"/>
              <w:left w:w="80" w:type="dxa"/>
              <w:bottom w:w="80" w:type="dxa"/>
              <w:right w:w="80" w:type="dxa"/>
            </w:tcMar>
            <w:vAlign w:val="center"/>
          </w:tcPr>
          <w:p w14:paraId="5BA3D2A2"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54.9 (46.3)</w:t>
            </w:r>
          </w:p>
        </w:tc>
        <w:tc>
          <w:tcPr>
            <w:tcW w:w="707" w:type="pct"/>
            <w:tcBorders>
              <w:top w:val="nil"/>
              <w:left w:val="nil"/>
              <w:bottom w:val="nil"/>
              <w:right w:val="nil"/>
            </w:tcBorders>
            <w:shd w:val="clear" w:color="auto" w:fill="auto"/>
            <w:tcMar>
              <w:top w:w="80" w:type="dxa"/>
              <w:left w:w="80" w:type="dxa"/>
              <w:bottom w:w="80" w:type="dxa"/>
              <w:right w:w="80" w:type="dxa"/>
            </w:tcMar>
            <w:vAlign w:val="center"/>
          </w:tcPr>
          <w:p w14:paraId="36D46B84"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44.3 (44.4)</w:t>
            </w:r>
          </w:p>
        </w:tc>
        <w:tc>
          <w:tcPr>
            <w:tcW w:w="507" w:type="pct"/>
            <w:tcBorders>
              <w:top w:val="nil"/>
              <w:left w:val="nil"/>
              <w:bottom w:val="nil"/>
              <w:right w:val="nil"/>
            </w:tcBorders>
            <w:shd w:val="clear" w:color="auto" w:fill="auto"/>
          </w:tcPr>
          <w:p w14:paraId="0E2D788E" w14:textId="77777777" w:rsidR="00A051F0" w:rsidRPr="00982A50" w:rsidRDefault="00A051F0" w:rsidP="00DE1C31">
            <w:pPr>
              <w:pBdr>
                <w:top w:val="nil"/>
                <w:left w:val="nil"/>
                <w:bottom w:val="nil"/>
                <w:right w:val="nil"/>
                <w:between w:val="nil"/>
                <w:bar w:val="nil"/>
              </w:pBdr>
              <w:jc w:val="center"/>
              <w:rPr>
                <w:rFonts w:ascii="Times New Roman" w:eastAsia="MS Mincho" w:hAnsi="Times New Roman" w:cs="Times New Roman"/>
                <w:sz w:val="20"/>
                <w:szCs w:val="20"/>
                <w:bdr w:val="nil"/>
                <w:lang w:eastAsia="en-US"/>
              </w:rPr>
            </w:pPr>
            <w:r w:rsidRPr="00982A50">
              <w:rPr>
                <w:rFonts w:ascii="Times New Roman" w:eastAsia="MS Mincho" w:hAnsi="Times New Roman" w:cs="Times New Roman"/>
                <w:sz w:val="20"/>
                <w:szCs w:val="20"/>
                <w:bdr w:val="nil"/>
                <w:lang w:eastAsia="en-US"/>
              </w:rPr>
              <w:t>1.44</w:t>
            </w:r>
          </w:p>
        </w:tc>
        <w:tc>
          <w:tcPr>
            <w:tcW w:w="452" w:type="pct"/>
            <w:tcBorders>
              <w:top w:val="nil"/>
              <w:left w:val="nil"/>
              <w:bottom w:val="nil"/>
              <w:right w:val="nil"/>
            </w:tcBorders>
          </w:tcPr>
          <w:p w14:paraId="01768BA6" w14:textId="77777777" w:rsidR="00A051F0" w:rsidRPr="00982A50" w:rsidRDefault="00A051F0" w:rsidP="00DE1C31">
            <w:pPr>
              <w:pBdr>
                <w:top w:val="nil"/>
                <w:left w:val="nil"/>
                <w:bottom w:val="nil"/>
                <w:right w:val="nil"/>
                <w:between w:val="nil"/>
                <w:bar w:val="nil"/>
              </w:pBdr>
              <w:jc w:val="center"/>
              <w:rPr>
                <w:rFonts w:ascii="Times New Roman" w:eastAsia="MS Mincho" w:hAnsi="Times New Roman" w:cs="Times New Roman"/>
                <w:sz w:val="20"/>
                <w:szCs w:val="20"/>
                <w:bdr w:val="nil"/>
                <w:lang w:eastAsia="en-US"/>
              </w:rPr>
            </w:pPr>
            <w:r w:rsidRPr="00982A50">
              <w:rPr>
                <w:rFonts w:ascii="Times New Roman" w:eastAsia="MS Mincho" w:hAnsi="Times New Roman" w:cs="Times New Roman"/>
                <w:sz w:val="20"/>
                <w:szCs w:val="20"/>
                <w:bdr w:val="nil"/>
                <w:lang w:eastAsia="en-US"/>
              </w:rPr>
              <w:t>0.17</w:t>
            </w:r>
          </w:p>
        </w:tc>
        <w:tc>
          <w:tcPr>
            <w:tcW w:w="451" w:type="pct"/>
            <w:tcBorders>
              <w:top w:val="nil"/>
              <w:left w:val="nil"/>
              <w:bottom w:val="nil"/>
              <w:right w:val="nil"/>
            </w:tcBorders>
          </w:tcPr>
          <w:p w14:paraId="0BC05AE9" w14:textId="4A15875E" w:rsidR="00A051F0" w:rsidRPr="00982A50" w:rsidRDefault="00A051F0" w:rsidP="00DE1C31">
            <w:pPr>
              <w:pBdr>
                <w:top w:val="nil"/>
                <w:left w:val="nil"/>
                <w:bottom w:val="nil"/>
                <w:right w:val="nil"/>
                <w:between w:val="nil"/>
                <w:bar w:val="nil"/>
              </w:pBdr>
              <w:jc w:val="center"/>
              <w:rPr>
                <w:rFonts w:ascii="Times New Roman" w:eastAsia="MS Mincho" w:hAnsi="Times New Roman" w:cs="Times New Roman"/>
                <w:sz w:val="20"/>
                <w:szCs w:val="20"/>
                <w:bdr w:val="nil"/>
                <w:lang w:eastAsia="en-US"/>
              </w:rPr>
            </w:pPr>
            <w:r>
              <w:rPr>
                <w:rFonts w:ascii="Times New Roman" w:eastAsia="MS Mincho" w:hAnsi="Times New Roman" w:cs="Times New Roman"/>
                <w:sz w:val="20"/>
                <w:szCs w:val="20"/>
                <w:bdr w:val="nil"/>
                <w:lang w:eastAsia="en-US"/>
              </w:rPr>
              <w:t>-0.32</w:t>
            </w:r>
          </w:p>
        </w:tc>
      </w:tr>
      <w:tr w:rsidR="00A051F0" w:rsidRPr="00982A50" w14:paraId="4F73E030" w14:textId="6D6C5969" w:rsidTr="003A0D38">
        <w:trPr>
          <w:trHeight w:val="350"/>
        </w:trPr>
        <w:tc>
          <w:tcPr>
            <w:tcW w:w="542" w:type="pct"/>
            <w:tcBorders>
              <w:top w:val="nil"/>
              <w:left w:val="nil"/>
              <w:bottom w:val="nil"/>
              <w:right w:val="nil"/>
            </w:tcBorders>
            <w:shd w:val="clear" w:color="auto" w:fill="auto"/>
            <w:tcMar>
              <w:top w:w="80" w:type="dxa"/>
              <w:left w:w="80" w:type="dxa"/>
              <w:bottom w:w="80" w:type="dxa"/>
              <w:right w:w="80" w:type="dxa"/>
            </w:tcMar>
            <w:vAlign w:val="center"/>
          </w:tcPr>
          <w:p w14:paraId="6A35E142"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p>
        </w:tc>
        <w:tc>
          <w:tcPr>
            <w:tcW w:w="1569" w:type="pct"/>
            <w:tcBorders>
              <w:top w:val="nil"/>
              <w:left w:val="nil"/>
              <w:bottom w:val="nil"/>
              <w:right w:val="nil"/>
            </w:tcBorders>
            <w:vAlign w:val="center"/>
          </w:tcPr>
          <w:p w14:paraId="300FA24E"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Double errors</w:t>
            </w:r>
          </w:p>
        </w:tc>
        <w:tc>
          <w:tcPr>
            <w:tcW w:w="771" w:type="pct"/>
            <w:tcBorders>
              <w:top w:val="nil"/>
              <w:left w:val="nil"/>
              <w:bottom w:val="nil"/>
              <w:right w:val="nil"/>
            </w:tcBorders>
            <w:shd w:val="clear" w:color="auto" w:fill="auto"/>
            <w:tcMar>
              <w:top w:w="80" w:type="dxa"/>
              <w:left w:w="80" w:type="dxa"/>
              <w:bottom w:w="80" w:type="dxa"/>
              <w:right w:w="80" w:type="dxa"/>
            </w:tcMar>
            <w:vAlign w:val="center"/>
          </w:tcPr>
          <w:p w14:paraId="62D25171"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2.0 (2.7)</w:t>
            </w:r>
          </w:p>
        </w:tc>
        <w:tc>
          <w:tcPr>
            <w:tcW w:w="707" w:type="pct"/>
            <w:tcBorders>
              <w:top w:val="nil"/>
              <w:left w:val="nil"/>
              <w:bottom w:val="nil"/>
              <w:right w:val="nil"/>
            </w:tcBorders>
            <w:shd w:val="clear" w:color="auto" w:fill="auto"/>
            <w:tcMar>
              <w:top w:w="80" w:type="dxa"/>
              <w:left w:w="80" w:type="dxa"/>
              <w:bottom w:w="80" w:type="dxa"/>
              <w:right w:w="80" w:type="dxa"/>
            </w:tcMar>
            <w:vAlign w:val="center"/>
          </w:tcPr>
          <w:p w14:paraId="398B445A"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2.8 (5.2)</w:t>
            </w:r>
          </w:p>
        </w:tc>
        <w:tc>
          <w:tcPr>
            <w:tcW w:w="507" w:type="pct"/>
            <w:tcBorders>
              <w:top w:val="nil"/>
              <w:left w:val="nil"/>
              <w:bottom w:val="nil"/>
              <w:right w:val="nil"/>
            </w:tcBorders>
            <w:shd w:val="clear" w:color="auto" w:fill="auto"/>
            <w:vAlign w:val="center"/>
          </w:tcPr>
          <w:p w14:paraId="2ECA048B" w14:textId="77777777" w:rsidR="00A051F0" w:rsidRPr="00982A50" w:rsidRDefault="00A051F0" w:rsidP="00DE1C31">
            <w:pPr>
              <w:pBdr>
                <w:top w:val="nil"/>
                <w:left w:val="nil"/>
                <w:bottom w:val="nil"/>
                <w:right w:val="nil"/>
                <w:between w:val="nil"/>
                <w:bar w:val="nil"/>
              </w:pBdr>
              <w:jc w:val="center"/>
              <w:rPr>
                <w:rFonts w:ascii="Times New Roman" w:eastAsia="MS Mincho" w:hAnsi="Times New Roman" w:cs="Times New Roman"/>
                <w:sz w:val="20"/>
                <w:szCs w:val="20"/>
                <w:bdr w:val="nil"/>
                <w:lang w:eastAsia="en-US"/>
              </w:rPr>
            </w:pPr>
            <w:r w:rsidRPr="00982A50">
              <w:rPr>
                <w:rFonts w:ascii="Times New Roman" w:eastAsia="MS Mincho" w:hAnsi="Times New Roman" w:cs="Times New Roman"/>
                <w:sz w:val="20"/>
                <w:szCs w:val="20"/>
                <w:bdr w:val="nil"/>
                <w:lang w:eastAsia="en-US"/>
              </w:rPr>
              <w:t>0.57</w:t>
            </w:r>
          </w:p>
        </w:tc>
        <w:tc>
          <w:tcPr>
            <w:tcW w:w="452" w:type="pct"/>
            <w:tcBorders>
              <w:top w:val="nil"/>
              <w:left w:val="nil"/>
              <w:bottom w:val="nil"/>
              <w:right w:val="nil"/>
            </w:tcBorders>
            <w:vAlign w:val="center"/>
          </w:tcPr>
          <w:p w14:paraId="171D05CA" w14:textId="77777777" w:rsidR="00A051F0" w:rsidRPr="00982A50" w:rsidRDefault="00A051F0" w:rsidP="00DE1C31">
            <w:pPr>
              <w:pBdr>
                <w:top w:val="nil"/>
                <w:left w:val="nil"/>
                <w:bottom w:val="nil"/>
                <w:right w:val="nil"/>
                <w:between w:val="nil"/>
                <w:bar w:val="nil"/>
              </w:pBdr>
              <w:jc w:val="cente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0.57</w:t>
            </w:r>
          </w:p>
        </w:tc>
        <w:tc>
          <w:tcPr>
            <w:tcW w:w="451" w:type="pct"/>
            <w:tcBorders>
              <w:top w:val="nil"/>
              <w:left w:val="nil"/>
              <w:bottom w:val="nil"/>
              <w:right w:val="nil"/>
            </w:tcBorders>
          </w:tcPr>
          <w:p w14:paraId="70AEF6E5" w14:textId="25F9B539" w:rsidR="00A051F0" w:rsidRPr="00982A50" w:rsidRDefault="00A051F0" w:rsidP="00DE1C31">
            <w:pPr>
              <w:pBdr>
                <w:top w:val="nil"/>
                <w:left w:val="nil"/>
                <w:bottom w:val="nil"/>
                <w:right w:val="nil"/>
                <w:between w:val="nil"/>
                <w:bar w:val="nil"/>
              </w:pBdr>
              <w:jc w:val="center"/>
              <w:rPr>
                <w:rFonts w:ascii="Times New Roman" w:eastAsia="Century" w:hAnsi="Times New Roman" w:cs="Times New Roman"/>
                <w:color w:val="000000"/>
                <w:sz w:val="20"/>
                <w:szCs w:val="20"/>
                <w:u w:color="000000"/>
                <w:bdr w:val="nil"/>
                <w:lang w:eastAsia="en-GB"/>
              </w:rPr>
            </w:pPr>
            <w:r>
              <w:rPr>
                <w:rFonts w:ascii="Times New Roman" w:eastAsia="Century" w:hAnsi="Times New Roman" w:cs="Times New Roman"/>
                <w:color w:val="000000"/>
                <w:sz w:val="20"/>
                <w:szCs w:val="20"/>
                <w:u w:color="000000"/>
                <w:bdr w:val="nil"/>
                <w:lang w:eastAsia="en-GB"/>
              </w:rPr>
              <w:t>-0.13</w:t>
            </w:r>
          </w:p>
        </w:tc>
      </w:tr>
      <w:tr w:rsidR="00A051F0" w:rsidRPr="00982A50" w14:paraId="2A928BF2" w14:textId="0342A2CF" w:rsidTr="003A0D38">
        <w:trPr>
          <w:trHeight w:val="350"/>
        </w:trPr>
        <w:tc>
          <w:tcPr>
            <w:tcW w:w="542" w:type="pct"/>
            <w:tcBorders>
              <w:top w:val="nil"/>
              <w:left w:val="nil"/>
              <w:bottom w:val="nil"/>
              <w:right w:val="nil"/>
            </w:tcBorders>
            <w:shd w:val="clear" w:color="auto" w:fill="auto"/>
            <w:tcMar>
              <w:top w:w="80" w:type="dxa"/>
              <w:left w:w="80" w:type="dxa"/>
              <w:bottom w:w="80" w:type="dxa"/>
              <w:right w:w="80" w:type="dxa"/>
            </w:tcMar>
            <w:vAlign w:val="center"/>
          </w:tcPr>
          <w:p w14:paraId="2B6C680E"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p>
        </w:tc>
        <w:tc>
          <w:tcPr>
            <w:tcW w:w="1569" w:type="pct"/>
            <w:tcBorders>
              <w:top w:val="nil"/>
              <w:left w:val="nil"/>
              <w:bottom w:val="nil"/>
              <w:right w:val="nil"/>
            </w:tcBorders>
            <w:vAlign w:val="center"/>
          </w:tcPr>
          <w:p w14:paraId="78E0BA06"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Total errors</w:t>
            </w:r>
          </w:p>
        </w:tc>
        <w:tc>
          <w:tcPr>
            <w:tcW w:w="771" w:type="pct"/>
            <w:tcBorders>
              <w:top w:val="nil"/>
              <w:left w:val="nil"/>
              <w:bottom w:val="nil"/>
              <w:right w:val="nil"/>
            </w:tcBorders>
            <w:shd w:val="clear" w:color="auto" w:fill="auto"/>
            <w:tcMar>
              <w:top w:w="80" w:type="dxa"/>
              <w:left w:w="80" w:type="dxa"/>
              <w:bottom w:w="80" w:type="dxa"/>
              <w:right w:w="80" w:type="dxa"/>
            </w:tcMar>
            <w:vAlign w:val="center"/>
          </w:tcPr>
          <w:p w14:paraId="604D6952"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56.0 (47.3)</w:t>
            </w:r>
          </w:p>
        </w:tc>
        <w:tc>
          <w:tcPr>
            <w:tcW w:w="707" w:type="pct"/>
            <w:tcBorders>
              <w:top w:val="nil"/>
              <w:left w:val="nil"/>
              <w:bottom w:val="nil"/>
              <w:right w:val="nil"/>
            </w:tcBorders>
            <w:shd w:val="clear" w:color="auto" w:fill="auto"/>
            <w:tcMar>
              <w:top w:w="80" w:type="dxa"/>
              <w:left w:w="80" w:type="dxa"/>
              <w:bottom w:w="80" w:type="dxa"/>
              <w:right w:w="80" w:type="dxa"/>
            </w:tcMar>
            <w:vAlign w:val="center"/>
          </w:tcPr>
          <w:p w14:paraId="14CE536C"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45.2 (44.7)</w:t>
            </w:r>
          </w:p>
        </w:tc>
        <w:tc>
          <w:tcPr>
            <w:tcW w:w="507" w:type="pct"/>
            <w:tcBorders>
              <w:top w:val="nil"/>
              <w:left w:val="nil"/>
              <w:bottom w:val="nil"/>
              <w:right w:val="nil"/>
            </w:tcBorders>
            <w:shd w:val="clear" w:color="auto" w:fill="auto"/>
            <w:tcMar>
              <w:top w:w="80" w:type="dxa"/>
              <w:left w:w="80" w:type="dxa"/>
              <w:bottom w:w="80" w:type="dxa"/>
              <w:right w:w="80" w:type="dxa"/>
            </w:tcMar>
            <w:vAlign w:val="center"/>
          </w:tcPr>
          <w:p w14:paraId="4A630789" w14:textId="77777777" w:rsidR="00A051F0" w:rsidRPr="00982A50" w:rsidRDefault="00A051F0" w:rsidP="00DE1C31">
            <w:pPr>
              <w:pBdr>
                <w:top w:val="nil"/>
                <w:left w:val="nil"/>
                <w:bottom w:val="nil"/>
                <w:right w:val="nil"/>
                <w:between w:val="nil"/>
                <w:bar w:val="nil"/>
              </w:pBdr>
              <w:jc w:val="cente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1.37</w:t>
            </w:r>
          </w:p>
        </w:tc>
        <w:tc>
          <w:tcPr>
            <w:tcW w:w="452" w:type="pct"/>
            <w:tcBorders>
              <w:top w:val="nil"/>
              <w:left w:val="nil"/>
              <w:bottom w:val="nil"/>
              <w:right w:val="nil"/>
            </w:tcBorders>
            <w:vAlign w:val="center"/>
          </w:tcPr>
          <w:p w14:paraId="5425008A" w14:textId="77777777" w:rsidR="00A051F0" w:rsidRPr="00982A50" w:rsidRDefault="00A051F0" w:rsidP="00DE1C31">
            <w:pPr>
              <w:pBdr>
                <w:top w:val="nil"/>
                <w:left w:val="nil"/>
                <w:bottom w:val="nil"/>
                <w:right w:val="nil"/>
                <w:between w:val="nil"/>
                <w:bar w:val="nil"/>
              </w:pBdr>
              <w:jc w:val="cente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0.19</w:t>
            </w:r>
          </w:p>
        </w:tc>
        <w:tc>
          <w:tcPr>
            <w:tcW w:w="451" w:type="pct"/>
            <w:tcBorders>
              <w:top w:val="nil"/>
              <w:left w:val="nil"/>
              <w:bottom w:val="nil"/>
              <w:right w:val="nil"/>
            </w:tcBorders>
          </w:tcPr>
          <w:p w14:paraId="2E6C9D2B" w14:textId="652141F8" w:rsidR="00A051F0" w:rsidRPr="00982A50" w:rsidRDefault="00A051F0" w:rsidP="00DE1C31">
            <w:pPr>
              <w:pBdr>
                <w:top w:val="nil"/>
                <w:left w:val="nil"/>
                <w:bottom w:val="nil"/>
                <w:right w:val="nil"/>
                <w:between w:val="nil"/>
                <w:bar w:val="nil"/>
              </w:pBdr>
              <w:jc w:val="center"/>
              <w:rPr>
                <w:rFonts w:ascii="Times New Roman" w:eastAsia="Century" w:hAnsi="Times New Roman" w:cs="Times New Roman"/>
                <w:color w:val="000000"/>
                <w:sz w:val="20"/>
                <w:szCs w:val="20"/>
                <w:u w:color="000000"/>
                <w:bdr w:val="nil"/>
                <w:lang w:eastAsia="en-GB"/>
              </w:rPr>
            </w:pPr>
            <w:r>
              <w:rPr>
                <w:rFonts w:ascii="Times New Roman" w:eastAsia="Century" w:hAnsi="Times New Roman" w:cs="Times New Roman"/>
                <w:color w:val="000000"/>
                <w:sz w:val="20"/>
                <w:szCs w:val="20"/>
                <w:u w:color="000000"/>
                <w:bdr w:val="nil"/>
                <w:lang w:eastAsia="en-GB"/>
              </w:rPr>
              <w:t>-0.31</w:t>
            </w:r>
          </w:p>
        </w:tc>
      </w:tr>
      <w:tr w:rsidR="00A051F0" w:rsidRPr="00982A50" w14:paraId="77A9F8C1" w14:textId="17D6366B" w:rsidTr="003A0D38">
        <w:trPr>
          <w:trHeight w:val="21"/>
        </w:trPr>
        <w:tc>
          <w:tcPr>
            <w:tcW w:w="542"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30F8646"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p>
        </w:tc>
        <w:tc>
          <w:tcPr>
            <w:tcW w:w="1569" w:type="pct"/>
            <w:tcBorders>
              <w:top w:val="nil"/>
              <w:left w:val="nil"/>
              <w:bottom w:val="single" w:sz="4" w:space="0" w:color="000000"/>
              <w:right w:val="nil"/>
            </w:tcBorders>
            <w:vAlign w:val="center"/>
          </w:tcPr>
          <w:p w14:paraId="159F1096"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Within errors</w:t>
            </w:r>
          </w:p>
        </w:tc>
        <w:tc>
          <w:tcPr>
            <w:tcW w:w="771"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24C0637"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3.9 (8.0)</w:t>
            </w:r>
          </w:p>
        </w:tc>
        <w:tc>
          <w:tcPr>
            <w:tcW w:w="707"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997168B" w14:textId="77777777" w:rsidR="00A051F0" w:rsidRPr="00982A50" w:rsidRDefault="00A051F0" w:rsidP="00DE1C31">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2.8 (3.6)</w:t>
            </w:r>
          </w:p>
        </w:tc>
        <w:tc>
          <w:tcPr>
            <w:tcW w:w="507"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4488C92" w14:textId="77777777" w:rsidR="00A051F0" w:rsidRPr="00982A50" w:rsidRDefault="00A051F0" w:rsidP="00DE1C31">
            <w:pPr>
              <w:pBdr>
                <w:top w:val="nil"/>
                <w:left w:val="nil"/>
                <w:bottom w:val="nil"/>
                <w:right w:val="nil"/>
                <w:between w:val="nil"/>
                <w:bar w:val="nil"/>
              </w:pBdr>
              <w:jc w:val="cente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0.50</w:t>
            </w:r>
          </w:p>
        </w:tc>
        <w:tc>
          <w:tcPr>
            <w:tcW w:w="452" w:type="pct"/>
            <w:tcBorders>
              <w:top w:val="nil"/>
              <w:left w:val="nil"/>
              <w:bottom w:val="single" w:sz="4" w:space="0" w:color="000000"/>
              <w:right w:val="nil"/>
            </w:tcBorders>
            <w:vAlign w:val="center"/>
          </w:tcPr>
          <w:p w14:paraId="6E4567BF" w14:textId="77777777" w:rsidR="00A051F0" w:rsidRPr="00982A50" w:rsidRDefault="00A051F0" w:rsidP="00DE1C31">
            <w:pPr>
              <w:pBdr>
                <w:top w:val="nil"/>
                <w:left w:val="nil"/>
                <w:bottom w:val="nil"/>
                <w:right w:val="nil"/>
                <w:between w:val="nil"/>
                <w:bar w:val="nil"/>
              </w:pBdr>
              <w:jc w:val="cente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0.62</w:t>
            </w:r>
          </w:p>
        </w:tc>
        <w:tc>
          <w:tcPr>
            <w:tcW w:w="451" w:type="pct"/>
            <w:tcBorders>
              <w:top w:val="nil"/>
              <w:left w:val="nil"/>
              <w:bottom w:val="single" w:sz="4" w:space="0" w:color="000000"/>
              <w:right w:val="nil"/>
            </w:tcBorders>
          </w:tcPr>
          <w:p w14:paraId="0FF26F68" w14:textId="78848251" w:rsidR="00A051F0" w:rsidRPr="00982A50" w:rsidRDefault="00A051F0" w:rsidP="00DE1C31">
            <w:pPr>
              <w:pBdr>
                <w:top w:val="nil"/>
                <w:left w:val="nil"/>
                <w:bottom w:val="nil"/>
                <w:right w:val="nil"/>
                <w:between w:val="nil"/>
                <w:bar w:val="nil"/>
              </w:pBdr>
              <w:jc w:val="center"/>
              <w:rPr>
                <w:rFonts w:ascii="Times New Roman" w:eastAsia="Century" w:hAnsi="Times New Roman" w:cs="Times New Roman"/>
                <w:color w:val="000000"/>
                <w:sz w:val="20"/>
                <w:szCs w:val="20"/>
                <w:u w:color="000000"/>
                <w:bdr w:val="nil"/>
                <w:lang w:eastAsia="en-GB"/>
              </w:rPr>
            </w:pPr>
            <w:r>
              <w:rPr>
                <w:rFonts w:ascii="Times New Roman" w:eastAsia="Century" w:hAnsi="Times New Roman" w:cs="Times New Roman"/>
                <w:color w:val="000000"/>
                <w:sz w:val="20"/>
                <w:szCs w:val="20"/>
                <w:u w:color="000000"/>
                <w:bdr w:val="nil"/>
                <w:lang w:eastAsia="en-GB"/>
              </w:rPr>
              <w:t>-0.11</w:t>
            </w:r>
          </w:p>
        </w:tc>
      </w:tr>
    </w:tbl>
    <w:p w14:paraId="40309E95" w14:textId="576A6B33" w:rsidR="00DE1C31" w:rsidRPr="00982A50" w:rsidRDefault="00F231BE" w:rsidP="00F231BE">
      <w:pPr>
        <w:rPr>
          <w:rFonts w:ascii="Times New Roman" w:hAnsi="Times New Roman" w:cs="Times New Roman"/>
          <w:sz w:val="20"/>
          <w:szCs w:val="20"/>
        </w:rPr>
      </w:pPr>
      <w:r w:rsidRPr="00982A50">
        <w:rPr>
          <w:rFonts w:ascii="Times New Roman" w:hAnsi="Times New Roman" w:cs="Times New Roman"/>
          <w:sz w:val="20"/>
          <w:szCs w:val="20"/>
          <w:lang w:val="it-IT"/>
        </w:rPr>
        <w:t xml:space="preserve">Abbreviations. SD: standard deviation, IED: Intra-Extra Dimensional Set Shift, </w:t>
      </w:r>
      <w:r w:rsidRPr="00982A50">
        <w:rPr>
          <w:rFonts w:ascii="Times New Roman" w:hAnsi="Times New Roman" w:cs="Times New Roman"/>
          <w:sz w:val="20"/>
          <w:szCs w:val="20"/>
        </w:rPr>
        <w:t xml:space="preserve">RVP: Rapid Visual Processing, </w:t>
      </w:r>
      <w:r w:rsidRPr="00982A50">
        <w:rPr>
          <w:rFonts w:ascii="Times New Roman" w:hAnsi="Times New Roman" w:cs="Times New Roman"/>
          <w:sz w:val="20"/>
          <w:szCs w:val="20"/>
          <w:lang w:val="it-IT"/>
        </w:rPr>
        <w:t xml:space="preserve">SWM: </w:t>
      </w:r>
      <w:r w:rsidRPr="00982A50">
        <w:rPr>
          <w:rFonts w:ascii="Times New Roman" w:hAnsi="Times New Roman" w:cs="Times New Roman"/>
          <w:sz w:val="20"/>
          <w:szCs w:val="20"/>
        </w:rPr>
        <w:t>Spatial Working Memory</w:t>
      </w:r>
    </w:p>
    <w:p w14:paraId="5E92EA95" w14:textId="453E2C26" w:rsidR="00DE1C31" w:rsidRPr="00982A50" w:rsidRDefault="00DE1C31" w:rsidP="00F231BE">
      <w:pPr>
        <w:rPr>
          <w:rFonts w:ascii="Times New Roman" w:hAnsi="Times New Roman" w:cs="Times New Roman"/>
          <w:sz w:val="20"/>
          <w:szCs w:val="20"/>
          <w:lang w:val="en-GB"/>
        </w:rPr>
      </w:pPr>
    </w:p>
    <w:p w14:paraId="7D30755C" w14:textId="77777777" w:rsidR="00DE1C31" w:rsidRPr="00982A50" w:rsidRDefault="00DE1C31" w:rsidP="00F231BE">
      <w:pPr>
        <w:rPr>
          <w:rFonts w:ascii="Times New Roman" w:hAnsi="Times New Roman" w:cs="Times New Roman"/>
          <w:sz w:val="20"/>
          <w:szCs w:val="20"/>
          <w:lang w:val="en-GB"/>
        </w:rPr>
      </w:pPr>
    </w:p>
    <w:p w14:paraId="07C4443B" w14:textId="77777777" w:rsidR="00982A50" w:rsidRDefault="00982A50" w:rsidP="00F231BE">
      <w:pPr>
        <w:rPr>
          <w:rFonts w:ascii="Times New Roman" w:hAnsi="Times New Roman" w:cs="Times New Roman"/>
          <w:sz w:val="20"/>
          <w:szCs w:val="20"/>
          <w:lang w:val="en-GB"/>
        </w:rPr>
      </w:pPr>
    </w:p>
    <w:p w14:paraId="5E053C95" w14:textId="77777777" w:rsidR="00982A50" w:rsidRDefault="00982A50" w:rsidP="00F231BE">
      <w:pPr>
        <w:rPr>
          <w:rFonts w:ascii="Times New Roman" w:hAnsi="Times New Roman" w:cs="Times New Roman"/>
          <w:sz w:val="20"/>
          <w:szCs w:val="20"/>
          <w:lang w:val="en-GB"/>
        </w:rPr>
      </w:pPr>
    </w:p>
    <w:p w14:paraId="42E6ECE9" w14:textId="77777777" w:rsidR="00982A50" w:rsidRDefault="00982A50" w:rsidP="00F231BE">
      <w:pPr>
        <w:rPr>
          <w:rFonts w:ascii="Times New Roman" w:hAnsi="Times New Roman" w:cs="Times New Roman"/>
          <w:sz w:val="20"/>
          <w:szCs w:val="20"/>
          <w:lang w:val="en-GB"/>
        </w:rPr>
      </w:pPr>
    </w:p>
    <w:p w14:paraId="5463F3E2" w14:textId="77777777" w:rsidR="00982A50" w:rsidRDefault="00982A50" w:rsidP="00F231BE">
      <w:pPr>
        <w:rPr>
          <w:rFonts w:ascii="Times New Roman" w:hAnsi="Times New Roman" w:cs="Times New Roman"/>
          <w:sz w:val="20"/>
          <w:szCs w:val="20"/>
          <w:lang w:val="en-GB"/>
        </w:rPr>
      </w:pPr>
    </w:p>
    <w:p w14:paraId="457BE67B" w14:textId="77777777" w:rsidR="00982A50" w:rsidRDefault="00982A50" w:rsidP="00F231BE">
      <w:pPr>
        <w:rPr>
          <w:rFonts w:ascii="Times New Roman" w:hAnsi="Times New Roman" w:cs="Times New Roman"/>
          <w:sz w:val="20"/>
          <w:szCs w:val="20"/>
          <w:lang w:val="en-GB"/>
        </w:rPr>
      </w:pPr>
    </w:p>
    <w:p w14:paraId="7D3BC173" w14:textId="77777777" w:rsidR="00982A50" w:rsidRDefault="00982A50" w:rsidP="00F231BE">
      <w:pPr>
        <w:rPr>
          <w:rFonts w:ascii="Times New Roman" w:hAnsi="Times New Roman" w:cs="Times New Roman"/>
          <w:sz w:val="20"/>
          <w:szCs w:val="20"/>
          <w:lang w:val="en-GB"/>
        </w:rPr>
      </w:pPr>
    </w:p>
    <w:p w14:paraId="6112404F" w14:textId="77777777" w:rsidR="00982A50" w:rsidRDefault="00982A50" w:rsidP="00F231BE">
      <w:pPr>
        <w:rPr>
          <w:rFonts w:ascii="Times New Roman" w:hAnsi="Times New Roman" w:cs="Times New Roman"/>
          <w:sz w:val="20"/>
          <w:szCs w:val="20"/>
          <w:lang w:val="en-GB"/>
        </w:rPr>
      </w:pPr>
    </w:p>
    <w:p w14:paraId="1A7E7BE7" w14:textId="77777777" w:rsidR="00982A50" w:rsidRDefault="00982A50" w:rsidP="00F231BE">
      <w:pPr>
        <w:rPr>
          <w:rFonts w:ascii="Times New Roman" w:hAnsi="Times New Roman" w:cs="Times New Roman"/>
          <w:sz w:val="20"/>
          <w:szCs w:val="20"/>
          <w:lang w:val="en-GB"/>
        </w:rPr>
      </w:pPr>
    </w:p>
    <w:p w14:paraId="0486BA01" w14:textId="77777777" w:rsidR="00C94D20" w:rsidRDefault="00C94D20" w:rsidP="00F231BE">
      <w:pPr>
        <w:rPr>
          <w:rFonts w:ascii="Times New Roman" w:hAnsi="Times New Roman" w:cs="Times New Roman"/>
          <w:sz w:val="20"/>
          <w:szCs w:val="20"/>
          <w:lang w:val="en-GB"/>
        </w:rPr>
      </w:pPr>
    </w:p>
    <w:p w14:paraId="328C351E" w14:textId="3DCB8CA0" w:rsidR="00F231BE" w:rsidRPr="00982A50" w:rsidRDefault="00F231BE" w:rsidP="00F231BE">
      <w:pPr>
        <w:rPr>
          <w:rFonts w:ascii="Times New Roman" w:hAnsi="Times New Roman" w:cs="Times New Roman"/>
          <w:sz w:val="20"/>
          <w:szCs w:val="20"/>
          <w:lang w:val="en-GB"/>
        </w:rPr>
      </w:pPr>
      <w:r w:rsidRPr="00982A50">
        <w:rPr>
          <w:rFonts w:ascii="Times New Roman" w:hAnsi="Times New Roman" w:cs="Times New Roman"/>
          <w:sz w:val="20"/>
          <w:szCs w:val="20"/>
          <w:lang w:val="en-GB"/>
        </w:rPr>
        <w:t xml:space="preserve">Table </w:t>
      </w:r>
      <w:r w:rsidR="0034479C">
        <w:rPr>
          <w:rFonts w:ascii="Times New Roman" w:hAnsi="Times New Roman" w:cs="Times New Roman"/>
          <w:sz w:val="20"/>
          <w:szCs w:val="20"/>
          <w:lang w:val="en-GB"/>
        </w:rPr>
        <w:t>4</w:t>
      </w:r>
      <w:r w:rsidRPr="00982A50">
        <w:rPr>
          <w:rFonts w:ascii="Times New Roman" w:hAnsi="Times New Roman" w:cs="Times New Roman"/>
          <w:sz w:val="20"/>
          <w:szCs w:val="20"/>
          <w:lang w:val="en-GB"/>
        </w:rPr>
        <w:t>. Neuropsychiatric data of delay discounting and EMOTICOM</w:t>
      </w:r>
    </w:p>
    <w:p w14:paraId="47DEA0C8" w14:textId="77777777" w:rsidR="00F231BE" w:rsidRPr="00982A50" w:rsidRDefault="00F231BE" w:rsidP="00F231BE">
      <w:pPr>
        <w:rPr>
          <w:rFonts w:ascii="Times New Roman" w:hAnsi="Times New Roman" w:cs="Times New Roman"/>
          <w:sz w:val="20"/>
          <w:szCs w:val="20"/>
          <w:lang w:val="en-GB"/>
        </w:rPr>
      </w:pPr>
    </w:p>
    <w:tbl>
      <w:tblPr>
        <w:tblStyle w:val="PlainTable2"/>
        <w:tblW w:w="5495" w:type="pct"/>
        <w:tblLayout w:type="fixed"/>
        <w:tblLook w:val="04A0" w:firstRow="1" w:lastRow="0" w:firstColumn="1" w:lastColumn="0" w:noHBand="0" w:noVBand="1"/>
      </w:tblPr>
      <w:tblGrid>
        <w:gridCol w:w="946"/>
        <w:gridCol w:w="2865"/>
        <w:gridCol w:w="1496"/>
        <w:gridCol w:w="1395"/>
        <w:gridCol w:w="897"/>
        <w:gridCol w:w="870"/>
        <w:gridCol w:w="870"/>
      </w:tblGrid>
      <w:tr w:rsidR="00E1694C" w:rsidRPr="00982A50" w14:paraId="4B260BF7" w14:textId="2C13D0DB" w:rsidTr="00675C67">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506" w:type="pct"/>
            <w:vMerge w:val="restart"/>
          </w:tcPr>
          <w:p w14:paraId="42CAED2D" w14:textId="77777777" w:rsidR="00E1694C" w:rsidRPr="00982A50" w:rsidRDefault="00E1694C" w:rsidP="00F231BE">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Batteries</w:t>
            </w:r>
          </w:p>
        </w:tc>
        <w:tc>
          <w:tcPr>
            <w:tcW w:w="1534" w:type="pct"/>
            <w:vMerge w:val="restart"/>
          </w:tcPr>
          <w:p w14:paraId="7DF9ACFD" w14:textId="77777777" w:rsidR="00E1694C" w:rsidRPr="00982A50" w:rsidRDefault="00E1694C" w:rsidP="00F231BE">
            <w:pPr>
              <w:pBdr>
                <w:top w:val="nil"/>
                <w:left w:val="nil"/>
                <w:bottom w:val="nil"/>
                <w:right w:val="nil"/>
                <w:between w:val="nil"/>
                <w:bar w:val="nil"/>
              </w:pBdr>
              <w:cnfStyle w:val="100000000000" w:firstRow="1"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Measures</w:t>
            </w:r>
          </w:p>
        </w:tc>
        <w:tc>
          <w:tcPr>
            <w:tcW w:w="1548" w:type="pct"/>
            <w:gridSpan w:val="2"/>
          </w:tcPr>
          <w:p w14:paraId="6E6E5759" w14:textId="77777777" w:rsidR="00E1694C" w:rsidRPr="00982A50" w:rsidRDefault="00E1694C" w:rsidP="00F231BE">
            <w:pPr>
              <w:pBdr>
                <w:top w:val="nil"/>
                <w:left w:val="nil"/>
                <w:bottom w:val="nil"/>
                <w:right w:val="nil"/>
                <w:between w:val="nil"/>
                <w:bar w:val="nil"/>
              </w:pBdr>
              <w:cnfStyle w:val="100000000000" w:firstRow="1"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Drug Conditions (SD)</w:t>
            </w:r>
          </w:p>
          <w:p w14:paraId="1A19F1D6" w14:textId="77777777" w:rsidR="00E1694C" w:rsidRPr="00982A50" w:rsidRDefault="00E1694C" w:rsidP="00F231BE">
            <w:pPr>
              <w:pBdr>
                <w:top w:val="nil"/>
                <w:left w:val="nil"/>
                <w:bottom w:val="nil"/>
                <w:right w:val="nil"/>
                <w:between w:val="nil"/>
                <w:bar w:val="nil"/>
              </w:pBdr>
              <w:cnfStyle w:val="100000000000" w:firstRow="1"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(20 participants each)</w:t>
            </w:r>
          </w:p>
        </w:tc>
        <w:tc>
          <w:tcPr>
            <w:tcW w:w="480" w:type="pct"/>
            <w:vMerge w:val="restart"/>
          </w:tcPr>
          <w:p w14:paraId="705F65FF" w14:textId="77777777" w:rsidR="00E1694C" w:rsidRPr="00982A50" w:rsidRDefault="00E1694C" w:rsidP="00F231BE">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Statistic</w:t>
            </w:r>
          </w:p>
          <w:p w14:paraId="16D8DDE0" w14:textId="77777777" w:rsidR="00E1694C" w:rsidRPr="00982A50" w:rsidRDefault="00E1694C" w:rsidP="00F231BE">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(t value)</w:t>
            </w:r>
          </w:p>
        </w:tc>
        <w:tc>
          <w:tcPr>
            <w:tcW w:w="466" w:type="pct"/>
            <w:vMerge w:val="restart"/>
          </w:tcPr>
          <w:p w14:paraId="18C4A621" w14:textId="77777777" w:rsidR="00E1694C" w:rsidRPr="00982A50" w:rsidRDefault="00E1694C" w:rsidP="00F231BE">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p value</w:t>
            </w:r>
          </w:p>
        </w:tc>
        <w:tc>
          <w:tcPr>
            <w:tcW w:w="466" w:type="pct"/>
          </w:tcPr>
          <w:p w14:paraId="0F401D21" w14:textId="35664536" w:rsidR="00E1694C" w:rsidRPr="00982A50" w:rsidRDefault="00E1694C" w:rsidP="00F231BE">
            <w:pPr>
              <w:pBdr>
                <w:top w:val="nil"/>
                <w:left w:val="nil"/>
                <w:bottom w:val="nil"/>
                <w:right w:val="nil"/>
                <w:between w:val="nil"/>
                <w:bar w:val="nil"/>
              </w:pBdr>
              <w:jc w:val="center"/>
              <w:cnfStyle w:val="100000000000" w:firstRow="1"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Pr>
                <w:rFonts w:ascii="Times New Roman" w:eastAsia="Century" w:hAnsi="Times New Roman" w:cs="Times New Roman"/>
                <w:color w:val="000000"/>
                <w:sz w:val="20"/>
                <w:szCs w:val="20"/>
                <w:u w:color="000000"/>
                <w:bdr w:val="nil"/>
                <w:lang w:eastAsia="en-GB"/>
              </w:rPr>
              <w:t xml:space="preserve">Cohen’s </w:t>
            </w:r>
            <w:r w:rsidRPr="00675C67">
              <w:rPr>
                <w:rFonts w:ascii="Times New Roman" w:eastAsia="Century" w:hAnsi="Times New Roman" w:cs="Times New Roman"/>
                <w:i/>
                <w:iCs/>
                <w:color w:val="000000"/>
                <w:sz w:val="20"/>
                <w:szCs w:val="20"/>
                <w:u w:color="000000"/>
                <w:bdr w:val="nil"/>
                <w:lang w:eastAsia="en-GB"/>
              </w:rPr>
              <w:t>d</w:t>
            </w:r>
          </w:p>
        </w:tc>
      </w:tr>
      <w:tr w:rsidR="00E1694C" w:rsidRPr="00982A50" w14:paraId="65B4C105" w14:textId="29AA3DFA" w:rsidTr="00675C67">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506" w:type="pct"/>
            <w:vMerge/>
          </w:tcPr>
          <w:p w14:paraId="0DA5E39E" w14:textId="77777777" w:rsidR="00E1694C" w:rsidRPr="00982A50" w:rsidRDefault="00E1694C" w:rsidP="00F231BE">
            <w:pPr>
              <w:pBdr>
                <w:top w:val="nil"/>
                <w:left w:val="nil"/>
                <w:bottom w:val="nil"/>
                <w:right w:val="nil"/>
                <w:between w:val="nil"/>
                <w:bar w:val="nil"/>
              </w:pBdr>
              <w:rPr>
                <w:rFonts w:ascii="Times New Roman" w:eastAsia="MS Mincho" w:hAnsi="Times New Roman" w:cs="Times New Roman"/>
                <w:sz w:val="20"/>
                <w:szCs w:val="20"/>
                <w:bdr w:val="nil"/>
                <w:lang w:eastAsia="en-US"/>
              </w:rPr>
            </w:pPr>
          </w:p>
        </w:tc>
        <w:tc>
          <w:tcPr>
            <w:tcW w:w="1534" w:type="pct"/>
            <w:vMerge/>
          </w:tcPr>
          <w:p w14:paraId="3019D28E"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p>
        </w:tc>
        <w:tc>
          <w:tcPr>
            <w:tcW w:w="801" w:type="pct"/>
          </w:tcPr>
          <w:p w14:paraId="69AF673A"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proofErr w:type="spellStart"/>
            <w:r w:rsidRPr="00982A50">
              <w:rPr>
                <w:rFonts w:ascii="Times New Roman" w:eastAsia="Century" w:hAnsi="Times New Roman" w:cs="Times New Roman"/>
                <w:color w:val="000000"/>
                <w:sz w:val="20"/>
                <w:szCs w:val="20"/>
                <w:u w:color="000000"/>
                <w:bdr w:val="nil"/>
                <w:lang w:eastAsia="en-GB"/>
              </w:rPr>
              <w:t>Istradefylline</w:t>
            </w:r>
            <w:proofErr w:type="spellEnd"/>
          </w:p>
        </w:tc>
        <w:tc>
          <w:tcPr>
            <w:tcW w:w="747" w:type="pct"/>
          </w:tcPr>
          <w:p w14:paraId="09180D84"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Placebo</w:t>
            </w:r>
          </w:p>
        </w:tc>
        <w:tc>
          <w:tcPr>
            <w:tcW w:w="480" w:type="pct"/>
            <w:vMerge/>
          </w:tcPr>
          <w:p w14:paraId="7ACB3493"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bdr w:val="nil"/>
                <w:lang w:eastAsia="en-US"/>
              </w:rPr>
            </w:pPr>
          </w:p>
        </w:tc>
        <w:tc>
          <w:tcPr>
            <w:tcW w:w="466" w:type="pct"/>
            <w:vMerge/>
          </w:tcPr>
          <w:p w14:paraId="60ACF15F"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bdr w:val="nil"/>
                <w:lang w:eastAsia="en-US"/>
              </w:rPr>
            </w:pPr>
          </w:p>
        </w:tc>
        <w:tc>
          <w:tcPr>
            <w:tcW w:w="466" w:type="pct"/>
          </w:tcPr>
          <w:p w14:paraId="03186223"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bdr w:val="nil"/>
                <w:lang w:eastAsia="en-US"/>
              </w:rPr>
            </w:pPr>
          </w:p>
        </w:tc>
      </w:tr>
      <w:tr w:rsidR="00E1694C" w:rsidRPr="00982A50" w14:paraId="2369D757" w14:textId="597982AC" w:rsidTr="00675C67">
        <w:trPr>
          <w:trHeight w:val="356"/>
        </w:trPr>
        <w:tc>
          <w:tcPr>
            <w:cnfStyle w:val="001000000000" w:firstRow="0" w:lastRow="0" w:firstColumn="1" w:lastColumn="0" w:oddVBand="0" w:evenVBand="0" w:oddHBand="0" w:evenHBand="0" w:firstRowFirstColumn="0" w:firstRowLastColumn="0" w:lastRowFirstColumn="0" w:lastRowLastColumn="0"/>
            <w:tcW w:w="506" w:type="pct"/>
          </w:tcPr>
          <w:p w14:paraId="625DD227" w14:textId="77777777" w:rsidR="00E1694C" w:rsidRPr="00982A50" w:rsidRDefault="00E1694C" w:rsidP="00F231BE">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DD</w:t>
            </w:r>
          </w:p>
        </w:tc>
        <w:tc>
          <w:tcPr>
            <w:tcW w:w="1534" w:type="pct"/>
          </w:tcPr>
          <w:p w14:paraId="44540D3E" w14:textId="77777777" w:rsidR="00E1694C" w:rsidRPr="00982A50" w:rsidRDefault="00E1694C" w:rsidP="00F231BE">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Log of overall k</w:t>
            </w:r>
            <w:r w:rsidRPr="00982A50">
              <w:rPr>
                <w:rFonts w:ascii="Times New Roman" w:eastAsia="Century" w:hAnsi="Times New Roman" w:cs="Times New Roman"/>
                <w:color w:val="000000"/>
                <w:sz w:val="20"/>
                <w:szCs w:val="20"/>
                <w:u w:color="000000"/>
                <w:bdr w:val="nil"/>
                <w:vertAlign w:val="superscript"/>
                <w:lang w:eastAsia="en-GB"/>
              </w:rPr>
              <w:t>*</w:t>
            </w:r>
          </w:p>
        </w:tc>
        <w:tc>
          <w:tcPr>
            <w:tcW w:w="801" w:type="pct"/>
          </w:tcPr>
          <w:p w14:paraId="678CCCA7" w14:textId="77777777" w:rsidR="00E1694C" w:rsidRPr="00982A50" w:rsidRDefault="00E1694C" w:rsidP="00F231BE">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-2.33 (0.81)</w:t>
            </w:r>
          </w:p>
        </w:tc>
        <w:tc>
          <w:tcPr>
            <w:tcW w:w="747" w:type="pct"/>
          </w:tcPr>
          <w:p w14:paraId="1F94074D" w14:textId="77777777" w:rsidR="00E1694C" w:rsidRPr="00982A50" w:rsidRDefault="00E1694C" w:rsidP="00F231BE">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-2.22 (0.83)</w:t>
            </w:r>
          </w:p>
        </w:tc>
        <w:tc>
          <w:tcPr>
            <w:tcW w:w="480" w:type="pct"/>
          </w:tcPr>
          <w:p w14:paraId="0CE8C647" w14:textId="77777777" w:rsidR="00E1694C" w:rsidRPr="00982A50" w:rsidRDefault="00E1694C" w:rsidP="00F231BE">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1.14</w:t>
            </w:r>
          </w:p>
        </w:tc>
        <w:tc>
          <w:tcPr>
            <w:tcW w:w="466" w:type="pct"/>
          </w:tcPr>
          <w:p w14:paraId="590B5933" w14:textId="77777777" w:rsidR="00E1694C" w:rsidRPr="00982A50" w:rsidRDefault="00E1694C" w:rsidP="00F231BE">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0.27</w:t>
            </w:r>
          </w:p>
        </w:tc>
        <w:tc>
          <w:tcPr>
            <w:tcW w:w="466" w:type="pct"/>
          </w:tcPr>
          <w:p w14:paraId="2596F5E7" w14:textId="18E39815" w:rsidR="00E1694C" w:rsidRPr="00982A50" w:rsidRDefault="00C15E8B" w:rsidP="00F231BE">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Pr>
                <w:rFonts w:ascii="Times New Roman" w:eastAsia="Century" w:hAnsi="Times New Roman" w:cs="Times New Roman"/>
                <w:color w:val="000000"/>
                <w:sz w:val="20"/>
                <w:szCs w:val="20"/>
                <w:u w:color="000000"/>
                <w:bdr w:val="nil"/>
                <w:lang w:eastAsia="en-GB"/>
              </w:rPr>
              <w:t>0.07</w:t>
            </w:r>
          </w:p>
        </w:tc>
      </w:tr>
      <w:tr w:rsidR="00E1694C" w:rsidRPr="00982A50" w14:paraId="32CF1F41" w14:textId="2B645B3D" w:rsidTr="00675C6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06" w:type="pct"/>
          </w:tcPr>
          <w:p w14:paraId="2E76E7F8" w14:textId="77777777" w:rsidR="00E1694C" w:rsidRPr="00982A50" w:rsidRDefault="00E1694C" w:rsidP="00F231BE">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p>
        </w:tc>
        <w:tc>
          <w:tcPr>
            <w:tcW w:w="1534" w:type="pct"/>
          </w:tcPr>
          <w:p w14:paraId="22ADD3E3"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Log of small k</w:t>
            </w:r>
          </w:p>
        </w:tc>
        <w:tc>
          <w:tcPr>
            <w:tcW w:w="801" w:type="pct"/>
          </w:tcPr>
          <w:p w14:paraId="01A66730"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-2.16 (0.91)</w:t>
            </w:r>
          </w:p>
        </w:tc>
        <w:tc>
          <w:tcPr>
            <w:tcW w:w="747" w:type="pct"/>
          </w:tcPr>
          <w:p w14:paraId="67D146FF"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-2.08 (0.88)</w:t>
            </w:r>
          </w:p>
        </w:tc>
        <w:tc>
          <w:tcPr>
            <w:tcW w:w="480" w:type="pct"/>
          </w:tcPr>
          <w:p w14:paraId="629D8512" w14:textId="77777777" w:rsidR="00E1694C" w:rsidRPr="00982A50" w:rsidRDefault="00E1694C" w:rsidP="00F231BE">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0.76</w:t>
            </w:r>
          </w:p>
        </w:tc>
        <w:tc>
          <w:tcPr>
            <w:tcW w:w="466" w:type="pct"/>
          </w:tcPr>
          <w:p w14:paraId="5006E013" w14:textId="77777777" w:rsidR="00E1694C" w:rsidRPr="00982A50" w:rsidRDefault="00E1694C" w:rsidP="00F231BE">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0.46</w:t>
            </w:r>
          </w:p>
        </w:tc>
        <w:tc>
          <w:tcPr>
            <w:tcW w:w="466" w:type="pct"/>
          </w:tcPr>
          <w:p w14:paraId="440CEF1A" w14:textId="3369FEFE" w:rsidR="00E1694C" w:rsidRPr="00982A50" w:rsidRDefault="00C15E8B" w:rsidP="00F231BE">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Pr>
                <w:rFonts w:ascii="Times New Roman" w:eastAsia="Century" w:hAnsi="Times New Roman" w:cs="Times New Roman"/>
                <w:color w:val="000000"/>
                <w:sz w:val="20"/>
                <w:szCs w:val="20"/>
                <w:u w:color="000000"/>
                <w:bdr w:val="nil"/>
                <w:lang w:eastAsia="en-GB"/>
              </w:rPr>
              <w:t>0.06</w:t>
            </w:r>
          </w:p>
        </w:tc>
      </w:tr>
      <w:tr w:rsidR="00E1694C" w:rsidRPr="00982A50" w14:paraId="2FEF2727" w14:textId="3F3D9E46" w:rsidTr="00675C67">
        <w:trPr>
          <w:trHeight w:val="346"/>
        </w:trPr>
        <w:tc>
          <w:tcPr>
            <w:cnfStyle w:val="001000000000" w:firstRow="0" w:lastRow="0" w:firstColumn="1" w:lastColumn="0" w:oddVBand="0" w:evenVBand="0" w:oddHBand="0" w:evenHBand="0" w:firstRowFirstColumn="0" w:firstRowLastColumn="0" w:lastRowFirstColumn="0" w:lastRowLastColumn="0"/>
            <w:tcW w:w="506" w:type="pct"/>
          </w:tcPr>
          <w:p w14:paraId="4EEEDF19" w14:textId="77777777" w:rsidR="00E1694C" w:rsidRPr="00982A50" w:rsidRDefault="00E1694C" w:rsidP="00F231BE">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p>
        </w:tc>
        <w:tc>
          <w:tcPr>
            <w:tcW w:w="1534" w:type="pct"/>
          </w:tcPr>
          <w:p w14:paraId="3CF19DCB" w14:textId="77777777" w:rsidR="00E1694C" w:rsidRPr="00982A50" w:rsidRDefault="00E1694C" w:rsidP="00F231BE">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Log of medium k</w:t>
            </w:r>
          </w:p>
        </w:tc>
        <w:tc>
          <w:tcPr>
            <w:tcW w:w="801" w:type="pct"/>
          </w:tcPr>
          <w:p w14:paraId="1C3F5B2D" w14:textId="77777777" w:rsidR="00E1694C" w:rsidRPr="00982A50" w:rsidRDefault="00E1694C" w:rsidP="00F231BE">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-2.29 (0.83)</w:t>
            </w:r>
          </w:p>
        </w:tc>
        <w:tc>
          <w:tcPr>
            <w:tcW w:w="747" w:type="pct"/>
          </w:tcPr>
          <w:p w14:paraId="45998C70" w14:textId="77777777" w:rsidR="00E1694C" w:rsidRPr="00982A50" w:rsidRDefault="00E1694C" w:rsidP="00F231BE">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-2.29 (0.89)</w:t>
            </w:r>
          </w:p>
        </w:tc>
        <w:tc>
          <w:tcPr>
            <w:tcW w:w="480" w:type="pct"/>
          </w:tcPr>
          <w:p w14:paraId="2EAD7C48" w14:textId="77777777" w:rsidR="00E1694C" w:rsidRPr="00982A50" w:rsidRDefault="00E1694C" w:rsidP="00F231BE">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bdr w:val="nil"/>
                <w:lang w:eastAsia="en-US"/>
              </w:rPr>
            </w:pPr>
            <w:r w:rsidRPr="00982A50">
              <w:rPr>
                <w:rFonts w:ascii="Times New Roman" w:eastAsia="MS Mincho" w:hAnsi="Times New Roman" w:cs="Times New Roman"/>
                <w:sz w:val="20"/>
                <w:szCs w:val="20"/>
                <w:bdr w:val="nil"/>
                <w:lang w:eastAsia="en-US"/>
              </w:rPr>
              <w:t>0.01</w:t>
            </w:r>
          </w:p>
        </w:tc>
        <w:tc>
          <w:tcPr>
            <w:tcW w:w="466" w:type="pct"/>
          </w:tcPr>
          <w:p w14:paraId="50859698" w14:textId="77777777" w:rsidR="00E1694C" w:rsidRPr="00982A50" w:rsidRDefault="00E1694C" w:rsidP="00F231BE">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bdr w:val="nil"/>
                <w:lang w:eastAsia="en-US"/>
              </w:rPr>
            </w:pPr>
            <w:r w:rsidRPr="00982A50">
              <w:rPr>
                <w:rFonts w:ascii="Times New Roman" w:eastAsia="MS Mincho" w:hAnsi="Times New Roman" w:cs="Times New Roman"/>
                <w:sz w:val="20"/>
                <w:szCs w:val="20"/>
                <w:bdr w:val="nil"/>
                <w:lang w:eastAsia="en-US"/>
              </w:rPr>
              <w:t>1.00</w:t>
            </w:r>
          </w:p>
        </w:tc>
        <w:tc>
          <w:tcPr>
            <w:tcW w:w="466" w:type="pct"/>
          </w:tcPr>
          <w:p w14:paraId="39EDB780" w14:textId="01E58D9C" w:rsidR="00E1694C" w:rsidRPr="00982A50" w:rsidRDefault="00C15E8B" w:rsidP="00F231BE">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bdr w:val="nil"/>
                <w:lang w:eastAsia="en-US"/>
              </w:rPr>
            </w:pPr>
            <w:r>
              <w:rPr>
                <w:rFonts w:ascii="Times New Roman" w:eastAsia="MS Mincho" w:hAnsi="Times New Roman" w:cs="Times New Roman"/>
                <w:sz w:val="20"/>
                <w:szCs w:val="20"/>
                <w:bdr w:val="nil"/>
                <w:lang w:eastAsia="en-US"/>
              </w:rPr>
              <w:t>-0.0005</w:t>
            </w:r>
          </w:p>
        </w:tc>
      </w:tr>
      <w:tr w:rsidR="00E1694C" w:rsidRPr="00982A50" w14:paraId="2C404E55" w14:textId="6FA57BB2" w:rsidTr="00675C6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06" w:type="pct"/>
          </w:tcPr>
          <w:p w14:paraId="04BDC628" w14:textId="77777777" w:rsidR="00E1694C" w:rsidRPr="00982A50" w:rsidRDefault="00E1694C" w:rsidP="00F231BE">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p>
        </w:tc>
        <w:tc>
          <w:tcPr>
            <w:tcW w:w="1534" w:type="pct"/>
          </w:tcPr>
          <w:p w14:paraId="7F67AED7"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 xml:space="preserve">Log of large k </w:t>
            </w:r>
          </w:p>
        </w:tc>
        <w:tc>
          <w:tcPr>
            <w:tcW w:w="801" w:type="pct"/>
          </w:tcPr>
          <w:p w14:paraId="47AB64CB"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-2.46 (0.75)</w:t>
            </w:r>
          </w:p>
        </w:tc>
        <w:tc>
          <w:tcPr>
            <w:tcW w:w="747" w:type="pct"/>
          </w:tcPr>
          <w:p w14:paraId="15468ECC"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-2.35 (0.82)</w:t>
            </w:r>
          </w:p>
        </w:tc>
        <w:tc>
          <w:tcPr>
            <w:tcW w:w="480" w:type="pct"/>
          </w:tcPr>
          <w:p w14:paraId="4EE0F3C9" w14:textId="77777777" w:rsidR="00E1694C" w:rsidRPr="00982A50" w:rsidRDefault="00E1694C" w:rsidP="00F231BE">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bdr w:val="nil"/>
                <w:lang w:eastAsia="en-US"/>
              </w:rPr>
            </w:pPr>
            <w:r w:rsidRPr="00982A50">
              <w:rPr>
                <w:rFonts w:ascii="Times New Roman" w:eastAsia="MS Mincho" w:hAnsi="Times New Roman" w:cs="Times New Roman"/>
                <w:sz w:val="20"/>
                <w:szCs w:val="20"/>
                <w:bdr w:val="nil"/>
                <w:lang w:eastAsia="en-US"/>
              </w:rPr>
              <w:t>1.08</w:t>
            </w:r>
          </w:p>
        </w:tc>
        <w:tc>
          <w:tcPr>
            <w:tcW w:w="466" w:type="pct"/>
          </w:tcPr>
          <w:p w14:paraId="26F55165" w14:textId="77777777" w:rsidR="00E1694C" w:rsidRPr="00982A50" w:rsidRDefault="00E1694C" w:rsidP="00F231BE">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bdr w:val="nil"/>
                <w:lang w:eastAsia="en-US"/>
              </w:rPr>
            </w:pPr>
            <w:r w:rsidRPr="00982A50">
              <w:rPr>
                <w:rFonts w:ascii="Times New Roman" w:eastAsia="MS Mincho" w:hAnsi="Times New Roman" w:cs="Times New Roman"/>
                <w:sz w:val="20"/>
                <w:szCs w:val="20"/>
                <w:bdr w:val="nil"/>
                <w:lang w:eastAsia="en-US"/>
              </w:rPr>
              <w:t>0.30</w:t>
            </w:r>
          </w:p>
        </w:tc>
        <w:tc>
          <w:tcPr>
            <w:tcW w:w="466" w:type="pct"/>
          </w:tcPr>
          <w:p w14:paraId="3A873F78" w14:textId="722CF5C9" w:rsidR="00E1694C" w:rsidRPr="00982A50" w:rsidRDefault="00C15E8B" w:rsidP="00F231BE">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bdr w:val="nil"/>
                <w:lang w:eastAsia="en-US"/>
              </w:rPr>
            </w:pPr>
            <w:r>
              <w:rPr>
                <w:rFonts w:ascii="Times New Roman" w:eastAsia="MS Mincho" w:hAnsi="Times New Roman" w:cs="Times New Roman"/>
                <w:sz w:val="20"/>
                <w:szCs w:val="20"/>
                <w:bdr w:val="nil"/>
                <w:lang w:eastAsia="en-US"/>
              </w:rPr>
              <w:t>0.09</w:t>
            </w:r>
          </w:p>
        </w:tc>
      </w:tr>
      <w:tr w:rsidR="00E1694C" w:rsidRPr="00982A50" w14:paraId="78927A58" w14:textId="719AB655" w:rsidTr="00675C67">
        <w:trPr>
          <w:trHeight w:val="346"/>
        </w:trPr>
        <w:tc>
          <w:tcPr>
            <w:cnfStyle w:val="001000000000" w:firstRow="0" w:lastRow="0" w:firstColumn="1" w:lastColumn="0" w:oddVBand="0" w:evenVBand="0" w:oddHBand="0" w:evenHBand="0" w:firstRowFirstColumn="0" w:firstRowLastColumn="0" w:lastRowFirstColumn="0" w:lastRowLastColumn="0"/>
            <w:tcW w:w="506" w:type="pct"/>
          </w:tcPr>
          <w:p w14:paraId="3A09E706" w14:textId="77777777" w:rsidR="00E1694C" w:rsidRPr="00982A50" w:rsidRDefault="00E1694C" w:rsidP="00F231BE">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RL</w:t>
            </w:r>
          </w:p>
        </w:tc>
        <w:tc>
          <w:tcPr>
            <w:tcW w:w="1534" w:type="pct"/>
          </w:tcPr>
          <w:p w14:paraId="28F0AA59" w14:textId="77777777" w:rsidR="00E1694C" w:rsidRPr="00982A50" w:rsidRDefault="00E1694C" w:rsidP="00F231BE">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Learning rate in win condition</w:t>
            </w:r>
          </w:p>
        </w:tc>
        <w:tc>
          <w:tcPr>
            <w:tcW w:w="801" w:type="pct"/>
          </w:tcPr>
          <w:p w14:paraId="33C3D1A7" w14:textId="77777777" w:rsidR="00E1694C" w:rsidRPr="00982A50" w:rsidRDefault="00E1694C" w:rsidP="00F231BE">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0.12 (0.29)</w:t>
            </w:r>
          </w:p>
        </w:tc>
        <w:tc>
          <w:tcPr>
            <w:tcW w:w="747" w:type="pct"/>
          </w:tcPr>
          <w:p w14:paraId="7A4ECBC8" w14:textId="77777777" w:rsidR="00E1694C" w:rsidRPr="00982A50" w:rsidRDefault="00E1694C" w:rsidP="00F231BE">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0.23 (0.34)</w:t>
            </w:r>
          </w:p>
        </w:tc>
        <w:tc>
          <w:tcPr>
            <w:tcW w:w="480" w:type="pct"/>
          </w:tcPr>
          <w:p w14:paraId="3BECA8E0" w14:textId="77777777" w:rsidR="00E1694C" w:rsidRPr="00982A50" w:rsidRDefault="00E1694C" w:rsidP="00F231BE">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1.24</w:t>
            </w:r>
          </w:p>
        </w:tc>
        <w:tc>
          <w:tcPr>
            <w:tcW w:w="466" w:type="pct"/>
          </w:tcPr>
          <w:p w14:paraId="01175E8A" w14:textId="77777777" w:rsidR="00E1694C" w:rsidRPr="00982A50" w:rsidRDefault="00E1694C" w:rsidP="00F231BE">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0.23</w:t>
            </w:r>
          </w:p>
        </w:tc>
        <w:tc>
          <w:tcPr>
            <w:tcW w:w="466" w:type="pct"/>
          </w:tcPr>
          <w:p w14:paraId="5751CF9E" w14:textId="6A88BD9E" w:rsidR="00E1694C" w:rsidRPr="00982A50" w:rsidRDefault="00E1694C" w:rsidP="00F231BE">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Pr>
                <w:rFonts w:ascii="Times New Roman" w:eastAsia="Century" w:hAnsi="Times New Roman" w:cs="Times New Roman"/>
                <w:color w:val="000000"/>
                <w:sz w:val="20"/>
                <w:szCs w:val="20"/>
                <w:u w:color="000000"/>
                <w:bdr w:val="nil"/>
                <w:lang w:eastAsia="en-GB"/>
              </w:rPr>
              <w:t>0.26</w:t>
            </w:r>
          </w:p>
        </w:tc>
      </w:tr>
      <w:tr w:rsidR="00E1694C" w:rsidRPr="00982A50" w14:paraId="1E28CE34" w14:textId="7896BA3C" w:rsidTr="00675C6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06" w:type="pct"/>
          </w:tcPr>
          <w:p w14:paraId="266C743D" w14:textId="77777777" w:rsidR="00E1694C" w:rsidRPr="00982A50" w:rsidRDefault="00E1694C" w:rsidP="00F231BE">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p>
        </w:tc>
        <w:tc>
          <w:tcPr>
            <w:tcW w:w="1534" w:type="pct"/>
          </w:tcPr>
          <w:p w14:paraId="29B40754"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Temperature in win condition</w:t>
            </w:r>
          </w:p>
        </w:tc>
        <w:tc>
          <w:tcPr>
            <w:tcW w:w="801" w:type="pct"/>
          </w:tcPr>
          <w:p w14:paraId="7A89D9B5"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0.91 (1.68)</w:t>
            </w:r>
          </w:p>
        </w:tc>
        <w:tc>
          <w:tcPr>
            <w:tcW w:w="747" w:type="pct"/>
          </w:tcPr>
          <w:p w14:paraId="1571FDCD"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0.47 (0.82)</w:t>
            </w:r>
          </w:p>
        </w:tc>
        <w:tc>
          <w:tcPr>
            <w:tcW w:w="480" w:type="pct"/>
          </w:tcPr>
          <w:p w14:paraId="51225D7D" w14:textId="77777777" w:rsidR="00E1694C" w:rsidRPr="00982A50" w:rsidRDefault="00E1694C" w:rsidP="00F231BE">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bdr w:val="nil"/>
                <w:lang w:eastAsia="en-US"/>
              </w:rPr>
            </w:pPr>
            <w:r w:rsidRPr="00982A50">
              <w:rPr>
                <w:rFonts w:ascii="Times New Roman" w:eastAsia="MS Mincho" w:hAnsi="Times New Roman" w:cs="Times New Roman"/>
                <w:sz w:val="20"/>
                <w:szCs w:val="20"/>
                <w:bdr w:val="nil"/>
                <w:lang w:eastAsia="en-US"/>
              </w:rPr>
              <w:t>1.30</w:t>
            </w:r>
          </w:p>
        </w:tc>
        <w:tc>
          <w:tcPr>
            <w:tcW w:w="466" w:type="pct"/>
          </w:tcPr>
          <w:p w14:paraId="2E697135" w14:textId="77777777" w:rsidR="00E1694C" w:rsidRPr="00982A50" w:rsidRDefault="00E1694C" w:rsidP="00F231BE">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bdr w:val="nil"/>
                <w:lang w:eastAsia="en-US"/>
              </w:rPr>
            </w:pPr>
            <w:r w:rsidRPr="00982A50">
              <w:rPr>
                <w:rFonts w:ascii="Times New Roman" w:eastAsia="MS Mincho" w:hAnsi="Times New Roman" w:cs="Times New Roman"/>
                <w:sz w:val="20"/>
                <w:szCs w:val="20"/>
                <w:bdr w:val="nil"/>
                <w:lang w:eastAsia="en-US"/>
              </w:rPr>
              <w:t>0.21</w:t>
            </w:r>
          </w:p>
        </w:tc>
        <w:tc>
          <w:tcPr>
            <w:tcW w:w="466" w:type="pct"/>
          </w:tcPr>
          <w:p w14:paraId="497387D5" w14:textId="20B690D0" w:rsidR="00E1694C" w:rsidRPr="00982A50" w:rsidRDefault="00E1694C" w:rsidP="00F231BE">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bdr w:val="nil"/>
                <w:lang w:eastAsia="en-US"/>
              </w:rPr>
            </w:pPr>
            <w:r>
              <w:rPr>
                <w:rFonts w:ascii="Times New Roman" w:eastAsia="MS Mincho" w:hAnsi="Times New Roman" w:cs="Times New Roman"/>
                <w:sz w:val="20"/>
                <w:szCs w:val="20"/>
                <w:bdr w:val="nil"/>
                <w:lang w:eastAsia="en-US"/>
              </w:rPr>
              <w:t>-0.29</w:t>
            </w:r>
          </w:p>
        </w:tc>
      </w:tr>
      <w:tr w:rsidR="00E1694C" w:rsidRPr="00982A50" w14:paraId="05F96EF3" w14:textId="702ECFEA" w:rsidTr="00675C67">
        <w:trPr>
          <w:trHeight w:val="346"/>
        </w:trPr>
        <w:tc>
          <w:tcPr>
            <w:cnfStyle w:val="001000000000" w:firstRow="0" w:lastRow="0" w:firstColumn="1" w:lastColumn="0" w:oddVBand="0" w:evenVBand="0" w:oddHBand="0" w:evenHBand="0" w:firstRowFirstColumn="0" w:firstRowLastColumn="0" w:lastRowFirstColumn="0" w:lastRowLastColumn="0"/>
            <w:tcW w:w="506" w:type="pct"/>
          </w:tcPr>
          <w:p w14:paraId="1E7B7377" w14:textId="77777777" w:rsidR="00E1694C" w:rsidRPr="00982A50" w:rsidRDefault="00E1694C" w:rsidP="00F231BE">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p>
        </w:tc>
        <w:tc>
          <w:tcPr>
            <w:tcW w:w="1534" w:type="pct"/>
          </w:tcPr>
          <w:p w14:paraId="01095627" w14:textId="77777777" w:rsidR="00E1694C" w:rsidRPr="00982A50" w:rsidRDefault="00E1694C" w:rsidP="00F231BE">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Learning rate in loss condition</w:t>
            </w:r>
          </w:p>
        </w:tc>
        <w:tc>
          <w:tcPr>
            <w:tcW w:w="801" w:type="pct"/>
          </w:tcPr>
          <w:p w14:paraId="5E3AD94D" w14:textId="77777777" w:rsidR="00E1694C" w:rsidRPr="00982A50" w:rsidRDefault="00E1694C" w:rsidP="00F231BE">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0.39 (0.36)</w:t>
            </w:r>
          </w:p>
        </w:tc>
        <w:tc>
          <w:tcPr>
            <w:tcW w:w="747" w:type="pct"/>
          </w:tcPr>
          <w:p w14:paraId="12AF5597" w14:textId="77777777" w:rsidR="00E1694C" w:rsidRPr="00982A50" w:rsidRDefault="00E1694C" w:rsidP="00F231BE">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0.28 (0.30)</w:t>
            </w:r>
          </w:p>
        </w:tc>
        <w:tc>
          <w:tcPr>
            <w:tcW w:w="480" w:type="pct"/>
          </w:tcPr>
          <w:p w14:paraId="6B732F09" w14:textId="77777777" w:rsidR="00E1694C" w:rsidRPr="00982A50" w:rsidRDefault="00E1694C" w:rsidP="00F231BE">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bdr w:val="nil"/>
                <w:lang w:eastAsia="en-US"/>
              </w:rPr>
            </w:pPr>
            <w:r w:rsidRPr="00982A50">
              <w:rPr>
                <w:rFonts w:ascii="Times New Roman" w:eastAsia="MS Mincho" w:hAnsi="Times New Roman" w:cs="Times New Roman"/>
                <w:sz w:val="20"/>
                <w:szCs w:val="20"/>
                <w:bdr w:val="nil"/>
                <w:lang w:eastAsia="en-US"/>
              </w:rPr>
              <w:t>1.00</w:t>
            </w:r>
          </w:p>
        </w:tc>
        <w:tc>
          <w:tcPr>
            <w:tcW w:w="466" w:type="pct"/>
          </w:tcPr>
          <w:p w14:paraId="3CE05A6A" w14:textId="77777777" w:rsidR="00E1694C" w:rsidRPr="00982A50" w:rsidRDefault="00E1694C" w:rsidP="00F231BE">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bdr w:val="nil"/>
                <w:lang w:eastAsia="en-US"/>
              </w:rPr>
            </w:pPr>
            <w:r w:rsidRPr="00982A50">
              <w:rPr>
                <w:rFonts w:ascii="Times New Roman" w:eastAsia="MS Mincho" w:hAnsi="Times New Roman" w:cs="Times New Roman"/>
                <w:sz w:val="20"/>
                <w:szCs w:val="20"/>
                <w:bdr w:val="nil"/>
                <w:lang w:eastAsia="en-US"/>
              </w:rPr>
              <w:t>0.33</w:t>
            </w:r>
          </w:p>
        </w:tc>
        <w:tc>
          <w:tcPr>
            <w:tcW w:w="466" w:type="pct"/>
          </w:tcPr>
          <w:p w14:paraId="4EEB4688" w14:textId="2C9AC417" w:rsidR="00E1694C" w:rsidRPr="00982A50" w:rsidRDefault="00E1694C" w:rsidP="00F231BE">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0"/>
                <w:szCs w:val="20"/>
                <w:bdr w:val="nil"/>
                <w:lang w:eastAsia="en-US"/>
              </w:rPr>
            </w:pPr>
            <w:r>
              <w:rPr>
                <w:rFonts w:ascii="Times New Roman" w:eastAsia="MS Mincho" w:hAnsi="Times New Roman" w:cs="Times New Roman"/>
                <w:sz w:val="20"/>
                <w:szCs w:val="20"/>
                <w:bdr w:val="nil"/>
                <w:lang w:eastAsia="en-US"/>
              </w:rPr>
              <w:t>-0.21</w:t>
            </w:r>
          </w:p>
        </w:tc>
      </w:tr>
      <w:tr w:rsidR="00E1694C" w:rsidRPr="00982A50" w14:paraId="1671192B" w14:textId="32FDB96E" w:rsidTr="00675C6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06" w:type="pct"/>
          </w:tcPr>
          <w:p w14:paraId="4D221CF8" w14:textId="77777777" w:rsidR="00E1694C" w:rsidRPr="00982A50" w:rsidRDefault="00E1694C" w:rsidP="00F231BE">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p>
        </w:tc>
        <w:tc>
          <w:tcPr>
            <w:tcW w:w="1534" w:type="pct"/>
          </w:tcPr>
          <w:p w14:paraId="30BE34E1"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Temperature in loss condition</w:t>
            </w:r>
          </w:p>
        </w:tc>
        <w:tc>
          <w:tcPr>
            <w:tcW w:w="801" w:type="pct"/>
          </w:tcPr>
          <w:p w14:paraId="0BFF6CF7"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0.87 (0.80)</w:t>
            </w:r>
          </w:p>
        </w:tc>
        <w:tc>
          <w:tcPr>
            <w:tcW w:w="747" w:type="pct"/>
          </w:tcPr>
          <w:p w14:paraId="6103EF4F"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0.78 (1.26)</w:t>
            </w:r>
          </w:p>
        </w:tc>
        <w:tc>
          <w:tcPr>
            <w:tcW w:w="480" w:type="pct"/>
          </w:tcPr>
          <w:p w14:paraId="6F0090A6" w14:textId="77777777" w:rsidR="00E1694C" w:rsidRPr="00982A50" w:rsidRDefault="00E1694C" w:rsidP="00F231BE">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bdr w:val="nil"/>
                <w:lang w:eastAsia="en-US"/>
              </w:rPr>
            </w:pPr>
            <w:r w:rsidRPr="00982A50">
              <w:rPr>
                <w:rFonts w:ascii="Times New Roman" w:eastAsia="MS Mincho" w:hAnsi="Times New Roman" w:cs="Times New Roman"/>
                <w:sz w:val="20"/>
                <w:szCs w:val="20"/>
                <w:bdr w:val="nil"/>
                <w:lang w:eastAsia="en-US"/>
              </w:rPr>
              <w:t>0.27</w:t>
            </w:r>
          </w:p>
        </w:tc>
        <w:tc>
          <w:tcPr>
            <w:tcW w:w="466" w:type="pct"/>
          </w:tcPr>
          <w:p w14:paraId="03BA202D" w14:textId="77777777" w:rsidR="00E1694C" w:rsidRPr="00982A50" w:rsidRDefault="00E1694C" w:rsidP="00F231BE">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bdr w:val="nil"/>
                <w:lang w:eastAsia="en-US"/>
              </w:rPr>
            </w:pPr>
            <w:r w:rsidRPr="00982A50">
              <w:rPr>
                <w:rFonts w:ascii="Times New Roman" w:eastAsia="MS Mincho" w:hAnsi="Times New Roman" w:cs="Times New Roman"/>
                <w:sz w:val="20"/>
                <w:szCs w:val="20"/>
                <w:bdr w:val="nil"/>
                <w:lang w:eastAsia="en-US"/>
              </w:rPr>
              <w:t>0.79</w:t>
            </w:r>
          </w:p>
        </w:tc>
        <w:tc>
          <w:tcPr>
            <w:tcW w:w="466" w:type="pct"/>
          </w:tcPr>
          <w:p w14:paraId="4ABF8BA0" w14:textId="4BEE3472" w:rsidR="00E1694C" w:rsidRPr="00982A50" w:rsidRDefault="00E1694C" w:rsidP="00F231BE">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0"/>
                <w:szCs w:val="20"/>
                <w:bdr w:val="nil"/>
                <w:lang w:eastAsia="en-US"/>
              </w:rPr>
            </w:pPr>
            <w:r>
              <w:rPr>
                <w:rFonts w:ascii="Times New Roman" w:eastAsia="MS Mincho" w:hAnsi="Times New Roman" w:cs="Times New Roman"/>
                <w:sz w:val="20"/>
                <w:szCs w:val="20"/>
                <w:bdr w:val="nil"/>
                <w:lang w:eastAsia="en-US"/>
              </w:rPr>
              <w:t>-0.05</w:t>
            </w:r>
          </w:p>
        </w:tc>
      </w:tr>
      <w:tr w:rsidR="00E1694C" w:rsidRPr="00982A50" w14:paraId="747D5D11" w14:textId="315C4AB9" w:rsidTr="00675C67">
        <w:trPr>
          <w:trHeight w:val="346"/>
        </w:trPr>
        <w:tc>
          <w:tcPr>
            <w:cnfStyle w:val="001000000000" w:firstRow="0" w:lastRow="0" w:firstColumn="1" w:lastColumn="0" w:oddVBand="0" w:evenVBand="0" w:oddHBand="0" w:evenHBand="0" w:firstRowFirstColumn="0" w:firstRowLastColumn="0" w:lastRowFirstColumn="0" w:lastRowLastColumn="0"/>
            <w:tcW w:w="506" w:type="pct"/>
          </w:tcPr>
          <w:p w14:paraId="0BDF50A7" w14:textId="77777777" w:rsidR="00E1694C" w:rsidRPr="00982A50" w:rsidRDefault="00E1694C" w:rsidP="00F231BE">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CGT</w:t>
            </w:r>
          </w:p>
        </w:tc>
        <w:tc>
          <w:tcPr>
            <w:tcW w:w="1534" w:type="pct"/>
          </w:tcPr>
          <w:p w14:paraId="1125DBD4" w14:textId="77777777" w:rsidR="00E1694C" w:rsidRPr="00982A50" w:rsidRDefault="00E1694C" w:rsidP="00F231BE">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Risk adjustment loss</w:t>
            </w:r>
          </w:p>
        </w:tc>
        <w:tc>
          <w:tcPr>
            <w:tcW w:w="801" w:type="pct"/>
          </w:tcPr>
          <w:p w14:paraId="746F2097" w14:textId="77777777" w:rsidR="00E1694C" w:rsidRPr="00982A50" w:rsidRDefault="00E1694C" w:rsidP="00F231BE">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hAnsi="Times New Roman" w:cs="Times New Roman"/>
                <w:sz w:val="20"/>
                <w:szCs w:val="20"/>
              </w:rPr>
              <w:t>2.5 (0.7)</w:t>
            </w:r>
          </w:p>
        </w:tc>
        <w:tc>
          <w:tcPr>
            <w:tcW w:w="747" w:type="pct"/>
          </w:tcPr>
          <w:p w14:paraId="6642331E" w14:textId="77777777" w:rsidR="00E1694C" w:rsidRPr="00982A50" w:rsidRDefault="00E1694C" w:rsidP="00F231BE">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hAnsi="Times New Roman" w:cs="Times New Roman"/>
                <w:sz w:val="20"/>
                <w:szCs w:val="20"/>
              </w:rPr>
              <w:t>2.2 (1.0)</w:t>
            </w:r>
          </w:p>
        </w:tc>
        <w:tc>
          <w:tcPr>
            <w:tcW w:w="480" w:type="pct"/>
          </w:tcPr>
          <w:p w14:paraId="14B00641" w14:textId="77777777" w:rsidR="00E1694C" w:rsidRPr="00982A50" w:rsidRDefault="00E1694C" w:rsidP="00F231BE">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hAnsi="Times New Roman" w:cs="Times New Roman"/>
                <w:sz w:val="20"/>
                <w:szCs w:val="20"/>
              </w:rPr>
              <w:t>1.99</w:t>
            </w:r>
          </w:p>
        </w:tc>
        <w:tc>
          <w:tcPr>
            <w:tcW w:w="466" w:type="pct"/>
          </w:tcPr>
          <w:p w14:paraId="3FECA4DC" w14:textId="77777777" w:rsidR="00E1694C" w:rsidRPr="00982A50" w:rsidRDefault="00E1694C" w:rsidP="00F231BE">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82A50">
              <w:rPr>
                <w:rFonts w:ascii="Times New Roman" w:hAnsi="Times New Roman" w:cs="Times New Roman"/>
                <w:sz w:val="20"/>
                <w:szCs w:val="20"/>
              </w:rPr>
              <w:t>0.06</w:t>
            </w:r>
          </w:p>
        </w:tc>
        <w:tc>
          <w:tcPr>
            <w:tcW w:w="466" w:type="pct"/>
          </w:tcPr>
          <w:p w14:paraId="3CAB6DA1" w14:textId="1C9EED07" w:rsidR="00E1694C" w:rsidRPr="00982A50" w:rsidRDefault="00E1694C" w:rsidP="00F231BE">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-0.46</w:t>
            </w:r>
          </w:p>
        </w:tc>
      </w:tr>
      <w:tr w:rsidR="00E1694C" w:rsidRPr="00982A50" w14:paraId="44D2DE23" w14:textId="17998BD6" w:rsidTr="00675C6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06" w:type="pct"/>
          </w:tcPr>
          <w:p w14:paraId="08684A84" w14:textId="77777777" w:rsidR="00E1694C" w:rsidRPr="00982A50" w:rsidRDefault="00E1694C" w:rsidP="00F231BE">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p>
        </w:tc>
        <w:tc>
          <w:tcPr>
            <w:tcW w:w="1534" w:type="pct"/>
          </w:tcPr>
          <w:p w14:paraId="23FF6ED0"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Risk adjustment win</w:t>
            </w:r>
          </w:p>
        </w:tc>
        <w:tc>
          <w:tcPr>
            <w:tcW w:w="801" w:type="pct"/>
          </w:tcPr>
          <w:p w14:paraId="194AF8A2"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hAnsi="Times New Roman" w:cs="Times New Roman"/>
                <w:sz w:val="20"/>
                <w:szCs w:val="20"/>
              </w:rPr>
              <w:t>2.1 (0.8)</w:t>
            </w:r>
          </w:p>
        </w:tc>
        <w:tc>
          <w:tcPr>
            <w:tcW w:w="747" w:type="pct"/>
          </w:tcPr>
          <w:p w14:paraId="6C3114DF"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hAnsi="Times New Roman" w:cs="Times New Roman"/>
                <w:sz w:val="20"/>
                <w:szCs w:val="20"/>
              </w:rPr>
              <w:t>1.8 (0.9)</w:t>
            </w:r>
          </w:p>
        </w:tc>
        <w:tc>
          <w:tcPr>
            <w:tcW w:w="480" w:type="pct"/>
          </w:tcPr>
          <w:p w14:paraId="31FAADCB" w14:textId="77777777" w:rsidR="00E1694C" w:rsidRPr="00982A50" w:rsidRDefault="00E1694C" w:rsidP="00F231BE">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hAnsi="Times New Roman" w:cs="Times New Roman"/>
                <w:sz w:val="20"/>
                <w:szCs w:val="20"/>
              </w:rPr>
              <w:t>0.94</w:t>
            </w:r>
          </w:p>
        </w:tc>
        <w:tc>
          <w:tcPr>
            <w:tcW w:w="466" w:type="pct"/>
          </w:tcPr>
          <w:p w14:paraId="78EA051B" w14:textId="77777777" w:rsidR="00E1694C" w:rsidRPr="00982A50" w:rsidRDefault="00E1694C" w:rsidP="00F231BE">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A50">
              <w:rPr>
                <w:rFonts w:ascii="Times New Roman" w:hAnsi="Times New Roman" w:cs="Times New Roman"/>
                <w:sz w:val="20"/>
                <w:szCs w:val="20"/>
              </w:rPr>
              <w:t>0.36</w:t>
            </w:r>
          </w:p>
        </w:tc>
        <w:tc>
          <w:tcPr>
            <w:tcW w:w="466" w:type="pct"/>
          </w:tcPr>
          <w:p w14:paraId="78965C1E" w14:textId="0A1F1D91" w:rsidR="00E1694C" w:rsidRPr="00982A50" w:rsidRDefault="00E1694C" w:rsidP="00F231BE">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-0.22</w:t>
            </w:r>
          </w:p>
        </w:tc>
      </w:tr>
      <w:tr w:rsidR="00E1694C" w:rsidRPr="00982A50" w14:paraId="6D512E02" w14:textId="3B58E0C3" w:rsidTr="00675C67">
        <w:trPr>
          <w:trHeight w:val="346"/>
        </w:trPr>
        <w:tc>
          <w:tcPr>
            <w:cnfStyle w:val="001000000000" w:firstRow="0" w:lastRow="0" w:firstColumn="1" w:lastColumn="0" w:oddVBand="0" w:evenVBand="0" w:oddHBand="0" w:evenHBand="0" w:firstRowFirstColumn="0" w:firstRowLastColumn="0" w:lastRowFirstColumn="0" w:lastRowLastColumn="0"/>
            <w:tcW w:w="506" w:type="pct"/>
          </w:tcPr>
          <w:p w14:paraId="68A0ABF8" w14:textId="77777777" w:rsidR="00E1694C" w:rsidRPr="00982A50" w:rsidRDefault="00E1694C" w:rsidP="00F231BE">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SIP</w:t>
            </w:r>
          </w:p>
        </w:tc>
        <w:tc>
          <w:tcPr>
            <w:tcW w:w="1534" w:type="pct"/>
          </w:tcPr>
          <w:p w14:paraId="76F23F54" w14:textId="77777777" w:rsidR="00E1694C" w:rsidRPr="00982A50" w:rsidRDefault="00E1694C" w:rsidP="00F231BE">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 xml:space="preserve">Faces </w:t>
            </w:r>
          </w:p>
        </w:tc>
        <w:tc>
          <w:tcPr>
            <w:tcW w:w="801" w:type="pct"/>
          </w:tcPr>
          <w:p w14:paraId="46746B7B" w14:textId="77777777" w:rsidR="00E1694C" w:rsidRPr="00982A50" w:rsidRDefault="00E1694C" w:rsidP="00F231BE">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hAnsi="Times New Roman" w:cs="Times New Roman"/>
                <w:sz w:val="20"/>
                <w:szCs w:val="20"/>
              </w:rPr>
              <w:t>5.7 (5.6)</w:t>
            </w:r>
          </w:p>
        </w:tc>
        <w:tc>
          <w:tcPr>
            <w:tcW w:w="747" w:type="pct"/>
          </w:tcPr>
          <w:p w14:paraId="7B4C3229" w14:textId="77777777" w:rsidR="00E1694C" w:rsidRPr="00982A50" w:rsidRDefault="00E1694C" w:rsidP="00F231BE">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hAnsi="Times New Roman" w:cs="Times New Roman"/>
                <w:sz w:val="20"/>
                <w:szCs w:val="20"/>
              </w:rPr>
              <w:t>8.2 (7.1)</w:t>
            </w:r>
          </w:p>
        </w:tc>
        <w:tc>
          <w:tcPr>
            <w:tcW w:w="480" w:type="pct"/>
          </w:tcPr>
          <w:p w14:paraId="352D3EFD" w14:textId="77777777" w:rsidR="00E1694C" w:rsidRPr="00982A50" w:rsidRDefault="00E1694C" w:rsidP="00F231BE">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hAnsi="Times New Roman" w:cs="Times New Roman"/>
                <w:sz w:val="20"/>
                <w:szCs w:val="20"/>
              </w:rPr>
              <w:t>1.38</w:t>
            </w:r>
          </w:p>
        </w:tc>
        <w:tc>
          <w:tcPr>
            <w:tcW w:w="466" w:type="pct"/>
          </w:tcPr>
          <w:p w14:paraId="23D63F90" w14:textId="77777777" w:rsidR="00E1694C" w:rsidRPr="00982A50" w:rsidRDefault="00E1694C" w:rsidP="00F231BE">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82A50">
              <w:rPr>
                <w:rFonts w:ascii="Times New Roman" w:hAnsi="Times New Roman" w:cs="Times New Roman"/>
                <w:sz w:val="20"/>
                <w:szCs w:val="20"/>
              </w:rPr>
              <w:t>0.19</w:t>
            </w:r>
          </w:p>
        </w:tc>
        <w:tc>
          <w:tcPr>
            <w:tcW w:w="466" w:type="pct"/>
          </w:tcPr>
          <w:p w14:paraId="5BB3680A" w14:textId="1A117CCD" w:rsidR="00E1694C" w:rsidRPr="00982A50" w:rsidRDefault="00E1694C" w:rsidP="00F231BE">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0.33</w:t>
            </w:r>
          </w:p>
        </w:tc>
      </w:tr>
      <w:tr w:rsidR="00E1694C" w:rsidRPr="00982A50" w14:paraId="00D55495" w14:textId="0CAB2140" w:rsidTr="00675C6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06" w:type="pct"/>
          </w:tcPr>
          <w:p w14:paraId="5E5EF37E" w14:textId="77777777" w:rsidR="00E1694C" w:rsidRPr="00982A50" w:rsidRDefault="00E1694C" w:rsidP="00F231BE">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p>
        </w:tc>
        <w:tc>
          <w:tcPr>
            <w:tcW w:w="1534" w:type="pct"/>
          </w:tcPr>
          <w:p w14:paraId="7BB010D8"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 xml:space="preserve">Thoughts </w:t>
            </w:r>
          </w:p>
        </w:tc>
        <w:tc>
          <w:tcPr>
            <w:tcW w:w="801" w:type="pct"/>
          </w:tcPr>
          <w:p w14:paraId="2C833A23"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hAnsi="Times New Roman" w:cs="Times New Roman"/>
                <w:sz w:val="20"/>
                <w:szCs w:val="20"/>
              </w:rPr>
              <w:t>39.9 (7.4)</w:t>
            </w:r>
          </w:p>
        </w:tc>
        <w:tc>
          <w:tcPr>
            <w:tcW w:w="747" w:type="pct"/>
          </w:tcPr>
          <w:p w14:paraId="415A1A5F"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hAnsi="Times New Roman" w:cs="Times New Roman"/>
                <w:sz w:val="20"/>
                <w:szCs w:val="20"/>
              </w:rPr>
              <w:t>39.7 (8.4)</w:t>
            </w:r>
          </w:p>
        </w:tc>
        <w:tc>
          <w:tcPr>
            <w:tcW w:w="480" w:type="pct"/>
          </w:tcPr>
          <w:p w14:paraId="38B27731" w14:textId="77777777" w:rsidR="00E1694C" w:rsidRPr="00982A50" w:rsidRDefault="00E1694C" w:rsidP="00F231BE">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hAnsi="Times New Roman" w:cs="Times New Roman"/>
                <w:sz w:val="20"/>
                <w:szCs w:val="20"/>
              </w:rPr>
              <w:t>0.08</w:t>
            </w:r>
          </w:p>
        </w:tc>
        <w:tc>
          <w:tcPr>
            <w:tcW w:w="466" w:type="pct"/>
          </w:tcPr>
          <w:p w14:paraId="319373FC" w14:textId="77777777" w:rsidR="00E1694C" w:rsidRPr="00982A50" w:rsidRDefault="00E1694C" w:rsidP="00F231BE">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A50">
              <w:rPr>
                <w:rFonts w:ascii="Times New Roman" w:hAnsi="Times New Roman" w:cs="Times New Roman"/>
                <w:sz w:val="20"/>
                <w:szCs w:val="20"/>
              </w:rPr>
              <w:t>0.94</w:t>
            </w:r>
          </w:p>
        </w:tc>
        <w:tc>
          <w:tcPr>
            <w:tcW w:w="466" w:type="pct"/>
          </w:tcPr>
          <w:p w14:paraId="1C275105" w14:textId="08B25BF5" w:rsidR="00E1694C" w:rsidRPr="00982A50" w:rsidRDefault="00E1694C" w:rsidP="00F231BE">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-0.02</w:t>
            </w:r>
          </w:p>
        </w:tc>
      </w:tr>
      <w:tr w:rsidR="00E1694C" w:rsidRPr="00982A50" w14:paraId="32640B33" w14:textId="2B5BEC35" w:rsidTr="00675C67">
        <w:trPr>
          <w:trHeight w:val="346"/>
        </w:trPr>
        <w:tc>
          <w:tcPr>
            <w:cnfStyle w:val="001000000000" w:firstRow="0" w:lastRow="0" w:firstColumn="1" w:lastColumn="0" w:oddVBand="0" w:evenVBand="0" w:oddHBand="0" w:evenHBand="0" w:firstRowFirstColumn="0" w:firstRowLastColumn="0" w:lastRowFirstColumn="0" w:lastRowLastColumn="0"/>
            <w:tcW w:w="506" w:type="pct"/>
          </w:tcPr>
          <w:p w14:paraId="131A76ED" w14:textId="77777777" w:rsidR="00E1694C" w:rsidRPr="00982A50" w:rsidRDefault="00E1694C" w:rsidP="00F231BE">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p>
        </w:tc>
        <w:tc>
          <w:tcPr>
            <w:tcW w:w="1534" w:type="pct"/>
          </w:tcPr>
          <w:p w14:paraId="79512EAC" w14:textId="77777777" w:rsidR="00E1694C" w:rsidRPr="00982A50" w:rsidRDefault="00E1694C" w:rsidP="00F231BE">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 xml:space="preserve">Facts </w:t>
            </w:r>
          </w:p>
        </w:tc>
        <w:tc>
          <w:tcPr>
            <w:tcW w:w="801" w:type="pct"/>
          </w:tcPr>
          <w:p w14:paraId="3A787A41" w14:textId="77777777" w:rsidR="00E1694C" w:rsidRPr="00982A50" w:rsidRDefault="00E1694C" w:rsidP="00F231BE">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hAnsi="Times New Roman" w:cs="Times New Roman"/>
                <w:sz w:val="20"/>
                <w:szCs w:val="20"/>
              </w:rPr>
              <w:t>26.4 (5.3)</w:t>
            </w:r>
          </w:p>
        </w:tc>
        <w:tc>
          <w:tcPr>
            <w:tcW w:w="747" w:type="pct"/>
          </w:tcPr>
          <w:p w14:paraId="3AF6D1ED" w14:textId="77777777" w:rsidR="00E1694C" w:rsidRPr="00982A50" w:rsidRDefault="00E1694C" w:rsidP="00F231BE">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hAnsi="Times New Roman" w:cs="Times New Roman"/>
                <w:sz w:val="20"/>
                <w:szCs w:val="20"/>
              </w:rPr>
              <w:t>24.1 (4.8)</w:t>
            </w:r>
          </w:p>
        </w:tc>
        <w:tc>
          <w:tcPr>
            <w:tcW w:w="480" w:type="pct"/>
          </w:tcPr>
          <w:p w14:paraId="29E0416C" w14:textId="77777777" w:rsidR="00E1694C" w:rsidRPr="00982A50" w:rsidRDefault="00E1694C" w:rsidP="00F231BE">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hAnsi="Times New Roman" w:cs="Times New Roman"/>
                <w:sz w:val="20"/>
                <w:szCs w:val="20"/>
              </w:rPr>
              <w:t>1.52</w:t>
            </w:r>
          </w:p>
        </w:tc>
        <w:tc>
          <w:tcPr>
            <w:tcW w:w="466" w:type="pct"/>
          </w:tcPr>
          <w:p w14:paraId="1B3A9B49" w14:textId="77777777" w:rsidR="00E1694C" w:rsidRPr="00982A50" w:rsidRDefault="00E1694C" w:rsidP="00F231BE">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82A50">
              <w:rPr>
                <w:rFonts w:ascii="Times New Roman" w:hAnsi="Times New Roman" w:cs="Times New Roman"/>
                <w:sz w:val="20"/>
                <w:szCs w:val="20"/>
              </w:rPr>
              <w:t>0.15</w:t>
            </w:r>
          </w:p>
        </w:tc>
        <w:tc>
          <w:tcPr>
            <w:tcW w:w="466" w:type="pct"/>
          </w:tcPr>
          <w:p w14:paraId="00817A5C" w14:textId="41FBACD4" w:rsidR="00E1694C" w:rsidRPr="00982A50" w:rsidRDefault="00E1694C" w:rsidP="00F231BE">
            <w:pPr>
              <w:pBdr>
                <w:top w:val="nil"/>
                <w:left w:val="nil"/>
                <w:bottom w:val="nil"/>
                <w:right w:val="nil"/>
                <w:between w:val="nil"/>
                <w:bar w:val="nil"/>
              </w:pBd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-0.36</w:t>
            </w:r>
          </w:p>
        </w:tc>
      </w:tr>
      <w:tr w:rsidR="00E1694C" w:rsidRPr="00982A50" w14:paraId="6126B19A" w14:textId="023FCB61" w:rsidTr="00675C6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6" w:type="pct"/>
          </w:tcPr>
          <w:p w14:paraId="0CCAAF7F" w14:textId="77777777" w:rsidR="00E1694C" w:rsidRPr="00982A50" w:rsidRDefault="00E1694C" w:rsidP="00F231BE">
            <w:pPr>
              <w:pBdr>
                <w:top w:val="nil"/>
                <w:left w:val="nil"/>
                <w:bottom w:val="nil"/>
                <w:right w:val="nil"/>
                <w:between w:val="nil"/>
                <w:bar w:val="nil"/>
              </w:pBdr>
              <w:rPr>
                <w:rFonts w:ascii="Times New Roman" w:eastAsia="Century" w:hAnsi="Times New Roman" w:cs="Times New Roman"/>
                <w:color w:val="000000"/>
                <w:sz w:val="20"/>
                <w:szCs w:val="20"/>
                <w:u w:color="000000"/>
                <w:bdr w:val="nil"/>
                <w:lang w:eastAsia="en-GB"/>
              </w:rPr>
            </w:pPr>
          </w:p>
        </w:tc>
        <w:tc>
          <w:tcPr>
            <w:tcW w:w="1534" w:type="pct"/>
          </w:tcPr>
          <w:p w14:paraId="56BB60BE"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eastAsia="Century" w:hAnsi="Times New Roman" w:cs="Times New Roman"/>
                <w:color w:val="000000"/>
                <w:sz w:val="20"/>
                <w:szCs w:val="20"/>
                <w:u w:color="000000"/>
                <w:bdr w:val="nil"/>
                <w:lang w:eastAsia="en-GB"/>
              </w:rPr>
              <w:t>Affective bias</w:t>
            </w:r>
          </w:p>
        </w:tc>
        <w:tc>
          <w:tcPr>
            <w:tcW w:w="801" w:type="pct"/>
          </w:tcPr>
          <w:p w14:paraId="6D7B4F68"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hAnsi="Times New Roman" w:cs="Times New Roman"/>
                <w:sz w:val="20"/>
                <w:szCs w:val="20"/>
              </w:rPr>
              <w:t>3.7 (4.0)</w:t>
            </w:r>
          </w:p>
        </w:tc>
        <w:tc>
          <w:tcPr>
            <w:tcW w:w="747" w:type="pct"/>
          </w:tcPr>
          <w:p w14:paraId="2EA248AF" w14:textId="77777777" w:rsidR="00E1694C" w:rsidRPr="00982A50" w:rsidRDefault="00E1694C" w:rsidP="00F231BE">
            <w:pPr>
              <w:pBdr>
                <w:top w:val="nil"/>
                <w:left w:val="nil"/>
                <w:bottom w:val="nil"/>
                <w:right w:val="nil"/>
                <w:between w:val="nil"/>
                <w:bar w:val="nil"/>
              </w:pBd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hAnsi="Times New Roman" w:cs="Times New Roman"/>
                <w:sz w:val="20"/>
                <w:szCs w:val="20"/>
              </w:rPr>
              <w:t>1.5 (3.9)</w:t>
            </w:r>
          </w:p>
        </w:tc>
        <w:tc>
          <w:tcPr>
            <w:tcW w:w="480" w:type="pct"/>
          </w:tcPr>
          <w:p w14:paraId="22CB3DD0" w14:textId="77777777" w:rsidR="00E1694C" w:rsidRPr="00982A50" w:rsidRDefault="00E1694C" w:rsidP="00F231BE">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rFonts w:ascii="Times New Roman" w:eastAsia="Century" w:hAnsi="Times New Roman" w:cs="Times New Roman"/>
                <w:color w:val="000000"/>
                <w:sz w:val="20"/>
                <w:szCs w:val="20"/>
                <w:u w:color="000000"/>
                <w:bdr w:val="nil"/>
                <w:lang w:eastAsia="en-GB"/>
              </w:rPr>
            </w:pPr>
            <w:r w:rsidRPr="00982A50">
              <w:rPr>
                <w:rFonts w:ascii="Times New Roman" w:hAnsi="Times New Roman" w:cs="Times New Roman"/>
                <w:sz w:val="20"/>
                <w:szCs w:val="20"/>
              </w:rPr>
              <w:t>2.50</w:t>
            </w:r>
          </w:p>
        </w:tc>
        <w:tc>
          <w:tcPr>
            <w:tcW w:w="466" w:type="pct"/>
          </w:tcPr>
          <w:p w14:paraId="6A0F1F0A" w14:textId="77777777" w:rsidR="00E1694C" w:rsidRPr="00982A50" w:rsidRDefault="00E1694C" w:rsidP="00F231BE">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A50">
              <w:rPr>
                <w:rFonts w:ascii="Times New Roman" w:hAnsi="Times New Roman" w:cs="Times New Roman"/>
                <w:sz w:val="20"/>
                <w:szCs w:val="20"/>
              </w:rPr>
              <w:t>0.02</w:t>
            </w:r>
          </w:p>
        </w:tc>
        <w:tc>
          <w:tcPr>
            <w:tcW w:w="466" w:type="pct"/>
          </w:tcPr>
          <w:p w14:paraId="646A054E" w14:textId="6F4E6174" w:rsidR="00E1694C" w:rsidRPr="00982A50" w:rsidRDefault="00E1694C" w:rsidP="00F231BE">
            <w:pPr>
              <w:pBdr>
                <w:top w:val="nil"/>
                <w:left w:val="nil"/>
                <w:bottom w:val="nil"/>
                <w:right w:val="nil"/>
                <w:between w:val="nil"/>
                <w:bar w:val="nil"/>
              </w:pBd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-0.59</w:t>
            </w:r>
          </w:p>
        </w:tc>
      </w:tr>
    </w:tbl>
    <w:p w14:paraId="24783B29" w14:textId="77777777" w:rsidR="00F231BE" w:rsidRPr="00982A50" w:rsidRDefault="00F231BE" w:rsidP="00F231BE">
      <w:pPr>
        <w:rPr>
          <w:rFonts w:ascii="Times New Roman" w:hAnsi="Times New Roman" w:cs="Times New Roman"/>
          <w:sz w:val="20"/>
          <w:szCs w:val="20"/>
          <w:lang w:val="en-GB"/>
        </w:rPr>
      </w:pPr>
    </w:p>
    <w:p w14:paraId="3382620C" w14:textId="77777777" w:rsidR="00F231BE" w:rsidRPr="00982A50" w:rsidRDefault="00F231BE" w:rsidP="00F231BE">
      <w:pPr>
        <w:rPr>
          <w:rFonts w:ascii="Times New Roman" w:hAnsi="Times New Roman" w:cs="Times New Roman"/>
          <w:sz w:val="20"/>
          <w:szCs w:val="20"/>
          <w:lang w:val="en-GB"/>
        </w:rPr>
      </w:pPr>
      <w:r w:rsidRPr="00982A50">
        <w:rPr>
          <w:rFonts w:ascii="Times New Roman" w:hAnsi="Times New Roman" w:cs="Times New Roman"/>
          <w:sz w:val="20"/>
          <w:szCs w:val="20"/>
          <w:lang w:val="en-GB"/>
        </w:rPr>
        <w:t>*k = coefficient of delay discounting</w:t>
      </w:r>
    </w:p>
    <w:p w14:paraId="2BF82B25" w14:textId="77777777" w:rsidR="00F231BE" w:rsidRPr="00982A50" w:rsidRDefault="00F231BE" w:rsidP="00F231BE">
      <w:pPr>
        <w:rPr>
          <w:rFonts w:ascii="Times New Roman" w:hAnsi="Times New Roman" w:cs="Times New Roman"/>
          <w:sz w:val="20"/>
          <w:szCs w:val="20"/>
          <w:lang w:val="en-GB"/>
        </w:rPr>
      </w:pPr>
      <w:r w:rsidRPr="00982A50">
        <w:rPr>
          <w:rFonts w:ascii="Times New Roman" w:hAnsi="Times New Roman" w:cs="Times New Roman"/>
          <w:sz w:val="20"/>
          <w:szCs w:val="20"/>
          <w:lang w:val="en-GB"/>
        </w:rPr>
        <w:t>Abbreviation. DD: delay discounting, RL: Reinforcement Learning Task, CGT: Cambridge Gambling Task, SIP: Social Information Preference (“Theory of Mind”)</w:t>
      </w:r>
    </w:p>
    <w:p w14:paraId="6A9BFA8A" w14:textId="77777777" w:rsidR="00F231BE" w:rsidRPr="00982A50" w:rsidRDefault="00F231BE" w:rsidP="00F231BE">
      <w:pPr>
        <w:rPr>
          <w:rFonts w:ascii="Times New Roman" w:hAnsi="Times New Roman" w:cs="Times New Roman"/>
          <w:sz w:val="20"/>
          <w:szCs w:val="20"/>
          <w:lang w:val="en-GB"/>
        </w:rPr>
      </w:pPr>
    </w:p>
    <w:p w14:paraId="64A0A720" w14:textId="0D5522D1" w:rsidR="00F231BE" w:rsidRPr="00982A50" w:rsidRDefault="00DE1C31" w:rsidP="00DE1C31">
      <w:pPr>
        <w:rPr>
          <w:rFonts w:ascii="Times New Roman" w:hAnsi="Times New Roman" w:cs="Times New Roman"/>
          <w:sz w:val="20"/>
          <w:szCs w:val="20"/>
          <w:lang w:val="en-GB"/>
        </w:rPr>
      </w:pPr>
      <w:r w:rsidRPr="00982A50">
        <w:rPr>
          <w:rFonts w:ascii="Times New Roman" w:hAnsi="Times New Roman" w:cs="Times New Roman"/>
          <w:sz w:val="20"/>
          <w:szCs w:val="20"/>
          <w:lang w:val="en-GB"/>
        </w:rPr>
        <w:t xml:space="preserve"> </w:t>
      </w:r>
    </w:p>
    <w:p w14:paraId="11DC291E" w14:textId="77777777" w:rsidR="00982A50" w:rsidRDefault="00982A50" w:rsidP="005B1A37">
      <w:pPr>
        <w:pStyle w:val="NoSpacing"/>
        <w:ind w:left="958" w:hanging="958"/>
        <w:rPr>
          <w:rFonts w:ascii="Times New Roman" w:hAnsi="Times New Roman" w:cs="Times New Roman"/>
          <w:sz w:val="20"/>
          <w:szCs w:val="20"/>
        </w:rPr>
      </w:pPr>
    </w:p>
    <w:p w14:paraId="4F5F7BD0" w14:textId="77777777" w:rsidR="00982A50" w:rsidRDefault="00982A50" w:rsidP="005B1A37">
      <w:pPr>
        <w:pStyle w:val="NoSpacing"/>
        <w:ind w:left="958" w:hanging="958"/>
        <w:rPr>
          <w:rFonts w:ascii="Times New Roman" w:hAnsi="Times New Roman" w:cs="Times New Roman"/>
          <w:sz w:val="20"/>
          <w:szCs w:val="20"/>
        </w:rPr>
      </w:pPr>
    </w:p>
    <w:p w14:paraId="1628F5E8" w14:textId="77777777" w:rsidR="00982A50" w:rsidRDefault="00982A50" w:rsidP="005B1A37">
      <w:pPr>
        <w:pStyle w:val="NoSpacing"/>
        <w:ind w:left="958" w:hanging="958"/>
        <w:rPr>
          <w:rFonts w:ascii="Times New Roman" w:hAnsi="Times New Roman" w:cs="Times New Roman"/>
          <w:sz w:val="20"/>
          <w:szCs w:val="20"/>
        </w:rPr>
      </w:pPr>
    </w:p>
    <w:p w14:paraId="74D67F40" w14:textId="77777777" w:rsidR="00982A50" w:rsidRDefault="00982A50" w:rsidP="005B1A37">
      <w:pPr>
        <w:pStyle w:val="NoSpacing"/>
        <w:ind w:left="958" w:hanging="958"/>
        <w:rPr>
          <w:rFonts w:ascii="Times New Roman" w:hAnsi="Times New Roman" w:cs="Times New Roman"/>
          <w:sz w:val="20"/>
          <w:szCs w:val="20"/>
        </w:rPr>
      </w:pPr>
    </w:p>
    <w:p w14:paraId="6ADC5CBD" w14:textId="77777777" w:rsidR="00982A50" w:rsidRDefault="00982A50" w:rsidP="005B1A37">
      <w:pPr>
        <w:pStyle w:val="NoSpacing"/>
        <w:ind w:left="958" w:hanging="958"/>
        <w:rPr>
          <w:rFonts w:ascii="Times New Roman" w:hAnsi="Times New Roman" w:cs="Times New Roman"/>
          <w:sz w:val="20"/>
          <w:szCs w:val="20"/>
        </w:rPr>
      </w:pPr>
    </w:p>
    <w:p w14:paraId="466CE3EB" w14:textId="77777777" w:rsidR="00982A50" w:rsidRDefault="00982A50" w:rsidP="00675C67">
      <w:pPr>
        <w:pStyle w:val="NoSpacing"/>
        <w:rPr>
          <w:rFonts w:ascii="Times New Roman" w:hAnsi="Times New Roman" w:cs="Times New Roman"/>
          <w:sz w:val="20"/>
          <w:szCs w:val="20"/>
        </w:rPr>
      </w:pPr>
    </w:p>
    <w:p w14:paraId="3255B044" w14:textId="44DEBA14" w:rsidR="005B1A37" w:rsidRPr="00982A50" w:rsidRDefault="005B1A37" w:rsidP="005B1A37">
      <w:pPr>
        <w:pStyle w:val="NoSpacing"/>
        <w:ind w:left="958" w:hanging="958"/>
        <w:rPr>
          <w:rFonts w:ascii="Times New Roman" w:hAnsi="Times New Roman" w:cs="Times New Roman"/>
          <w:sz w:val="20"/>
          <w:szCs w:val="20"/>
        </w:rPr>
      </w:pPr>
      <w:r w:rsidRPr="00982A50">
        <w:rPr>
          <w:rFonts w:ascii="Times New Roman" w:hAnsi="Times New Roman" w:cs="Times New Roman"/>
          <w:sz w:val="20"/>
          <w:szCs w:val="20"/>
        </w:rPr>
        <w:t>Tabl</w:t>
      </w:r>
      <w:r w:rsidR="00726C84" w:rsidRPr="00982A50">
        <w:rPr>
          <w:rFonts w:ascii="Times New Roman" w:hAnsi="Times New Roman" w:cs="Times New Roman"/>
          <w:sz w:val="20"/>
          <w:szCs w:val="20"/>
        </w:rPr>
        <w:t xml:space="preserve">e </w:t>
      </w:r>
      <w:r w:rsidR="0034479C">
        <w:rPr>
          <w:rFonts w:ascii="Times New Roman" w:hAnsi="Times New Roman" w:cs="Times New Roman"/>
          <w:sz w:val="20"/>
          <w:szCs w:val="20"/>
        </w:rPr>
        <w:t>5</w:t>
      </w:r>
      <w:r w:rsidR="00726C84" w:rsidRPr="00982A50">
        <w:rPr>
          <w:rFonts w:ascii="Times New Roman" w:hAnsi="Times New Roman" w:cs="Times New Roman"/>
          <w:sz w:val="20"/>
          <w:szCs w:val="20"/>
        </w:rPr>
        <w:t>. Blinding results from debriefing</w:t>
      </w:r>
      <w:r w:rsidR="00C41003" w:rsidRPr="00982A50">
        <w:rPr>
          <w:rFonts w:ascii="Times New Roman" w:hAnsi="Times New Roman" w:cs="Times New Roman"/>
          <w:sz w:val="20"/>
          <w:szCs w:val="20"/>
        </w:rPr>
        <w:t xml:space="preserve"> sessions pertaining to</w:t>
      </w:r>
      <w:r w:rsidR="0087660A" w:rsidRPr="00982A50">
        <w:rPr>
          <w:rFonts w:ascii="Times New Roman" w:hAnsi="Times New Roman" w:cs="Times New Roman"/>
          <w:sz w:val="20"/>
          <w:szCs w:val="20"/>
        </w:rPr>
        <w:t xml:space="preserve"> active treatment visits</w:t>
      </w:r>
      <w:r w:rsidR="00726C84" w:rsidRPr="00982A50">
        <w:rPr>
          <w:rFonts w:ascii="Times New Roman" w:hAnsi="Times New Roman" w:cs="Times New Roman"/>
          <w:sz w:val="20"/>
          <w:szCs w:val="20"/>
        </w:rPr>
        <w:t>.</w:t>
      </w:r>
      <w:r w:rsidR="00717E6C" w:rsidRPr="00982A50">
        <w:rPr>
          <w:rFonts w:ascii="Times New Roman" w:hAnsi="Times New Roman" w:cs="Times New Roman"/>
          <w:sz w:val="20"/>
          <w:szCs w:val="20"/>
        </w:rPr>
        <w:t xml:space="preserve"> Top row shows the </w:t>
      </w:r>
      <w:r w:rsidR="00717E6C" w:rsidRPr="00982A50">
        <w:rPr>
          <w:rFonts w:ascii="Times New Roman" w:hAnsi="Times New Roman" w:cs="Times New Roman"/>
          <w:sz w:val="20"/>
          <w:szCs w:val="20"/>
        </w:rPr>
        <w:lastRenderedPageBreak/>
        <w:t xml:space="preserve">N </w:t>
      </w:r>
      <w:r w:rsidR="00726C84" w:rsidRPr="00982A50">
        <w:rPr>
          <w:rFonts w:ascii="Times New Roman" w:hAnsi="Times New Roman" w:cs="Times New Roman"/>
          <w:sz w:val="20"/>
          <w:szCs w:val="20"/>
        </w:rPr>
        <w:t>and percentage of participants</w:t>
      </w:r>
      <w:r w:rsidR="00717E6C" w:rsidRPr="00982A50">
        <w:rPr>
          <w:rFonts w:ascii="Times New Roman" w:hAnsi="Times New Roman" w:cs="Times New Roman"/>
          <w:sz w:val="20"/>
          <w:szCs w:val="20"/>
        </w:rPr>
        <w:t xml:space="preserve"> </w:t>
      </w:r>
      <w:r w:rsidR="00726C84" w:rsidRPr="00982A50">
        <w:rPr>
          <w:rFonts w:ascii="Times New Roman" w:hAnsi="Times New Roman" w:cs="Times New Roman"/>
          <w:sz w:val="20"/>
          <w:szCs w:val="20"/>
        </w:rPr>
        <w:t xml:space="preserve">correctly </w:t>
      </w:r>
      <w:r w:rsidR="00717E6C" w:rsidRPr="00982A50">
        <w:rPr>
          <w:rFonts w:ascii="Times New Roman" w:hAnsi="Times New Roman" w:cs="Times New Roman"/>
          <w:sz w:val="20"/>
          <w:szCs w:val="20"/>
        </w:rPr>
        <w:t xml:space="preserve">guessing the </w:t>
      </w:r>
      <w:r w:rsidR="00726C84" w:rsidRPr="00982A50">
        <w:rPr>
          <w:rFonts w:ascii="Times New Roman" w:hAnsi="Times New Roman" w:cs="Times New Roman"/>
          <w:sz w:val="20"/>
          <w:szCs w:val="20"/>
        </w:rPr>
        <w:t xml:space="preserve">were on active treatment, incorrectly guessing they were on active treatment, and indicating they were completely </w:t>
      </w:r>
      <w:r w:rsidR="00717E6C" w:rsidRPr="00982A50">
        <w:rPr>
          <w:rFonts w:ascii="Times New Roman" w:hAnsi="Times New Roman" w:cs="Times New Roman"/>
          <w:sz w:val="20"/>
          <w:szCs w:val="20"/>
        </w:rPr>
        <w:t xml:space="preserve">unsure. The bottom row indicates the equivalent responses for what the Researcher </w:t>
      </w:r>
      <w:r w:rsidR="00C41003" w:rsidRPr="00982A50">
        <w:rPr>
          <w:rFonts w:ascii="Times New Roman" w:hAnsi="Times New Roman" w:cs="Times New Roman"/>
          <w:sz w:val="20"/>
          <w:szCs w:val="20"/>
        </w:rPr>
        <w:t xml:space="preserve">running each visit </w:t>
      </w:r>
      <w:r w:rsidR="00717E6C" w:rsidRPr="00982A50">
        <w:rPr>
          <w:rFonts w:ascii="Times New Roman" w:hAnsi="Times New Roman" w:cs="Times New Roman"/>
          <w:sz w:val="20"/>
          <w:szCs w:val="20"/>
        </w:rPr>
        <w:t xml:space="preserve">thought about the participant (i.e. study team blinding).  </w:t>
      </w:r>
    </w:p>
    <w:p w14:paraId="74A10A45" w14:textId="77777777" w:rsidR="005B1A37" w:rsidRPr="00982A50" w:rsidRDefault="005B1A37" w:rsidP="006C1C47">
      <w:pPr>
        <w:pStyle w:val="NoSpacing"/>
        <w:ind w:left="958" w:hanging="958"/>
        <w:rPr>
          <w:rFonts w:ascii="Times New Roman" w:hAnsi="Times New Roman" w:cs="Times New Roman"/>
          <w:sz w:val="20"/>
          <w:szCs w:val="20"/>
        </w:rPr>
      </w:pPr>
    </w:p>
    <w:tbl>
      <w:tblPr>
        <w:tblStyle w:val="PlainTable2"/>
        <w:tblW w:w="5000" w:type="pct"/>
        <w:tblLook w:val="04A0" w:firstRow="1" w:lastRow="0" w:firstColumn="1" w:lastColumn="0" w:noHBand="0" w:noVBand="1"/>
      </w:tblPr>
      <w:tblGrid>
        <w:gridCol w:w="2124"/>
        <w:gridCol w:w="2124"/>
        <w:gridCol w:w="2125"/>
        <w:gridCol w:w="2125"/>
      </w:tblGrid>
      <w:tr w:rsidR="00726C84" w:rsidRPr="00982A50" w14:paraId="1755D224" w14:textId="77777777" w:rsidTr="00726C84">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250" w:type="pct"/>
          </w:tcPr>
          <w:p w14:paraId="522E378A" w14:textId="77777777" w:rsidR="00726C84" w:rsidRPr="00982A50" w:rsidRDefault="00726C84" w:rsidP="005B1A37">
            <w:pPr>
              <w:pStyle w:val="NoSpacing"/>
              <w:jc w:val="center"/>
              <w:rPr>
                <w:rFonts w:ascii="Times New Roman" w:hAnsi="Times New Roman" w:cs="Times New Roman"/>
                <w:sz w:val="20"/>
                <w:szCs w:val="20"/>
              </w:rPr>
            </w:pPr>
          </w:p>
        </w:tc>
        <w:tc>
          <w:tcPr>
            <w:tcW w:w="1250" w:type="pct"/>
          </w:tcPr>
          <w:p w14:paraId="022689F3" w14:textId="46DAC7C2" w:rsidR="00726C84" w:rsidRPr="00982A50" w:rsidRDefault="00726C84" w:rsidP="005B1A37">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82A50">
              <w:rPr>
                <w:rFonts w:ascii="Times New Roman" w:hAnsi="Times New Roman" w:cs="Times New Roman"/>
                <w:sz w:val="20"/>
                <w:szCs w:val="20"/>
              </w:rPr>
              <w:t xml:space="preserve">Correct </w:t>
            </w:r>
          </w:p>
          <w:p w14:paraId="426A30C1" w14:textId="456AD95B" w:rsidR="00726C84" w:rsidRPr="00982A50" w:rsidRDefault="00726C84" w:rsidP="005B1A37">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50" w:type="pct"/>
          </w:tcPr>
          <w:p w14:paraId="4CCCD59F" w14:textId="77777777" w:rsidR="00726C84" w:rsidRPr="00982A50" w:rsidRDefault="00726C84" w:rsidP="005B1A37">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82A50">
              <w:rPr>
                <w:rFonts w:ascii="Times New Roman" w:hAnsi="Times New Roman" w:cs="Times New Roman"/>
                <w:sz w:val="20"/>
                <w:szCs w:val="20"/>
              </w:rPr>
              <w:t xml:space="preserve">Incorrect </w:t>
            </w:r>
          </w:p>
          <w:p w14:paraId="7EDD3354" w14:textId="5ABF1F6E" w:rsidR="00726C84" w:rsidRPr="00982A50" w:rsidRDefault="00726C84" w:rsidP="005B1A37">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50" w:type="pct"/>
          </w:tcPr>
          <w:p w14:paraId="070707D8" w14:textId="66389D23" w:rsidR="00726C84" w:rsidRPr="00982A50" w:rsidRDefault="00726C84" w:rsidP="005B1A37">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82A50">
              <w:rPr>
                <w:rFonts w:ascii="Times New Roman" w:hAnsi="Times New Roman" w:cs="Times New Roman"/>
                <w:sz w:val="20"/>
                <w:szCs w:val="20"/>
              </w:rPr>
              <w:t>Unsure</w:t>
            </w:r>
          </w:p>
        </w:tc>
      </w:tr>
      <w:tr w:rsidR="00726C84" w:rsidRPr="00982A50" w14:paraId="50E4F3A5" w14:textId="77777777" w:rsidTr="00726C84">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250" w:type="pct"/>
          </w:tcPr>
          <w:p w14:paraId="20370625" w14:textId="5E839698" w:rsidR="00726C84" w:rsidRPr="00982A50" w:rsidRDefault="00726C84" w:rsidP="005B1A37">
            <w:pPr>
              <w:pStyle w:val="NoSpacing"/>
              <w:jc w:val="center"/>
              <w:rPr>
                <w:rFonts w:ascii="Times New Roman" w:hAnsi="Times New Roman" w:cs="Times New Roman"/>
                <w:sz w:val="20"/>
                <w:szCs w:val="20"/>
              </w:rPr>
            </w:pPr>
            <w:r w:rsidRPr="00982A50">
              <w:rPr>
                <w:rFonts w:ascii="Times New Roman" w:hAnsi="Times New Roman" w:cs="Times New Roman"/>
                <w:sz w:val="20"/>
                <w:szCs w:val="20"/>
              </w:rPr>
              <w:t>Study participants</w:t>
            </w:r>
          </w:p>
        </w:tc>
        <w:tc>
          <w:tcPr>
            <w:tcW w:w="1250" w:type="pct"/>
          </w:tcPr>
          <w:p w14:paraId="526B7EE0" w14:textId="52158FB5" w:rsidR="00726C84" w:rsidRPr="00982A50" w:rsidRDefault="00726C84" w:rsidP="005B1A37">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982A50">
              <w:rPr>
                <w:rFonts w:ascii="Times New Roman" w:hAnsi="Times New Roman" w:cs="Times New Roman"/>
                <w:sz w:val="20"/>
                <w:szCs w:val="20"/>
              </w:rPr>
              <w:t>20% (4/20)</w:t>
            </w:r>
          </w:p>
        </w:tc>
        <w:tc>
          <w:tcPr>
            <w:tcW w:w="1250" w:type="pct"/>
          </w:tcPr>
          <w:p w14:paraId="00EF4260" w14:textId="7641CA57" w:rsidR="00726C84" w:rsidRPr="00982A50" w:rsidRDefault="00726C84" w:rsidP="005B1A37">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A50">
              <w:rPr>
                <w:rFonts w:ascii="Times New Roman" w:hAnsi="Times New Roman" w:cs="Times New Roman"/>
                <w:sz w:val="20"/>
                <w:szCs w:val="20"/>
              </w:rPr>
              <w:t>35% (7/20)</w:t>
            </w:r>
          </w:p>
        </w:tc>
        <w:tc>
          <w:tcPr>
            <w:tcW w:w="1250" w:type="pct"/>
          </w:tcPr>
          <w:p w14:paraId="75D21F09" w14:textId="06DC4781" w:rsidR="00726C84" w:rsidRPr="00982A50" w:rsidRDefault="00726C84" w:rsidP="005B1A37">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82A50">
              <w:rPr>
                <w:rFonts w:ascii="Times New Roman" w:hAnsi="Times New Roman" w:cs="Times New Roman"/>
                <w:sz w:val="20"/>
                <w:szCs w:val="20"/>
              </w:rPr>
              <w:t>45% (9/20)</w:t>
            </w:r>
          </w:p>
        </w:tc>
      </w:tr>
      <w:tr w:rsidR="00726C84" w:rsidRPr="00982A50" w14:paraId="7EC5A784" w14:textId="77777777" w:rsidTr="00D62250">
        <w:trPr>
          <w:trHeight w:val="597"/>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14:paraId="0ED394F0" w14:textId="26774337" w:rsidR="00726C84" w:rsidRPr="00982A50" w:rsidRDefault="00726C84" w:rsidP="005B1A37">
            <w:pPr>
              <w:pStyle w:val="NoSpacing"/>
              <w:jc w:val="center"/>
              <w:rPr>
                <w:rFonts w:ascii="Times New Roman" w:hAnsi="Times New Roman" w:cs="Times New Roman"/>
                <w:sz w:val="20"/>
                <w:szCs w:val="20"/>
              </w:rPr>
            </w:pPr>
            <w:r w:rsidRPr="00982A50">
              <w:rPr>
                <w:rFonts w:ascii="Times New Roman" w:hAnsi="Times New Roman" w:cs="Times New Roman"/>
                <w:sz w:val="20"/>
                <w:szCs w:val="20"/>
              </w:rPr>
              <w:t>Researcher</w:t>
            </w:r>
          </w:p>
        </w:tc>
        <w:tc>
          <w:tcPr>
            <w:tcW w:w="1250" w:type="pct"/>
            <w:shd w:val="clear" w:color="auto" w:fill="auto"/>
          </w:tcPr>
          <w:p w14:paraId="5891C953" w14:textId="2FB18877" w:rsidR="00726C84" w:rsidRPr="00982A50" w:rsidRDefault="00D62250" w:rsidP="005B1A37">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82A50">
              <w:rPr>
                <w:rFonts w:ascii="Times New Roman" w:hAnsi="Times New Roman" w:cs="Times New Roman"/>
                <w:sz w:val="20"/>
                <w:szCs w:val="20"/>
              </w:rPr>
              <w:t>5% (1/20)</w:t>
            </w:r>
          </w:p>
        </w:tc>
        <w:tc>
          <w:tcPr>
            <w:tcW w:w="1250" w:type="pct"/>
            <w:shd w:val="clear" w:color="auto" w:fill="auto"/>
          </w:tcPr>
          <w:p w14:paraId="6BE54B78" w14:textId="128F527B" w:rsidR="00726C84" w:rsidRPr="00982A50" w:rsidRDefault="00D62250" w:rsidP="005B1A37">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82A50">
              <w:rPr>
                <w:rFonts w:ascii="Times New Roman" w:hAnsi="Times New Roman" w:cs="Times New Roman"/>
                <w:sz w:val="20"/>
                <w:szCs w:val="20"/>
              </w:rPr>
              <w:t>5% (1/20)</w:t>
            </w:r>
          </w:p>
        </w:tc>
        <w:tc>
          <w:tcPr>
            <w:tcW w:w="1250" w:type="pct"/>
            <w:shd w:val="clear" w:color="auto" w:fill="auto"/>
          </w:tcPr>
          <w:p w14:paraId="568D1E06" w14:textId="57C8EA25" w:rsidR="00726C84" w:rsidRPr="00982A50" w:rsidRDefault="004B3C75" w:rsidP="005B1A37">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82A50">
              <w:rPr>
                <w:rFonts w:ascii="Times New Roman" w:hAnsi="Times New Roman" w:cs="Times New Roman"/>
                <w:sz w:val="20"/>
                <w:szCs w:val="20"/>
              </w:rPr>
              <w:t>90% (18/20)</w:t>
            </w:r>
          </w:p>
        </w:tc>
      </w:tr>
    </w:tbl>
    <w:p w14:paraId="1D8317F2" w14:textId="1F79AE05" w:rsidR="005B1A37" w:rsidRPr="00982A50" w:rsidRDefault="005B1A37" w:rsidP="006C1C47">
      <w:pPr>
        <w:pStyle w:val="NoSpacing"/>
        <w:ind w:left="958" w:hanging="958"/>
        <w:rPr>
          <w:rFonts w:ascii="Times New Roman" w:hAnsi="Times New Roman" w:cs="Times New Roman"/>
          <w:sz w:val="20"/>
          <w:szCs w:val="20"/>
        </w:rPr>
      </w:pPr>
      <w:r w:rsidRPr="00982A50">
        <w:rPr>
          <w:rFonts w:ascii="Times New Roman" w:hAnsi="Times New Roman" w:cs="Times New Roman"/>
          <w:sz w:val="20"/>
          <w:szCs w:val="20"/>
        </w:rPr>
        <w:t xml:space="preserve"> </w:t>
      </w:r>
    </w:p>
    <w:sectPr w:rsidR="005B1A37" w:rsidRPr="00982A50" w:rsidSect="00F50F34">
      <w:head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0C11" w14:textId="77777777" w:rsidR="005A2FB9" w:rsidRDefault="005A2FB9" w:rsidP="0038685F">
      <w:r>
        <w:separator/>
      </w:r>
    </w:p>
  </w:endnote>
  <w:endnote w:type="continuationSeparator" w:id="0">
    <w:p w14:paraId="62CE17FD" w14:textId="77777777" w:rsidR="005A2FB9" w:rsidRDefault="005A2FB9" w:rsidP="0038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N W3">
    <w:altName w:val="Yu Gothic"/>
    <w:charset w:val="80"/>
    <w:family w:val="swiss"/>
    <w:pitch w:val="variable"/>
    <w:sig w:usb0="E00002FF" w:usb1="7AC7FFFF" w:usb2="00000012" w:usb3="00000000" w:csb0="0002000D"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81BC" w14:textId="77777777" w:rsidR="005A2FB9" w:rsidRDefault="005A2FB9" w:rsidP="0038685F">
      <w:r>
        <w:separator/>
      </w:r>
    </w:p>
  </w:footnote>
  <w:footnote w:type="continuationSeparator" w:id="0">
    <w:p w14:paraId="64BCCAEF" w14:textId="77777777" w:rsidR="005A2FB9" w:rsidRDefault="005A2FB9" w:rsidP="00386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862210"/>
      <w:docPartObj>
        <w:docPartGallery w:val="Page Numbers (Top of Page)"/>
        <w:docPartUnique/>
      </w:docPartObj>
    </w:sdtPr>
    <w:sdtEndPr>
      <w:rPr>
        <w:noProof/>
      </w:rPr>
    </w:sdtEndPr>
    <w:sdtContent>
      <w:p w14:paraId="4DE6E2FE" w14:textId="1E500F24" w:rsidR="0099463B" w:rsidRDefault="0099463B">
        <w:pPr>
          <w:pStyle w:val="Header"/>
          <w:jc w:val="right"/>
        </w:pPr>
        <w:r>
          <w:fldChar w:fldCharType="begin"/>
        </w:r>
        <w:r>
          <w:instrText xml:space="preserve"> PAGE   \* MERGEFORMAT </w:instrText>
        </w:r>
        <w:r>
          <w:fldChar w:fldCharType="separate"/>
        </w:r>
        <w:r w:rsidR="007F1C45">
          <w:rPr>
            <w:noProof/>
          </w:rPr>
          <w:t>11</w:t>
        </w:r>
        <w:r>
          <w:rPr>
            <w:noProof/>
          </w:rPr>
          <w:fldChar w:fldCharType="end"/>
        </w:r>
      </w:p>
    </w:sdtContent>
  </w:sdt>
  <w:p w14:paraId="09CCA490" w14:textId="77777777" w:rsidR="0099463B" w:rsidRDefault="0099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B2433"/>
    <w:multiLevelType w:val="multilevel"/>
    <w:tmpl w:val="04C8A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1B5DF0"/>
    <w:multiLevelType w:val="hybridMultilevel"/>
    <w:tmpl w:val="9DFA0244"/>
    <w:lvl w:ilvl="0" w:tplc="5E6857FA">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72C272A"/>
    <w:multiLevelType w:val="hybridMultilevel"/>
    <w:tmpl w:val="1780EE84"/>
    <w:lvl w:ilvl="0" w:tplc="8BEAF45C">
      <w:numFmt w:val="bullet"/>
      <w:lvlText w:val="-"/>
      <w:lvlJc w:val="left"/>
      <w:pPr>
        <w:ind w:left="1320" w:hanging="360"/>
      </w:pPr>
      <w:rPr>
        <w:rFonts w:ascii="Times New Roman" w:eastAsiaTheme="minorEastAsia"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15:restartNumberingAfterBreak="0">
    <w:nsid w:val="69D01289"/>
    <w:multiLevelType w:val="hybridMultilevel"/>
    <w:tmpl w:val="786A186C"/>
    <w:lvl w:ilvl="0" w:tplc="04090001">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4" w15:restartNumberingAfterBreak="0">
    <w:nsid w:val="6F706C6F"/>
    <w:multiLevelType w:val="hybridMultilevel"/>
    <w:tmpl w:val="676E53AE"/>
    <w:lvl w:ilvl="0" w:tplc="57469234">
      <w:start w:val="120"/>
      <w:numFmt w:val="bullet"/>
      <w:lvlText w:val="-"/>
      <w:lvlJc w:val="left"/>
      <w:pPr>
        <w:ind w:left="1320" w:hanging="360"/>
      </w:pPr>
      <w:rPr>
        <w:rFonts w:ascii="Times New Roman" w:eastAsiaTheme="minorEastAsia" w:hAnsi="Times New Roman" w:cs="Times New Roman"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5" w15:restartNumberingAfterBreak="0">
    <w:nsid w:val="700705CE"/>
    <w:multiLevelType w:val="hybridMultilevel"/>
    <w:tmpl w:val="26B0A0C4"/>
    <w:lvl w:ilvl="0" w:tplc="B218B340">
      <w:numFmt w:val="bullet"/>
      <w:lvlText w:val="・"/>
      <w:lvlJc w:val="left"/>
      <w:pPr>
        <w:ind w:left="2140" w:hanging="1180"/>
      </w:pPr>
      <w:rPr>
        <w:rFonts w:ascii="MS Mincho" w:eastAsia="MS Mincho" w:hAnsi="MS Mincho" w:cs="Times New Roman"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trackRevision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psychopharmacology&lt;/Style&gt;&lt;LeftDelim&gt;{&lt;/LeftDelim&gt;&lt;RightDelim&gt;}&lt;/RightDelim&gt;&lt;FontName&gt;Century&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zf0ws5hxx597ea22rvtsfz55v2psdewtzs&quot;&gt;EndNote_Library&lt;record-ids&gt;&lt;item&gt;826&lt;/item&gt;&lt;item&gt;827&lt;/item&gt;&lt;item&gt;828&lt;/item&gt;&lt;item&gt;829&lt;/item&gt;&lt;item&gt;830&lt;/item&gt;&lt;item&gt;831&lt;/item&gt;&lt;item&gt;832&lt;/item&gt;&lt;item&gt;833&lt;/item&gt;&lt;item&gt;834&lt;/item&gt;&lt;item&gt;835&lt;/item&gt;&lt;item&gt;836&lt;/item&gt;&lt;item&gt;837&lt;/item&gt;&lt;item&gt;838&lt;/item&gt;&lt;item&gt;839&lt;/item&gt;&lt;item&gt;840&lt;/item&gt;&lt;item&gt;842&lt;/item&gt;&lt;item&gt;843&lt;/item&gt;&lt;item&gt;844&lt;/item&gt;&lt;item&gt;845&lt;/item&gt;&lt;item&gt;846&lt;/item&gt;&lt;item&gt;847&lt;/item&gt;&lt;item&gt;848&lt;/item&gt;&lt;item&gt;849&lt;/item&gt;&lt;item&gt;850&lt;/item&gt;&lt;item&gt;851&lt;/item&gt;&lt;item&gt;852&lt;/item&gt;&lt;item&gt;853&lt;/item&gt;&lt;item&gt;854&lt;/item&gt;&lt;item&gt;855&lt;/item&gt;&lt;item&gt;856&lt;/item&gt;&lt;item&gt;857&lt;/item&gt;&lt;item&gt;858&lt;/item&gt;&lt;item&gt;859&lt;/item&gt;&lt;/record-ids&gt;&lt;/item&gt;&lt;/Libraries&gt;"/>
  </w:docVars>
  <w:rsids>
    <w:rsidRoot w:val="00EC3413"/>
    <w:rsid w:val="00006F53"/>
    <w:rsid w:val="000157AC"/>
    <w:rsid w:val="00016348"/>
    <w:rsid w:val="00020BFE"/>
    <w:rsid w:val="00031D1A"/>
    <w:rsid w:val="00050180"/>
    <w:rsid w:val="000535BE"/>
    <w:rsid w:val="00060A13"/>
    <w:rsid w:val="0006197F"/>
    <w:rsid w:val="000672CD"/>
    <w:rsid w:val="00076611"/>
    <w:rsid w:val="00084E18"/>
    <w:rsid w:val="0009181C"/>
    <w:rsid w:val="00095960"/>
    <w:rsid w:val="000969D7"/>
    <w:rsid w:val="000A5EB7"/>
    <w:rsid w:val="000B0371"/>
    <w:rsid w:val="000B2A9D"/>
    <w:rsid w:val="000B4A05"/>
    <w:rsid w:val="000B4DC5"/>
    <w:rsid w:val="000C29BF"/>
    <w:rsid w:val="000C7406"/>
    <w:rsid w:val="000D11FA"/>
    <w:rsid w:val="000D38A9"/>
    <w:rsid w:val="000D44F3"/>
    <w:rsid w:val="000D5E9C"/>
    <w:rsid w:val="000E195F"/>
    <w:rsid w:val="000F1E18"/>
    <w:rsid w:val="000F3FEA"/>
    <w:rsid w:val="000F5EF8"/>
    <w:rsid w:val="00101AAB"/>
    <w:rsid w:val="00102B49"/>
    <w:rsid w:val="00103813"/>
    <w:rsid w:val="0010692B"/>
    <w:rsid w:val="001115D4"/>
    <w:rsid w:val="00111C40"/>
    <w:rsid w:val="00112845"/>
    <w:rsid w:val="00112E8B"/>
    <w:rsid w:val="001237CD"/>
    <w:rsid w:val="0012474F"/>
    <w:rsid w:val="00126278"/>
    <w:rsid w:val="00133D17"/>
    <w:rsid w:val="0014035E"/>
    <w:rsid w:val="00141535"/>
    <w:rsid w:val="00145CA4"/>
    <w:rsid w:val="0014727C"/>
    <w:rsid w:val="00150D38"/>
    <w:rsid w:val="00165D10"/>
    <w:rsid w:val="00171E25"/>
    <w:rsid w:val="00172E7E"/>
    <w:rsid w:val="00177E14"/>
    <w:rsid w:val="001809A1"/>
    <w:rsid w:val="00180BED"/>
    <w:rsid w:val="001860CF"/>
    <w:rsid w:val="001861A1"/>
    <w:rsid w:val="0019210C"/>
    <w:rsid w:val="00192305"/>
    <w:rsid w:val="00194547"/>
    <w:rsid w:val="001967AA"/>
    <w:rsid w:val="001A0084"/>
    <w:rsid w:val="001B48E9"/>
    <w:rsid w:val="001C12EC"/>
    <w:rsid w:val="001C4E86"/>
    <w:rsid w:val="001C587D"/>
    <w:rsid w:val="001C5E55"/>
    <w:rsid w:val="001D0B31"/>
    <w:rsid w:val="001D1C59"/>
    <w:rsid w:val="001D458E"/>
    <w:rsid w:val="001D49FC"/>
    <w:rsid w:val="001E3601"/>
    <w:rsid w:val="001E6D4C"/>
    <w:rsid w:val="001F282A"/>
    <w:rsid w:val="001F454C"/>
    <w:rsid w:val="001F5CEB"/>
    <w:rsid w:val="001F6CB7"/>
    <w:rsid w:val="0020256D"/>
    <w:rsid w:val="002045EF"/>
    <w:rsid w:val="00210E96"/>
    <w:rsid w:val="00216DB4"/>
    <w:rsid w:val="00216F51"/>
    <w:rsid w:val="0021778F"/>
    <w:rsid w:val="00223B47"/>
    <w:rsid w:val="002310C2"/>
    <w:rsid w:val="00234709"/>
    <w:rsid w:val="00235C15"/>
    <w:rsid w:val="00236A0D"/>
    <w:rsid w:val="00240220"/>
    <w:rsid w:val="00240DA1"/>
    <w:rsid w:val="00242B34"/>
    <w:rsid w:val="00243B12"/>
    <w:rsid w:val="002448AB"/>
    <w:rsid w:val="00245B80"/>
    <w:rsid w:val="00256EF8"/>
    <w:rsid w:val="0026256E"/>
    <w:rsid w:val="00272FBB"/>
    <w:rsid w:val="002756B0"/>
    <w:rsid w:val="002757FE"/>
    <w:rsid w:val="00281E87"/>
    <w:rsid w:val="00282F13"/>
    <w:rsid w:val="0028402A"/>
    <w:rsid w:val="0028687D"/>
    <w:rsid w:val="002947C1"/>
    <w:rsid w:val="00294EC9"/>
    <w:rsid w:val="002A4F66"/>
    <w:rsid w:val="002A5759"/>
    <w:rsid w:val="002A66F3"/>
    <w:rsid w:val="002B4BA4"/>
    <w:rsid w:val="002C1B7B"/>
    <w:rsid w:val="002C73BF"/>
    <w:rsid w:val="002D4252"/>
    <w:rsid w:val="002D7982"/>
    <w:rsid w:val="002E502E"/>
    <w:rsid w:val="002E6FBA"/>
    <w:rsid w:val="002F4921"/>
    <w:rsid w:val="002F4D34"/>
    <w:rsid w:val="002F629F"/>
    <w:rsid w:val="003003B7"/>
    <w:rsid w:val="00302C6B"/>
    <w:rsid w:val="00307E17"/>
    <w:rsid w:val="0031099C"/>
    <w:rsid w:val="00314735"/>
    <w:rsid w:val="00316B8A"/>
    <w:rsid w:val="00317DEB"/>
    <w:rsid w:val="00320684"/>
    <w:rsid w:val="00321E66"/>
    <w:rsid w:val="00322262"/>
    <w:rsid w:val="003234F1"/>
    <w:rsid w:val="00330C79"/>
    <w:rsid w:val="00330DDE"/>
    <w:rsid w:val="003315BE"/>
    <w:rsid w:val="003340E1"/>
    <w:rsid w:val="003357D5"/>
    <w:rsid w:val="003418F8"/>
    <w:rsid w:val="0034479C"/>
    <w:rsid w:val="003553DD"/>
    <w:rsid w:val="00367A9A"/>
    <w:rsid w:val="0037441E"/>
    <w:rsid w:val="003769F6"/>
    <w:rsid w:val="0038685F"/>
    <w:rsid w:val="003870E4"/>
    <w:rsid w:val="00396C53"/>
    <w:rsid w:val="0039701F"/>
    <w:rsid w:val="003A057D"/>
    <w:rsid w:val="003A0D38"/>
    <w:rsid w:val="003A2505"/>
    <w:rsid w:val="003A3FF4"/>
    <w:rsid w:val="003A6777"/>
    <w:rsid w:val="003A6F22"/>
    <w:rsid w:val="003B03EF"/>
    <w:rsid w:val="003B2A3C"/>
    <w:rsid w:val="003B4010"/>
    <w:rsid w:val="003C6F37"/>
    <w:rsid w:val="003D2CDD"/>
    <w:rsid w:val="003E09E1"/>
    <w:rsid w:val="003E4ED1"/>
    <w:rsid w:val="003E6FDD"/>
    <w:rsid w:val="003F29B4"/>
    <w:rsid w:val="003F3673"/>
    <w:rsid w:val="00402815"/>
    <w:rsid w:val="0040664E"/>
    <w:rsid w:val="004108A3"/>
    <w:rsid w:val="00413421"/>
    <w:rsid w:val="004163F8"/>
    <w:rsid w:val="004170E8"/>
    <w:rsid w:val="004252B2"/>
    <w:rsid w:val="00425C22"/>
    <w:rsid w:val="00432280"/>
    <w:rsid w:val="0043631F"/>
    <w:rsid w:val="004363AC"/>
    <w:rsid w:val="00445DB3"/>
    <w:rsid w:val="004476DF"/>
    <w:rsid w:val="00452192"/>
    <w:rsid w:val="00452B01"/>
    <w:rsid w:val="00455F97"/>
    <w:rsid w:val="004573D4"/>
    <w:rsid w:val="004574EF"/>
    <w:rsid w:val="0046026F"/>
    <w:rsid w:val="004615C2"/>
    <w:rsid w:val="00462740"/>
    <w:rsid w:val="004646DE"/>
    <w:rsid w:val="00465D71"/>
    <w:rsid w:val="00465E0A"/>
    <w:rsid w:val="00470A65"/>
    <w:rsid w:val="0047318B"/>
    <w:rsid w:val="00474E33"/>
    <w:rsid w:val="004817D8"/>
    <w:rsid w:val="00481C78"/>
    <w:rsid w:val="0048297B"/>
    <w:rsid w:val="00484DCB"/>
    <w:rsid w:val="00486FC4"/>
    <w:rsid w:val="0049094B"/>
    <w:rsid w:val="0049406D"/>
    <w:rsid w:val="004955B3"/>
    <w:rsid w:val="004A0F79"/>
    <w:rsid w:val="004A1645"/>
    <w:rsid w:val="004A4CD6"/>
    <w:rsid w:val="004A53C8"/>
    <w:rsid w:val="004B01F4"/>
    <w:rsid w:val="004B3C75"/>
    <w:rsid w:val="004B3E1E"/>
    <w:rsid w:val="004B5092"/>
    <w:rsid w:val="004B77D8"/>
    <w:rsid w:val="004B7B8D"/>
    <w:rsid w:val="004C2834"/>
    <w:rsid w:val="004D0320"/>
    <w:rsid w:val="004D3FCA"/>
    <w:rsid w:val="004D7C40"/>
    <w:rsid w:val="004E0BE4"/>
    <w:rsid w:val="004E53C1"/>
    <w:rsid w:val="004F0777"/>
    <w:rsid w:val="004F18E8"/>
    <w:rsid w:val="00503273"/>
    <w:rsid w:val="005034C0"/>
    <w:rsid w:val="00504DEA"/>
    <w:rsid w:val="00511232"/>
    <w:rsid w:val="00514D5C"/>
    <w:rsid w:val="005203C1"/>
    <w:rsid w:val="00520D62"/>
    <w:rsid w:val="005237E2"/>
    <w:rsid w:val="00524C73"/>
    <w:rsid w:val="00527AA0"/>
    <w:rsid w:val="00530A88"/>
    <w:rsid w:val="00543DBA"/>
    <w:rsid w:val="00552B88"/>
    <w:rsid w:val="005535D9"/>
    <w:rsid w:val="00555FEE"/>
    <w:rsid w:val="00556696"/>
    <w:rsid w:val="005652E9"/>
    <w:rsid w:val="005738C6"/>
    <w:rsid w:val="00574154"/>
    <w:rsid w:val="005745C9"/>
    <w:rsid w:val="00576F48"/>
    <w:rsid w:val="0058074D"/>
    <w:rsid w:val="005846AA"/>
    <w:rsid w:val="0058474A"/>
    <w:rsid w:val="00587B2C"/>
    <w:rsid w:val="00591637"/>
    <w:rsid w:val="0059502A"/>
    <w:rsid w:val="0059757B"/>
    <w:rsid w:val="005A2DAE"/>
    <w:rsid w:val="005A2FB9"/>
    <w:rsid w:val="005B00A5"/>
    <w:rsid w:val="005B0867"/>
    <w:rsid w:val="005B193A"/>
    <w:rsid w:val="005B1A37"/>
    <w:rsid w:val="005B1E11"/>
    <w:rsid w:val="005B3C0D"/>
    <w:rsid w:val="005C06EE"/>
    <w:rsid w:val="005C0F93"/>
    <w:rsid w:val="005C3650"/>
    <w:rsid w:val="005C68E9"/>
    <w:rsid w:val="005D4367"/>
    <w:rsid w:val="005D643F"/>
    <w:rsid w:val="005E47EF"/>
    <w:rsid w:val="005E5C4F"/>
    <w:rsid w:val="005F35D1"/>
    <w:rsid w:val="005F3649"/>
    <w:rsid w:val="005F51CC"/>
    <w:rsid w:val="00600837"/>
    <w:rsid w:val="0060091C"/>
    <w:rsid w:val="00603D2C"/>
    <w:rsid w:val="00610337"/>
    <w:rsid w:val="006110DE"/>
    <w:rsid w:val="0061239E"/>
    <w:rsid w:val="00612872"/>
    <w:rsid w:val="00625960"/>
    <w:rsid w:val="00631860"/>
    <w:rsid w:val="00637E2F"/>
    <w:rsid w:val="006412D5"/>
    <w:rsid w:val="00641D38"/>
    <w:rsid w:val="00644190"/>
    <w:rsid w:val="00644620"/>
    <w:rsid w:val="0065186D"/>
    <w:rsid w:val="006530BF"/>
    <w:rsid w:val="00657355"/>
    <w:rsid w:val="006603EC"/>
    <w:rsid w:val="00671360"/>
    <w:rsid w:val="00675C67"/>
    <w:rsid w:val="00681DE1"/>
    <w:rsid w:val="00683466"/>
    <w:rsid w:val="006864B2"/>
    <w:rsid w:val="00693C37"/>
    <w:rsid w:val="00696A5E"/>
    <w:rsid w:val="00697439"/>
    <w:rsid w:val="006A10A8"/>
    <w:rsid w:val="006A3635"/>
    <w:rsid w:val="006A5F8C"/>
    <w:rsid w:val="006B3935"/>
    <w:rsid w:val="006B45D1"/>
    <w:rsid w:val="006B5CF8"/>
    <w:rsid w:val="006B7794"/>
    <w:rsid w:val="006C1C47"/>
    <w:rsid w:val="006C5276"/>
    <w:rsid w:val="006C668A"/>
    <w:rsid w:val="006C7830"/>
    <w:rsid w:val="006D12C6"/>
    <w:rsid w:val="006E0067"/>
    <w:rsid w:val="006E447E"/>
    <w:rsid w:val="006E550E"/>
    <w:rsid w:val="006F0822"/>
    <w:rsid w:val="006F092D"/>
    <w:rsid w:val="006F419C"/>
    <w:rsid w:val="0070085A"/>
    <w:rsid w:val="00705F22"/>
    <w:rsid w:val="007079AF"/>
    <w:rsid w:val="00711D9A"/>
    <w:rsid w:val="00712C73"/>
    <w:rsid w:val="00712E83"/>
    <w:rsid w:val="00717E6C"/>
    <w:rsid w:val="00722DBE"/>
    <w:rsid w:val="00722F3B"/>
    <w:rsid w:val="00724570"/>
    <w:rsid w:val="00726C84"/>
    <w:rsid w:val="00730D49"/>
    <w:rsid w:val="00737F4B"/>
    <w:rsid w:val="007429B7"/>
    <w:rsid w:val="00743F3F"/>
    <w:rsid w:val="00745804"/>
    <w:rsid w:val="00752411"/>
    <w:rsid w:val="007530E1"/>
    <w:rsid w:val="00756DD7"/>
    <w:rsid w:val="00766F90"/>
    <w:rsid w:val="007725DC"/>
    <w:rsid w:val="00772FB9"/>
    <w:rsid w:val="00773C19"/>
    <w:rsid w:val="0078144E"/>
    <w:rsid w:val="00782FF5"/>
    <w:rsid w:val="007850FD"/>
    <w:rsid w:val="00791FAC"/>
    <w:rsid w:val="00792D35"/>
    <w:rsid w:val="007A25DE"/>
    <w:rsid w:val="007A2EA1"/>
    <w:rsid w:val="007A35CC"/>
    <w:rsid w:val="007A7383"/>
    <w:rsid w:val="007A75F3"/>
    <w:rsid w:val="007A7D04"/>
    <w:rsid w:val="007B36C7"/>
    <w:rsid w:val="007B4129"/>
    <w:rsid w:val="007B44C2"/>
    <w:rsid w:val="007C1B4E"/>
    <w:rsid w:val="007D79F1"/>
    <w:rsid w:val="007E0179"/>
    <w:rsid w:val="007E1BD1"/>
    <w:rsid w:val="007E23D1"/>
    <w:rsid w:val="007F0C2C"/>
    <w:rsid w:val="007F1C45"/>
    <w:rsid w:val="007F1F5C"/>
    <w:rsid w:val="007F40A2"/>
    <w:rsid w:val="00804125"/>
    <w:rsid w:val="008053A3"/>
    <w:rsid w:val="00810451"/>
    <w:rsid w:val="00814EB0"/>
    <w:rsid w:val="008224C8"/>
    <w:rsid w:val="00825E29"/>
    <w:rsid w:val="0083210B"/>
    <w:rsid w:val="0083517A"/>
    <w:rsid w:val="00835D79"/>
    <w:rsid w:val="00837ED7"/>
    <w:rsid w:val="00842593"/>
    <w:rsid w:val="00844799"/>
    <w:rsid w:val="0084498C"/>
    <w:rsid w:val="00844C79"/>
    <w:rsid w:val="00847071"/>
    <w:rsid w:val="00851493"/>
    <w:rsid w:val="008523CE"/>
    <w:rsid w:val="008523FD"/>
    <w:rsid w:val="00853F8F"/>
    <w:rsid w:val="00855057"/>
    <w:rsid w:val="008662E8"/>
    <w:rsid w:val="00870893"/>
    <w:rsid w:val="00871491"/>
    <w:rsid w:val="008746BE"/>
    <w:rsid w:val="0087544C"/>
    <w:rsid w:val="008759F2"/>
    <w:rsid w:val="0087660A"/>
    <w:rsid w:val="0088063F"/>
    <w:rsid w:val="008814A0"/>
    <w:rsid w:val="0088699D"/>
    <w:rsid w:val="00893173"/>
    <w:rsid w:val="008953D9"/>
    <w:rsid w:val="008A0649"/>
    <w:rsid w:val="008A4492"/>
    <w:rsid w:val="008A5300"/>
    <w:rsid w:val="008B05D7"/>
    <w:rsid w:val="008B6F7E"/>
    <w:rsid w:val="008D3ECF"/>
    <w:rsid w:val="008D58C4"/>
    <w:rsid w:val="008D7BCE"/>
    <w:rsid w:val="008E0355"/>
    <w:rsid w:val="008E269F"/>
    <w:rsid w:val="008F3274"/>
    <w:rsid w:val="008F47A9"/>
    <w:rsid w:val="008F701C"/>
    <w:rsid w:val="00913437"/>
    <w:rsid w:val="009136C1"/>
    <w:rsid w:val="00913C7B"/>
    <w:rsid w:val="00921308"/>
    <w:rsid w:val="00930EE0"/>
    <w:rsid w:val="009319DB"/>
    <w:rsid w:val="00935D26"/>
    <w:rsid w:val="00936157"/>
    <w:rsid w:val="00936D97"/>
    <w:rsid w:val="00937683"/>
    <w:rsid w:val="009417B5"/>
    <w:rsid w:val="00944044"/>
    <w:rsid w:val="00945AC5"/>
    <w:rsid w:val="00947083"/>
    <w:rsid w:val="0095223A"/>
    <w:rsid w:val="00952B7D"/>
    <w:rsid w:val="009531D8"/>
    <w:rsid w:val="0095429E"/>
    <w:rsid w:val="00954DAF"/>
    <w:rsid w:val="009602AB"/>
    <w:rsid w:val="00961890"/>
    <w:rsid w:val="00964007"/>
    <w:rsid w:val="00965E5D"/>
    <w:rsid w:val="009668DF"/>
    <w:rsid w:val="0097682E"/>
    <w:rsid w:val="0097789F"/>
    <w:rsid w:val="0098081E"/>
    <w:rsid w:val="00981782"/>
    <w:rsid w:val="00982A50"/>
    <w:rsid w:val="0098752F"/>
    <w:rsid w:val="0099463B"/>
    <w:rsid w:val="009A1B4B"/>
    <w:rsid w:val="009A215B"/>
    <w:rsid w:val="009A2E27"/>
    <w:rsid w:val="009A33E0"/>
    <w:rsid w:val="009A43B1"/>
    <w:rsid w:val="009A5157"/>
    <w:rsid w:val="009C090F"/>
    <w:rsid w:val="009C1923"/>
    <w:rsid w:val="009C37C8"/>
    <w:rsid w:val="009C3C42"/>
    <w:rsid w:val="009C4833"/>
    <w:rsid w:val="009D0E1A"/>
    <w:rsid w:val="009D119E"/>
    <w:rsid w:val="009D1D59"/>
    <w:rsid w:val="009D758A"/>
    <w:rsid w:val="009F6A3D"/>
    <w:rsid w:val="00A01D3B"/>
    <w:rsid w:val="00A02295"/>
    <w:rsid w:val="00A051F0"/>
    <w:rsid w:val="00A105B7"/>
    <w:rsid w:val="00A12C6E"/>
    <w:rsid w:val="00A14E89"/>
    <w:rsid w:val="00A16368"/>
    <w:rsid w:val="00A16C77"/>
    <w:rsid w:val="00A22860"/>
    <w:rsid w:val="00A24474"/>
    <w:rsid w:val="00A2745D"/>
    <w:rsid w:val="00A27A36"/>
    <w:rsid w:val="00A302D9"/>
    <w:rsid w:val="00A31150"/>
    <w:rsid w:val="00A323DC"/>
    <w:rsid w:val="00A324E7"/>
    <w:rsid w:val="00A34B14"/>
    <w:rsid w:val="00A365CA"/>
    <w:rsid w:val="00A53E88"/>
    <w:rsid w:val="00A55037"/>
    <w:rsid w:val="00A554B1"/>
    <w:rsid w:val="00A577EA"/>
    <w:rsid w:val="00A606C2"/>
    <w:rsid w:val="00A64206"/>
    <w:rsid w:val="00A65834"/>
    <w:rsid w:val="00A73540"/>
    <w:rsid w:val="00A82B6E"/>
    <w:rsid w:val="00A831D2"/>
    <w:rsid w:val="00A83FBC"/>
    <w:rsid w:val="00A90C73"/>
    <w:rsid w:val="00A93EA3"/>
    <w:rsid w:val="00A977DB"/>
    <w:rsid w:val="00AC248A"/>
    <w:rsid w:val="00AD1B1C"/>
    <w:rsid w:val="00AD2358"/>
    <w:rsid w:val="00AD3B37"/>
    <w:rsid w:val="00AD61B7"/>
    <w:rsid w:val="00AE0CF7"/>
    <w:rsid w:val="00AE0DFF"/>
    <w:rsid w:val="00AE328D"/>
    <w:rsid w:val="00AE3388"/>
    <w:rsid w:val="00AE6072"/>
    <w:rsid w:val="00AE7CCC"/>
    <w:rsid w:val="00AF31C0"/>
    <w:rsid w:val="00B075AF"/>
    <w:rsid w:val="00B07EE7"/>
    <w:rsid w:val="00B1109A"/>
    <w:rsid w:val="00B20DD3"/>
    <w:rsid w:val="00B20ED9"/>
    <w:rsid w:val="00B25055"/>
    <w:rsid w:val="00B25E8B"/>
    <w:rsid w:val="00B2645B"/>
    <w:rsid w:val="00B26476"/>
    <w:rsid w:val="00B331CF"/>
    <w:rsid w:val="00B335A0"/>
    <w:rsid w:val="00B34B59"/>
    <w:rsid w:val="00B373AB"/>
    <w:rsid w:val="00B40B49"/>
    <w:rsid w:val="00B445F5"/>
    <w:rsid w:val="00B4769B"/>
    <w:rsid w:val="00B52A86"/>
    <w:rsid w:val="00B548C8"/>
    <w:rsid w:val="00B66CE1"/>
    <w:rsid w:val="00B704AC"/>
    <w:rsid w:val="00B7162D"/>
    <w:rsid w:val="00B7421D"/>
    <w:rsid w:val="00B74FD8"/>
    <w:rsid w:val="00B80406"/>
    <w:rsid w:val="00B80D14"/>
    <w:rsid w:val="00B82617"/>
    <w:rsid w:val="00B83F98"/>
    <w:rsid w:val="00B8755F"/>
    <w:rsid w:val="00B929FC"/>
    <w:rsid w:val="00B9557B"/>
    <w:rsid w:val="00B97E05"/>
    <w:rsid w:val="00BA3C80"/>
    <w:rsid w:val="00BB0C03"/>
    <w:rsid w:val="00BC4065"/>
    <w:rsid w:val="00BC45C2"/>
    <w:rsid w:val="00BD1182"/>
    <w:rsid w:val="00BD17E1"/>
    <w:rsid w:val="00BD60AF"/>
    <w:rsid w:val="00BE39E4"/>
    <w:rsid w:val="00BF2150"/>
    <w:rsid w:val="00BF3B3A"/>
    <w:rsid w:val="00BF43BC"/>
    <w:rsid w:val="00BF4DC9"/>
    <w:rsid w:val="00BF6A26"/>
    <w:rsid w:val="00BF6D49"/>
    <w:rsid w:val="00BF797D"/>
    <w:rsid w:val="00C0201E"/>
    <w:rsid w:val="00C04ED1"/>
    <w:rsid w:val="00C11AC0"/>
    <w:rsid w:val="00C13FBB"/>
    <w:rsid w:val="00C15E8B"/>
    <w:rsid w:val="00C16DEA"/>
    <w:rsid w:val="00C21C11"/>
    <w:rsid w:val="00C22BDF"/>
    <w:rsid w:val="00C30050"/>
    <w:rsid w:val="00C309D4"/>
    <w:rsid w:val="00C30B77"/>
    <w:rsid w:val="00C345FE"/>
    <w:rsid w:val="00C3747E"/>
    <w:rsid w:val="00C377B2"/>
    <w:rsid w:val="00C41003"/>
    <w:rsid w:val="00C41842"/>
    <w:rsid w:val="00C43042"/>
    <w:rsid w:val="00C43363"/>
    <w:rsid w:val="00C449F2"/>
    <w:rsid w:val="00C53D9A"/>
    <w:rsid w:val="00C55795"/>
    <w:rsid w:val="00C60C34"/>
    <w:rsid w:val="00C61469"/>
    <w:rsid w:val="00C64FD9"/>
    <w:rsid w:val="00C66275"/>
    <w:rsid w:val="00C66301"/>
    <w:rsid w:val="00C66AB9"/>
    <w:rsid w:val="00C71406"/>
    <w:rsid w:val="00C729E7"/>
    <w:rsid w:val="00C72DE6"/>
    <w:rsid w:val="00C7442F"/>
    <w:rsid w:val="00C754F3"/>
    <w:rsid w:val="00C7603C"/>
    <w:rsid w:val="00C8009D"/>
    <w:rsid w:val="00C802C9"/>
    <w:rsid w:val="00C80F95"/>
    <w:rsid w:val="00C91966"/>
    <w:rsid w:val="00C936F3"/>
    <w:rsid w:val="00C94D20"/>
    <w:rsid w:val="00C94DE9"/>
    <w:rsid w:val="00C95A33"/>
    <w:rsid w:val="00C95B4C"/>
    <w:rsid w:val="00CA5E9F"/>
    <w:rsid w:val="00CB17E0"/>
    <w:rsid w:val="00CB5D83"/>
    <w:rsid w:val="00CB78FF"/>
    <w:rsid w:val="00CC1998"/>
    <w:rsid w:val="00CC578C"/>
    <w:rsid w:val="00CD4ACE"/>
    <w:rsid w:val="00CD7593"/>
    <w:rsid w:val="00CE3695"/>
    <w:rsid w:val="00CE6578"/>
    <w:rsid w:val="00CE727E"/>
    <w:rsid w:val="00D015B1"/>
    <w:rsid w:val="00D045E8"/>
    <w:rsid w:val="00D06BA1"/>
    <w:rsid w:val="00D12635"/>
    <w:rsid w:val="00D156DE"/>
    <w:rsid w:val="00D20D1D"/>
    <w:rsid w:val="00D2150B"/>
    <w:rsid w:val="00D21BF2"/>
    <w:rsid w:val="00D34476"/>
    <w:rsid w:val="00D3552B"/>
    <w:rsid w:val="00D35B52"/>
    <w:rsid w:val="00D363D6"/>
    <w:rsid w:val="00D41982"/>
    <w:rsid w:val="00D423E7"/>
    <w:rsid w:val="00D42F5A"/>
    <w:rsid w:val="00D4487F"/>
    <w:rsid w:val="00D5305E"/>
    <w:rsid w:val="00D549EB"/>
    <w:rsid w:val="00D62250"/>
    <w:rsid w:val="00D625F9"/>
    <w:rsid w:val="00D633D1"/>
    <w:rsid w:val="00D65FC7"/>
    <w:rsid w:val="00D85D20"/>
    <w:rsid w:val="00D86137"/>
    <w:rsid w:val="00D9461D"/>
    <w:rsid w:val="00DA1D75"/>
    <w:rsid w:val="00DA2334"/>
    <w:rsid w:val="00DA3198"/>
    <w:rsid w:val="00DA7D17"/>
    <w:rsid w:val="00DC10AC"/>
    <w:rsid w:val="00DC206B"/>
    <w:rsid w:val="00DC6D0B"/>
    <w:rsid w:val="00DC75B9"/>
    <w:rsid w:val="00DD20B1"/>
    <w:rsid w:val="00DD4C63"/>
    <w:rsid w:val="00DD57E6"/>
    <w:rsid w:val="00DE1C31"/>
    <w:rsid w:val="00DE5C6E"/>
    <w:rsid w:val="00DF305B"/>
    <w:rsid w:val="00E06680"/>
    <w:rsid w:val="00E11D90"/>
    <w:rsid w:val="00E1694C"/>
    <w:rsid w:val="00E16BA8"/>
    <w:rsid w:val="00E209D6"/>
    <w:rsid w:val="00E20F4F"/>
    <w:rsid w:val="00E22674"/>
    <w:rsid w:val="00E237E3"/>
    <w:rsid w:val="00E23DE8"/>
    <w:rsid w:val="00E25302"/>
    <w:rsid w:val="00E327D7"/>
    <w:rsid w:val="00E34969"/>
    <w:rsid w:val="00E352FD"/>
    <w:rsid w:val="00E359AF"/>
    <w:rsid w:val="00E35E85"/>
    <w:rsid w:val="00E373F0"/>
    <w:rsid w:val="00E419CD"/>
    <w:rsid w:val="00E42237"/>
    <w:rsid w:val="00E43182"/>
    <w:rsid w:val="00E43D7F"/>
    <w:rsid w:val="00E47607"/>
    <w:rsid w:val="00E568E0"/>
    <w:rsid w:val="00E72313"/>
    <w:rsid w:val="00E72EE8"/>
    <w:rsid w:val="00E737C5"/>
    <w:rsid w:val="00E73D25"/>
    <w:rsid w:val="00E75037"/>
    <w:rsid w:val="00E8090D"/>
    <w:rsid w:val="00E81BFB"/>
    <w:rsid w:val="00E826DE"/>
    <w:rsid w:val="00E8294F"/>
    <w:rsid w:val="00E926E4"/>
    <w:rsid w:val="00E93899"/>
    <w:rsid w:val="00E93A49"/>
    <w:rsid w:val="00E9776A"/>
    <w:rsid w:val="00EA3227"/>
    <w:rsid w:val="00EB39D3"/>
    <w:rsid w:val="00EB6E98"/>
    <w:rsid w:val="00EC3413"/>
    <w:rsid w:val="00ED38A2"/>
    <w:rsid w:val="00ED50D4"/>
    <w:rsid w:val="00EE0195"/>
    <w:rsid w:val="00EE1FC1"/>
    <w:rsid w:val="00EE36B8"/>
    <w:rsid w:val="00EF34E9"/>
    <w:rsid w:val="00EF3988"/>
    <w:rsid w:val="00F00FAF"/>
    <w:rsid w:val="00F0128C"/>
    <w:rsid w:val="00F04F91"/>
    <w:rsid w:val="00F0567E"/>
    <w:rsid w:val="00F13066"/>
    <w:rsid w:val="00F172FC"/>
    <w:rsid w:val="00F215FB"/>
    <w:rsid w:val="00F231BE"/>
    <w:rsid w:val="00F23BE2"/>
    <w:rsid w:val="00F31B29"/>
    <w:rsid w:val="00F33184"/>
    <w:rsid w:val="00F35BE4"/>
    <w:rsid w:val="00F36988"/>
    <w:rsid w:val="00F374F2"/>
    <w:rsid w:val="00F41502"/>
    <w:rsid w:val="00F472C2"/>
    <w:rsid w:val="00F50F34"/>
    <w:rsid w:val="00F513C8"/>
    <w:rsid w:val="00F51446"/>
    <w:rsid w:val="00F53A4C"/>
    <w:rsid w:val="00F561BF"/>
    <w:rsid w:val="00F57A06"/>
    <w:rsid w:val="00F603B8"/>
    <w:rsid w:val="00F604D0"/>
    <w:rsid w:val="00F6700B"/>
    <w:rsid w:val="00F70F8F"/>
    <w:rsid w:val="00F7735F"/>
    <w:rsid w:val="00F80010"/>
    <w:rsid w:val="00F803AB"/>
    <w:rsid w:val="00F809D3"/>
    <w:rsid w:val="00F81472"/>
    <w:rsid w:val="00F8147E"/>
    <w:rsid w:val="00F85062"/>
    <w:rsid w:val="00F85A9C"/>
    <w:rsid w:val="00F87CC6"/>
    <w:rsid w:val="00F93E4C"/>
    <w:rsid w:val="00F94158"/>
    <w:rsid w:val="00F97DDA"/>
    <w:rsid w:val="00FA0178"/>
    <w:rsid w:val="00FA029B"/>
    <w:rsid w:val="00FA1B14"/>
    <w:rsid w:val="00FA27E1"/>
    <w:rsid w:val="00FB52A8"/>
    <w:rsid w:val="00FC1B5C"/>
    <w:rsid w:val="00FD1387"/>
    <w:rsid w:val="00FD3F74"/>
    <w:rsid w:val="00FD6EC5"/>
    <w:rsid w:val="00FE265F"/>
    <w:rsid w:val="00FE4F8D"/>
    <w:rsid w:val="00FE688D"/>
    <w:rsid w:val="00FF2550"/>
    <w:rsid w:val="00FF4894"/>
    <w:rsid w:val="00FF5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A9E789"/>
  <w14:defaultImageDpi w14:val="300"/>
  <w15:docId w15:val="{DA455098-2D76-0E40-BC27-0FB0EF39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F94158"/>
    <w:pPr>
      <w:widowControl/>
      <w:spacing w:before="100" w:beforeAutospacing="1" w:after="100" w:afterAutospacing="1"/>
      <w:jc w:val="left"/>
      <w:outlineLvl w:val="0"/>
    </w:pPr>
    <w:rPr>
      <w:rFonts w:ascii="Times New Roman" w:eastAsia="Times New Roman" w:hAnsi="Times New Roman" w:cs="Times New Roman"/>
      <w:b/>
      <w:bCs/>
      <w:kern w:val="36"/>
      <w:sz w:val="48"/>
      <w:szCs w:val="48"/>
      <w:lang w:val="en-GB" w:eastAsia="en-US"/>
    </w:rPr>
  </w:style>
  <w:style w:type="paragraph" w:styleId="Heading2">
    <w:name w:val="heading 2"/>
    <w:basedOn w:val="Normal"/>
    <w:next w:val="Normal"/>
    <w:link w:val="Heading2Char"/>
    <w:uiPriority w:val="9"/>
    <w:unhideWhenUsed/>
    <w:qFormat/>
    <w:rsid w:val="009A51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9A515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23E7"/>
    <w:rPr>
      <w:sz w:val="18"/>
      <w:szCs w:val="18"/>
    </w:rPr>
  </w:style>
  <w:style w:type="paragraph" w:styleId="CommentText">
    <w:name w:val="annotation text"/>
    <w:basedOn w:val="Normal"/>
    <w:link w:val="CommentTextChar"/>
    <w:uiPriority w:val="99"/>
    <w:semiHidden/>
    <w:unhideWhenUsed/>
    <w:rsid w:val="00D423E7"/>
    <w:pPr>
      <w:jc w:val="left"/>
    </w:pPr>
  </w:style>
  <w:style w:type="character" w:customStyle="1" w:styleId="CommentTextChar">
    <w:name w:val="Comment Text Char"/>
    <w:basedOn w:val="DefaultParagraphFont"/>
    <w:link w:val="CommentText"/>
    <w:uiPriority w:val="99"/>
    <w:semiHidden/>
    <w:rsid w:val="00D423E7"/>
  </w:style>
  <w:style w:type="paragraph" w:styleId="BalloonText">
    <w:name w:val="Balloon Text"/>
    <w:basedOn w:val="Normal"/>
    <w:link w:val="BalloonTextChar"/>
    <w:uiPriority w:val="99"/>
    <w:semiHidden/>
    <w:unhideWhenUsed/>
    <w:rsid w:val="00D423E7"/>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D423E7"/>
    <w:rPr>
      <w:rFonts w:ascii="ヒラギノ角ゴ ProN W3" w:eastAsia="ヒラギノ角ゴ ProN W3"/>
      <w:sz w:val="18"/>
      <w:szCs w:val="18"/>
    </w:rPr>
  </w:style>
  <w:style w:type="paragraph" w:styleId="Date">
    <w:name w:val="Date"/>
    <w:basedOn w:val="Normal"/>
    <w:next w:val="Normal"/>
    <w:link w:val="DateChar"/>
    <w:uiPriority w:val="99"/>
    <w:unhideWhenUsed/>
    <w:rsid w:val="00A105B7"/>
    <w:rPr>
      <w:rFonts w:ascii="Times New Roman" w:hAnsi="Times New Roman" w:cs="Times New Roman"/>
    </w:rPr>
  </w:style>
  <w:style w:type="character" w:customStyle="1" w:styleId="DateChar">
    <w:name w:val="Date Char"/>
    <w:basedOn w:val="DefaultParagraphFont"/>
    <w:link w:val="Date"/>
    <w:uiPriority w:val="99"/>
    <w:rsid w:val="00A105B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0969D7"/>
    <w:rPr>
      <w:b/>
      <w:bCs/>
    </w:rPr>
  </w:style>
  <w:style w:type="character" w:customStyle="1" w:styleId="CommentSubjectChar">
    <w:name w:val="Comment Subject Char"/>
    <w:basedOn w:val="CommentTextChar"/>
    <w:link w:val="CommentSubject"/>
    <w:uiPriority w:val="99"/>
    <w:semiHidden/>
    <w:rsid w:val="000969D7"/>
    <w:rPr>
      <w:b/>
      <w:bCs/>
    </w:rPr>
  </w:style>
  <w:style w:type="paragraph" w:styleId="Revision">
    <w:name w:val="Revision"/>
    <w:hidden/>
    <w:uiPriority w:val="99"/>
    <w:semiHidden/>
    <w:rsid w:val="004573D4"/>
  </w:style>
  <w:style w:type="paragraph" w:styleId="ListParagraph">
    <w:name w:val="List Paragraph"/>
    <w:basedOn w:val="Normal"/>
    <w:uiPriority w:val="34"/>
    <w:qFormat/>
    <w:rsid w:val="00F53A4C"/>
    <w:pPr>
      <w:ind w:leftChars="400" w:left="960"/>
    </w:pPr>
  </w:style>
  <w:style w:type="table" w:styleId="TableGrid">
    <w:name w:val="Table Grid"/>
    <w:basedOn w:val="TableNormal"/>
    <w:uiPriority w:val="39"/>
    <w:rsid w:val="00C309D4"/>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85F"/>
    <w:pPr>
      <w:tabs>
        <w:tab w:val="center" w:pos="4513"/>
        <w:tab w:val="right" w:pos="9026"/>
      </w:tabs>
    </w:pPr>
  </w:style>
  <w:style w:type="character" w:customStyle="1" w:styleId="HeaderChar">
    <w:name w:val="Header Char"/>
    <w:basedOn w:val="DefaultParagraphFont"/>
    <w:link w:val="Header"/>
    <w:uiPriority w:val="99"/>
    <w:rsid w:val="0038685F"/>
  </w:style>
  <w:style w:type="paragraph" w:styleId="Footer">
    <w:name w:val="footer"/>
    <w:basedOn w:val="Normal"/>
    <w:link w:val="FooterChar"/>
    <w:uiPriority w:val="99"/>
    <w:unhideWhenUsed/>
    <w:rsid w:val="0038685F"/>
    <w:pPr>
      <w:tabs>
        <w:tab w:val="center" w:pos="4513"/>
        <w:tab w:val="right" w:pos="9026"/>
      </w:tabs>
    </w:pPr>
  </w:style>
  <w:style w:type="character" w:customStyle="1" w:styleId="FooterChar">
    <w:name w:val="Footer Char"/>
    <w:basedOn w:val="DefaultParagraphFont"/>
    <w:link w:val="Footer"/>
    <w:uiPriority w:val="99"/>
    <w:rsid w:val="0038685F"/>
  </w:style>
  <w:style w:type="paragraph" w:styleId="HTMLPreformatted">
    <w:name w:val="HTML Preformatted"/>
    <w:basedOn w:val="Normal"/>
    <w:link w:val="HTMLPreformattedChar"/>
    <w:uiPriority w:val="99"/>
    <w:semiHidden/>
    <w:unhideWhenUsed/>
    <w:rsid w:val="003868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val="en-GB" w:eastAsia="en-GB"/>
    </w:rPr>
  </w:style>
  <w:style w:type="character" w:customStyle="1" w:styleId="HTMLPreformattedChar">
    <w:name w:val="HTML Preformatted Char"/>
    <w:basedOn w:val="DefaultParagraphFont"/>
    <w:link w:val="HTMLPreformatted"/>
    <w:uiPriority w:val="99"/>
    <w:semiHidden/>
    <w:rsid w:val="0038685F"/>
    <w:rPr>
      <w:rFonts w:ascii="Courier New" w:eastAsia="Times New Roman" w:hAnsi="Courier New" w:cs="Courier New"/>
      <w:kern w:val="0"/>
      <w:sz w:val="20"/>
      <w:szCs w:val="20"/>
      <w:lang w:val="en-GB" w:eastAsia="en-GB"/>
    </w:rPr>
  </w:style>
  <w:style w:type="character" w:styleId="HTMLCite">
    <w:name w:val="HTML Cite"/>
    <w:basedOn w:val="DefaultParagraphFont"/>
    <w:uiPriority w:val="99"/>
    <w:semiHidden/>
    <w:unhideWhenUsed/>
    <w:rsid w:val="00E81BFB"/>
    <w:rPr>
      <w:i/>
      <w:iCs/>
    </w:rPr>
  </w:style>
  <w:style w:type="paragraph" w:styleId="NormalWeb">
    <w:name w:val="Normal (Web)"/>
    <w:basedOn w:val="Normal"/>
    <w:uiPriority w:val="99"/>
    <w:semiHidden/>
    <w:unhideWhenUsed/>
    <w:rsid w:val="00745804"/>
    <w:pPr>
      <w:widowControl/>
      <w:spacing w:before="100" w:beforeAutospacing="1" w:after="100" w:afterAutospacing="1"/>
      <w:jc w:val="left"/>
    </w:pPr>
    <w:rPr>
      <w:rFonts w:ascii="Times New Roman" w:eastAsia="Times New Roman" w:hAnsi="Times New Roman" w:cs="Times New Roman"/>
      <w:kern w:val="0"/>
      <w:lang w:val="en-GB" w:eastAsia="en-GB"/>
    </w:rPr>
  </w:style>
  <w:style w:type="character" w:styleId="Hyperlink">
    <w:name w:val="Hyperlink"/>
    <w:basedOn w:val="DefaultParagraphFont"/>
    <w:uiPriority w:val="99"/>
    <w:unhideWhenUsed/>
    <w:rsid w:val="00745804"/>
    <w:rPr>
      <w:color w:val="0000FF"/>
      <w:u w:val="single"/>
    </w:rPr>
  </w:style>
  <w:style w:type="character" w:styleId="Strong">
    <w:name w:val="Strong"/>
    <w:basedOn w:val="DefaultParagraphFont"/>
    <w:uiPriority w:val="22"/>
    <w:qFormat/>
    <w:rsid w:val="00745804"/>
    <w:rPr>
      <w:b/>
      <w:bCs/>
    </w:rPr>
  </w:style>
  <w:style w:type="paragraph" w:customStyle="1" w:styleId="EndNoteBibliographyTitle">
    <w:name w:val="EndNote Bibliography Title"/>
    <w:basedOn w:val="Normal"/>
    <w:rsid w:val="00B40B49"/>
    <w:pPr>
      <w:jc w:val="center"/>
    </w:pPr>
    <w:rPr>
      <w:rFonts w:ascii="Century" w:hAnsi="Century"/>
    </w:rPr>
  </w:style>
  <w:style w:type="paragraph" w:customStyle="1" w:styleId="EndNoteBibliography">
    <w:name w:val="EndNote Bibliography"/>
    <w:basedOn w:val="Normal"/>
    <w:rsid w:val="00B40B49"/>
    <w:rPr>
      <w:rFonts w:ascii="Century" w:hAnsi="Century"/>
    </w:rPr>
  </w:style>
  <w:style w:type="character" w:customStyle="1" w:styleId="Heading1Char">
    <w:name w:val="Heading 1 Char"/>
    <w:basedOn w:val="DefaultParagraphFont"/>
    <w:link w:val="Heading1"/>
    <w:uiPriority w:val="9"/>
    <w:rsid w:val="00F94158"/>
    <w:rPr>
      <w:rFonts w:ascii="Times New Roman" w:eastAsia="Times New Roman" w:hAnsi="Times New Roman" w:cs="Times New Roman"/>
      <w:b/>
      <w:bCs/>
      <w:kern w:val="36"/>
      <w:sz w:val="48"/>
      <w:szCs w:val="48"/>
      <w:lang w:val="en-GB" w:eastAsia="en-US"/>
    </w:rPr>
  </w:style>
  <w:style w:type="character" w:customStyle="1" w:styleId="authors-list-item">
    <w:name w:val="authors-list-item"/>
    <w:basedOn w:val="DefaultParagraphFont"/>
    <w:rsid w:val="00F94158"/>
  </w:style>
  <w:style w:type="character" w:customStyle="1" w:styleId="author-sup-separator">
    <w:name w:val="author-sup-separator"/>
    <w:basedOn w:val="DefaultParagraphFont"/>
    <w:rsid w:val="00F94158"/>
  </w:style>
  <w:style w:type="character" w:customStyle="1" w:styleId="comma">
    <w:name w:val="comma"/>
    <w:basedOn w:val="DefaultParagraphFont"/>
    <w:rsid w:val="00F94158"/>
  </w:style>
  <w:style w:type="character" w:customStyle="1" w:styleId="cit">
    <w:name w:val="cit"/>
    <w:basedOn w:val="DefaultParagraphFont"/>
    <w:rsid w:val="003F3673"/>
  </w:style>
  <w:style w:type="character" w:customStyle="1" w:styleId="apple-converted-space">
    <w:name w:val="apple-converted-space"/>
    <w:basedOn w:val="DefaultParagraphFont"/>
    <w:rsid w:val="003F3673"/>
  </w:style>
  <w:style w:type="character" w:customStyle="1" w:styleId="fm-vol-iss-date">
    <w:name w:val="fm-vol-iss-date"/>
    <w:basedOn w:val="DefaultParagraphFont"/>
    <w:rsid w:val="003F3673"/>
  </w:style>
  <w:style w:type="character" w:customStyle="1" w:styleId="doi">
    <w:name w:val="doi"/>
    <w:basedOn w:val="DefaultParagraphFont"/>
    <w:rsid w:val="003F3673"/>
  </w:style>
  <w:style w:type="character" w:customStyle="1" w:styleId="fm-citation-ids-label">
    <w:name w:val="fm-citation-ids-label"/>
    <w:basedOn w:val="DefaultParagraphFont"/>
    <w:rsid w:val="003F3673"/>
  </w:style>
  <w:style w:type="character" w:customStyle="1" w:styleId="Heading4Char">
    <w:name w:val="Heading 4 Char"/>
    <w:basedOn w:val="DefaultParagraphFont"/>
    <w:link w:val="Heading4"/>
    <w:uiPriority w:val="9"/>
    <w:semiHidden/>
    <w:rsid w:val="009A5157"/>
    <w:rPr>
      <w:rFonts w:asciiTheme="majorHAnsi" w:eastAsiaTheme="majorEastAsia" w:hAnsiTheme="majorHAnsi" w:cstheme="majorBidi"/>
      <w:i/>
      <w:iCs/>
      <w:color w:val="365F91" w:themeColor="accent1" w:themeShade="BF"/>
    </w:rPr>
  </w:style>
  <w:style w:type="character" w:customStyle="1" w:styleId="contribdegrees">
    <w:name w:val="contribdegrees"/>
    <w:basedOn w:val="DefaultParagraphFont"/>
    <w:rsid w:val="009A5157"/>
  </w:style>
  <w:style w:type="character" w:customStyle="1" w:styleId="publicationcontentepubdate">
    <w:name w:val="publicationcontentepubdate"/>
    <w:basedOn w:val="DefaultParagraphFont"/>
    <w:rsid w:val="009A5157"/>
  </w:style>
  <w:style w:type="character" w:customStyle="1" w:styleId="articletype">
    <w:name w:val="articletype"/>
    <w:basedOn w:val="DefaultParagraphFont"/>
    <w:rsid w:val="009A5157"/>
  </w:style>
  <w:style w:type="character" w:customStyle="1" w:styleId="Heading2Char">
    <w:name w:val="Heading 2 Char"/>
    <w:basedOn w:val="DefaultParagraphFont"/>
    <w:link w:val="Heading2"/>
    <w:uiPriority w:val="9"/>
    <w:rsid w:val="009A5157"/>
    <w:rPr>
      <w:rFonts w:asciiTheme="majorHAnsi" w:eastAsiaTheme="majorEastAsia" w:hAnsiTheme="majorHAnsi" w:cstheme="majorBidi"/>
      <w:color w:val="365F91" w:themeColor="accent1" w:themeShade="BF"/>
      <w:sz w:val="26"/>
      <w:szCs w:val="26"/>
    </w:rPr>
  </w:style>
  <w:style w:type="character" w:customStyle="1" w:styleId="title-text">
    <w:name w:val="title-text"/>
    <w:basedOn w:val="DefaultParagraphFont"/>
    <w:rsid w:val="009A5157"/>
  </w:style>
  <w:style w:type="character" w:customStyle="1" w:styleId="sr-only">
    <w:name w:val="sr-only"/>
    <w:basedOn w:val="DefaultParagraphFont"/>
    <w:rsid w:val="009A5157"/>
  </w:style>
  <w:style w:type="character" w:customStyle="1" w:styleId="text">
    <w:name w:val="text"/>
    <w:basedOn w:val="DefaultParagraphFont"/>
    <w:rsid w:val="009A5157"/>
  </w:style>
  <w:style w:type="character" w:customStyle="1" w:styleId="author-ref">
    <w:name w:val="author-ref"/>
    <w:basedOn w:val="DefaultParagraphFont"/>
    <w:rsid w:val="009A5157"/>
  </w:style>
  <w:style w:type="character" w:styleId="FollowedHyperlink">
    <w:name w:val="FollowedHyperlink"/>
    <w:basedOn w:val="DefaultParagraphFont"/>
    <w:uiPriority w:val="99"/>
    <w:semiHidden/>
    <w:unhideWhenUsed/>
    <w:rsid w:val="009A2E27"/>
    <w:rPr>
      <w:color w:val="800080" w:themeColor="followedHyperlink"/>
      <w:u w:val="single"/>
    </w:rPr>
  </w:style>
  <w:style w:type="character" w:customStyle="1" w:styleId="mixed-citation">
    <w:name w:val="mixed-citation"/>
    <w:basedOn w:val="DefaultParagraphFont"/>
    <w:rsid w:val="005203C1"/>
  </w:style>
  <w:style w:type="character" w:customStyle="1" w:styleId="ref-title">
    <w:name w:val="ref-title"/>
    <w:basedOn w:val="DefaultParagraphFont"/>
    <w:rsid w:val="005203C1"/>
  </w:style>
  <w:style w:type="character" w:styleId="Emphasis">
    <w:name w:val="Emphasis"/>
    <w:basedOn w:val="DefaultParagraphFont"/>
    <w:uiPriority w:val="20"/>
    <w:qFormat/>
    <w:rsid w:val="005203C1"/>
    <w:rPr>
      <w:i/>
      <w:iCs/>
    </w:rPr>
  </w:style>
  <w:style w:type="character" w:customStyle="1" w:styleId="ref-vol">
    <w:name w:val="ref-vol"/>
    <w:basedOn w:val="DefaultParagraphFont"/>
    <w:rsid w:val="005203C1"/>
  </w:style>
  <w:style w:type="character" w:customStyle="1" w:styleId="nowrap">
    <w:name w:val="nowrap"/>
    <w:basedOn w:val="DefaultParagraphFont"/>
    <w:rsid w:val="005203C1"/>
  </w:style>
  <w:style w:type="paragraph" w:styleId="NoSpacing">
    <w:name w:val="No Spacing"/>
    <w:uiPriority w:val="1"/>
    <w:qFormat/>
    <w:rsid w:val="00743F3F"/>
    <w:pPr>
      <w:widowControl w:val="0"/>
      <w:jc w:val="both"/>
    </w:pPr>
  </w:style>
  <w:style w:type="character" w:styleId="IntenseReference">
    <w:name w:val="Intense Reference"/>
    <w:basedOn w:val="DefaultParagraphFont"/>
    <w:uiPriority w:val="32"/>
    <w:qFormat/>
    <w:rsid w:val="00743F3F"/>
    <w:rPr>
      <w:b/>
      <w:bCs/>
      <w:smallCaps/>
      <w:color w:val="4F81BD" w:themeColor="accent1"/>
      <w:spacing w:val="5"/>
    </w:rPr>
  </w:style>
  <w:style w:type="table" w:styleId="GridTable1Light-Accent1">
    <w:name w:val="Grid Table 1 Light Accent 1"/>
    <w:basedOn w:val="TableNormal"/>
    <w:uiPriority w:val="46"/>
    <w:rsid w:val="005B1A3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99"/>
    <w:rsid w:val="005B1A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99"/>
    <w:rsid w:val="00B9557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99"/>
    <w:rsid w:val="00B9557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99"/>
    <w:rsid w:val="00B955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99"/>
    <w:rsid w:val="00B9557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132">
      <w:bodyDiv w:val="1"/>
      <w:marLeft w:val="0"/>
      <w:marRight w:val="0"/>
      <w:marTop w:val="0"/>
      <w:marBottom w:val="0"/>
      <w:divBdr>
        <w:top w:val="none" w:sz="0" w:space="0" w:color="auto"/>
        <w:left w:val="none" w:sz="0" w:space="0" w:color="auto"/>
        <w:bottom w:val="none" w:sz="0" w:space="0" w:color="auto"/>
        <w:right w:val="none" w:sz="0" w:space="0" w:color="auto"/>
      </w:divBdr>
      <w:divsChild>
        <w:div w:id="67579266">
          <w:marLeft w:val="0"/>
          <w:marRight w:val="0"/>
          <w:marTop w:val="0"/>
          <w:marBottom w:val="0"/>
          <w:divBdr>
            <w:top w:val="none" w:sz="0" w:space="0" w:color="auto"/>
            <w:left w:val="none" w:sz="0" w:space="0" w:color="auto"/>
            <w:bottom w:val="none" w:sz="0" w:space="0" w:color="auto"/>
            <w:right w:val="none" w:sz="0" w:space="0" w:color="auto"/>
          </w:divBdr>
        </w:div>
        <w:div w:id="1472671467">
          <w:marLeft w:val="0"/>
          <w:marRight w:val="0"/>
          <w:marTop w:val="0"/>
          <w:marBottom w:val="0"/>
          <w:divBdr>
            <w:top w:val="none" w:sz="0" w:space="0" w:color="auto"/>
            <w:left w:val="none" w:sz="0" w:space="0" w:color="auto"/>
            <w:bottom w:val="none" w:sz="0" w:space="0" w:color="auto"/>
            <w:right w:val="none" w:sz="0" w:space="0" w:color="auto"/>
          </w:divBdr>
        </w:div>
      </w:divsChild>
    </w:div>
    <w:div w:id="89283781">
      <w:bodyDiv w:val="1"/>
      <w:marLeft w:val="0"/>
      <w:marRight w:val="0"/>
      <w:marTop w:val="0"/>
      <w:marBottom w:val="0"/>
      <w:divBdr>
        <w:top w:val="none" w:sz="0" w:space="0" w:color="auto"/>
        <w:left w:val="none" w:sz="0" w:space="0" w:color="auto"/>
        <w:bottom w:val="none" w:sz="0" w:space="0" w:color="auto"/>
        <w:right w:val="none" w:sz="0" w:space="0" w:color="auto"/>
      </w:divBdr>
    </w:div>
    <w:div w:id="111901339">
      <w:bodyDiv w:val="1"/>
      <w:marLeft w:val="0"/>
      <w:marRight w:val="0"/>
      <w:marTop w:val="0"/>
      <w:marBottom w:val="0"/>
      <w:divBdr>
        <w:top w:val="none" w:sz="0" w:space="0" w:color="auto"/>
        <w:left w:val="none" w:sz="0" w:space="0" w:color="auto"/>
        <w:bottom w:val="none" w:sz="0" w:space="0" w:color="auto"/>
        <w:right w:val="none" w:sz="0" w:space="0" w:color="auto"/>
      </w:divBdr>
      <w:divsChild>
        <w:div w:id="935796511">
          <w:marLeft w:val="0"/>
          <w:marRight w:val="0"/>
          <w:marTop w:val="0"/>
          <w:marBottom w:val="0"/>
          <w:divBdr>
            <w:top w:val="none" w:sz="0" w:space="0" w:color="auto"/>
            <w:left w:val="none" w:sz="0" w:space="0" w:color="auto"/>
            <w:bottom w:val="none" w:sz="0" w:space="0" w:color="auto"/>
            <w:right w:val="none" w:sz="0" w:space="0" w:color="auto"/>
          </w:divBdr>
          <w:divsChild>
            <w:div w:id="1813406234">
              <w:marLeft w:val="0"/>
              <w:marRight w:val="0"/>
              <w:marTop w:val="0"/>
              <w:marBottom w:val="0"/>
              <w:divBdr>
                <w:top w:val="none" w:sz="0" w:space="0" w:color="auto"/>
                <w:left w:val="none" w:sz="0" w:space="0" w:color="auto"/>
                <w:bottom w:val="none" w:sz="0" w:space="0" w:color="auto"/>
                <w:right w:val="none" w:sz="0" w:space="0" w:color="auto"/>
              </w:divBdr>
              <w:divsChild>
                <w:div w:id="3454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6959">
      <w:bodyDiv w:val="1"/>
      <w:marLeft w:val="0"/>
      <w:marRight w:val="0"/>
      <w:marTop w:val="0"/>
      <w:marBottom w:val="0"/>
      <w:divBdr>
        <w:top w:val="none" w:sz="0" w:space="0" w:color="auto"/>
        <w:left w:val="none" w:sz="0" w:space="0" w:color="auto"/>
        <w:bottom w:val="none" w:sz="0" w:space="0" w:color="auto"/>
        <w:right w:val="none" w:sz="0" w:space="0" w:color="auto"/>
      </w:divBdr>
    </w:div>
    <w:div w:id="208302873">
      <w:bodyDiv w:val="1"/>
      <w:marLeft w:val="0"/>
      <w:marRight w:val="0"/>
      <w:marTop w:val="0"/>
      <w:marBottom w:val="0"/>
      <w:divBdr>
        <w:top w:val="none" w:sz="0" w:space="0" w:color="auto"/>
        <w:left w:val="none" w:sz="0" w:space="0" w:color="auto"/>
        <w:bottom w:val="none" w:sz="0" w:space="0" w:color="auto"/>
        <w:right w:val="none" w:sz="0" w:space="0" w:color="auto"/>
      </w:divBdr>
      <w:divsChild>
        <w:div w:id="1144661649">
          <w:marLeft w:val="0"/>
          <w:marRight w:val="0"/>
          <w:marTop w:val="0"/>
          <w:marBottom w:val="0"/>
          <w:divBdr>
            <w:top w:val="none" w:sz="0" w:space="0" w:color="auto"/>
            <w:left w:val="none" w:sz="0" w:space="0" w:color="auto"/>
            <w:bottom w:val="none" w:sz="0" w:space="0" w:color="auto"/>
            <w:right w:val="none" w:sz="0" w:space="0" w:color="auto"/>
          </w:divBdr>
          <w:divsChild>
            <w:div w:id="574827034">
              <w:marLeft w:val="0"/>
              <w:marRight w:val="0"/>
              <w:marTop w:val="0"/>
              <w:marBottom w:val="0"/>
              <w:divBdr>
                <w:top w:val="none" w:sz="0" w:space="0" w:color="auto"/>
                <w:left w:val="none" w:sz="0" w:space="0" w:color="auto"/>
                <w:bottom w:val="none" w:sz="0" w:space="0" w:color="auto"/>
                <w:right w:val="none" w:sz="0" w:space="0" w:color="auto"/>
              </w:divBdr>
              <w:divsChild>
                <w:div w:id="12896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38748">
      <w:bodyDiv w:val="1"/>
      <w:marLeft w:val="0"/>
      <w:marRight w:val="0"/>
      <w:marTop w:val="0"/>
      <w:marBottom w:val="0"/>
      <w:divBdr>
        <w:top w:val="none" w:sz="0" w:space="0" w:color="auto"/>
        <w:left w:val="none" w:sz="0" w:space="0" w:color="auto"/>
        <w:bottom w:val="none" w:sz="0" w:space="0" w:color="auto"/>
        <w:right w:val="none" w:sz="0" w:space="0" w:color="auto"/>
      </w:divBdr>
    </w:div>
    <w:div w:id="298072860">
      <w:bodyDiv w:val="1"/>
      <w:marLeft w:val="0"/>
      <w:marRight w:val="0"/>
      <w:marTop w:val="0"/>
      <w:marBottom w:val="0"/>
      <w:divBdr>
        <w:top w:val="none" w:sz="0" w:space="0" w:color="auto"/>
        <w:left w:val="none" w:sz="0" w:space="0" w:color="auto"/>
        <w:bottom w:val="none" w:sz="0" w:space="0" w:color="auto"/>
        <w:right w:val="none" w:sz="0" w:space="0" w:color="auto"/>
      </w:divBdr>
    </w:div>
    <w:div w:id="414474868">
      <w:bodyDiv w:val="1"/>
      <w:marLeft w:val="0"/>
      <w:marRight w:val="0"/>
      <w:marTop w:val="0"/>
      <w:marBottom w:val="0"/>
      <w:divBdr>
        <w:top w:val="none" w:sz="0" w:space="0" w:color="auto"/>
        <w:left w:val="none" w:sz="0" w:space="0" w:color="auto"/>
        <w:bottom w:val="none" w:sz="0" w:space="0" w:color="auto"/>
        <w:right w:val="none" w:sz="0" w:space="0" w:color="auto"/>
      </w:divBdr>
    </w:div>
    <w:div w:id="540478715">
      <w:bodyDiv w:val="1"/>
      <w:marLeft w:val="0"/>
      <w:marRight w:val="0"/>
      <w:marTop w:val="0"/>
      <w:marBottom w:val="0"/>
      <w:divBdr>
        <w:top w:val="none" w:sz="0" w:space="0" w:color="auto"/>
        <w:left w:val="none" w:sz="0" w:space="0" w:color="auto"/>
        <w:bottom w:val="none" w:sz="0" w:space="0" w:color="auto"/>
        <w:right w:val="none" w:sz="0" w:space="0" w:color="auto"/>
      </w:divBdr>
    </w:div>
    <w:div w:id="578948180">
      <w:bodyDiv w:val="1"/>
      <w:marLeft w:val="0"/>
      <w:marRight w:val="0"/>
      <w:marTop w:val="0"/>
      <w:marBottom w:val="0"/>
      <w:divBdr>
        <w:top w:val="none" w:sz="0" w:space="0" w:color="auto"/>
        <w:left w:val="none" w:sz="0" w:space="0" w:color="auto"/>
        <w:bottom w:val="none" w:sz="0" w:space="0" w:color="auto"/>
        <w:right w:val="none" w:sz="0" w:space="0" w:color="auto"/>
      </w:divBdr>
    </w:div>
    <w:div w:id="654721097">
      <w:bodyDiv w:val="1"/>
      <w:marLeft w:val="0"/>
      <w:marRight w:val="0"/>
      <w:marTop w:val="0"/>
      <w:marBottom w:val="0"/>
      <w:divBdr>
        <w:top w:val="none" w:sz="0" w:space="0" w:color="auto"/>
        <w:left w:val="none" w:sz="0" w:space="0" w:color="auto"/>
        <w:bottom w:val="none" w:sz="0" w:space="0" w:color="auto"/>
        <w:right w:val="none" w:sz="0" w:space="0" w:color="auto"/>
      </w:divBdr>
    </w:div>
    <w:div w:id="687945728">
      <w:bodyDiv w:val="1"/>
      <w:marLeft w:val="0"/>
      <w:marRight w:val="0"/>
      <w:marTop w:val="0"/>
      <w:marBottom w:val="0"/>
      <w:divBdr>
        <w:top w:val="none" w:sz="0" w:space="0" w:color="auto"/>
        <w:left w:val="none" w:sz="0" w:space="0" w:color="auto"/>
        <w:bottom w:val="none" w:sz="0" w:space="0" w:color="auto"/>
        <w:right w:val="none" w:sz="0" w:space="0" w:color="auto"/>
      </w:divBdr>
    </w:div>
    <w:div w:id="811825975">
      <w:bodyDiv w:val="1"/>
      <w:marLeft w:val="0"/>
      <w:marRight w:val="0"/>
      <w:marTop w:val="0"/>
      <w:marBottom w:val="0"/>
      <w:divBdr>
        <w:top w:val="none" w:sz="0" w:space="0" w:color="auto"/>
        <w:left w:val="none" w:sz="0" w:space="0" w:color="auto"/>
        <w:bottom w:val="none" w:sz="0" w:space="0" w:color="auto"/>
        <w:right w:val="none" w:sz="0" w:space="0" w:color="auto"/>
      </w:divBdr>
    </w:div>
    <w:div w:id="860319537">
      <w:bodyDiv w:val="1"/>
      <w:marLeft w:val="0"/>
      <w:marRight w:val="0"/>
      <w:marTop w:val="0"/>
      <w:marBottom w:val="0"/>
      <w:divBdr>
        <w:top w:val="none" w:sz="0" w:space="0" w:color="auto"/>
        <w:left w:val="none" w:sz="0" w:space="0" w:color="auto"/>
        <w:bottom w:val="none" w:sz="0" w:space="0" w:color="auto"/>
        <w:right w:val="none" w:sz="0" w:space="0" w:color="auto"/>
      </w:divBdr>
    </w:div>
    <w:div w:id="874780296">
      <w:bodyDiv w:val="1"/>
      <w:marLeft w:val="0"/>
      <w:marRight w:val="0"/>
      <w:marTop w:val="0"/>
      <w:marBottom w:val="0"/>
      <w:divBdr>
        <w:top w:val="none" w:sz="0" w:space="0" w:color="auto"/>
        <w:left w:val="none" w:sz="0" w:space="0" w:color="auto"/>
        <w:bottom w:val="none" w:sz="0" w:space="0" w:color="auto"/>
        <w:right w:val="none" w:sz="0" w:space="0" w:color="auto"/>
      </w:divBdr>
    </w:div>
    <w:div w:id="927428174">
      <w:bodyDiv w:val="1"/>
      <w:marLeft w:val="0"/>
      <w:marRight w:val="0"/>
      <w:marTop w:val="0"/>
      <w:marBottom w:val="0"/>
      <w:divBdr>
        <w:top w:val="none" w:sz="0" w:space="0" w:color="auto"/>
        <w:left w:val="none" w:sz="0" w:space="0" w:color="auto"/>
        <w:bottom w:val="none" w:sz="0" w:space="0" w:color="auto"/>
        <w:right w:val="none" w:sz="0" w:space="0" w:color="auto"/>
      </w:divBdr>
    </w:div>
    <w:div w:id="971717630">
      <w:bodyDiv w:val="1"/>
      <w:marLeft w:val="0"/>
      <w:marRight w:val="0"/>
      <w:marTop w:val="0"/>
      <w:marBottom w:val="0"/>
      <w:divBdr>
        <w:top w:val="none" w:sz="0" w:space="0" w:color="auto"/>
        <w:left w:val="none" w:sz="0" w:space="0" w:color="auto"/>
        <w:bottom w:val="none" w:sz="0" w:space="0" w:color="auto"/>
        <w:right w:val="none" w:sz="0" w:space="0" w:color="auto"/>
      </w:divBdr>
      <w:divsChild>
        <w:div w:id="1748839219">
          <w:marLeft w:val="0"/>
          <w:marRight w:val="0"/>
          <w:marTop w:val="0"/>
          <w:marBottom w:val="166"/>
          <w:divBdr>
            <w:top w:val="none" w:sz="0" w:space="0" w:color="auto"/>
            <w:left w:val="none" w:sz="0" w:space="0" w:color="auto"/>
            <w:bottom w:val="none" w:sz="0" w:space="0" w:color="auto"/>
            <w:right w:val="none" w:sz="0" w:space="0" w:color="auto"/>
          </w:divBdr>
          <w:divsChild>
            <w:div w:id="539976653">
              <w:marLeft w:val="0"/>
              <w:marRight w:val="0"/>
              <w:marTop w:val="0"/>
              <w:marBottom w:val="0"/>
              <w:divBdr>
                <w:top w:val="none" w:sz="0" w:space="0" w:color="auto"/>
                <w:left w:val="none" w:sz="0" w:space="0" w:color="auto"/>
                <w:bottom w:val="none" w:sz="0" w:space="0" w:color="auto"/>
                <w:right w:val="none" w:sz="0" w:space="0" w:color="auto"/>
              </w:divBdr>
              <w:divsChild>
                <w:div w:id="975261205">
                  <w:marLeft w:val="0"/>
                  <w:marRight w:val="0"/>
                  <w:marTop w:val="0"/>
                  <w:marBottom w:val="0"/>
                  <w:divBdr>
                    <w:top w:val="none" w:sz="0" w:space="0" w:color="auto"/>
                    <w:left w:val="none" w:sz="0" w:space="0" w:color="auto"/>
                    <w:bottom w:val="none" w:sz="0" w:space="0" w:color="auto"/>
                    <w:right w:val="none" w:sz="0" w:space="0" w:color="auto"/>
                  </w:divBdr>
                  <w:divsChild>
                    <w:div w:id="1049571939">
                      <w:marLeft w:val="0"/>
                      <w:marRight w:val="0"/>
                      <w:marTop w:val="0"/>
                      <w:marBottom w:val="0"/>
                      <w:divBdr>
                        <w:top w:val="none" w:sz="0" w:space="0" w:color="auto"/>
                        <w:left w:val="none" w:sz="0" w:space="0" w:color="auto"/>
                        <w:bottom w:val="none" w:sz="0" w:space="0" w:color="auto"/>
                        <w:right w:val="none" w:sz="0" w:space="0" w:color="auto"/>
                      </w:divBdr>
                    </w:div>
                    <w:div w:id="2320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4070">
              <w:marLeft w:val="0"/>
              <w:marRight w:val="0"/>
              <w:marTop w:val="0"/>
              <w:marBottom w:val="0"/>
              <w:divBdr>
                <w:top w:val="none" w:sz="0" w:space="0" w:color="auto"/>
                <w:left w:val="none" w:sz="0" w:space="0" w:color="auto"/>
                <w:bottom w:val="none" w:sz="0" w:space="0" w:color="auto"/>
                <w:right w:val="none" w:sz="0" w:space="0" w:color="auto"/>
              </w:divBdr>
              <w:divsChild>
                <w:div w:id="1447235931">
                  <w:marLeft w:val="0"/>
                  <w:marRight w:val="0"/>
                  <w:marTop w:val="0"/>
                  <w:marBottom w:val="0"/>
                  <w:divBdr>
                    <w:top w:val="none" w:sz="0" w:space="0" w:color="auto"/>
                    <w:left w:val="none" w:sz="0" w:space="0" w:color="auto"/>
                    <w:bottom w:val="none" w:sz="0" w:space="0" w:color="auto"/>
                    <w:right w:val="none" w:sz="0" w:space="0" w:color="auto"/>
                  </w:divBdr>
                </w:div>
                <w:div w:id="18316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60566">
          <w:marLeft w:val="0"/>
          <w:marRight w:val="0"/>
          <w:marTop w:val="166"/>
          <w:marBottom w:val="166"/>
          <w:divBdr>
            <w:top w:val="none" w:sz="0" w:space="0" w:color="auto"/>
            <w:left w:val="none" w:sz="0" w:space="0" w:color="auto"/>
            <w:bottom w:val="none" w:sz="0" w:space="0" w:color="auto"/>
            <w:right w:val="none" w:sz="0" w:space="0" w:color="auto"/>
          </w:divBdr>
          <w:divsChild>
            <w:div w:id="13986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9607">
      <w:bodyDiv w:val="1"/>
      <w:marLeft w:val="0"/>
      <w:marRight w:val="0"/>
      <w:marTop w:val="0"/>
      <w:marBottom w:val="0"/>
      <w:divBdr>
        <w:top w:val="none" w:sz="0" w:space="0" w:color="auto"/>
        <w:left w:val="none" w:sz="0" w:space="0" w:color="auto"/>
        <w:bottom w:val="none" w:sz="0" w:space="0" w:color="auto"/>
        <w:right w:val="none" w:sz="0" w:space="0" w:color="auto"/>
      </w:divBdr>
      <w:divsChild>
        <w:div w:id="138543119">
          <w:marLeft w:val="0"/>
          <w:marRight w:val="0"/>
          <w:marTop w:val="0"/>
          <w:marBottom w:val="120"/>
          <w:divBdr>
            <w:top w:val="none" w:sz="0" w:space="0" w:color="auto"/>
            <w:left w:val="none" w:sz="0" w:space="0" w:color="auto"/>
            <w:bottom w:val="single" w:sz="12" w:space="9" w:color="EBEBEB"/>
            <w:right w:val="none" w:sz="0" w:space="0" w:color="auto"/>
          </w:divBdr>
          <w:divsChild>
            <w:div w:id="981158123">
              <w:marLeft w:val="0"/>
              <w:marRight w:val="0"/>
              <w:marTop w:val="100"/>
              <w:marBottom w:val="100"/>
              <w:divBdr>
                <w:top w:val="none" w:sz="0" w:space="0" w:color="auto"/>
                <w:left w:val="none" w:sz="0" w:space="0" w:color="auto"/>
                <w:bottom w:val="none" w:sz="0" w:space="0" w:color="auto"/>
                <w:right w:val="none" w:sz="0" w:space="0" w:color="auto"/>
              </w:divBdr>
              <w:divsChild>
                <w:div w:id="9154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81082">
          <w:marLeft w:val="0"/>
          <w:marRight w:val="0"/>
          <w:marTop w:val="0"/>
          <w:marBottom w:val="0"/>
          <w:divBdr>
            <w:top w:val="none" w:sz="0" w:space="0" w:color="auto"/>
            <w:left w:val="none" w:sz="0" w:space="0" w:color="auto"/>
            <w:bottom w:val="none" w:sz="0" w:space="0" w:color="auto"/>
            <w:right w:val="none" w:sz="0" w:space="0" w:color="auto"/>
          </w:divBdr>
        </w:div>
        <w:div w:id="1562906159">
          <w:marLeft w:val="0"/>
          <w:marRight w:val="0"/>
          <w:marTop w:val="0"/>
          <w:marBottom w:val="120"/>
          <w:divBdr>
            <w:top w:val="none" w:sz="0" w:space="0" w:color="auto"/>
            <w:left w:val="none" w:sz="0" w:space="0" w:color="auto"/>
            <w:bottom w:val="none" w:sz="0" w:space="0" w:color="auto"/>
            <w:right w:val="none" w:sz="0" w:space="0" w:color="auto"/>
          </w:divBdr>
          <w:divsChild>
            <w:div w:id="1979068021">
              <w:marLeft w:val="0"/>
              <w:marRight w:val="0"/>
              <w:marTop w:val="0"/>
              <w:marBottom w:val="0"/>
              <w:divBdr>
                <w:top w:val="none" w:sz="0" w:space="0" w:color="auto"/>
                <w:left w:val="none" w:sz="0" w:space="0" w:color="auto"/>
                <w:bottom w:val="none" w:sz="0" w:space="0" w:color="auto"/>
                <w:right w:val="none" w:sz="0" w:space="0" w:color="auto"/>
              </w:divBdr>
              <w:divsChild>
                <w:div w:id="1759712187">
                  <w:marLeft w:val="0"/>
                  <w:marRight w:val="0"/>
                  <w:marTop w:val="0"/>
                  <w:marBottom w:val="0"/>
                  <w:divBdr>
                    <w:top w:val="none" w:sz="0" w:space="0" w:color="auto"/>
                    <w:left w:val="none" w:sz="0" w:space="0" w:color="auto"/>
                    <w:bottom w:val="none" w:sz="0" w:space="0" w:color="auto"/>
                    <w:right w:val="none" w:sz="0" w:space="0" w:color="auto"/>
                  </w:divBdr>
                  <w:divsChild>
                    <w:div w:id="6735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265935">
      <w:bodyDiv w:val="1"/>
      <w:marLeft w:val="0"/>
      <w:marRight w:val="0"/>
      <w:marTop w:val="0"/>
      <w:marBottom w:val="0"/>
      <w:divBdr>
        <w:top w:val="none" w:sz="0" w:space="0" w:color="auto"/>
        <w:left w:val="none" w:sz="0" w:space="0" w:color="auto"/>
        <w:bottom w:val="none" w:sz="0" w:space="0" w:color="auto"/>
        <w:right w:val="none" w:sz="0" w:space="0" w:color="auto"/>
      </w:divBdr>
    </w:div>
    <w:div w:id="1433939861">
      <w:bodyDiv w:val="1"/>
      <w:marLeft w:val="0"/>
      <w:marRight w:val="0"/>
      <w:marTop w:val="0"/>
      <w:marBottom w:val="0"/>
      <w:divBdr>
        <w:top w:val="none" w:sz="0" w:space="0" w:color="auto"/>
        <w:left w:val="none" w:sz="0" w:space="0" w:color="auto"/>
        <w:bottom w:val="none" w:sz="0" w:space="0" w:color="auto"/>
        <w:right w:val="none" w:sz="0" w:space="0" w:color="auto"/>
      </w:divBdr>
    </w:div>
    <w:div w:id="1485589996">
      <w:bodyDiv w:val="1"/>
      <w:marLeft w:val="0"/>
      <w:marRight w:val="0"/>
      <w:marTop w:val="0"/>
      <w:marBottom w:val="0"/>
      <w:divBdr>
        <w:top w:val="none" w:sz="0" w:space="0" w:color="auto"/>
        <w:left w:val="none" w:sz="0" w:space="0" w:color="auto"/>
        <w:bottom w:val="none" w:sz="0" w:space="0" w:color="auto"/>
        <w:right w:val="none" w:sz="0" w:space="0" w:color="auto"/>
      </w:divBdr>
    </w:div>
    <w:div w:id="1495996179">
      <w:bodyDiv w:val="1"/>
      <w:marLeft w:val="0"/>
      <w:marRight w:val="0"/>
      <w:marTop w:val="0"/>
      <w:marBottom w:val="0"/>
      <w:divBdr>
        <w:top w:val="none" w:sz="0" w:space="0" w:color="auto"/>
        <w:left w:val="none" w:sz="0" w:space="0" w:color="auto"/>
        <w:bottom w:val="none" w:sz="0" w:space="0" w:color="auto"/>
        <w:right w:val="none" w:sz="0" w:space="0" w:color="auto"/>
      </w:divBdr>
    </w:div>
    <w:div w:id="1504319638">
      <w:bodyDiv w:val="1"/>
      <w:marLeft w:val="0"/>
      <w:marRight w:val="0"/>
      <w:marTop w:val="0"/>
      <w:marBottom w:val="0"/>
      <w:divBdr>
        <w:top w:val="none" w:sz="0" w:space="0" w:color="auto"/>
        <w:left w:val="none" w:sz="0" w:space="0" w:color="auto"/>
        <w:bottom w:val="none" w:sz="0" w:space="0" w:color="auto"/>
        <w:right w:val="none" w:sz="0" w:space="0" w:color="auto"/>
      </w:divBdr>
    </w:div>
    <w:div w:id="1504660612">
      <w:bodyDiv w:val="1"/>
      <w:marLeft w:val="0"/>
      <w:marRight w:val="0"/>
      <w:marTop w:val="0"/>
      <w:marBottom w:val="0"/>
      <w:divBdr>
        <w:top w:val="none" w:sz="0" w:space="0" w:color="auto"/>
        <w:left w:val="none" w:sz="0" w:space="0" w:color="auto"/>
        <w:bottom w:val="none" w:sz="0" w:space="0" w:color="auto"/>
        <w:right w:val="none" w:sz="0" w:space="0" w:color="auto"/>
      </w:divBdr>
    </w:div>
    <w:div w:id="1541091588">
      <w:bodyDiv w:val="1"/>
      <w:marLeft w:val="0"/>
      <w:marRight w:val="0"/>
      <w:marTop w:val="0"/>
      <w:marBottom w:val="0"/>
      <w:divBdr>
        <w:top w:val="none" w:sz="0" w:space="0" w:color="auto"/>
        <w:left w:val="none" w:sz="0" w:space="0" w:color="auto"/>
        <w:bottom w:val="none" w:sz="0" w:space="0" w:color="auto"/>
        <w:right w:val="none" w:sz="0" w:space="0" w:color="auto"/>
      </w:divBdr>
      <w:divsChild>
        <w:div w:id="1988393563">
          <w:marLeft w:val="0"/>
          <w:marRight w:val="0"/>
          <w:marTop w:val="0"/>
          <w:marBottom w:val="166"/>
          <w:divBdr>
            <w:top w:val="none" w:sz="0" w:space="0" w:color="auto"/>
            <w:left w:val="none" w:sz="0" w:space="0" w:color="auto"/>
            <w:bottom w:val="none" w:sz="0" w:space="0" w:color="auto"/>
            <w:right w:val="none" w:sz="0" w:space="0" w:color="auto"/>
          </w:divBdr>
          <w:divsChild>
            <w:div w:id="611981869">
              <w:marLeft w:val="0"/>
              <w:marRight w:val="0"/>
              <w:marTop w:val="0"/>
              <w:marBottom w:val="0"/>
              <w:divBdr>
                <w:top w:val="none" w:sz="0" w:space="0" w:color="auto"/>
                <w:left w:val="none" w:sz="0" w:space="0" w:color="auto"/>
                <w:bottom w:val="none" w:sz="0" w:space="0" w:color="auto"/>
                <w:right w:val="none" w:sz="0" w:space="0" w:color="auto"/>
              </w:divBdr>
              <w:divsChild>
                <w:div w:id="1884440942">
                  <w:marLeft w:val="0"/>
                  <w:marRight w:val="0"/>
                  <w:marTop w:val="0"/>
                  <w:marBottom w:val="0"/>
                  <w:divBdr>
                    <w:top w:val="none" w:sz="0" w:space="0" w:color="auto"/>
                    <w:left w:val="none" w:sz="0" w:space="0" w:color="auto"/>
                    <w:bottom w:val="none" w:sz="0" w:space="0" w:color="auto"/>
                    <w:right w:val="none" w:sz="0" w:space="0" w:color="auto"/>
                  </w:divBdr>
                  <w:divsChild>
                    <w:div w:id="1229221450">
                      <w:marLeft w:val="0"/>
                      <w:marRight w:val="0"/>
                      <w:marTop w:val="0"/>
                      <w:marBottom w:val="0"/>
                      <w:divBdr>
                        <w:top w:val="none" w:sz="0" w:space="0" w:color="auto"/>
                        <w:left w:val="none" w:sz="0" w:space="0" w:color="auto"/>
                        <w:bottom w:val="none" w:sz="0" w:space="0" w:color="auto"/>
                        <w:right w:val="none" w:sz="0" w:space="0" w:color="auto"/>
                      </w:divBdr>
                    </w:div>
                    <w:div w:id="102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97342">
              <w:marLeft w:val="0"/>
              <w:marRight w:val="0"/>
              <w:marTop w:val="0"/>
              <w:marBottom w:val="0"/>
              <w:divBdr>
                <w:top w:val="none" w:sz="0" w:space="0" w:color="auto"/>
                <w:left w:val="none" w:sz="0" w:space="0" w:color="auto"/>
                <w:bottom w:val="none" w:sz="0" w:space="0" w:color="auto"/>
                <w:right w:val="none" w:sz="0" w:space="0" w:color="auto"/>
              </w:divBdr>
              <w:divsChild>
                <w:div w:id="1306853963">
                  <w:marLeft w:val="0"/>
                  <w:marRight w:val="0"/>
                  <w:marTop w:val="0"/>
                  <w:marBottom w:val="0"/>
                  <w:divBdr>
                    <w:top w:val="none" w:sz="0" w:space="0" w:color="auto"/>
                    <w:left w:val="none" w:sz="0" w:space="0" w:color="auto"/>
                    <w:bottom w:val="none" w:sz="0" w:space="0" w:color="auto"/>
                    <w:right w:val="none" w:sz="0" w:space="0" w:color="auto"/>
                  </w:divBdr>
                </w:div>
                <w:div w:id="20649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80792">
          <w:marLeft w:val="0"/>
          <w:marRight w:val="0"/>
          <w:marTop w:val="166"/>
          <w:marBottom w:val="166"/>
          <w:divBdr>
            <w:top w:val="none" w:sz="0" w:space="0" w:color="auto"/>
            <w:left w:val="none" w:sz="0" w:space="0" w:color="auto"/>
            <w:bottom w:val="none" w:sz="0" w:space="0" w:color="auto"/>
            <w:right w:val="none" w:sz="0" w:space="0" w:color="auto"/>
          </w:divBdr>
          <w:divsChild>
            <w:div w:id="5417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9378">
      <w:bodyDiv w:val="1"/>
      <w:marLeft w:val="0"/>
      <w:marRight w:val="0"/>
      <w:marTop w:val="0"/>
      <w:marBottom w:val="0"/>
      <w:divBdr>
        <w:top w:val="none" w:sz="0" w:space="0" w:color="auto"/>
        <w:left w:val="none" w:sz="0" w:space="0" w:color="auto"/>
        <w:bottom w:val="none" w:sz="0" w:space="0" w:color="auto"/>
        <w:right w:val="none" w:sz="0" w:space="0" w:color="auto"/>
      </w:divBdr>
    </w:div>
    <w:div w:id="1713531136">
      <w:bodyDiv w:val="1"/>
      <w:marLeft w:val="0"/>
      <w:marRight w:val="0"/>
      <w:marTop w:val="0"/>
      <w:marBottom w:val="0"/>
      <w:divBdr>
        <w:top w:val="none" w:sz="0" w:space="0" w:color="auto"/>
        <w:left w:val="none" w:sz="0" w:space="0" w:color="auto"/>
        <w:bottom w:val="none" w:sz="0" w:space="0" w:color="auto"/>
        <w:right w:val="none" w:sz="0" w:space="0" w:color="auto"/>
      </w:divBdr>
    </w:div>
    <w:div w:id="1741557868">
      <w:bodyDiv w:val="1"/>
      <w:marLeft w:val="0"/>
      <w:marRight w:val="0"/>
      <w:marTop w:val="0"/>
      <w:marBottom w:val="0"/>
      <w:divBdr>
        <w:top w:val="none" w:sz="0" w:space="0" w:color="auto"/>
        <w:left w:val="none" w:sz="0" w:space="0" w:color="auto"/>
        <w:bottom w:val="none" w:sz="0" w:space="0" w:color="auto"/>
        <w:right w:val="none" w:sz="0" w:space="0" w:color="auto"/>
      </w:divBdr>
    </w:div>
    <w:div w:id="1763601133">
      <w:bodyDiv w:val="1"/>
      <w:marLeft w:val="0"/>
      <w:marRight w:val="0"/>
      <w:marTop w:val="0"/>
      <w:marBottom w:val="0"/>
      <w:divBdr>
        <w:top w:val="none" w:sz="0" w:space="0" w:color="auto"/>
        <w:left w:val="none" w:sz="0" w:space="0" w:color="auto"/>
        <w:bottom w:val="none" w:sz="0" w:space="0" w:color="auto"/>
        <w:right w:val="none" w:sz="0" w:space="0" w:color="auto"/>
      </w:divBdr>
    </w:div>
    <w:div w:id="1771853121">
      <w:bodyDiv w:val="1"/>
      <w:marLeft w:val="0"/>
      <w:marRight w:val="0"/>
      <w:marTop w:val="0"/>
      <w:marBottom w:val="0"/>
      <w:divBdr>
        <w:top w:val="none" w:sz="0" w:space="0" w:color="auto"/>
        <w:left w:val="none" w:sz="0" w:space="0" w:color="auto"/>
        <w:bottom w:val="none" w:sz="0" w:space="0" w:color="auto"/>
        <w:right w:val="none" w:sz="0" w:space="0" w:color="auto"/>
      </w:divBdr>
      <w:divsChild>
        <w:div w:id="2105415783">
          <w:marLeft w:val="0"/>
          <w:marRight w:val="0"/>
          <w:marTop w:val="0"/>
          <w:marBottom w:val="0"/>
          <w:divBdr>
            <w:top w:val="none" w:sz="0" w:space="0" w:color="auto"/>
            <w:left w:val="none" w:sz="0" w:space="0" w:color="auto"/>
            <w:bottom w:val="none" w:sz="0" w:space="0" w:color="auto"/>
            <w:right w:val="none" w:sz="0" w:space="0" w:color="auto"/>
          </w:divBdr>
          <w:divsChild>
            <w:div w:id="881553409">
              <w:marLeft w:val="0"/>
              <w:marRight w:val="0"/>
              <w:marTop w:val="0"/>
              <w:marBottom w:val="0"/>
              <w:divBdr>
                <w:top w:val="none" w:sz="0" w:space="0" w:color="auto"/>
                <w:left w:val="none" w:sz="0" w:space="0" w:color="auto"/>
                <w:bottom w:val="none" w:sz="0" w:space="0" w:color="auto"/>
                <w:right w:val="none" w:sz="0" w:space="0" w:color="auto"/>
              </w:divBdr>
            </w:div>
          </w:divsChild>
        </w:div>
        <w:div w:id="2109422842">
          <w:marLeft w:val="0"/>
          <w:marRight w:val="0"/>
          <w:marTop w:val="0"/>
          <w:marBottom w:val="150"/>
          <w:divBdr>
            <w:top w:val="none" w:sz="0" w:space="0" w:color="auto"/>
            <w:left w:val="none" w:sz="0" w:space="0" w:color="auto"/>
            <w:bottom w:val="none" w:sz="0" w:space="0" w:color="auto"/>
            <w:right w:val="none" w:sz="0" w:space="0" w:color="auto"/>
          </w:divBdr>
          <w:divsChild>
            <w:div w:id="21710643">
              <w:marLeft w:val="0"/>
              <w:marRight w:val="0"/>
              <w:marTop w:val="0"/>
              <w:marBottom w:val="0"/>
              <w:divBdr>
                <w:top w:val="none" w:sz="0" w:space="0" w:color="auto"/>
                <w:left w:val="none" w:sz="0" w:space="0" w:color="auto"/>
                <w:bottom w:val="none" w:sz="0" w:space="0" w:color="auto"/>
                <w:right w:val="none" w:sz="0" w:space="0" w:color="auto"/>
              </w:divBdr>
              <w:divsChild>
                <w:div w:id="287663631">
                  <w:marLeft w:val="0"/>
                  <w:marRight w:val="0"/>
                  <w:marTop w:val="0"/>
                  <w:marBottom w:val="0"/>
                  <w:divBdr>
                    <w:top w:val="none" w:sz="0" w:space="0" w:color="auto"/>
                    <w:left w:val="none" w:sz="0" w:space="0" w:color="auto"/>
                    <w:bottom w:val="none" w:sz="0" w:space="0" w:color="auto"/>
                    <w:right w:val="none" w:sz="0" w:space="0" w:color="auto"/>
                  </w:divBdr>
                  <w:divsChild>
                    <w:div w:id="9929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4607">
          <w:marLeft w:val="0"/>
          <w:marRight w:val="0"/>
          <w:marTop w:val="30"/>
          <w:marBottom w:val="105"/>
          <w:divBdr>
            <w:top w:val="none" w:sz="0" w:space="0" w:color="auto"/>
            <w:left w:val="none" w:sz="0" w:space="0" w:color="auto"/>
            <w:bottom w:val="none" w:sz="0" w:space="0" w:color="auto"/>
            <w:right w:val="none" w:sz="0" w:space="0" w:color="auto"/>
          </w:divBdr>
          <w:divsChild>
            <w:div w:id="1862551624">
              <w:marLeft w:val="0"/>
              <w:marRight w:val="0"/>
              <w:marTop w:val="0"/>
              <w:marBottom w:val="0"/>
              <w:divBdr>
                <w:top w:val="none" w:sz="0" w:space="0" w:color="auto"/>
                <w:left w:val="none" w:sz="0" w:space="0" w:color="auto"/>
                <w:bottom w:val="none" w:sz="0" w:space="0" w:color="auto"/>
                <w:right w:val="none" w:sz="0" w:space="0" w:color="auto"/>
              </w:divBdr>
              <w:divsChild>
                <w:div w:id="419107791">
                  <w:marLeft w:val="0"/>
                  <w:marRight w:val="0"/>
                  <w:marTop w:val="0"/>
                  <w:marBottom w:val="0"/>
                  <w:divBdr>
                    <w:top w:val="none" w:sz="0" w:space="0" w:color="auto"/>
                    <w:left w:val="none" w:sz="0" w:space="0" w:color="auto"/>
                    <w:bottom w:val="none" w:sz="0" w:space="0" w:color="auto"/>
                    <w:right w:val="none" w:sz="0" w:space="0" w:color="auto"/>
                  </w:divBdr>
                  <w:divsChild>
                    <w:div w:id="277955783">
                      <w:marLeft w:val="0"/>
                      <w:marRight w:val="0"/>
                      <w:marTop w:val="0"/>
                      <w:marBottom w:val="0"/>
                      <w:divBdr>
                        <w:top w:val="none" w:sz="0" w:space="0" w:color="auto"/>
                        <w:left w:val="none" w:sz="0" w:space="0" w:color="auto"/>
                        <w:bottom w:val="none" w:sz="0" w:space="0" w:color="auto"/>
                        <w:right w:val="none" w:sz="0" w:space="0" w:color="auto"/>
                      </w:divBdr>
                      <w:divsChild>
                        <w:div w:id="13573877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40377035">
              <w:marLeft w:val="0"/>
              <w:marRight w:val="0"/>
              <w:marTop w:val="0"/>
              <w:marBottom w:val="0"/>
              <w:divBdr>
                <w:top w:val="none" w:sz="0" w:space="0" w:color="auto"/>
                <w:left w:val="none" w:sz="0" w:space="0" w:color="auto"/>
                <w:bottom w:val="none" w:sz="0" w:space="0" w:color="auto"/>
                <w:right w:val="none" w:sz="0" w:space="0" w:color="auto"/>
              </w:divBdr>
              <w:divsChild>
                <w:div w:id="439032825">
                  <w:marLeft w:val="0"/>
                  <w:marRight w:val="0"/>
                  <w:marTop w:val="0"/>
                  <w:marBottom w:val="0"/>
                  <w:divBdr>
                    <w:top w:val="none" w:sz="0" w:space="0" w:color="auto"/>
                    <w:left w:val="none" w:sz="0" w:space="0" w:color="auto"/>
                    <w:bottom w:val="none" w:sz="0" w:space="0" w:color="auto"/>
                    <w:right w:val="none" w:sz="0" w:space="0" w:color="auto"/>
                  </w:divBdr>
                  <w:divsChild>
                    <w:div w:id="424157967">
                      <w:marLeft w:val="0"/>
                      <w:marRight w:val="0"/>
                      <w:marTop w:val="0"/>
                      <w:marBottom w:val="0"/>
                      <w:divBdr>
                        <w:top w:val="none" w:sz="0" w:space="0" w:color="auto"/>
                        <w:left w:val="none" w:sz="0" w:space="0" w:color="auto"/>
                        <w:bottom w:val="none" w:sz="0" w:space="0" w:color="auto"/>
                        <w:right w:val="none" w:sz="0" w:space="0" w:color="auto"/>
                      </w:divBdr>
                      <w:divsChild>
                        <w:div w:id="1252398452">
                          <w:marLeft w:val="0"/>
                          <w:marRight w:val="0"/>
                          <w:marTop w:val="0"/>
                          <w:marBottom w:val="0"/>
                          <w:divBdr>
                            <w:top w:val="none" w:sz="0" w:space="0" w:color="auto"/>
                            <w:left w:val="none" w:sz="0" w:space="0" w:color="auto"/>
                            <w:bottom w:val="none" w:sz="0" w:space="0" w:color="auto"/>
                            <w:right w:val="none" w:sz="0" w:space="0" w:color="auto"/>
                          </w:divBdr>
                          <w:divsChild>
                            <w:div w:id="218904738">
                              <w:marLeft w:val="0"/>
                              <w:marRight w:val="0"/>
                              <w:marTop w:val="0"/>
                              <w:marBottom w:val="0"/>
                              <w:divBdr>
                                <w:top w:val="none" w:sz="0" w:space="0" w:color="auto"/>
                                <w:left w:val="none" w:sz="0" w:space="0" w:color="auto"/>
                                <w:bottom w:val="none" w:sz="0" w:space="0" w:color="auto"/>
                                <w:right w:val="none" w:sz="0" w:space="0" w:color="auto"/>
                              </w:divBdr>
                              <w:divsChild>
                                <w:div w:id="487093230">
                                  <w:marLeft w:val="0"/>
                                  <w:marRight w:val="0"/>
                                  <w:marTop w:val="0"/>
                                  <w:marBottom w:val="0"/>
                                  <w:divBdr>
                                    <w:top w:val="none" w:sz="0" w:space="0" w:color="auto"/>
                                    <w:left w:val="none" w:sz="0" w:space="0" w:color="auto"/>
                                    <w:bottom w:val="none" w:sz="0" w:space="0" w:color="auto"/>
                                    <w:right w:val="none" w:sz="0" w:space="0" w:color="auto"/>
                                  </w:divBdr>
                                  <w:divsChild>
                                    <w:div w:id="1230532353">
                                      <w:marLeft w:val="0"/>
                                      <w:marRight w:val="0"/>
                                      <w:marTop w:val="0"/>
                                      <w:marBottom w:val="0"/>
                                      <w:divBdr>
                                        <w:top w:val="none" w:sz="0" w:space="0" w:color="auto"/>
                                        <w:left w:val="none" w:sz="0" w:space="0" w:color="auto"/>
                                        <w:bottom w:val="none" w:sz="0" w:space="0" w:color="auto"/>
                                        <w:right w:val="none" w:sz="0" w:space="0" w:color="auto"/>
                                      </w:divBdr>
                                      <w:divsChild>
                                        <w:div w:id="1374963751">
                                          <w:marLeft w:val="0"/>
                                          <w:marRight w:val="0"/>
                                          <w:marTop w:val="0"/>
                                          <w:marBottom w:val="0"/>
                                          <w:divBdr>
                                            <w:top w:val="none" w:sz="0" w:space="0" w:color="auto"/>
                                            <w:left w:val="none" w:sz="0" w:space="0" w:color="auto"/>
                                            <w:bottom w:val="none" w:sz="0" w:space="0" w:color="auto"/>
                                            <w:right w:val="none" w:sz="0" w:space="0" w:color="auto"/>
                                          </w:divBdr>
                                          <w:divsChild>
                                            <w:div w:id="876164092">
                                              <w:marLeft w:val="0"/>
                                              <w:marRight w:val="0"/>
                                              <w:marTop w:val="0"/>
                                              <w:marBottom w:val="0"/>
                                              <w:divBdr>
                                                <w:top w:val="none" w:sz="0" w:space="0" w:color="auto"/>
                                                <w:left w:val="none" w:sz="0" w:space="0" w:color="auto"/>
                                                <w:bottom w:val="none" w:sz="0" w:space="0" w:color="auto"/>
                                                <w:right w:val="none" w:sz="0" w:space="0" w:color="auto"/>
                                              </w:divBdr>
                                              <w:divsChild>
                                                <w:div w:id="784278582">
                                                  <w:marLeft w:val="0"/>
                                                  <w:marRight w:val="0"/>
                                                  <w:marTop w:val="0"/>
                                                  <w:marBottom w:val="0"/>
                                                  <w:divBdr>
                                                    <w:top w:val="none" w:sz="0" w:space="0" w:color="auto"/>
                                                    <w:left w:val="none" w:sz="0" w:space="0" w:color="auto"/>
                                                    <w:bottom w:val="none" w:sz="0" w:space="0" w:color="auto"/>
                                                    <w:right w:val="none" w:sz="0" w:space="0" w:color="auto"/>
                                                  </w:divBdr>
                                                  <w:divsChild>
                                                    <w:div w:id="1979413266">
                                                      <w:marLeft w:val="0"/>
                                                      <w:marRight w:val="0"/>
                                                      <w:marTop w:val="0"/>
                                                      <w:marBottom w:val="0"/>
                                                      <w:divBdr>
                                                        <w:top w:val="none" w:sz="0" w:space="0" w:color="auto"/>
                                                        <w:left w:val="none" w:sz="0" w:space="0" w:color="auto"/>
                                                        <w:bottom w:val="none" w:sz="0" w:space="0" w:color="auto"/>
                                                        <w:right w:val="none" w:sz="0" w:space="0" w:color="auto"/>
                                                      </w:divBdr>
                                                      <w:divsChild>
                                                        <w:div w:id="148595323">
                                                          <w:marLeft w:val="0"/>
                                                          <w:marRight w:val="0"/>
                                                          <w:marTop w:val="0"/>
                                                          <w:marBottom w:val="0"/>
                                                          <w:divBdr>
                                                            <w:top w:val="none" w:sz="0" w:space="0" w:color="auto"/>
                                                            <w:left w:val="none" w:sz="0" w:space="0" w:color="auto"/>
                                                            <w:bottom w:val="none" w:sz="0" w:space="0" w:color="auto"/>
                                                            <w:right w:val="none" w:sz="0" w:space="0" w:color="auto"/>
                                                          </w:divBdr>
                                                          <w:divsChild>
                                                            <w:div w:id="2040817411">
                                                              <w:marLeft w:val="0"/>
                                                              <w:marRight w:val="0"/>
                                                              <w:marTop w:val="0"/>
                                                              <w:marBottom w:val="0"/>
                                                              <w:divBdr>
                                                                <w:top w:val="none" w:sz="0" w:space="0" w:color="auto"/>
                                                                <w:left w:val="none" w:sz="0" w:space="0" w:color="auto"/>
                                                                <w:bottom w:val="none" w:sz="0" w:space="0" w:color="auto"/>
                                                                <w:right w:val="none" w:sz="0" w:space="0" w:color="auto"/>
                                                              </w:divBdr>
                                                            </w:div>
                                                          </w:divsChild>
                                                        </w:div>
                                                        <w:div w:id="1412894277">
                                                          <w:marLeft w:val="0"/>
                                                          <w:marRight w:val="0"/>
                                                          <w:marTop w:val="0"/>
                                                          <w:marBottom w:val="0"/>
                                                          <w:divBdr>
                                                            <w:top w:val="none" w:sz="0" w:space="0" w:color="auto"/>
                                                            <w:left w:val="none" w:sz="0" w:space="0" w:color="auto"/>
                                                            <w:bottom w:val="none" w:sz="0" w:space="0" w:color="auto"/>
                                                            <w:right w:val="none" w:sz="0" w:space="0" w:color="auto"/>
                                                          </w:divBdr>
                                                          <w:divsChild>
                                                            <w:div w:id="331496067">
                                                              <w:marLeft w:val="0"/>
                                                              <w:marRight w:val="0"/>
                                                              <w:marTop w:val="0"/>
                                                              <w:marBottom w:val="0"/>
                                                              <w:divBdr>
                                                                <w:top w:val="none" w:sz="0" w:space="0" w:color="auto"/>
                                                                <w:left w:val="none" w:sz="0" w:space="0" w:color="auto"/>
                                                                <w:bottom w:val="none" w:sz="0" w:space="0" w:color="auto"/>
                                                                <w:right w:val="none" w:sz="0" w:space="0" w:color="auto"/>
                                                              </w:divBdr>
                                                              <w:divsChild>
                                                                <w:div w:id="746880887">
                                                                  <w:marLeft w:val="0"/>
                                                                  <w:marRight w:val="0"/>
                                                                  <w:marTop w:val="0"/>
                                                                  <w:marBottom w:val="0"/>
                                                                  <w:divBdr>
                                                                    <w:top w:val="none" w:sz="0" w:space="0" w:color="auto"/>
                                                                    <w:left w:val="none" w:sz="0" w:space="0" w:color="auto"/>
                                                                    <w:bottom w:val="none" w:sz="0" w:space="0" w:color="auto"/>
                                                                    <w:right w:val="none" w:sz="0" w:space="0" w:color="auto"/>
                                                                  </w:divBdr>
                                                                  <w:divsChild>
                                                                    <w:div w:id="861208891">
                                                                      <w:marLeft w:val="0"/>
                                                                      <w:marRight w:val="0"/>
                                                                      <w:marTop w:val="0"/>
                                                                      <w:marBottom w:val="0"/>
                                                                      <w:divBdr>
                                                                        <w:top w:val="none" w:sz="0" w:space="0" w:color="auto"/>
                                                                        <w:left w:val="none" w:sz="0" w:space="0" w:color="auto"/>
                                                                        <w:bottom w:val="none" w:sz="0" w:space="0" w:color="auto"/>
                                                                        <w:right w:val="none" w:sz="0" w:space="0" w:color="auto"/>
                                                                      </w:divBdr>
                                                                      <w:divsChild>
                                                                        <w:div w:id="1979454353">
                                                                          <w:marLeft w:val="0"/>
                                                                          <w:marRight w:val="0"/>
                                                                          <w:marTop w:val="75"/>
                                                                          <w:marBottom w:val="75"/>
                                                                          <w:divBdr>
                                                                            <w:top w:val="none" w:sz="0" w:space="0" w:color="auto"/>
                                                                            <w:left w:val="none" w:sz="0" w:space="0" w:color="auto"/>
                                                                            <w:bottom w:val="none" w:sz="0" w:space="0" w:color="auto"/>
                                                                            <w:right w:val="none" w:sz="0" w:space="0" w:color="auto"/>
                                                                          </w:divBdr>
                                                                          <w:divsChild>
                                                                            <w:div w:id="1999142150">
                                                                              <w:marLeft w:val="0"/>
                                                                              <w:marRight w:val="0"/>
                                                                              <w:marTop w:val="0"/>
                                                                              <w:marBottom w:val="0"/>
                                                                              <w:divBdr>
                                                                                <w:top w:val="none" w:sz="0" w:space="0" w:color="auto"/>
                                                                                <w:left w:val="none" w:sz="0" w:space="0" w:color="auto"/>
                                                                                <w:bottom w:val="none" w:sz="0" w:space="0" w:color="auto"/>
                                                                                <w:right w:val="none" w:sz="0" w:space="0" w:color="auto"/>
                                                                              </w:divBdr>
                                                                              <w:divsChild>
                                                                                <w:div w:id="34893001">
                                                                                  <w:marLeft w:val="0"/>
                                                                                  <w:marRight w:val="0"/>
                                                                                  <w:marTop w:val="0"/>
                                                                                  <w:marBottom w:val="0"/>
                                                                                  <w:divBdr>
                                                                                    <w:top w:val="none" w:sz="0" w:space="0" w:color="auto"/>
                                                                                    <w:left w:val="none" w:sz="0" w:space="0" w:color="auto"/>
                                                                                    <w:bottom w:val="none" w:sz="0" w:space="0" w:color="auto"/>
                                                                                    <w:right w:val="none" w:sz="0" w:space="0" w:color="auto"/>
                                                                                  </w:divBdr>
                                                                                  <w:divsChild>
                                                                                    <w:div w:id="79876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177903">
                                          <w:marLeft w:val="0"/>
                                          <w:marRight w:val="0"/>
                                          <w:marTop w:val="0"/>
                                          <w:marBottom w:val="0"/>
                                          <w:divBdr>
                                            <w:top w:val="none" w:sz="0" w:space="0" w:color="auto"/>
                                            <w:left w:val="none" w:sz="0" w:space="0" w:color="auto"/>
                                            <w:bottom w:val="none" w:sz="0" w:space="0" w:color="auto"/>
                                            <w:right w:val="none" w:sz="0" w:space="0" w:color="auto"/>
                                          </w:divBdr>
                                          <w:divsChild>
                                            <w:div w:id="1913274559">
                                              <w:marLeft w:val="0"/>
                                              <w:marRight w:val="0"/>
                                              <w:marTop w:val="0"/>
                                              <w:marBottom w:val="0"/>
                                              <w:divBdr>
                                                <w:top w:val="none" w:sz="0" w:space="0" w:color="auto"/>
                                                <w:left w:val="none" w:sz="0" w:space="0" w:color="auto"/>
                                                <w:bottom w:val="none" w:sz="0" w:space="0" w:color="auto"/>
                                                <w:right w:val="none" w:sz="0" w:space="0" w:color="auto"/>
                                              </w:divBdr>
                                              <w:divsChild>
                                                <w:div w:id="1245382866">
                                                  <w:marLeft w:val="0"/>
                                                  <w:marRight w:val="0"/>
                                                  <w:marTop w:val="0"/>
                                                  <w:marBottom w:val="0"/>
                                                  <w:divBdr>
                                                    <w:top w:val="none" w:sz="0" w:space="0" w:color="auto"/>
                                                    <w:left w:val="none" w:sz="0" w:space="0" w:color="auto"/>
                                                    <w:bottom w:val="none" w:sz="0" w:space="0" w:color="auto"/>
                                                    <w:right w:val="none" w:sz="0" w:space="0" w:color="auto"/>
                                                  </w:divBdr>
                                                  <w:divsChild>
                                                    <w:div w:id="2138452720">
                                                      <w:marLeft w:val="0"/>
                                                      <w:marRight w:val="0"/>
                                                      <w:marTop w:val="150"/>
                                                      <w:marBottom w:val="0"/>
                                                      <w:divBdr>
                                                        <w:top w:val="none" w:sz="0" w:space="0" w:color="auto"/>
                                                        <w:left w:val="none" w:sz="0" w:space="0" w:color="auto"/>
                                                        <w:bottom w:val="none" w:sz="0" w:space="0" w:color="auto"/>
                                                        <w:right w:val="none" w:sz="0" w:space="0" w:color="auto"/>
                                                      </w:divBdr>
                                                      <w:divsChild>
                                                        <w:div w:id="381366548">
                                                          <w:marLeft w:val="0"/>
                                                          <w:marRight w:val="0"/>
                                                          <w:marTop w:val="0"/>
                                                          <w:marBottom w:val="0"/>
                                                          <w:divBdr>
                                                            <w:top w:val="none" w:sz="0" w:space="0" w:color="auto"/>
                                                            <w:left w:val="none" w:sz="0" w:space="0" w:color="auto"/>
                                                            <w:bottom w:val="none" w:sz="0" w:space="0" w:color="auto"/>
                                                            <w:right w:val="none" w:sz="0" w:space="0" w:color="auto"/>
                                                          </w:divBdr>
                                                        </w:div>
                                                        <w:div w:id="1792816956">
                                                          <w:marLeft w:val="0"/>
                                                          <w:marRight w:val="0"/>
                                                          <w:marTop w:val="0"/>
                                                          <w:marBottom w:val="0"/>
                                                          <w:divBdr>
                                                            <w:top w:val="none" w:sz="0" w:space="0" w:color="auto"/>
                                                            <w:left w:val="none" w:sz="0" w:space="0" w:color="auto"/>
                                                            <w:bottom w:val="none" w:sz="0" w:space="0" w:color="auto"/>
                                                            <w:right w:val="none" w:sz="0" w:space="0" w:color="auto"/>
                                                          </w:divBdr>
                                                        </w:div>
                                                      </w:divsChild>
                                                    </w:div>
                                                    <w:div w:id="265355376">
                                                      <w:marLeft w:val="0"/>
                                                      <w:marRight w:val="0"/>
                                                      <w:marTop w:val="0"/>
                                                      <w:marBottom w:val="0"/>
                                                      <w:divBdr>
                                                        <w:top w:val="none" w:sz="0" w:space="0" w:color="auto"/>
                                                        <w:left w:val="none" w:sz="0" w:space="0" w:color="auto"/>
                                                        <w:bottom w:val="none" w:sz="0" w:space="0" w:color="auto"/>
                                                        <w:right w:val="none" w:sz="0" w:space="0" w:color="auto"/>
                                                      </w:divBdr>
                                                      <w:divsChild>
                                                        <w:div w:id="719137231">
                                                          <w:marLeft w:val="0"/>
                                                          <w:marRight w:val="0"/>
                                                          <w:marTop w:val="0"/>
                                                          <w:marBottom w:val="0"/>
                                                          <w:divBdr>
                                                            <w:top w:val="none" w:sz="0" w:space="0" w:color="auto"/>
                                                            <w:left w:val="none" w:sz="0" w:space="0" w:color="auto"/>
                                                            <w:bottom w:val="none" w:sz="0" w:space="0" w:color="auto"/>
                                                            <w:right w:val="none" w:sz="0" w:space="0" w:color="auto"/>
                                                          </w:divBdr>
                                                          <w:divsChild>
                                                            <w:div w:id="911163844">
                                                              <w:marLeft w:val="0"/>
                                                              <w:marRight w:val="0"/>
                                                              <w:marTop w:val="0"/>
                                                              <w:marBottom w:val="0"/>
                                                              <w:divBdr>
                                                                <w:top w:val="none" w:sz="0" w:space="0" w:color="auto"/>
                                                                <w:left w:val="none" w:sz="0" w:space="0" w:color="auto"/>
                                                                <w:bottom w:val="none" w:sz="0" w:space="0" w:color="auto"/>
                                                                <w:right w:val="none" w:sz="0" w:space="0" w:color="auto"/>
                                                              </w:divBdr>
                                                              <w:divsChild>
                                                                <w:div w:id="324549521">
                                                                  <w:marLeft w:val="0"/>
                                                                  <w:marRight w:val="0"/>
                                                                  <w:marTop w:val="0"/>
                                                                  <w:marBottom w:val="0"/>
                                                                  <w:divBdr>
                                                                    <w:top w:val="none" w:sz="0" w:space="0" w:color="auto"/>
                                                                    <w:left w:val="none" w:sz="0" w:space="0" w:color="auto"/>
                                                                    <w:bottom w:val="none" w:sz="0" w:space="0" w:color="auto"/>
                                                                    <w:right w:val="none" w:sz="0" w:space="0" w:color="auto"/>
                                                                  </w:divBdr>
                                                                  <w:divsChild>
                                                                    <w:div w:id="9669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8595116">
      <w:bodyDiv w:val="1"/>
      <w:marLeft w:val="0"/>
      <w:marRight w:val="0"/>
      <w:marTop w:val="0"/>
      <w:marBottom w:val="0"/>
      <w:divBdr>
        <w:top w:val="none" w:sz="0" w:space="0" w:color="auto"/>
        <w:left w:val="none" w:sz="0" w:space="0" w:color="auto"/>
        <w:bottom w:val="none" w:sz="0" w:space="0" w:color="auto"/>
        <w:right w:val="none" w:sz="0" w:space="0" w:color="auto"/>
      </w:divBdr>
    </w:div>
    <w:div w:id="1933736258">
      <w:bodyDiv w:val="1"/>
      <w:marLeft w:val="0"/>
      <w:marRight w:val="0"/>
      <w:marTop w:val="0"/>
      <w:marBottom w:val="0"/>
      <w:divBdr>
        <w:top w:val="none" w:sz="0" w:space="0" w:color="auto"/>
        <w:left w:val="none" w:sz="0" w:space="0" w:color="auto"/>
        <w:bottom w:val="none" w:sz="0" w:space="0" w:color="auto"/>
        <w:right w:val="none" w:sz="0" w:space="0" w:color="auto"/>
      </w:divBdr>
    </w:div>
    <w:div w:id="1963532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h29@medschl.ca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878F3-538A-4B4C-9EB7-DCE3736C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27443</Words>
  <Characters>156428</Characters>
  <Application>Microsoft Office Word</Application>
  <DocSecurity>0</DocSecurity>
  <Lines>1303</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misobe</dc:creator>
  <cp:keywords/>
  <dc:description/>
  <cp:lastModifiedBy>Mary Houston</cp:lastModifiedBy>
  <cp:revision>10</cp:revision>
  <dcterms:created xsi:type="dcterms:W3CDTF">2022-07-05T09:20:00Z</dcterms:created>
  <dcterms:modified xsi:type="dcterms:W3CDTF">2022-07-05T10:13:00Z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http://www.zotero.org/styles/journal-of-psychiatric-research</vt:lpwstr>
  </property>
  <property fmtid="{D5CDD505-2E9C-101B-9397-08002B2CF9AE}" pid="15" name="Mendeley Recent Style Name 6_1">
    <vt:lpwstr>Journal of Psychiatric Research</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http://www.zotero.org/styles/journal-of-psychiatric-research</vt:lpwstr>
  </property>
  <property fmtid="{D5CDD505-2E9C-101B-9397-08002B2CF9AE}" pid="24" name="Mendeley Unique User Id_1">
    <vt:lpwstr>c969e4ca-a9d9-3b5b-b8cc-8f8b1ce0c272</vt:lpwstr>
  </property>
</Properties>
</file>