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BC844" w14:textId="77777777" w:rsidR="00094A3B" w:rsidRPr="009C24A1" w:rsidRDefault="009C24A1" w:rsidP="00F217C6">
      <w:pPr>
        <w:pStyle w:val="NoSpacing"/>
        <w:rPr>
          <w:u w:val="single"/>
        </w:rPr>
      </w:pPr>
      <w:r w:rsidRPr="009C24A1">
        <w:rPr>
          <w:u w:val="single"/>
        </w:rPr>
        <w:t>Title:</w:t>
      </w:r>
    </w:p>
    <w:p w14:paraId="7E2ED7EE" w14:textId="576B4901" w:rsidR="00A27A10" w:rsidRPr="00517C93" w:rsidRDefault="00FB586D" w:rsidP="00531A22">
      <w:pPr>
        <w:pStyle w:val="NoSpacing"/>
        <w:rPr>
          <w:b/>
        </w:rPr>
      </w:pPr>
      <w:r>
        <w:rPr>
          <w:b/>
        </w:rPr>
        <w:t xml:space="preserve">Predictors </w:t>
      </w:r>
      <w:r w:rsidR="00CC7A00">
        <w:rPr>
          <w:b/>
        </w:rPr>
        <w:t xml:space="preserve">of </w:t>
      </w:r>
      <w:r w:rsidR="00D707DF">
        <w:rPr>
          <w:b/>
        </w:rPr>
        <w:t>maternal diet</w:t>
      </w:r>
      <w:r w:rsidR="000C72B3">
        <w:rPr>
          <w:b/>
        </w:rPr>
        <w:t>ary</w:t>
      </w:r>
      <w:r w:rsidR="00D707DF">
        <w:rPr>
          <w:b/>
        </w:rPr>
        <w:t xml:space="preserve"> quality</w:t>
      </w:r>
      <w:r w:rsidR="000C72B3">
        <w:rPr>
          <w:b/>
        </w:rPr>
        <w:t xml:space="preserve"> and dietary inflammation</w:t>
      </w:r>
      <w:r w:rsidR="00D707DF">
        <w:rPr>
          <w:b/>
        </w:rPr>
        <w:t xml:space="preserve"> during pregnancy: a</w:t>
      </w:r>
      <w:r w:rsidR="00A6742A">
        <w:rPr>
          <w:b/>
        </w:rPr>
        <w:t>n individual participant data</w:t>
      </w:r>
      <w:r w:rsidR="00D707DF">
        <w:rPr>
          <w:b/>
        </w:rPr>
        <w:t xml:space="preserve"> meta-analysis of seven European cohorts from the ALPHABET consortium</w:t>
      </w:r>
    </w:p>
    <w:p w14:paraId="661EAFA2" w14:textId="4DADA510" w:rsidR="009C24A1" w:rsidRPr="009C24A1" w:rsidRDefault="009C24A1" w:rsidP="00A05770">
      <w:pPr>
        <w:pStyle w:val="NoSpacing"/>
        <w:rPr>
          <w:color w:val="000000" w:themeColor="text1"/>
          <w:u w:val="single"/>
        </w:rPr>
      </w:pPr>
      <w:r w:rsidRPr="009C24A1">
        <w:rPr>
          <w:color w:val="000000" w:themeColor="text1"/>
          <w:u w:val="single"/>
        </w:rPr>
        <w:t>Aut</w:t>
      </w:r>
      <w:r w:rsidR="00CF352F">
        <w:rPr>
          <w:color w:val="000000" w:themeColor="text1"/>
          <w:u w:val="single"/>
        </w:rPr>
        <w:t>h</w:t>
      </w:r>
      <w:r w:rsidRPr="009C24A1">
        <w:rPr>
          <w:color w:val="000000" w:themeColor="text1"/>
          <w:u w:val="single"/>
        </w:rPr>
        <w:t>or names and affiliations</w:t>
      </w:r>
      <w:r w:rsidR="00F909E3">
        <w:rPr>
          <w:color w:val="000000" w:themeColor="text1"/>
          <w:u w:val="single"/>
        </w:rPr>
        <w:t xml:space="preserve"> (including degrees and institutional/professional affiliations)</w:t>
      </w:r>
      <w:r w:rsidRPr="009C24A1">
        <w:rPr>
          <w:color w:val="000000" w:themeColor="text1"/>
          <w:u w:val="single"/>
        </w:rPr>
        <w:t>:</w:t>
      </w:r>
    </w:p>
    <w:p w14:paraId="4244C287" w14:textId="669DD287" w:rsidR="00A05770" w:rsidRPr="00C22863" w:rsidRDefault="00A05770" w:rsidP="00A05770">
      <w:pPr>
        <w:pStyle w:val="NoSpacing"/>
        <w:rPr>
          <w:color w:val="000000" w:themeColor="text1"/>
          <w:vertAlign w:val="superscript"/>
        </w:rPr>
      </w:pPr>
      <w:r w:rsidRPr="00517C93">
        <w:rPr>
          <w:color w:val="000000" w:themeColor="text1"/>
        </w:rPr>
        <w:t xml:space="preserve">Adrien M. </w:t>
      </w:r>
      <w:r w:rsidRPr="00517C93">
        <w:t>Aubert</w:t>
      </w:r>
      <w:r w:rsidRPr="00517C93">
        <w:rPr>
          <w:vertAlign w:val="superscript"/>
        </w:rPr>
        <w:t>1</w:t>
      </w:r>
      <w:r w:rsidRPr="00517C93">
        <w:t>,</w:t>
      </w:r>
      <w:r w:rsidR="00F909E3">
        <w:t xml:space="preserve"> MSc,</w:t>
      </w:r>
      <w:r w:rsidR="00A27A10" w:rsidRPr="00517C93">
        <w:t xml:space="preserve"> Ling-Wei Chen</w:t>
      </w:r>
      <w:r w:rsidR="00A27A10" w:rsidRPr="00517C93">
        <w:rPr>
          <w:vertAlign w:val="superscript"/>
        </w:rPr>
        <w:t>2</w:t>
      </w:r>
      <w:r w:rsidR="00B37007">
        <w:rPr>
          <w:vertAlign w:val="superscript"/>
        </w:rPr>
        <w:t>,</w:t>
      </w:r>
      <w:r w:rsidR="00065580">
        <w:rPr>
          <w:vertAlign w:val="superscript"/>
        </w:rPr>
        <w:t>3,4</w:t>
      </w:r>
      <w:r w:rsidR="00A27A10" w:rsidRPr="00517C93">
        <w:t>,</w:t>
      </w:r>
      <w:r w:rsidR="006C3483" w:rsidRPr="00517C93">
        <w:t xml:space="preserve"> </w:t>
      </w:r>
      <w:r w:rsidR="004E4356">
        <w:t>PhD</w:t>
      </w:r>
      <w:r w:rsidR="005D73BA">
        <w:t xml:space="preserve">, </w:t>
      </w:r>
      <w:r w:rsidR="00D66E3D">
        <w:t>Nitin Shivappa</w:t>
      </w:r>
      <w:r w:rsidR="00D66E3D">
        <w:rPr>
          <w:vertAlign w:val="superscript"/>
        </w:rPr>
        <w:t>5</w:t>
      </w:r>
      <w:r w:rsidR="006C3483" w:rsidRPr="00517C93">
        <w:t xml:space="preserve">, </w:t>
      </w:r>
      <w:r w:rsidR="00050DB9" w:rsidRPr="00517C93">
        <w:t>Cyrus Cooper</w:t>
      </w:r>
      <w:r w:rsidR="00C71469" w:rsidRPr="00517C93">
        <w:rPr>
          <w:vertAlign w:val="superscript"/>
        </w:rPr>
        <w:t>6</w:t>
      </w:r>
      <w:r w:rsidR="00D66E3D">
        <w:rPr>
          <w:vertAlign w:val="superscript"/>
        </w:rPr>
        <w:t>,7,8</w:t>
      </w:r>
      <w:r w:rsidR="00050DB9" w:rsidRPr="00517C93">
        <w:t>, Sarah R. Crozier</w:t>
      </w:r>
      <w:r w:rsidR="00D66E3D">
        <w:rPr>
          <w:vertAlign w:val="superscript"/>
        </w:rPr>
        <w:t>6</w:t>
      </w:r>
      <w:r w:rsidR="00D70307">
        <w:rPr>
          <w:vertAlign w:val="superscript"/>
        </w:rPr>
        <w:t>,9</w:t>
      </w:r>
      <w:r w:rsidR="00D66E3D">
        <w:t xml:space="preserve">, </w:t>
      </w:r>
      <w:proofErr w:type="spellStart"/>
      <w:r w:rsidR="00D66E3D">
        <w:t>Liesbeth</w:t>
      </w:r>
      <w:proofErr w:type="spellEnd"/>
      <w:r w:rsidR="00D66E3D">
        <w:t xml:space="preserve"> Duijts</w:t>
      </w:r>
      <w:r w:rsidR="00D66E3D">
        <w:rPr>
          <w:vertAlign w:val="superscript"/>
        </w:rPr>
        <w:t>10,11</w:t>
      </w:r>
      <w:r w:rsidR="00D70307">
        <w:rPr>
          <w:vertAlign w:val="superscript"/>
        </w:rPr>
        <w:t>,12</w:t>
      </w:r>
      <w:r w:rsidR="00050DB9" w:rsidRPr="00517C93">
        <w:t>,</w:t>
      </w:r>
      <w:r w:rsidR="004D731E" w:rsidRPr="004D731E">
        <w:t xml:space="preserve"> </w:t>
      </w:r>
      <w:r w:rsidR="004D731E" w:rsidRPr="00517C93">
        <w:t>Anne Forhan</w:t>
      </w:r>
      <w:r w:rsidR="004D731E" w:rsidRPr="00517C93">
        <w:rPr>
          <w:vertAlign w:val="superscript"/>
        </w:rPr>
        <w:t>1</w:t>
      </w:r>
      <w:r w:rsidR="00CF352F">
        <w:t>, MSc</w:t>
      </w:r>
      <w:r w:rsidR="004D731E" w:rsidRPr="00517C93">
        <w:t>,</w:t>
      </w:r>
      <w:r w:rsidR="00D66E3D">
        <w:t xml:space="preserve"> Wojciech Hanke</w:t>
      </w:r>
      <w:r w:rsidR="00C71469" w:rsidRPr="00517C93">
        <w:rPr>
          <w:vertAlign w:val="superscript"/>
        </w:rPr>
        <w:t>1</w:t>
      </w:r>
      <w:r w:rsidR="00D81493">
        <w:rPr>
          <w:vertAlign w:val="superscript"/>
        </w:rPr>
        <w:t>3</w:t>
      </w:r>
      <w:r w:rsidR="00050DB9" w:rsidRPr="00517C93">
        <w:t>,</w:t>
      </w:r>
      <w:r w:rsidR="00293826">
        <w:t xml:space="preserve"> PhD,</w:t>
      </w:r>
      <w:r w:rsidR="00050DB9" w:rsidRPr="00517C93">
        <w:t xml:space="preserve"> Nicholas C. Harvey</w:t>
      </w:r>
      <w:r w:rsidR="00D66E3D">
        <w:rPr>
          <w:vertAlign w:val="superscript"/>
        </w:rPr>
        <w:t>6,7</w:t>
      </w:r>
      <w:r w:rsidR="00050DB9" w:rsidRPr="00517C93">
        <w:t>, Agnieszka Jankowska</w:t>
      </w:r>
      <w:r w:rsidR="00C71469" w:rsidRPr="00517C93">
        <w:rPr>
          <w:vertAlign w:val="superscript"/>
        </w:rPr>
        <w:t>1</w:t>
      </w:r>
      <w:r w:rsidR="00D81493">
        <w:rPr>
          <w:vertAlign w:val="superscript"/>
        </w:rPr>
        <w:t>4</w:t>
      </w:r>
      <w:r w:rsidR="00050DB9" w:rsidRPr="00517C93">
        <w:t>,</w:t>
      </w:r>
      <w:r w:rsidR="00293826">
        <w:t xml:space="preserve"> MPH,</w:t>
      </w:r>
      <w:r w:rsidR="00D66E3D">
        <w:t xml:space="preserve"> Cecily C. Kelleher</w:t>
      </w:r>
      <w:r w:rsidR="00A27A10" w:rsidRPr="00517C93">
        <w:rPr>
          <w:vertAlign w:val="superscript"/>
        </w:rPr>
        <w:t>2</w:t>
      </w:r>
      <w:r w:rsidR="00050DB9" w:rsidRPr="00517C93">
        <w:t>, B</w:t>
      </w:r>
      <w:r w:rsidRPr="00517C93">
        <w:t>landine de Lauzon-Guillain</w:t>
      </w:r>
      <w:r w:rsidRPr="00517C93">
        <w:rPr>
          <w:vertAlign w:val="superscript"/>
        </w:rPr>
        <w:t>1</w:t>
      </w:r>
      <w:r w:rsidRPr="00517C93">
        <w:t>,</w:t>
      </w:r>
      <w:r w:rsidR="00A26403">
        <w:t xml:space="preserve"> PhD,</w:t>
      </w:r>
      <w:r w:rsidRPr="00517C93">
        <w:t xml:space="preserve"> </w:t>
      </w:r>
      <w:proofErr w:type="spellStart"/>
      <w:r w:rsidR="00C71469" w:rsidRPr="00517C93">
        <w:t>Fionnuala</w:t>
      </w:r>
      <w:proofErr w:type="spellEnd"/>
      <w:r w:rsidR="00C71469" w:rsidRPr="00517C93">
        <w:t xml:space="preserve"> M. McAuliffe</w:t>
      </w:r>
      <w:r w:rsidR="00C71469" w:rsidRPr="00517C93">
        <w:rPr>
          <w:vertAlign w:val="superscript"/>
        </w:rPr>
        <w:t>1</w:t>
      </w:r>
      <w:r w:rsidR="00D81493">
        <w:rPr>
          <w:vertAlign w:val="superscript"/>
        </w:rPr>
        <w:t>5</w:t>
      </w:r>
      <w:r w:rsidR="00C71469" w:rsidRPr="00517C93">
        <w:t xml:space="preserve">, </w:t>
      </w:r>
      <w:r w:rsidRPr="00517C93">
        <w:t>Sara M. Mensink-Bout</w:t>
      </w:r>
      <w:r w:rsidR="00D66E3D">
        <w:rPr>
          <w:vertAlign w:val="superscript"/>
        </w:rPr>
        <w:t>10</w:t>
      </w:r>
      <w:r w:rsidR="00D70307">
        <w:rPr>
          <w:vertAlign w:val="superscript"/>
        </w:rPr>
        <w:t>,11</w:t>
      </w:r>
      <w:r w:rsidRPr="00517C93">
        <w:t xml:space="preserve">, </w:t>
      </w:r>
      <w:r w:rsidR="00C71469" w:rsidRPr="00517C93">
        <w:t>Kinga Polanska</w:t>
      </w:r>
      <w:r w:rsidR="00C71469" w:rsidRPr="00517C93">
        <w:rPr>
          <w:vertAlign w:val="superscript"/>
        </w:rPr>
        <w:t>1</w:t>
      </w:r>
      <w:r w:rsidR="00D81493">
        <w:rPr>
          <w:vertAlign w:val="superscript"/>
        </w:rPr>
        <w:t>4</w:t>
      </w:r>
      <w:r w:rsidR="00C71469" w:rsidRPr="00517C93">
        <w:t xml:space="preserve">, </w:t>
      </w:r>
      <w:r w:rsidR="00050DB9" w:rsidRPr="00517C93">
        <w:t>Caroline L. Relton</w:t>
      </w:r>
      <w:r w:rsidR="00C71469" w:rsidRPr="00517C93">
        <w:rPr>
          <w:vertAlign w:val="superscript"/>
        </w:rPr>
        <w:t>1</w:t>
      </w:r>
      <w:r w:rsidR="00D81493">
        <w:rPr>
          <w:vertAlign w:val="superscript"/>
        </w:rPr>
        <w:t>6</w:t>
      </w:r>
      <w:r w:rsidR="00050DB9" w:rsidRPr="00517C93">
        <w:t xml:space="preserve">, </w:t>
      </w:r>
      <w:r w:rsidRPr="00517C93">
        <w:t>Matthew Suderman</w:t>
      </w:r>
      <w:r w:rsidR="00C71469" w:rsidRPr="00517C93">
        <w:rPr>
          <w:vertAlign w:val="superscript"/>
        </w:rPr>
        <w:t>1</w:t>
      </w:r>
      <w:r w:rsidR="00D81493">
        <w:rPr>
          <w:vertAlign w:val="superscript"/>
        </w:rPr>
        <w:t>6</w:t>
      </w:r>
      <w:r w:rsidRPr="00517C93">
        <w:t xml:space="preserve">, </w:t>
      </w:r>
      <w:r w:rsidR="00121789" w:rsidRPr="00517C93">
        <w:t xml:space="preserve">James </w:t>
      </w:r>
      <w:r w:rsidR="00104F20">
        <w:t>R</w:t>
      </w:r>
      <w:r w:rsidR="00D66E3D">
        <w:t>. Hebert</w:t>
      </w:r>
      <w:r w:rsidR="00D66E3D">
        <w:rPr>
          <w:vertAlign w:val="superscript"/>
        </w:rPr>
        <w:t>5</w:t>
      </w:r>
      <w:r w:rsidR="00121789" w:rsidRPr="00517C93">
        <w:t>,</w:t>
      </w:r>
      <w:r w:rsidR="006C501E">
        <w:t xml:space="preserve"> </w:t>
      </w:r>
      <w:r w:rsidR="006C501E" w:rsidRPr="00517C93">
        <w:t>Catherine M. Phillips</w:t>
      </w:r>
      <w:r w:rsidR="006C501E" w:rsidRPr="00517C93">
        <w:rPr>
          <w:vertAlign w:val="superscript"/>
        </w:rPr>
        <w:t>2</w:t>
      </w:r>
      <w:r w:rsidR="006C501E">
        <w:t xml:space="preserve">, </w:t>
      </w:r>
      <w:r w:rsidR="000C72B3">
        <w:t xml:space="preserve">PhD, </w:t>
      </w:r>
      <w:r w:rsidRPr="00C22863">
        <w:rPr>
          <w:color w:val="000000" w:themeColor="text1"/>
        </w:rPr>
        <w:t>Jonathan Y. Bernard</w:t>
      </w:r>
      <w:r w:rsidRPr="00C22863">
        <w:rPr>
          <w:color w:val="000000" w:themeColor="text1"/>
          <w:vertAlign w:val="superscript"/>
        </w:rPr>
        <w:t>1,</w:t>
      </w:r>
      <w:r w:rsidR="00065580">
        <w:rPr>
          <w:color w:val="000000" w:themeColor="text1"/>
          <w:vertAlign w:val="superscript"/>
        </w:rPr>
        <w:t>4</w:t>
      </w:r>
      <w:r w:rsidR="00121789" w:rsidRPr="00C22863">
        <w:rPr>
          <w:rFonts w:eastAsiaTheme="minorEastAsia"/>
          <w:color w:val="000000" w:themeColor="text1"/>
          <w:vertAlign w:val="superscript"/>
          <w:lang w:eastAsia="zh-CN"/>
        </w:rPr>
        <w:t xml:space="preserve"> </w:t>
      </w:r>
      <w:r w:rsidRPr="00C22863">
        <w:rPr>
          <w:color w:val="000000" w:themeColor="text1"/>
          <w:vertAlign w:val="superscript"/>
        </w:rPr>
        <w:t>†</w:t>
      </w:r>
      <w:r w:rsidR="00CF352F" w:rsidRPr="00CF352F">
        <w:rPr>
          <w:color w:val="000000" w:themeColor="text1"/>
        </w:rPr>
        <w:t>, PhD,</w:t>
      </w:r>
      <w:r w:rsidR="00E55039" w:rsidRPr="00C22863">
        <w:t xml:space="preserve"> and Barbara </w:t>
      </w:r>
      <w:r w:rsidR="00E55039" w:rsidRPr="00C22863">
        <w:rPr>
          <w:color w:val="000000" w:themeColor="text1"/>
        </w:rPr>
        <w:t>Heude</w:t>
      </w:r>
      <w:r w:rsidR="00E55039" w:rsidRPr="00C22863">
        <w:rPr>
          <w:color w:val="000000" w:themeColor="text1"/>
          <w:vertAlign w:val="superscript"/>
        </w:rPr>
        <w:t>1 †</w:t>
      </w:r>
      <w:r w:rsidR="00CF352F" w:rsidRPr="00CF352F">
        <w:rPr>
          <w:color w:val="000000" w:themeColor="text1"/>
        </w:rPr>
        <w:t>, PhD</w:t>
      </w:r>
    </w:p>
    <w:p w14:paraId="62E7855D" w14:textId="77777777" w:rsidR="00A05770" w:rsidRPr="00C22863" w:rsidRDefault="00A05770" w:rsidP="00A05770">
      <w:pPr>
        <w:pStyle w:val="NoSpacing"/>
      </w:pPr>
    </w:p>
    <w:p w14:paraId="66F43632" w14:textId="750B7A50" w:rsidR="00A05770" w:rsidRDefault="00A05770" w:rsidP="00A05770">
      <w:pPr>
        <w:pStyle w:val="NoSpacing"/>
      </w:pPr>
      <w:r w:rsidRPr="00A63D6C">
        <w:rPr>
          <w:vertAlign w:val="superscript"/>
        </w:rPr>
        <w:t>1</w:t>
      </w:r>
      <w:r>
        <w:t>Université Paris</w:t>
      </w:r>
      <w:r w:rsidR="00CF5DC8">
        <w:t xml:space="preserve"> </w:t>
      </w:r>
      <w:proofErr w:type="spellStart"/>
      <w:r w:rsidR="00CF5DC8">
        <w:t>Cité</w:t>
      </w:r>
      <w:proofErr w:type="spellEnd"/>
      <w:r w:rsidR="00A26403">
        <w:t xml:space="preserve">, </w:t>
      </w:r>
      <w:proofErr w:type="spellStart"/>
      <w:r>
        <w:t>I</w:t>
      </w:r>
      <w:r w:rsidR="009916EF">
        <w:t>nserm</w:t>
      </w:r>
      <w:proofErr w:type="spellEnd"/>
      <w:r w:rsidRPr="00A63D6C">
        <w:t>, I</w:t>
      </w:r>
      <w:r w:rsidR="00A26403">
        <w:t>NRAE</w:t>
      </w:r>
      <w:r w:rsidRPr="00A63D6C">
        <w:t xml:space="preserve">, </w:t>
      </w:r>
      <w:r w:rsidR="00A26403">
        <w:t>C</w:t>
      </w:r>
      <w:r w:rsidR="00A26403" w:rsidRPr="00642B9B">
        <w:t>entre for</w:t>
      </w:r>
      <w:r w:rsidR="00A26403" w:rsidRPr="00A63D6C">
        <w:t xml:space="preserve"> Res</w:t>
      </w:r>
      <w:r w:rsidR="00A26403" w:rsidRPr="00642B9B">
        <w:t>ear</w:t>
      </w:r>
      <w:r w:rsidR="00A26403">
        <w:t xml:space="preserve">ch in Epidemiology and </w:t>
      </w:r>
      <w:proofErr w:type="spellStart"/>
      <w:r w:rsidR="00A26403">
        <w:t>StatisticS</w:t>
      </w:r>
      <w:proofErr w:type="spellEnd"/>
      <w:r w:rsidR="00A26403">
        <w:t xml:space="preserve"> </w:t>
      </w:r>
      <w:r w:rsidR="00A26403" w:rsidRPr="00642B9B">
        <w:t>(</w:t>
      </w:r>
      <w:r w:rsidR="00A26403" w:rsidRPr="00A63D6C">
        <w:t>CRESS</w:t>
      </w:r>
      <w:r w:rsidR="00A26403" w:rsidRPr="00642B9B">
        <w:t>)</w:t>
      </w:r>
      <w:r w:rsidR="00A26403" w:rsidRPr="00A63D6C">
        <w:t xml:space="preserve">, </w:t>
      </w:r>
      <w:r w:rsidRPr="00A63D6C">
        <w:t>F</w:t>
      </w:r>
      <w:r w:rsidRPr="00642B9B">
        <w:t>-75004</w:t>
      </w:r>
      <w:r w:rsidRPr="00A63D6C">
        <w:t xml:space="preserve"> Paris, France; </w:t>
      </w:r>
      <w:hyperlink r:id="rId8" w:history="1">
        <w:r w:rsidRPr="00A63D6C">
          <w:rPr>
            <w:rStyle w:val="Hyperlink"/>
          </w:rPr>
          <w:t>adrien.aubert@inserm.fr</w:t>
        </w:r>
      </w:hyperlink>
      <w:r w:rsidRPr="00A63D6C">
        <w:t xml:space="preserve"> (A.M.A.); </w:t>
      </w:r>
      <w:hyperlink r:id="rId9" w:history="1">
        <w:r w:rsidRPr="00A63D6C">
          <w:rPr>
            <w:rStyle w:val="Hyperlink"/>
          </w:rPr>
          <w:t>anne.forhan@inserm.fr</w:t>
        </w:r>
      </w:hyperlink>
      <w:r w:rsidRPr="00A63D6C">
        <w:t xml:space="preserve"> (A.F.); </w:t>
      </w:r>
      <w:hyperlink r:id="rId10" w:history="1">
        <w:r w:rsidRPr="00A63D6C">
          <w:rPr>
            <w:rStyle w:val="Hyperlink"/>
          </w:rPr>
          <w:t>blandine.delauzon@inserm.fr</w:t>
        </w:r>
      </w:hyperlink>
      <w:r w:rsidRPr="00A63D6C">
        <w:t xml:space="preserve"> (</w:t>
      </w:r>
      <w:proofErr w:type="spellStart"/>
      <w:r w:rsidRPr="00A63D6C">
        <w:t>B.d.L</w:t>
      </w:r>
      <w:proofErr w:type="spellEnd"/>
      <w:r w:rsidRPr="00A63D6C">
        <w:t xml:space="preserve">.-G.); </w:t>
      </w:r>
      <w:hyperlink r:id="rId11" w:history="1">
        <w:r w:rsidRPr="00A63D6C">
          <w:rPr>
            <w:rStyle w:val="Hyperlink"/>
          </w:rPr>
          <w:t>jonathan.bernard@inserm.fr</w:t>
        </w:r>
      </w:hyperlink>
      <w:r w:rsidRPr="00A63D6C">
        <w:t xml:space="preserve"> (J.Y.B.)</w:t>
      </w:r>
      <w:r w:rsidR="00190B1A">
        <w:t xml:space="preserve">; </w:t>
      </w:r>
      <w:hyperlink r:id="rId12" w:history="1">
        <w:r w:rsidR="00190B1A" w:rsidRPr="00C5005F">
          <w:rPr>
            <w:rStyle w:val="Hyperlink"/>
          </w:rPr>
          <w:t>barbara.heude@inserm.fr</w:t>
        </w:r>
      </w:hyperlink>
      <w:r w:rsidR="00190B1A">
        <w:t xml:space="preserve"> (B.H.)</w:t>
      </w:r>
    </w:p>
    <w:p w14:paraId="41D00E35" w14:textId="413526CB" w:rsidR="00A27A10" w:rsidRDefault="00A27A10" w:rsidP="00A05770">
      <w:pPr>
        <w:pStyle w:val="NoSpacing"/>
      </w:pPr>
      <w:r>
        <w:rPr>
          <w:szCs w:val="20"/>
          <w:vertAlign w:val="superscript"/>
        </w:rPr>
        <w:t>2</w:t>
      </w:r>
      <w:r w:rsidR="00A05770" w:rsidRPr="003160F8">
        <w:t xml:space="preserve">School of Public Health, Physiotherapy, and Sports Science, University College Dublin, Belfield, Dublin 4, Ireland; </w:t>
      </w:r>
      <w:hyperlink r:id="rId13" w:history="1">
        <w:r w:rsidR="00A05770" w:rsidRPr="003160F8">
          <w:rPr>
            <w:rStyle w:val="Hyperlink"/>
          </w:rPr>
          <w:t>ling-wei.chen@ucd.ie</w:t>
        </w:r>
      </w:hyperlink>
      <w:r w:rsidR="00A05770" w:rsidRPr="003160F8">
        <w:t xml:space="preserve"> (L.-W.C.); </w:t>
      </w:r>
      <w:hyperlink r:id="rId14" w:history="1">
        <w:r w:rsidR="00A05770" w:rsidRPr="003160F8">
          <w:rPr>
            <w:rStyle w:val="Hyperlink"/>
          </w:rPr>
          <w:t>cecily.kelleher@ucd.ie</w:t>
        </w:r>
      </w:hyperlink>
      <w:r w:rsidR="00A05770" w:rsidRPr="003160F8">
        <w:t xml:space="preserve"> (C.C.K.); </w:t>
      </w:r>
      <w:hyperlink r:id="rId15" w:history="1">
        <w:r w:rsidR="00A05770" w:rsidRPr="003160F8">
          <w:rPr>
            <w:rStyle w:val="Hyperlink"/>
          </w:rPr>
          <w:t>catherine.phillips@ucd.ie</w:t>
        </w:r>
      </w:hyperlink>
      <w:r w:rsidR="00A05770" w:rsidRPr="003160F8">
        <w:t xml:space="preserve"> (C.M.P.)</w:t>
      </w:r>
    </w:p>
    <w:p w14:paraId="65BDCC43" w14:textId="6467B13D" w:rsidR="00B37007" w:rsidRDefault="00065580" w:rsidP="00A05770">
      <w:pPr>
        <w:pStyle w:val="NoSpacing"/>
      </w:pPr>
      <w:r>
        <w:rPr>
          <w:vertAlign w:val="superscript"/>
        </w:rPr>
        <w:t>3</w:t>
      </w:r>
      <w:r w:rsidR="00B37007" w:rsidRPr="00B37007">
        <w:t>Institute of Epidemiology and Preventive Medicine, College of Public Health, National Taiwan University, Taipei, Taiwan</w:t>
      </w:r>
    </w:p>
    <w:p w14:paraId="37FF1D88" w14:textId="683BDF6F" w:rsidR="00065580" w:rsidRPr="003160F8" w:rsidRDefault="00065580" w:rsidP="00065580">
      <w:pPr>
        <w:pStyle w:val="NoSpacing"/>
      </w:pPr>
      <w:bookmarkStart w:id="0" w:name="OLE_LINK6"/>
      <w:bookmarkStart w:id="1" w:name="OLE_LINK7"/>
      <w:r>
        <w:rPr>
          <w:szCs w:val="20"/>
          <w:vertAlign w:val="superscript"/>
        </w:rPr>
        <w:t>4</w:t>
      </w:r>
      <w:r w:rsidRPr="003160F8">
        <w:t xml:space="preserve">Singapore Institute for Clinical Sciences (SICS), Agency for Science, Technology and Research </w:t>
      </w:r>
      <w:bookmarkEnd w:id="0"/>
      <w:bookmarkEnd w:id="1"/>
      <w:r w:rsidRPr="003160F8">
        <w:t xml:space="preserve">(A*STAR), </w:t>
      </w:r>
      <w:r w:rsidRPr="00642B9B">
        <w:t>117609</w:t>
      </w:r>
      <w:r w:rsidRPr="003160F8">
        <w:t xml:space="preserve"> Singapore, Singapore</w:t>
      </w:r>
    </w:p>
    <w:p w14:paraId="0F8A031E" w14:textId="72480F57" w:rsidR="00A27A10" w:rsidRDefault="00D66E3D" w:rsidP="005A4350">
      <w:pPr>
        <w:pStyle w:val="NoSpacing"/>
      </w:pPr>
      <w:r>
        <w:rPr>
          <w:vertAlign w:val="superscript"/>
        </w:rPr>
        <w:t>5</w:t>
      </w:r>
      <w:r w:rsidR="00442EE4" w:rsidRPr="005A4350">
        <w:t xml:space="preserve">Department of Epidemiology and Biostatistics and Cancer Prevention and Control </w:t>
      </w:r>
      <w:proofErr w:type="spellStart"/>
      <w:r w:rsidR="00442EE4" w:rsidRPr="005A4350">
        <w:t>Program</w:t>
      </w:r>
      <w:r w:rsidR="00A27A10" w:rsidRPr="00104F20">
        <w:t>Arnold</w:t>
      </w:r>
      <w:proofErr w:type="spellEnd"/>
      <w:r w:rsidR="00A27A10" w:rsidRPr="00104F20">
        <w:t xml:space="preserve"> School of Public Health, University of South Carolina, Columbia, SC 29208, USA; </w:t>
      </w:r>
      <w:hyperlink r:id="rId16" w:history="1">
        <w:r w:rsidR="00DD5668" w:rsidRPr="0072770E">
          <w:rPr>
            <w:rStyle w:val="Hyperlink"/>
          </w:rPr>
          <w:t>shivappa@email.sc.edu</w:t>
        </w:r>
      </w:hyperlink>
      <w:r w:rsidR="00DD5668">
        <w:t xml:space="preserve"> (N.S.); </w:t>
      </w:r>
      <w:hyperlink r:id="rId17" w:history="1">
        <w:r w:rsidR="00DD5668" w:rsidRPr="0072770E">
          <w:rPr>
            <w:rStyle w:val="Hyperlink"/>
          </w:rPr>
          <w:t>jhebert@mailbox.sc.edu</w:t>
        </w:r>
      </w:hyperlink>
      <w:r w:rsidR="00DD5668">
        <w:t xml:space="preserve"> (J.H.H.)</w:t>
      </w:r>
    </w:p>
    <w:p w14:paraId="3CA648B3" w14:textId="088CC6F8" w:rsidR="00C71469" w:rsidRPr="003160F8" w:rsidRDefault="00D66E3D" w:rsidP="00C71469">
      <w:pPr>
        <w:pStyle w:val="NoSpacing"/>
      </w:pPr>
      <w:r>
        <w:rPr>
          <w:szCs w:val="20"/>
          <w:vertAlign w:val="superscript"/>
        </w:rPr>
        <w:t>6</w:t>
      </w:r>
      <w:r w:rsidR="00C71469" w:rsidRPr="003160F8">
        <w:t xml:space="preserve">MRC Lifecourse Epidemiology </w:t>
      </w:r>
      <w:r w:rsidR="0019769D">
        <w:t>Centre</w:t>
      </w:r>
      <w:r w:rsidR="00C71469" w:rsidRPr="003160F8">
        <w:t>, University of Southampton, Southampton General Hospital Southampton, Southampton SO16 6YD, UK</w:t>
      </w:r>
      <w:r w:rsidR="00C71469" w:rsidRPr="003160F8">
        <w:rPr>
          <w:szCs w:val="20"/>
        </w:rPr>
        <w:t>;</w:t>
      </w:r>
      <w:r w:rsidR="00C71469">
        <w:rPr>
          <w:szCs w:val="20"/>
        </w:rPr>
        <w:t xml:space="preserve"> </w:t>
      </w:r>
      <w:hyperlink r:id="rId18" w:history="1">
        <w:r w:rsidR="00C71469" w:rsidRPr="003160F8">
          <w:rPr>
            <w:rStyle w:val="Hyperlink"/>
            <w:szCs w:val="20"/>
          </w:rPr>
          <w:t>cc@mrc.soton.ac.uk</w:t>
        </w:r>
      </w:hyperlink>
      <w:r w:rsidR="00C71469" w:rsidRPr="003160F8">
        <w:rPr>
          <w:szCs w:val="20"/>
        </w:rPr>
        <w:t xml:space="preserve"> (C.C.)</w:t>
      </w:r>
      <w:r w:rsidR="00C71469">
        <w:rPr>
          <w:szCs w:val="20"/>
        </w:rPr>
        <w:t>;</w:t>
      </w:r>
      <w:r w:rsidR="00C71469" w:rsidRPr="003160F8">
        <w:rPr>
          <w:szCs w:val="20"/>
        </w:rPr>
        <w:t xml:space="preserve"> </w:t>
      </w:r>
      <w:hyperlink r:id="rId19" w:history="1">
        <w:r w:rsidR="00C71469" w:rsidRPr="003160F8">
          <w:rPr>
            <w:rStyle w:val="Hyperlink"/>
            <w:szCs w:val="20"/>
          </w:rPr>
          <w:t>src@mrc.soton.ac.uk</w:t>
        </w:r>
      </w:hyperlink>
      <w:r w:rsidR="00C71469" w:rsidRPr="003160F8">
        <w:rPr>
          <w:szCs w:val="20"/>
        </w:rPr>
        <w:t xml:space="preserve"> (S.R.C.); </w:t>
      </w:r>
      <w:hyperlink r:id="rId20" w:history="1">
        <w:r w:rsidR="00C71469" w:rsidRPr="003160F8">
          <w:rPr>
            <w:rStyle w:val="Hyperlink"/>
            <w:szCs w:val="20"/>
          </w:rPr>
          <w:t>nch@mrc.soton.ac.uk</w:t>
        </w:r>
      </w:hyperlink>
      <w:r w:rsidR="00C71469" w:rsidRPr="003160F8">
        <w:rPr>
          <w:szCs w:val="20"/>
        </w:rPr>
        <w:t xml:space="preserve"> (N.C.H.)</w:t>
      </w:r>
    </w:p>
    <w:p w14:paraId="523FDAB6" w14:textId="559A5ECB" w:rsidR="00C71469" w:rsidRPr="003160F8" w:rsidRDefault="00D66E3D" w:rsidP="00C71469">
      <w:pPr>
        <w:pStyle w:val="NoSpacing"/>
      </w:pPr>
      <w:r>
        <w:rPr>
          <w:szCs w:val="20"/>
          <w:vertAlign w:val="superscript"/>
        </w:rPr>
        <w:t>7</w:t>
      </w:r>
      <w:r w:rsidR="00C71469" w:rsidRPr="003160F8">
        <w:t>NIHR Southampton Biomedical Research Centre, University of Southampton and University Hospital Southampton NHS Foundation Trust, Southampton SO16 6YD, UK</w:t>
      </w:r>
    </w:p>
    <w:p w14:paraId="76B6503B" w14:textId="0C421694" w:rsidR="00C71469" w:rsidRDefault="00D66E3D" w:rsidP="00C71469">
      <w:pPr>
        <w:pStyle w:val="NoSpacing"/>
      </w:pPr>
      <w:r>
        <w:rPr>
          <w:szCs w:val="20"/>
          <w:vertAlign w:val="superscript"/>
        </w:rPr>
        <w:t>8</w:t>
      </w:r>
      <w:r w:rsidR="00C71469" w:rsidRPr="003160F8">
        <w:t>NIHR Oxford Biomedical Research Centre, University of Oxford, Oxford OX1 2JD, UK</w:t>
      </w:r>
    </w:p>
    <w:p w14:paraId="5E68D067" w14:textId="18205F68" w:rsidR="00D70307" w:rsidRPr="003160F8" w:rsidRDefault="00D70307" w:rsidP="00C71469">
      <w:pPr>
        <w:pStyle w:val="NoSpacing"/>
      </w:pPr>
      <w:r>
        <w:rPr>
          <w:vertAlign w:val="superscript"/>
        </w:rPr>
        <w:t>9</w:t>
      </w:r>
      <w:r>
        <w:t>NIHR Applied Research Collaboration Wessex, Southampton Science Park, Innovation Centre, Southampton SO16 7NP, UK</w:t>
      </w:r>
    </w:p>
    <w:p w14:paraId="4B30D8A6" w14:textId="16852B28" w:rsidR="00C71469" w:rsidRPr="003160F8" w:rsidRDefault="00D70307" w:rsidP="00C71469">
      <w:pPr>
        <w:pStyle w:val="NoSpacing"/>
      </w:pPr>
      <w:r>
        <w:rPr>
          <w:szCs w:val="20"/>
          <w:vertAlign w:val="superscript"/>
        </w:rPr>
        <w:lastRenderedPageBreak/>
        <w:t>10</w:t>
      </w:r>
      <w:r w:rsidR="00C71469" w:rsidRPr="003160F8">
        <w:t xml:space="preserve">The Generation R Study Group, Erasmus MC, University Medical </w:t>
      </w:r>
      <w:proofErr w:type="spellStart"/>
      <w:r w:rsidR="00C71469" w:rsidRPr="003160F8">
        <w:t>Center</w:t>
      </w:r>
      <w:proofErr w:type="spellEnd"/>
      <w:r w:rsidR="00C71469" w:rsidRPr="003160F8">
        <w:t xml:space="preserve"> Rotterdam, 3000 CA Rotterdam, the Netherlands</w:t>
      </w:r>
      <w:r w:rsidR="00C71469" w:rsidRPr="003160F8">
        <w:rPr>
          <w:szCs w:val="20"/>
        </w:rPr>
        <w:t>;</w:t>
      </w:r>
      <w:r w:rsidR="00C71469">
        <w:rPr>
          <w:szCs w:val="20"/>
        </w:rPr>
        <w:t xml:space="preserve"> </w:t>
      </w:r>
      <w:hyperlink r:id="rId21" w:history="1">
        <w:r w:rsidR="00C71469" w:rsidRPr="003160F8">
          <w:rPr>
            <w:rStyle w:val="Hyperlink"/>
            <w:szCs w:val="20"/>
          </w:rPr>
          <w:t>l.duijts@erasmusmc.nl</w:t>
        </w:r>
      </w:hyperlink>
      <w:r w:rsidR="00C71469" w:rsidRPr="003160F8">
        <w:rPr>
          <w:szCs w:val="20"/>
        </w:rPr>
        <w:t xml:space="preserve"> (L.D.)</w:t>
      </w:r>
      <w:r w:rsidR="00C71469">
        <w:rPr>
          <w:szCs w:val="20"/>
        </w:rPr>
        <w:t>;</w:t>
      </w:r>
      <w:r w:rsidR="00C71469" w:rsidRPr="003160F8">
        <w:rPr>
          <w:szCs w:val="20"/>
        </w:rPr>
        <w:t xml:space="preserve"> </w:t>
      </w:r>
      <w:hyperlink r:id="rId22" w:history="1">
        <w:r w:rsidR="00C71469" w:rsidRPr="003160F8">
          <w:rPr>
            <w:rStyle w:val="Hyperlink"/>
            <w:szCs w:val="20"/>
          </w:rPr>
          <w:t>s.mensink-bout@erasmusmc.nl</w:t>
        </w:r>
      </w:hyperlink>
      <w:r w:rsidR="00C71469" w:rsidRPr="003160F8">
        <w:rPr>
          <w:szCs w:val="20"/>
        </w:rPr>
        <w:t xml:space="preserve"> (S.M.M.-B.)</w:t>
      </w:r>
    </w:p>
    <w:p w14:paraId="2BF443D4" w14:textId="16989CE4" w:rsidR="00C71469" w:rsidRPr="003160F8" w:rsidRDefault="00D70307" w:rsidP="00C71469">
      <w:pPr>
        <w:pStyle w:val="NoSpacing"/>
      </w:pPr>
      <w:r>
        <w:rPr>
          <w:szCs w:val="20"/>
          <w:vertAlign w:val="superscript"/>
        </w:rPr>
        <w:t>11</w:t>
      </w:r>
      <w:r w:rsidR="00C71469" w:rsidRPr="003160F8">
        <w:t xml:space="preserve">Department of </w:t>
      </w:r>
      <w:proofErr w:type="spellStart"/>
      <w:r w:rsidR="00C71469" w:rsidRPr="003160F8">
        <w:t>Pediatrics</w:t>
      </w:r>
      <w:proofErr w:type="spellEnd"/>
      <w:r w:rsidR="00C71469" w:rsidRPr="003160F8">
        <w:t xml:space="preserve">, Division of Respiratory Medicine and Allergology, Erasmus MC, University Medical </w:t>
      </w:r>
      <w:proofErr w:type="spellStart"/>
      <w:r w:rsidR="00C71469" w:rsidRPr="003160F8">
        <w:t>Center</w:t>
      </w:r>
      <w:proofErr w:type="spellEnd"/>
      <w:r w:rsidR="00C71469" w:rsidRPr="003160F8">
        <w:t xml:space="preserve"> Rotterdam, </w:t>
      </w:r>
      <w:bookmarkStart w:id="2" w:name="OLE_LINK4"/>
      <w:bookmarkStart w:id="3" w:name="OLE_LINK5"/>
      <w:r w:rsidR="00C71469" w:rsidRPr="003160F8">
        <w:t xml:space="preserve">3000 CB </w:t>
      </w:r>
      <w:bookmarkEnd w:id="2"/>
      <w:bookmarkEnd w:id="3"/>
      <w:r w:rsidR="00C71469" w:rsidRPr="003160F8">
        <w:t>Rotterdam, the Netherlands</w:t>
      </w:r>
    </w:p>
    <w:p w14:paraId="54DAE897" w14:textId="23B8B1AD" w:rsidR="00C71469" w:rsidRPr="003160F8" w:rsidRDefault="00D70307" w:rsidP="00A05770">
      <w:pPr>
        <w:pStyle w:val="NoSpacing"/>
      </w:pPr>
      <w:r>
        <w:rPr>
          <w:szCs w:val="20"/>
          <w:vertAlign w:val="superscript"/>
        </w:rPr>
        <w:t>12</w:t>
      </w:r>
      <w:r w:rsidR="00C71469" w:rsidRPr="003160F8">
        <w:t xml:space="preserve">Department of </w:t>
      </w:r>
      <w:proofErr w:type="spellStart"/>
      <w:r w:rsidR="00C71469" w:rsidRPr="003160F8">
        <w:t>Pediatrics</w:t>
      </w:r>
      <w:proofErr w:type="spellEnd"/>
      <w:r w:rsidR="00C71469" w:rsidRPr="003160F8">
        <w:t xml:space="preserve">, </w:t>
      </w:r>
      <w:r w:rsidR="00C71469">
        <w:t>D</w:t>
      </w:r>
      <w:r w:rsidR="00C71469" w:rsidRPr="003160F8">
        <w:t xml:space="preserve">ivision of Neonatology, Erasmus MC, University Medical </w:t>
      </w:r>
      <w:proofErr w:type="spellStart"/>
      <w:r w:rsidR="00C71469" w:rsidRPr="003160F8">
        <w:t>Center</w:t>
      </w:r>
      <w:proofErr w:type="spellEnd"/>
      <w:r w:rsidR="00C71469" w:rsidRPr="003160F8">
        <w:t xml:space="preserve"> Rotterdam, 3000 CB Rotterdam, the Netherlands</w:t>
      </w:r>
    </w:p>
    <w:p w14:paraId="6D19DB1E" w14:textId="6A160F32" w:rsidR="00A05770" w:rsidRDefault="00D66E3D" w:rsidP="00A05770">
      <w:pPr>
        <w:pStyle w:val="NoSpacing"/>
        <w:rPr>
          <w:szCs w:val="20"/>
        </w:rPr>
      </w:pPr>
      <w:r>
        <w:rPr>
          <w:szCs w:val="20"/>
          <w:vertAlign w:val="superscript"/>
        </w:rPr>
        <w:t>1</w:t>
      </w:r>
      <w:r w:rsidR="00D81493">
        <w:rPr>
          <w:szCs w:val="20"/>
          <w:vertAlign w:val="superscript"/>
        </w:rPr>
        <w:t>3</w:t>
      </w:r>
      <w:r w:rsidR="00A05770" w:rsidRPr="003160F8">
        <w:t xml:space="preserve">Department of Environmental Epidemiology, </w:t>
      </w:r>
      <w:proofErr w:type="spellStart"/>
      <w:r w:rsidR="00A05770" w:rsidRPr="003160F8">
        <w:t>Nofer</w:t>
      </w:r>
      <w:proofErr w:type="spellEnd"/>
      <w:r w:rsidR="00A05770" w:rsidRPr="003160F8">
        <w:t xml:space="preserve"> Institute of Occupational </w:t>
      </w:r>
      <w:r w:rsidR="00A05770" w:rsidRPr="009B104D">
        <w:t>Medicine, 91-348 Lodz</w:t>
      </w:r>
      <w:r w:rsidR="00A05770" w:rsidRPr="003160F8">
        <w:t>, Poland</w:t>
      </w:r>
      <w:r w:rsidR="00A05770" w:rsidRPr="003160F8">
        <w:rPr>
          <w:szCs w:val="20"/>
        </w:rPr>
        <w:t xml:space="preserve">; </w:t>
      </w:r>
      <w:hyperlink r:id="rId23" w:history="1">
        <w:r w:rsidR="00A05770" w:rsidRPr="003160F8">
          <w:rPr>
            <w:rStyle w:val="Hyperlink"/>
          </w:rPr>
          <w:t>wojciech.hanke@imp.lodz.pl</w:t>
        </w:r>
      </w:hyperlink>
      <w:r w:rsidR="00A05770" w:rsidRPr="003160F8">
        <w:t xml:space="preserve"> (W.H.)</w:t>
      </w:r>
      <w:r w:rsidR="00A05770" w:rsidRPr="003160F8">
        <w:rPr>
          <w:szCs w:val="20"/>
        </w:rPr>
        <w:t xml:space="preserve"> </w:t>
      </w:r>
    </w:p>
    <w:p w14:paraId="13F80E2E" w14:textId="3D4B1E6D" w:rsidR="00293826" w:rsidRDefault="00D81493" w:rsidP="00293826">
      <w:pPr>
        <w:pStyle w:val="NoSpacing"/>
        <w:rPr>
          <w:szCs w:val="20"/>
        </w:rPr>
      </w:pPr>
      <w:r>
        <w:rPr>
          <w:szCs w:val="20"/>
          <w:vertAlign w:val="superscript"/>
        </w:rPr>
        <w:t>14</w:t>
      </w:r>
      <w:r w:rsidR="00293826">
        <w:t xml:space="preserve">Department of Environmental and Occupational Health Hazards, </w:t>
      </w:r>
      <w:proofErr w:type="spellStart"/>
      <w:r w:rsidR="00293826" w:rsidRPr="003160F8">
        <w:t>Nofer</w:t>
      </w:r>
      <w:proofErr w:type="spellEnd"/>
      <w:r w:rsidR="00293826" w:rsidRPr="003160F8">
        <w:t xml:space="preserve"> Institute of Occupational </w:t>
      </w:r>
      <w:r w:rsidR="00293826" w:rsidRPr="009B104D">
        <w:t>Medicine, 91-348 Lodz</w:t>
      </w:r>
      <w:r w:rsidR="00293826" w:rsidRPr="003160F8">
        <w:t>, Poland</w:t>
      </w:r>
      <w:r w:rsidR="00293826">
        <w:t xml:space="preserve">; </w:t>
      </w:r>
      <w:hyperlink r:id="rId24" w:history="1">
        <w:r w:rsidR="00293826" w:rsidRPr="003160F8">
          <w:rPr>
            <w:rStyle w:val="Hyperlink"/>
          </w:rPr>
          <w:t>agnieszka.jankowska@imp.lodz.pl</w:t>
        </w:r>
      </w:hyperlink>
      <w:r w:rsidR="00293826" w:rsidRPr="003160F8">
        <w:t xml:space="preserve"> (A.J.)</w:t>
      </w:r>
      <w:r w:rsidR="00293826">
        <w:t xml:space="preserve">; </w:t>
      </w:r>
      <w:hyperlink r:id="rId25" w:history="1">
        <w:r w:rsidR="00293826" w:rsidRPr="003160F8">
          <w:rPr>
            <w:rStyle w:val="Hyperlink"/>
            <w:szCs w:val="20"/>
          </w:rPr>
          <w:t>kinga.polanska@imp.lodz.pl</w:t>
        </w:r>
      </w:hyperlink>
      <w:r w:rsidR="00293826" w:rsidRPr="003160F8">
        <w:rPr>
          <w:szCs w:val="20"/>
        </w:rPr>
        <w:t xml:space="preserve"> (K.P.)</w:t>
      </w:r>
    </w:p>
    <w:p w14:paraId="2E44ACFD" w14:textId="5CBEDA53" w:rsidR="00C71469" w:rsidRPr="003160F8" w:rsidRDefault="00C71469" w:rsidP="00A05770">
      <w:pPr>
        <w:pStyle w:val="NoSpacing"/>
      </w:pPr>
      <w:r w:rsidRPr="003160F8">
        <w:rPr>
          <w:szCs w:val="20"/>
          <w:vertAlign w:val="superscript"/>
        </w:rPr>
        <w:t>1</w:t>
      </w:r>
      <w:r w:rsidR="00D81493">
        <w:rPr>
          <w:szCs w:val="20"/>
          <w:vertAlign w:val="superscript"/>
        </w:rPr>
        <w:t>5</w:t>
      </w:r>
      <w:r w:rsidRPr="003160F8">
        <w:t>UCD Perinatal Research Centre, School of Medicine, University College Dublin, National Maternity Hospital, Dublin 2, Ireland</w:t>
      </w:r>
      <w:r w:rsidRPr="003160F8">
        <w:rPr>
          <w:szCs w:val="20"/>
        </w:rPr>
        <w:t xml:space="preserve">; </w:t>
      </w:r>
      <w:hyperlink r:id="rId26" w:history="1">
        <w:r w:rsidRPr="00F66693">
          <w:rPr>
            <w:rStyle w:val="Hyperlink"/>
            <w:szCs w:val="20"/>
          </w:rPr>
          <w:t>fionnuala.mcauliffe@ucd.ie</w:t>
        </w:r>
      </w:hyperlink>
      <w:r>
        <w:rPr>
          <w:szCs w:val="20"/>
        </w:rPr>
        <w:t xml:space="preserve"> </w:t>
      </w:r>
      <w:r w:rsidR="00190B1A">
        <w:rPr>
          <w:szCs w:val="20"/>
        </w:rPr>
        <w:t>(F.F.M.)</w:t>
      </w:r>
    </w:p>
    <w:p w14:paraId="1BAD3B2E" w14:textId="21F60493" w:rsidR="00A05770" w:rsidRPr="003160F8" w:rsidRDefault="00C71469" w:rsidP="00A05770">
      <w:pPr>
        <w:pStyle w:val="NoSpacing"/>
      </w:pPr>
      <w:r>
        <w:rPr>
          <w:szCs w:val="20"/>
          <w:vertAlign w:val="superscript"/>
        </w:rPr>
        <w:t>1</w:t>
      </w:r>
      <w:r w:rsidR="00D81493">
        <w:rPr>
          <w:szCs w:val="20"/>
          <w:vertAlign w:val="superscript"/>
        </w:rPr>
        <w:t>6</w:t>
      </w:r>
      <w:r w:rsidR="00A05770" w:rsidRPr="003160F8">
        <w:t>MRC Integrative Epidemiology Unit, Population Health Sciences, Bristol Medical School, University of Bristol, Bristol BS8 2BN, UK</w:t>
      </w:r>
      <w:r w:rsidR="00A05770" w:rsidRPr="003160F8">
        <w:rPr>
          <w:szCs w:val="20"/>
        </w:rPr>
        <w:t>;</w:t>
      </w:r>
      <w:r>
        <w:rPr>
          <w:szCs w:val="20"/>
        </w:rPr>
        <w:t xml:space="preserve"> </w:t>
      </w:r>
      <w:hyperlink r:id="rId27" w:history="1">
        <w:r w:rsidRPr="003160F8">
          <w:rPr>
            <w:rStyle w:val="Hyperlink"/>
            <w:szCs w:val="20"/>
          </w:rPr>
          <w:t>caroline.relton@bristol.ac.uk</w:t>
        </w:r>
      </w:hyperlink>
      <w:r w:rsidRPr="003160F8">
        <w:rPr>
          <w:szCs w:val="20"/>
        </w:rPr>
        <w:t xml:space="preserve"> (C.L.R.)</w:t>
      </w:r>
      <w:r>
        <w:rPr>
          <w:szCs w:val="20"/>
        </w:rPr>
        <w:t>;</w:t>
      </w:r>
      <w:r w:rsidR="00A05770" w:rsidRPr="003160F8">
        <w:rPr>
          <w:szCs w:val="20"/>
        </w:rPr>
        <w:t xml:space="preserve"> </w:t>
      </w:r>
      <w:hyperlink r:id="rId28" w:history="1">
        <w:r w:rsidR="00A05770" w:rsidRPr="003160F8">
          <w:rPr>
            <w:rStyle w:val="Hyperlink"/>
            <w:szCs w:val="20"/>
          </w:rPr>
          <w:t>matthew.suderman@bristol.ac.uk</w:t>
        </w:r>
      </w:hyperlink>
      <w:r w:rsidR="00A05770" w:rsidRPr="003160F8">
        <w:rPr>
          <w:szCs w:val="20"/>
        </w:rPr>
        <w:t xml:space="preserve"> (M.S.)</w:t>
      </w:r>
    </w:p>
    <w:p w14:paraId="02651F4C" w14:textId="77777777" w:rsidR="00A05770" w:rsidRPr="003160F8" w:rsidRDefault="00A05770" w:rsidP="00A05770">
      <w:pPr>
        <w:pStyle w:val="NoSpacing"/>
      </w:pPr>
      <w:bookmarkStart w:id="4" w:name="OLE_LINK3"/>
      <w:r w:rsidRPr="003160F8">
        <w:rPr>
          <w:vertAlign w:val="superscript"/>
        </w:rPr>
        <w:t>†</w:t>
      </w:r>
      <w:bookmarkEnd w:id="4"/>
      <w:r w:rsidRPr="003160F8">
        <w:t>The authors contributed equally to this article.</w:t>
      </w:r>
    </w:p>
    <w:p w14:paraId="7C6E5DFA" w14:textId="77777777" w:rsidR="00F909E3" w:rsidRDefault="00F909E3" w:rsidP="00A05770">
      <w:pPr>
        <w:pStyle w:val="NoSpacing"/>
      </w:pPr>
    </w:p>
    <w:p w14:paraId="311848F1" w14:textId="77777777" w:rsidR="00F909E3" w:rsidRPr="004E20CD" w:rsidRDefault="00F909E3" w:rsidP="00A05770">
      <w:pPr>
        <w:pStyle w:val="NoSpacing"/>
        <w:rPr>
          <w:u w:val="single"/>
        </w:rPr>
      </w:pPr>
      <w:r w:rsidRPr="004E20CD">
        <w:rPr>
          <w:u w:val="single"/>
        </w:rPr>
        <w:t>Corresponding Author:</w:t>
      </w:r>
    </w:p>
    <w:p w14:paraId="1ED9B46F" w14:textId="77777777" w:rsidR="003C14A1" w:rsidRDefault="00EB0A32" w:rsidP="00A05770">
      <w:pPr>
        <w:pStyle w:val="NoSpacing"/>
      </w:pPr>
      <w:r>
        <w:t>Jonathan</w:t>
      </w:r>
      <w:r w:rsidR="006169B7">
        <w:t xml:space="preserve"> Y. Bernard</w:t>
      </w:r>
      <w:r w:rsidR="003C14A1">
        <w:t xml:space="preserve">, PhD. </w:t>
      </w:r>
    </w:p>
    <w:p w14:paraId="463A09CA" w14:textId="32D5F624" w:rsidR="003C14A1" w:rsidRDefault="003C14A1" w:rsidP="00A05770">
      <w:pPr>
        <w:pStyle w:val="NoSpacing"/>
      </w:pPr>
      <w:r w:rsidRPr="00561751">
        <w:rPr>
          <w:lang w:val="fr-FR"/>
        </w:rPr>
        <w:t xml:space="preserve">CRESS – </w:t>
      </w:r>
      <w:proofErr w:type="spellStart"/>
      <w:r w:rsidRPr="00561751">
        <w:rPr>
          <w:lang w:val="fr-FR"/>
        </w:rPr>
        <w:t>equipe</w:t>
      </w:r>
      <w:proofErr w:type="spellEnd"/>
      <w:r w:rsidRPr="00561751">
        <w:rPr>
          <w:lang w:val="fr-FR"/>
        </w:rPr>
        <w:t xml:space="preserve"> EAROH,</w:t>
      </w:r>
      <w:r w:rsidR="00BA2BB5" w:rsidRPr="00561751">
        <w:rPr>
          <w:lang w:val="fr-FR"/>
        </w:rPr>
        <w:t xml:space="preserve"> </w:t>
      </w:r>
      <w:r w:rsidRPr="00561751">
        <w:rPr>
          <w:lang w:val="fr-FR"/>
        </w:rPr>
        <w:t>16 av Paul Vaillant-Couturier, 94807 Villejuif cedex</w:t>
      </w:r>
      <w:r w:rsidR="00561751" w:rsidRPr="00561751">
        <w:rPr>
          <w:lang w:val="fr-FR"/>
        </w:rPr>
        <w:t>, Fra</w:t>
      </w:r>
      <w:r w:rsidR="00561751">
        <w:rPr>
          <w:lang w:val="fr-FR"/>
        </w:rPr>
        <w:t>nce</w:t>
      </w:r>
      <w:r w:rsidRPr="00561751">
        <w:rPr>
          <w:lang w:val="fr-FR"/>
        </w:rPr>
        <w:t xml:space="preserve">. </w:t>
      </w:r>
      <w:proofErr w:type="gramStart"/>
      <w:r w:rsidRPr="00561751">
        <w:rPr>
          <w:lang w:val="fr-FR"/>
        </w:rPr>
        <w:t>Tél:</w:t>
      </w:r>
      <w:proofErr w:type="gramEnd"/>
      <w:r w:rsidRPr="00561751">
        <w:rPr>
          <w:lang w:val="fr-FR"/>
        </w:rPr>
        <w:t xml:space="preserve"> +33 1 45 59 50 07. </w:t>
      </w:r>
      <w:r>
        <w:t xml:space="preserve">Email: </w:t>
      </w:r>
      <w:hyperlink r:id="rId29" w:history="1">
        <w:r w:rsidR="00561751" w:rsidRPr="00B430EA">
          <w:rPr>
            <w:rStyle w:val="Hyperlink"/>
          </w:rPr>
          <w:t>jonathan.bernard@inserm.fr</w:t>
        </w:r>
      </w:hyperlink>
      <w:r w:rsidR="00561751">
        <w:t xml:space="preserve"> </w:t>
      </w:r>
    </w:p>
    <w:p w14:paraId="7FCDDA2B" w14:textId="77777777" w:rsidR="00FF6E86" w:rsidRPr="00F909E3" w:rsidRDefault="00FF6E86" w:rsidP="00531A22">
      <w:pPr>
        <w:pStyle w:val="NoSpacing"/>
      </w:pPr>
    </w:p>
    <w:p w14:paraId="17379909" w14:textId="71B71ED4" w:rsidR="00517C93" w:rsidRPr="00777BB6" w:rsidRDefault="00517C93" w:rsidP="00531A22">
      <w:pPr>
        <w:pStyle w:val="NoSpacing"/>
      </w:pPr>
      <w:r w:rsidRPr="00777BB6">
        <w:rPr>
          <w:b/>
        </w:rPr>
        <w:t>Keyword</w:t>
      </w:r>
      <w:r w:rsidR="00561751">
        <w:rPr>
          <w:b/>
        </w:rPr>
        <w:t>s</w:t>
      </w:r>
      <w:r w:rsidRPr="00777BB6">
        <w:rPr>
          <w:b/>
        </w:rPr>
        <w:t>:</w:t>
      </w:r>
      <w:r w:rsidRPr="00777BB6">
        <w:t xml:space="preserve"> prenatal diet,</w:t>
      </w:r>
      <w:r w:rsidR="00882CBF">
        <w:t xml:space="preserve"> correlates,</w:t>
      </w:r>
      <w:r w:rsidRPr="00777BB6">
        <w:t xml:space="preserve"> </w:t>
      </w:r>
      <w:r w:rsidR="00C22863" w:rsidRPr="00777BB6">
        <w:t>pregnancy</w:t>
      </w:r>
      <w:r w:rsidR="00777BB6">
        <w:t>, risk factors</w:t>
      </w:r>
      <w:r w:rsidR="00B37007">
        <w:t xml:space="preserve">, </w:t>
      </w:r>
      <w:r w:rsidR="00662EFA">
        <w:t>DASH</w:t>
      </w:r>
      <w:r w:rsidR="006169B7">
        <w:t>, E-DII</w:t>
      </w:r>
    </w:p>
    <w:p w14:paraId="671E8638" w14:textId="056AE45D" w:rsidR="00636842" w:rsidRPr="00CC0FEC" w:rsidRDefault="00636842" w:rsidP="005F5C0E">
      <w:pPr>
        <w:pStyle w:val="NoSpacing"/>
        <w:spacing w:line="240" w:lineRule="auto"/>
      </w:pPr>
      <w:r w:rsidRPr="00CC0FEC">
        <w:br w:type="page"/>
      </w:r>
    </w:p>
    <w:p w14:paraId="190FF567" w14:textId="77777777" w:rsidR="00636842" w:rsidRPr="00037B6E" w:rsidRDefault="00636842" w:rsidP="00636842">
      <w:pPr>
        <w:pStyle w:val="Heading2"/>
        <w:rPr>
          <w:rFonts w:eastAsia="SimSun"/>
          <w:lang w:val="en-SG"/>
        </w:rPr>
      </w:pPr>
      <w:r w:rsidRPr="00037B6E">
        <w:rPr>
          <w:rFonts w:eastAsia="SimSun"/>
          <w:lang w:val="en-SG"/>
        </w:rPr>
        <w:lastRenderedPageBreak/>
        <w:t>List of abbreviations used in</w:t>
      </w:r>
      <w:r w:rsidR="003F5C5D">
        <w:rPr>
          <w:rFonts w:eastAsia="SimSun"/>
          <w:lang w:val="en-SG"/>
        </w:rPr>
        <w:t xml:space="preserve"> the</w:t>
      </w:r>
      <w:r w:rsidRPr="00037B6E">
        <w:rPr>
          <w:rFonts w:eastAsia="SimSun"/>
          <w:lang w:val="en-SG"/>
        </w:rPr>
        <w:t xml:space="preserve"> manuscript</w:t>
      </w:r>
    </w:p>
    <w:p w14:paraId="144628D8" w14:textId="77777777" w:rsidR="00636842" w:rsidRPr="00636842" w:rsidRDefault="00636842" w:rsidP="00FE5C5E">
      <w:pPr>
        <w:pStyle w:val="NoSpacing"/>
      </w:pPr>
      <w:r w:rsidRPr="00636842">
        <w:t>ALSPAC, Avon Longitudinal Study of Parents and Children</w:t>
      </w:r>
    </w:p>
    <w:p w14:paraId="62999153" w14:textId="24438C76" w:rsidR="00636842" w:rsidRDefault="00636842" w:rsidP="00FE5C5E">
      <w:pPr>
        <w:pStyle w:val="NoSpacing"/>
      </w:pPr>
      <w:r w:rsidRPr="00636842">
        <w:t xml:space="preserve">BMI, </w:t>
      </w:r>
      <w:r w:rsidR="00A750CF">
        <w:t>B</w:t>
      </w:r>
      <w:r w:rsidRPr="00636842">
        <w:t xml:space="preserve">ody </w:t>
      </w:r>
      <w:r w:rsidR="00666C6F">
        <w:t>M</w:t>
      </w:r>
      <w:r w:rsidRPr="00636842">
        <w:t xml:space="preserve">ass </w:t>
      </w:r>
      <w:r w:rsidR="00666C6F">
        <w:t>I</w:t>
      </w:r>
      <w:r w:rsidRPr="00636842">
        <w:t>ndex</w:t>
      </w:r>
    </w:p>
    <w:p w14:paraId="38691976" w14:textId="4398C1B1" w:rsidR="00E176D0" w:rsidRPr="00636842" w:rsidRDefault="00E176D0" w:rsidP="00FE5C5E">
      <w:pPr>
        <w:pStyle w:val="NoSpacing"/>
      </w:pPr>
      <w:r>
        <w:t xml:space="preserve">CI, </w:t>
      </w:r>
      <w:r w:rsidR="00A750CF">
        <w:t>C</w:t>
      </w:r>
      <w:r>
        <w:t xml:space="preserve">onfidence </w:t>
      </w:r>
      <w:r w:rsidR="00A750CF">
        <w:t>I</w:t>
      </w:r>
      <w:r>
        <w:t>nterval</w:t>
      </w:r>
    </w:p>
    <w:p w14:paraId="33028475" w14:textId="42A8CC2D" w:rsidR="00636842" w:rsidRDefault="00636842" w:rsidP="00FE5C5E">
      <w:pPr>
        <w:pStyle w:val="NoSpacing"/>
        <w:rPr>
          <w:lang w:val="en-AU"/>
        </w:rPr>
      </w:pPr>
      <w:r w:rsidRPr="00636842">
        <w:t xml:space="preserve">DASH, </w:t>
      </w:r>
      <w:r w:rsidRPr="00636842">
        <w:rPr>
          <w:lang w:val="en-AU"/>
        </w:rPr>
        <w:t>Dietary Approaches to Stop Hypertension</w:t>
      </w:r>
    </w:p>
    <w:p w14:paraId="60ADA3ED" w14:textId="17D4EFED" w:rsidR="005074E6" w:rsidRPr="00636842" w:rsidRDefault="005074E6" w:rsidP="00FE5C5E">
      <w:pPr>
        <w:pStyle w:val="NoSpacing"/>
        <w:rPr>
          <w:lang w:val="en-AU"/>
        </w:rPr>
      </w:pPr>
      <w:r>
        <w:rPr>
          <w:lang w:val="en-AU"/>
        </w:rPr>
        <w:t>DOHaD, Developmental Origins of Hea</w:t>
      </w:r>
      <w:r w:rsidR="001F4356">
        <w:rPr>
          <w:lang w:val="en-AU"/>
        </w:rPr>
        <w:t>lt</w:t>
      </w:r>
      <w:r>
        <w:rPr>
          <w:lang w:val="en-AU"/>
        </w:rPr>
        <w:t>h</w:t>
      </w:r>
      <w:r w:rsidR="001F4356">
        <w:rPr>
          <w:lang w:val="en-AU"/>
        </w:rPr>
        <w:t xml:space="preserve"> and Disease</w:t>
      </w:r>
    </w:p>
    <w:p w14:paraId="02A04603" w14:textId="77777777" w:rsidR="00636842" w:rsidRPr="00636842" w:rsidRDefault="00636842" w:rsidP="00FE5C5E">
      <w:pPr>
        <w:pStyle w:val="NoSpacing"/>
      </w:pPr>
      <w:r w:rsidRPr="00636842">
        <w:t>EDEN, the study on the pre- and early postnatal determinants of child health and development</w:t>
      </w:r>
    </w:p>
    <w:p w14:paraId="59AA9BD5" w14:textId="564B7EF0" w:rsidR="00636842" w:rsidRPr="00636842" w:rsidRDefault="00636842" w:rsidP="00FE5C5E">
      <w:pPr>
        <w:pStyle w:val="NoSpacing"/>
        <w:rPr>
          <w:lang w:val="en-AU"/>
        </w:rPr>
      </w:pPr>
      <w:r w:rsidRPr="00636842">
        <w:t xml:space="preserve">E-DII, </w:t>
      </w:r>
      <w:r w:rsidR="00666C6F">
        <w:rPr>
          <w:lang w:val="en-AU"/>
        </w:rPr>
        <w:t>E</w:t>
      </w:r>
      <w:r w:rsidRPr="00636842">
        <w:rPr>
          <w:lang w:val="en-AU"/>
        </w:rPr>
        <w:t>nergy-adjusted Dietary Inflammatory Index</w:t>
      </w:r>
    </w:p>
    <w:p w14:paraId="012923CF" w14:textId="233E522C" w:rsidR="00636842" w:rsidRPr="00636842" w:rsidRDefault="00636842" w:rsidP="00FE5C5E">
      <w:pPr>
        <w:pStyle w:val="NoSpacing"/>
      </w:pPr>
      <w:r w:rsidRPr="00636842">
        <w:t xml:space="preserve">FFQ, </w:t>
      </w:r>
      <w:r w:rsidR="00666C6F">
        <w:t>F</w:t>
      </w:r>
      <w:r w:rsidRPr="00636842">
        <w:t xml:space="preserve">ood </w:t>
      </w:r>
      <w:r w:rsidR="00666C6F">
        <w:t>F</w:t>
      </w:r>
      <w:r w:rsidRPr="00636842">
        <w:t xml:space="preserve">requency </w:t>
      </w:r>
      <w:r w:rsidR="00666C6F">
        <w:t>Q</w:t>
      </w:r>
      <w:r w:rsidRPr="00636842">
        <w:t>uestionnaire</w:t>
      </w:r>
    </w:p>
    <w:p w14:paraId="224F761F" w14:textId="77777777" w:rsidR="00636842" w:rsidRPr="00636842" w:rsidRDefault="00636842" w:rsidP="00FE5C5E">
      <w:pPr>
        <w:pStyle w:val="NoSpacing"/>
      </w:pPr>
      <w:r w:rsidRPr="00636842">
        <w:t>Generation R, The Generation R study</w:t>
      </w:r>
    </w:p>
    <w:p w14:paraId="55ECBF9A" w14:textId="77777777" w:rsidR="00636842" w:rsidRDefault="00636842" w:rsidP="00FE5C5E">
      <w:pPr>
        <w:pStyle w:val="NoSpacing"/>
      </w:pPr>
      <w:r w:rsidRPr="00636842">
        <w:t>Lifeways, Lifeways Cross-Generation Cohort Study</w:t>
      </w:r>
    </w:p>
    <w:p w14:paraId="767F5DD2" w14:textId="77777777" w:rsidR="00636842" w:rsidRPr="00636842" w:rsidRDefault="00636842" w:rsidP="00FE5C5E">
      <w:pPr>
        <w:pStyle w:val="NoSpacing"/>
      </w:pPr>
      <w:r w:rsidRPr="00636842">
        <w:t>REPRO_PL, Polish Mother and Child Cohort</w:t>
      </w:r>
    </w:p>
    <w:p w14:paraId="0F3F2A31" w14:textId="77777777" w:rsidR="00636842" w:rsidRPr="00636842" w:rsidRDefault="00636842" w:rsidP="00FE5C5E">
      <w:pPr>
        <w:pStyle w:val="NoSpacing"/>
      </w:pPr>
      <w:r w:rsidRPr="00636842">
        <w:t xml:space="preserve">ROLO, Randomised </w:t>
      </w:r>
      <w:proofErr w:type="spellStart"/>
      <w:r w:rsidRPr="00636842">
        <w:t>cOntrol</w:t>
      </w:r>
      <w:proofErr w:type="spellEnd"/>
      <w:r w:rsidRPr="00636842">
        <w:t xml:space="preserve"> trial of </w:t>
      </w:r>
      <w:proofErr w:type="spellStart"/>
      <w:r w:rsidRPr="00636842">
        <w:t>LOw</w:t>
      </w:r>
      <w:proofErr w:type="spellEnd"/>
      <w:r w:rsidRPr="00636842">
        <w:t xml:space="preserve"> glycaemic index diet during pregnancy study</w:t>
      </w:r>
    </w:p>
    <w:p w14:paraId="054258AB" w14:textId="2C858478" w:rsidR="00E176D0" w:rsidRDefault="00E176D0" w:rsidP="00FE5C5E">
      <w:pPr>
        <w:pStyle w:val="NoSpacing"/>
      </w:pPr>
      <w:r>
        <w:t xml:space="preserve">SD, </w:t>
      </w:r>
      <w:r w:rsidR="00666C6F">
        <w:t>S</w:t>
      </w:r>
      <w:r>
        <w:t xml:space="preserve">tandard </w:t>
      </w:r>
      <w:r w:rsidR="00666C6F">
        <w:t>D</w:t>
      </w:r>
      <w:r>
        <w:t>eviation</w:t>
      </w:r>
    </w:p>
    <w:p w14:paraId="5D505ACE" w14:textId="77777777" w:rsidR="007C6252" w:rsidRPr="00636842" w:rsidRDefault="00636842" w:rsidP="00FE5C5E">
      <w:pPr>
        <w:pStyle w:val="NoSpacing"/>
      </w:pPr>
      <w:r w:rsidRPr="00636842">
        <w:t>SWS, Southampton Women’s Survey</w:t>
      </w:r>
      <w:r w:rsidR="007C6252" w:rsidRPr="00636842">
        <w:br w:type="page"/>
      </w:r>
    </w:p>
    <w:p w14:paraId="6EB88400" w14:textId="77777777" w:rsidR="007C6252" w:rsidRPr="00E603A6" w:rsidRDefault="007C6252" w:rsidP="00E603A6">
      <w:pPr>
        <w:pStyle w:val="Heading2"/>
        <w:spacing w:before="240" w:after="0" w:line="480" w:lineRule="auto"/>
      </w:pPr>
      <w:r w:rsidRPr="00E603A6">
        <w:lastRenderedPageBreak/>
        <w:t>Abstract</w:t>
      </w:r>
    </w:p>
    <w:p w14:paraId="37ACD4CF" w14:textId="77777777" w:rsidR="007C6252" w:rsidRPr="00D961EE" w:rsidRDefault="007C6252" w:rsidP="00E603A6">
      <w:pPr>
        <w:pStyle w:val="Heading3"/>
      </w:pPr>
      <w:r w:rsidRPr="00D961EE">
        <w:t>Background</w:t>
      </w:r>
      <w:r w:rsidR="005F457D">
        <w:t xml:space="preserve"> &amp; Aims</w:t>
      </w:r>
    </w:p>
    <w:p w14:paraId="7C6CD6BF" w14:textId="1937C384" w:rsidR="0044401D" w:rsidRPr="0044401D" w:rsidRDefault="0044401D" w:rsidP="00E603A6">
      <w:pPr>
        <w:pStyle w:val="NoSpacing"/>
        <w:spacing w:line="480" w:lineRule="auto"/>
      </w:pPr>
      <w:r w:rsidRPr="0044401D">
        <w:t xml:space="preserve">Maternal diet </w:t>
      </w:r>
      <w:r w:rsidR="0063185D">
        <w:t xml:space="preserve">during pregnancy </w:t>
      </w:r>
      <w:r w:rsidRPr="0044401D">
        <w:t>is a</w:t>
      </w:r>
      <w:r>
        <w:t xml:space="preserve"> modifiable behaviour which play</w:t>
      </w:r>
      <w:r w:rsidR="0063185D">
        <w:t>s</w:t>
      </w:r>
      <w:r>
        <w:t xml:space="preserve"> an important role in maternal</w:t>
      </w:r>
      <w:r w:rsidR="009E4741">
        <w:t>, neonatal and child health outcomes.</w:t>
      </w:r>
      <w:r w:rsidR="009E2229">
        <w:t xml:space="preserve"> Thus, </w:t>
      </w:r>
      <w:r w:rsidR="00F41F97">
        <w:t xml:space="preserve">knowledge </w:t>
      </w:r>
      <w:r w:rsidR="00255D15">
        <w:t>of</w:t>
      </w:r>
      <w:r w:rsidR="00086E77">
        <w:t xml:space="preserve"> predictors of dietary quality and dietary inflammatory potential in </w:t>
      </w:r>
      <w:r w:rsidR="009E2229">
        <w:t xml:space="preserve">European countries may </w:t>
      </w:r>
      <w:r w:rsidR="00434922">
        <w:t xml:space="preserve">contribute to </w:t>
      </w:r>
      <w:r w:rsidR="009E2229">
        <w:t>develop</w:t>
      </w:r>
      <w:r w:rsidR="00434922">
        <w:t>ing</w:t>
      </w:r>
      <w:r w:rsidR="009E2229">
        <w:t xml:space="preserve"> </w:t>
      </w:r>
      <w:r w:rsidR="00434922">
        <w:t xml:space="preserve">maternal </w:t>
      </w:r>
      <w:r w:rsidR="009E2229">
        <w:t>diet</w:t>
      </w:r>
      <w:r w:rsidR="00905A7A">
        <w:t>-</w:t>
      </w:r>
      <w:r w:rsidR="009E2229">
        <w:t xml:space="preserve">related public health policies </w:t>
      </w:r>
      <w:r w:rsidR="00905A7A">
        <w:t xml:space="preserve">that </w:t>
      </w:r>
      <w:r w:rsidR="009E2229">
        <w:t>target specific at-risk population</w:t>
      </w:r>
      <w:r w:rsidR="00905A7A">
        <w:t>s</w:t>
      </w:r>
      <w:r w:rsidR="00434922">
        <w:t xml:space="preserve"> in Europe</w:t>
      </w:r>
      <w:r w:rsidR="009E2229">
        <w:t>.</w:t>
      </w:r>
    </w:p>
    <w:p w14:paraId="76775D83" w14:textId="77777777" w:rsidR="007C6252" w:rsidRPr="003343EB" w:rsidRDefault="007C6252" w:rsidP="00E603A6">
      <w:pPr>
        <w:pStyle w:val="Heading3"/>
      </w:pPr>
      <w:r w:rsidRPr="003343EB">
        <w:t>Methods</w:t>
      </w:r>
    </w:p>
    <w:p w14:paraId="5C4B5BCE" w14:textId="6283BF80" w:rsidR="00364782" w:rsidRPr="00607414" w:rsidRDefault="003343EB" w:rsidP="00E603A6">
      <w:pPr>
        <w:pStyle w:val="NoSpacing"/>
        <w:spacing w:line="480" w:lineRule="auto"/>
        <w:rPr>
          <w:lang w:val="en-CA"/>
        </w:rPr>
      </w:pPr>
      <w:r>
        <w:t xml:space="preserve">We </w:t>
      </w:r>
      <w:r w:rsidR="00AC7F8A">
        <w:t xml:space="preserve">used </w:t>
      </w:r>
      <w:r>
        <w:t xml:space="preserve">harmonised data </w:t>
      </w:r>
      <w:r w:rsidR="00434922">
        <w:t xml:space="preserve">from </w:t>
      </w:r>
      <w:r w:rsidR="00AC7F8A">
        <w:t>&gt;</w:t>
      </w:r>
      <w:r w:rsidR="006D3B64">
        <w:t xml:space="preserve">26,000 </w:t>
      </w:r>
      <w:r w:rsidR="00AC7F8A">
        <w:t xml:space="preserve">pregnant </w:t>
      </w:r>
      <w:r w:rsidR="006D3B64">
        <w:t xml:space="preserve">women </w:t>
      </w:r>
      <w:r w:rsidR="00AC7F8A">
        <w:t>enrolled in the ALSPAC, EDEN, Generation R, Lifeways, REPRO_PL, ROLO and SWS cohorts</w:t>
      </w:r>
      <w:r w:rsidR="004B0972">
        <w:t>, as part of the ALPHABET consortium</w:t>
      </w:r>
      <w:r w:rsidR="006D3B64">
        <w:t>.</w:t>
      </w:r>
      <w:r w:rsidR="00FA59A5">
        <w:t xml:space="preserve"> Maternal dietary quality and inflammatory potential were assessed using the Dietary Approaches to Stop Hypertension (DASH) and the energy-adjusted Dietary Inflammatory Index (E-DII). We conducted an </w:t>
      </w:r>
      <w:r>
        <w:t>individual participant data meta-analysis</w:t>
      </w:r>
      <w:r w:rsidR="00FA59A5">
        <w:t xml:space="preserve"> to investigate the maternal sociodemographic, health and behavioural predictors of maternal diet before and during pregnancy.</w:t>
      </w:r>
    </w:p>
    <w:p w14:paraId="520DD95B" w14:textId="77777777" w:rsidR="007C6252" w:rsidRPr="003343EB" w:rsidRDefault="007C6252" w:rsidP="00E603A6">
      <w:pPr>
        <w:pStyle w:val="Heading3"/>
      </w:pPr>
      <w:r w:rsidRPr="003343EB">
        <w:t>Results</w:t>
      </w:r>
    </w:p>
    <w:p w14:paraId="78586AFF" w14:textId="0B546337" w:rsidR="00E35EB4" w:rsidRPr="00E35EB4" w:rsidRDefault="00E35EB4" w:rsidP="00E603A6">
      <w:pPr>
        <w:pStyle w:val="NoSpacing"/>
        <w:spacing w:line="480" w:lineRule="auto"/>
      </w:pPr>
      <w:r>
        <w:t>DASH and E-DII scores were moderately correlated: from</w:t>
      </w:r>
      <w:r w:rsidR="004D3CB4">
        <w:t xml:space="preserve"> -0.63 (95% CI: -0.66, -0.59) to</w:t>
      </w:r>
      <w:r>
        <w:t xml:space="preserve"> -0.48 (95% CI: -0.49, -0.47)</w:t>
      </w:r>
      <w:r w:rsidR="00AC7F8A">
        <w:t xml:space="preserve"> across cohorts</w:t>
      </w:r>
      <w:r>
        <w:t>.</w:t>
      </w:r>
      <w:r w:rsidR="003361E5">
        <w:t xml:space="preserve"> </w:t>
      </w:r>
      <w:r w:rsidR="00124D51">
        <w:t>Higher m</w:t>
      </w:r>
      <w:r>
        <w:t>aternal age, education</w:t>
      </w:r>
      <w:r w:rsidR="001F2EDD">
        <w:t>,</w:t>
      </w:r>
      <w:r>
        <w:t xml:space="preserve"> household income</w:t>
      </w:r>
      <w:r w:rsidR="001F2EDD">
        <w:t xml:space="preserve">, and physical activity </w:t>
      </w:r>
      <w:r w:rsidR="00511DD2">
        <w:t>during pregnancy</w:t>
      </w:r>
      <w:r w:rsidR="001F2EDD">
        <w:t xml:space="preserve"> </w:t>
      </w:r>
      <w:r w:rsidR="003361E5">
        <w:t>were</w:t>
      </w:r>
      <w:r>
        <w:t xml:space="preserve"> associated with </w:t>
      </w:r>
      <w:r w:rsidR="001F2EDD">
        <w:t xml:space="preserve">a </w:t>
      </w:r>
      <w:r w:rsidR="003403C9">
        <w:t>better</w:t>
      </w:r>
      <w:r w:rsidR="00124D51">
        <w:t xml:space="preserve"> </w:t>
      </w:r>
      <w:r>
        <w:t>diet</w:t>
      </w:r>
      <w:r w:rsidR="00FD3046">
        <w:t>ary</w:t>
      </w:r>
      <w:r>
        <w:t xml:space="preserve"> quality</w:t>
      </w:r>
      <w:r w:rsidR="00FD3046">
        <w:t xml:space="preserve"> and a </w:t>
      </w:r>
      <w:r w:rsidR="00372635">
        <w:t>more</w:t>
      </w:r>
      <w:r w:rsidR="00FD3046">
        <w:t xml:space="preserve"> anti-inflammatory diet</w:t>
      </w:r>
      <w:r>
        <w:t xml:space="preserve">. Conversely, </w:t>
      </w:r>
      <w:r w:rsidR="00C04FC4" w:rsidRPr="007C263E">
        <w:t>multiparity</w:t>
      </w:r>
      <w:r w:rsidRPr="00C04FC4">
        <w:t xml:space="preserve"> and</w:t>
      </w:r>
      <w:r>
        <w:t xml:space="preserve"> smoking during pregnancy were associated with </w:t>
      </w:r>
      <w:r w:rsidR="00A80866">
        <w:t xml:space="preserve">a </w:t>
      </w:r>
      <w:r w:rsidR="00124D51">
        <w:t xml:space="preserve">poorer </w:t>
      </w:r>
      <w:r>
        <w:t>diet</w:t>
      </w:r>
      <w:r w:rsidR="00A80866">
        <w:t>ary</w:t>
      </w:r>
      <w:r>
        <w:t xml:space="preserve"> quality</w:t>
      </w:r>
      <w:r w:rsidR="00A80866">
        <w:t xml:space="preserve"> and </w:t>
      </w:r>
      <w:r w:rsidR="003E427F">
        <w:t>a more pro</w:t>
      </w:r>
      <w:r w:rsidR="00A80866">
        <w:t>inflammatory diet</w:t>
      </w:r>
      <w:r>
        <w:t>.</w:t>
      </w:r>
      <w:r w:rsidR="00446234">
        <w:t xml:space="preserve"> Women with obesity had a </w:t>
      </w:r>
      <w:r w:rsidR="00FA59A5">
        <w:t>poorer pregnancy dietary quality</w:t>
      </w:r>
      <w:r w:rsidR="00446234">
        <w:t xml:space="preserve"> than women with</w:t>
      </w:r>
      <w:r w:rsidR="00FA59A5">
        <w:t xml:space="preserve"> a</w:t>
      </w:r>
      <w:r w:rsidR="00446234">
        <w:t xml:space="preserve"> normal body mass index range</w:t>
      </w:r>
      <w:r w:rsidR="00124D51">
        <w:t>.</w:t>
      </w:r>
    </w:p>
    <w:p w14:paraId="730DAAE6" w14:textId="77777777" w:rsidR="003343EB" w:rsidRPr="003343EB" w:rsidRDefault="007C6252" w:rsidP="00E603A6">
      <w:pPr>
        <w:pStyle w:val="Heading3"/>
      </w:pPr>
      <w:r w:rsidRPr="009D4BE4">
        <w:t>Conclusion</w:t>
      </w:r>
      <w:r w:rsidR="005F457D">
        <w:t>s</w:t>
      </w:r>
    </w:p>
    <w:p w14:paraId="6E6239E8" w14:textId="444F3BC0" w:rsidR="00A92ABE" w:rsidRPr="0034179D" w:rsidRDefault="00BF5F87" w:rsidP="00E603A6">
      <w:pPr>
        <w:pStyle w:val="NoSpacing"/>
        <w:spacing w:line="480" w:lineRule="auto"/>
      </w:pPr>
      <w:r>
        <w:t xml:space="preserve">The </w:t>
      </w:r>
      <w:r w:rsidR="0044401D">
        <w:t xml:space="preserve">results </w:t>
      </w:r>
      <w:r>
        <w:t>will help</w:t>
      </w:r>
      <w:r w:rsidR="000C4B05">
        <w:t xml:space="preserve"> </w:t>
      </w:r>
      <w:r w:rsidR="007C6E09">
        <w:t xml:space="preserve">identify </w:t>
      </w:r>
      <w:r w:rsidR="0044401D">
        <w:t xml:space="preserve">population subgroups </w:t>
      </w:r>
      <w:r w:rsidR="0003363D">
        <w:t xml:space="preserve">who may benefit from targeted </w:t>
      </w:r>
      <w:r w:rsidR="0044401D">
        <w:t xml:space="preserve">public health </w:t>
      </w:r>
      <w:r w:rsidR="0003363D">
        <w:t xml:space="preserve">strategies </w:t>
      </w:r>
      <w:r w:rsidR="0044401D">
        <w:t xml:space="preserve">and interventions </w:t>
      </w:r>
      <w:r w:rsidR="00B95BB4">
        <w:t>aim</w:t>
      </w:r>
      <w:r w:rsidR="0003363D">
        <w:t>ed</w:t>
      </w:r>
      <w:r w:rsidR="00B95BB4">
        <w:t xml:space="preserve"> at </w:t>
      </w:r>
      <w:r w:rsidR="0044401D">
        <w:t>improv</w:t>
      </w:r>
      <w:r w:rsidR="00B95BB4">
        <w:t>ing</w:t>
      </w:r>
      <w:r w:rsidR="0044401D">
        <w:t xml:space="preserve"> women</w:t>
      </w:r>
      <w:r w:rsidR="00B95BB4">
        <w:t>’s</w:t>
      </w:r>
      <w:r w:rsidR="0044401D">
        <w:t xml:space="preserve"> </w:t>
      </w:r>
      <w:r w:rsidR="00B95BB4">
        <w:t>diet</w:t>
      </w:r>
      <w:r w:rsidR="00F5621F">
        <w:t>ary</w:t>
      </w:r>
      <w:r w:rsidR="00B95BB4">
        <w:t xml:space="preserve"> </w:t>
      </w:r>
      <w:r w:rsidR="0044401D">
        <w:t xml:space="preserve">quality during </w:t>
      </w:r>
      <w:r w:rsidR="00B16297">
        <w:t>pregnancy</w:t>
      </w:r>
      <w:r w:rsidR="0044401D">
        <w:t>.</w:t>
      </w:r>
      <w:r w:rsidR="00A92ABE" w:rsidRPr="0034179D">
        <w:br w:type="page"/>
      </w:r>
    </w:p>
    <w:p w14:paraId="495458F7" w14:textId="77777777" w:rsidR="00BA5A60" w:rsidRDefault="00BA5A60" w:rsidP="00E603A6">
      <w:pPr>
        <w:pStyle w:val="Heading2"/>
        <w:spacing w:line="480" w:lineRule="auto"/>
        <w:sectPr w:rsidR="00BA5A60" w:rsidSect="003C4937">
          <w:footerReference w:type="default" r:id="rId30"/>
          <w:pgSz w:w="11906" w:h="16838"/>
          <w:pgMar w:top="1417" w:right="1417" w:bottom="1417" w:left="1417" w:header="708" w:footer="708" w:gutter="0"/>
          <w:cols w:space="708"/>
          <w:docGrid w:linePitch="360"/>
        </w:sectPr>
      </w:pPr>
      <w:bookmarkStart w:id="5" w:name="_Toc534640637"/>
    </w:p>
    <w:p w14:paraId="43E5D3EC" w14:textId="66353C22" w:rsidR="00E341A6" w:rsidRPr="00E603A6" w:rsidRDefault="00E341A6" w:rsidP="00E603A6">
      <w:pPr>
        <w:pStyle w:val="Heading2"/>
        <w:spacing w:before="240" w:after="0" w:line="480" w:lineRule="auto"/>
      </w:pPr>
      <w:r w:rsidRPr="006F34F6">
        <w:lastRenderedPageBreak/>
        <w:t>I</w:t>
      </w:r>
      <w:r w:rsidR="006A4381" w:rsidRPr="006F34F6">
        <w:t>ntroduction</w:t>
      </w:r>
      <w:bookmarkEnd w:id="5"/>
    </w:p>
    <w:p w14:paraId="0BD6ECEA" w14:textId="3F2FE50B" w:rsidR="00442EE4" w:rsidRDefault="001F4356" w:rsidP="00E603A6">
      <w:pPr>
        <w:pStyle w:val="NoSpacing"/>
        <w:spacing w:line="480" w:lineRule="auto"/>
      </w:pPr>
      <w:r>
        <w:t>The Developmental Origins of Health and Disease (DOHaD) paradigm postulates that environmental exposures during the periconceptional period may alter later health in childhood and adulthood.</w:t>
      </w:r>
      <w:r>
        <w:fldChar w:fldCharType="begin"/>
      </w:r>
      <w:r w:rsidR="00034C2C">
        <w:instrText xml:space="preserve"> ADDIN ZOTERO_ITEM CSL_CITATION {"citationID":"yG4L1vTJ","properties":{"formattedCitation":"\\super 1,2\\nosupersub{}","plainCitation":"1,2","noteIndex":0},"citationItems":[{"id":230,"uris":["http://zotero.org/users/4872814/items/ZQRPTRJ9"],"itemData":{"id":230,"type":"article-journal","abstract":"Evidence from both human and animal studies has shown that the prenatal and early postnatal environments influence susceptibility to chronic disease in later life and suggests that epigenetic processes are an important mechanism by which the environment alters long-term disease risk. Epigenetic processes, including DNA methylation, histone modification and non-coding RNAs, play a central role in regulating gene expression. The epigenome is highly sensitive to environmental factors in early life, such as nutrition, stress, endocrine disruption and pollution, and changes in the epigenome can induce long-term changes in gene expression and phenotype. In this review we focus on how the early life nutritional environment can alter the epigenome leading to an altered susceptibility to disease in later life.","container-title":"Journal of Developmental Origins of Health and Disease","DOI":"10.1017/S204017441500121X","ISSN":"2040-1752","issue":"5","journalAbbreviation":"J Dev Orig Health Dis","language":"eng","note":"PMID: 26017068\nPMCID: PMC4789489","page":"399-406","source":"PubMed","title":"The developmental environment, epigenetic biomarkers and long-term health","volume":"6","author":[{"family":"Godfrey","given":"K. M."},{"family":"Costello","given":"P. M."},{"family":"Lillycrop","given":"K. A."}],"issued":{"date-parts":[["2015",10]]}}},{"id":231,"uris":["http://zotero.org/users/4872814/items/SN2BGMRM"],"itemData":{"id":231,"type":"article-journal","abstract":"Environmental exposures have a significant influence on the chronic health conditions plaguing children and adults. Although the Developmental Origins of Health and Disease (DOHaD) paradigm historically has focused on nutrition, an expanding body of research specifically communicates the effects of chemical exposures on early-life development and the propagation of non-communicable disease across the lifespan. This paper provides an overview of 20 years of research efforts aimed at identifying critical windows of susceptibility to environmental exposures and the signaling changes and epigenetic influences associated with disease progression. DOHaD grants funded by the National Institute of Environmental Health Sciences (NIEHS) in 1991, 2001 and 2011 are identified by grant-analysis software, and each portfolio is analyzed for exposures, disease endpoints, windows of exposure, study design and impact on the field based on publication data. Results show that the 1991 and 2001 portfolios comprised metals, PCBs and air pollutants; however, by 2011, the portfolio has evolved to include or expand the variety of endocrine disruptors, pesticides/persistent organic pollutants and metals. An assortment of brain-health endpoints is most targeted across the portfolios, whereas reproduction and cancer increase steadily over the same time period, and new endpoints like obesity are introduced by 2011. With mounting evidence connecting early-life exposures to later-life disease, we conclude that it is critical to expand the original DOHaD concept to include environmental chemical exposures, and to continue a research agenda that emphasizes defining sensitive windows of exposure and the mechanisms that cause disease.","container-title":"Journal of developmental origins of health and disease","DOI":"10.1017/S2040174414000580","ISSN":"2040-1744","issue":"2","journalAbbreviation":"J Dev Orig Health Dis","note":"PMID: 25471238\nPMCID: PMC4393755","page":"55-64","source":"PubMed Central","title":"Evolution of DOHaD: the impact of environmental health sciences","title-short":"Evolution of DOHaD","volume":"6","author":[{"family":"Haugen","given":"A. C."},{"family":"Schug","given":"T. T."},{"family":"Collman","given":"G."},{"family":"Heindel","given":"J. J."}],"issued":{"date-parts":[["2015",4]]}}}],"schema":"https://github.com/citation-style-language/schema/raw/master/csl-citation.json"} </w:instrText>
      </w:r>
      <w:r>
        <w:fldChar w:fldCharType="separate"/>
      </w:r>
      <w:r w:rsidRPr="001F4356">
        <w:rPr>
          <w:vertAlign w:val="superscript"/>
        </w:rPr>
        <w:t>1,2</w:t>
      </w:r>
      <w:r>
        <w:fldChar w:fldCharType="end"/>
      </w:r>
      <w:r>
        <w:t xml:space="preserve"> M</w:t>
      </w:r>
      <w:r w:rsidR="00FC6A7D">
        <w:t>aternal</w:t>
      </w:r>
      <w:r w:rsidR="000E5476">
        <w:t xml:space="preserve"> </w:t>
      </w:r>
      <w:r w:rsidR="00FC6A7D">
        <w:t>diet</w:t>
      </w:r>
      <w:r w:rsidR="00EF6AB0">
        <w:t>ary</w:t>
      </w:r>
      <w:r w:rsidR="000E5476">
        <w:t xml:space="preserve"> quality, even before pregnancy,</w:t>
      </w:r>
      <w:r w:rsidR="00FC6A7D">
        <w:t xml:space="preserve"> may influence </w:t>
      </w:r>
      <w:r w:rsidR="000E5476">
        <w:t xml:space="preserve">both </w:t>
      </w:r>
      <w:r w:rsidR="00551F1B">
        <w:t xml:space="preserve">pregnancy and child </w:t>
      </w:r>
      <w:r w:rsidR="00FC6A7D">
        <w:t>outcomes</w:t>
      </w:r>
      <w:r w:rsidR="002252E3">
        <w:t>.</w:t>
      </w:r>
      <w:r w:rsidR="00442EE4">
        <w:fldChar w:fldCharType="begin"/>
      </w:r>
      <w:r w:rsidR="00034C2C">
        <w:instrText xml:space="preserve"> ADDIN ZOTERO_ITEM CSL_CITATION {"citationID":"6kmfvZ2R","properties":{"formattedCitation":"\\super 1,3\\nosupersub{}","plainCitation":"1,3","noteIndex":0},"citationItems":[{"id":101,"uris":["http://zotero.org/users/4872814/items/PNTRDQT7"],"itemData":{"id":101,"type":"article-journal","abstract":"It is the position of the Academy of Nutrition and Dietetics that women of childbearing age should adopt a lifestyle optimizing health and reducing risk of birth defects, suboptimal fetal development, and chronic health problems in both mother and child. Components leading to a healthy pregnancy outcome include healthy prepregnancy weight, appropriate weight gain and physical activity during pregnancy, consumption of a wide variety of foods, appropriate vitamin and mineral supplementation, avoidance of alcohol and other harmful substances, and safe food handling. Pregnancy is a critical period during which maternal nutrition and lifestyle choices are major influences on mother and child health. Inadequate levels of key nutrients during crucial periods of fetal development may lead to reprogramming within fetal tissues, predisposing the infant to chronic conditions in later life. Improving the well-being of mothers, infants, and children is key to the health of the next generation. This position paper and the accompanying practice paper (www.eatright.org/members/practicepapers) on the same topic provide registered dietitian nutritionists and dietetic technicians, registered; other professional associations; government agencies; industry; and the public with the Academy's stance on factors determined to influence healthy pregnancy, as well as an overview of best practices in nutrition and healthy lifestyles during pregnancy.","container-title":"Journal of the Academy of Nutrition and Dietetics","DOI":"10.1016/j.jand.2014.05.005","ISSN":"2212-2672","issue":"7","journalAbbreviation":"J Acad Nutr Diet","language":"eng","note":"PMID: 24956993","page":"1099-1103","source":"PubMed","title":"Position of the Academy of Nutrition and Dietetics: nutrition and lifestyle for a healthy pregnancy outcome","title-short":"Position of the Academy of Nutrition and Dietetics","volume":"114","author":[{"family":"Procter","given":"Sandra B."},{"family":"Campbell","given":"Christina G."}],"issued":{"date-parts":[["2014",7]]}}},{"id":230,"uris":["http://zotero.org/users/4872814/items/ZQRPTRJ9"],"itemData":{"id":230,"type":"article-journal","abstract":"Evidence from both human and animal studies has shown that the prenatal and early postnatal environments influence susceptibility to chronic disease in later life and suggests that epigenetic processes are an important mechanism by which the environment alters long-term disease risk. Epigenetic processes, including DNA methylation, histone modification and non-coding RNAs, play a central role in regulating gene expression. The epigenome is highly sensitive to environmental factors in early life, such as nutrition, stress, endocrine disruption and pollution, and changes in the epigenome can induce long-term changes in gene expression and phenotype. In this review we focus on how the early life nutritional environment can alter the epigenome leading to an altered susceptibility to disease in later life.","container-title":"Journal of Developmental Origins of Health and Disease","DOI":"10.1017/S204017441500121X","ISSN":"2040-1752","issue":"5","journalAbbreviation":"J Dev Orig Health Dis","language":"eng","note":"PMID: 26017068\nPMCID: PMC4789489","page":"399-406","source":"PubMed","title":"The developmental environment, epigenetic biomarkers and long-term health","volume":"6","author":[{"family":"Godfrey","given":"K. M."},{"family":"Costello","given":"P. M."},{"family":"Lillycrop","given":"K. A."}],"issued":{"date-parts":[["2015",10]]}}}],"schema":"https://github.com/citation-style-language/schema/raw/master/csl-citation.json"} </w:instrText>
      </w:r>
      <w:r w:rsidR="00442EE4">
        <w:fldChar w:fldCharType="separate"/>
      </w:r>
      <w:r w:rsidRPr="001F4356">
        <w:rPr>
          <w:vertAlign w:val="superscript"/>
        </w:rPr>
        <w:t>1,3</w:t>
      </w:r>
      <w:r w:rsidR="00442EE4">
        <w:fldChar w:fldCharType="end"/>
      </w:r>
      <w:r w:rsidR="000E5476">
        <w:t xml:space="preserve"> Indeed, several studies have </w:t>
      </w:r>
      <w:r w:rsidR="00512741">
        <w:t>high</w:t>
      </w:r>
      <w:r w:rsidR="00617A31">
        <w:t xml:space="preserve">lighted its potential impact on pregnancy complications (e.g., risk of pre-eclampsia), birth outcomes (e.g., </w:t>
      </w:r>
      <w:r w:rsidR="009F6AE3">
        <w:t>risk of preterm birth and low birth weight</w:t>
      </w:r>
      <w:r w:rsidR="00617A31">
        <w:t>) and offspring physical and mental health and development (e.g.,</w:t>
      </w:r>
      <w:r w:rsidR="009F6AE3">
        <w:t xml:space="preserve"> obesity, neurocognitive development</w:t>
      </w:r>
      <w:r w:rsidR="00617A31">
        <w:t>)</w:t>
      </w:r>
      <w:r w:rsidR="002252E3">
        <w:t>.</w:t>
      </w:r>
      <w:r w:rsidR="00442EE4">
        <w:fldChar w:fldCharType="begin"/>
      </w:r>
      <w:r w:rsidR="00034C2C">
        <w:instrText xml:space="preserve"> ADDIN ZOTERO_ITEM CSL_CITATION {"citationID":"CYX1Qf3K","properties":{"formattedCitation":"\\super 4\\uc0\\u8211{}7\\nosupersub{}","plainCitation":"4–7","noteIndex":0},"citationItems":[{"id":134,"uris":["http://zotero.org/users/4872814/items/8SHKPE88"],"itemData":{"id":134,"type":"article-journal","abstract":"OBJECTIVES: To investigate possible associations between maternal diet during pregnancy and fetal growth.\nMETHOD: Factor analysis was used to explore dietary patterns among pregnant women. The association between maternal dietary patterns and fetal growth (in terms of small for gestational age, SGA) was investigated by logistic regression. Prospective cohort study, including information on 44 612 women in Denmark.\nRESULTS: Two major dietary patterns were defined: the first pattern was characterized by red and processed meat, high-fat dairy, and the second pattern was characterized by intake of vegetables, fruits, poultry and fish. Women were classified into three classes according to their diet: the first class had high intake of foods of the first dietary pattern, and was classified as 'the Western diet', the second class preferred foods of the second pattern and was classified as the 'Health Conscious'; and the third one had eaten foods of both patterns, and was classified as the 'Intermediate'. The odds ratio of having a small for gestational-age infant (with a birth weight below the 2.5th percentile for gestational age and gender) was 0.74 (95% CI 0.64-0.86) for women in the Health Conscious class compared with women in the Western Diet class. The analyses were adjusted for parity, maternal smoking, age, height, pre-pregnancy weight and father's height.\nCONCLUSIONS: Our results indicated that a diet in pregnancy, based on red and processed meat and high-fat diary, was associated with increased risk for SGA. Further studies are warranted to identify specific macro-, or micronutrients that may be underlying these associations.","container-title":"European Journal of Clinical Nutrition","DOI":"10.1038/sj.ejcn.1602745","ISSN":"0954-3007","issue":"4","journalAbbreviation":"Eur J Clin Nutr","language":"eng","note":"PMID: 17392696","page":"463-470","source":"PubMed","title":"Major dietary patterns in pregnancy and fetal growth","volume":"62","author":[{"family":"Knudsen","given":"V. K."},{"family":"Orozova-Bekkevold","given":"I. M."},{"family":"Mikkelsen","given":"T. B."},{"family":"Wolff","given":"S."},{"family":"Olsen","given":"S. F."}],"issued":{"date-parts":[["2008",4]]}}},{"id":964,"uris":["http://zotero.org/users/4872814/items/TD9N8KDJ"],"itemData":{"id":964,"type":"article-journal","abstract":"Maternal nutritional status during pregnancy will affect the outcomes for the mother and the baby. Many analyses of the relationship between diet and outcome are often based on a single or a few food items or nutrients. However, foods are not consumed ...","container-title":"Nutrients","DOI":"10.3390/nu8060351","issue":"6","language":"en","note":"publisher: Multidisciplinary Digital Publishing Institute  (MDPI)\nPMID: 27338455","source":"www.ncbi.nlm.nih.gov","title":"Maternal Dietary Patterns and Pregnancy Outcome","URL":"https://www.ncbi.nlm.nih.gov/pmc/articles/PMC4924192/","volume":"8","author":[{"family":"Chen","given":"Xuyang"},{"family":"Zhao","given":"Diqi"},{"family":"Mao","given":"Xun"},{"family":"Xia","given":"Yinyin"},{"family":"Baker","given":"Philip N."},{"family":"Zhang","given":"Hua"}],"accessed":{"date-parts":[["2020",4,20]]},"issued":{"date-parts":[["2016",6]]}}},{"id":99,"uris":["http://zotero.org/users/4872814/items/BWKPC9I7"],"itemData":{"id":99,"type":"article-journal","abstract":"BACKGROUND/OBJECTIVES: Poor maternal diet in pregnancy can influence fetal growth and development. We tested the hypothesis that poor maternal diet quality during pregnancy would increase neonatal adiposity (percent fat mass (%FM)) at birth by increasing the fat mass (FM) component of neonatal body composition.\nMETHODS: Our analysis was conducted using a prebirth observational cohort of 1079 mother-offspring pairs. Pregnancy diet was assessed via repeated Automated Self-Administered 24-h dietary recalls, from which Healthy Eating Index-2010 (HEI-2010) scores were calculated for each mother. HEI-2010 was dichotomized into scores of </w:instrText>
      </w:r>
      <w:r w:rsidR="00034C2C">
        <w:rPr>
          <w:rFonts w:ascii="Cambria Math" w:hAnsi="Cambria Math" w:cs="Cambria Math"/>
        </w:rPr>
        <w:instrText>⩽</w:instrText>
      </w:r>
      <w:r w:rsidR="00034C2C">
        <w:instrText xml:space="preserve">57 and &gt;57, with low scores representing poorer diet quality. Neonatal %FM was assessed within 72 h after birth with air displacement plethysmography. Using univariate and multivariate linear models, we analyzed the relationship between maternal diet quality and neonatal %FM, FM, and fat-free mass (FFM) while adjusting for prepregnancy body mass index (BMI), physical activity, maternal age, smoking, energy intake, preeclampsia, hypertension, infant sex and gestational age.\nRESULTS: Total HEI-2010 score ranged between 18.2 and 89.5 (mean: 54.2, s.d.: 13.6). An HEI-2010 score of </w:instrText>
      </w:r>
      <w:r w:rsidR="00034C2C">
        <w:rPr>
          <w:rFonts w:ascii="Cambria Math" w:hAnsi="Cambria Math" w:cs="Cambria Math"/>
        </w:rPr>
        <w:instrText>⩽</w:instrText>
      </w:r>
      <w:r w:rsidR="00034C2C">
        <w:instrText xml:space="preserve">57 was significantly associated with higher neonatal %FM (β=0.58, 95% confidence interval (CI) 0.07-1.1, P&lt;0.05) and FM (β=20.74; 95% CI 1.49-40.0; P&lt;0.05) but no difference in FFM.\nCONCLUSIONS: Poor diet quality during pregnancy increases neonatal adiposity independent of maternal prepregnancy BMI and total caloric intake. This further implicates maternal diet as a potentially important exposure for fetal adiposity.","container-title":"International Journal of Obesity","DOI":"10.1038/ijo.2016.79","ISSN":"1476-5497","issue":"7","journalAbbreviation":"Int J Obes (Lond)","language":"eng","note":"PMID: 27133623\nPMCID: PMC5356926","page":"1056-1062","source":"PubMed","title":"Maternal diet quality in pregnancy and neonatal adiposity: the Healthy Start Study","title-short":"Maternal diet quality in pregnancy and neonatal adiposity","volume":"40","author":[{"family":"Shapiro","given":"A. L. B."},{"family":"Kaar","given":"J. L."},{"family":"Crume","given":"T. L."},{"family":"Starling","given":"A. P."},{"family":"Siega-Riz","given":"A. M."},{"family":"Ringham","given":"B. M."},{"family":"Glueck","given":"D. H."},{"family":"Norris","given":"J. M."},{"family":"Barbour","given":"L. A."},{"family":"Friedman","given":"J. E."},{"family":"Dabelea","given":"D."}],"issued":{"date-parts":[["2016"]]}}},{"id":159,"uris":["http://zotero.org/users/4872814/items/FHVQQ5US"],"itemData":{"id":159,"type":"article-journal","abstract":"OBJECTIVES: This systematic review and meta-analysis provides a quantitative summary of the literature exploring the relationship between maternal diet quality during pregnancy and child cognitive and affective outcomes. We investigate whether there are indications for robust associations and aim to identify methodological strengths and challenges of the current research to provide suggestions of improvement for future research.\nDESIGN AND PARTICIPANTS: Relevant studies were identified through a systematic literature search in relevant databases. All studies investigating maternal diet quality during pregnancy in relation to child cognitive or affective functioning in children of elementary school age or younger were assessed for inclusion.\nRESULTS: 18 relevant studies, comprising 63 861 participants were identified. The results indicated a small positive association between better maternal diet quality during pregnancy and child functioning. We observed publication bias and significant heterogeneity between studies, where type of diet classification, publication year and outcome domain together accounted for about 30% of this heterogeneity. Trim and fill analysis substantiated the presence of publication bias for studies in the affective domain and showed an adjusted effect size of Hedge's g=0.088 (p=0.0018) (unadjusted g=0.093 (p=0.03)). We observed no publication bias in the cognitive domain, where results indicated a slightly larger effect size (g=0.14 (p&lt;0.0001)) compared with that of the affective domain. The overall summary effect size was g=0.075 (p&lt;0.0001) adjusted for publication bias (unadjusted g=0.112 (p=0.0001)). Child diet was not systematically controlled for in the majority of the studies.\nCONCLUSION: The results indicated that a better maternal diet quality during pregnancy has a small positive association with child neurodevelopment, with more reliable results seen for cognitive development. These results warrant further research on the association between maternal diet quality during pregnancy and cognitive and affective aspects of child neurodevelopment, whereby it is crucial that future studies account for child diet in the analysis.","container-title":"BMJ open","DOI":"10.1136/bmjopen-2017-016777","ISSN":"2044-6055","issue":"9","journalAbbreviation":"BMJ Open","language":"eng","note":"PMID: 28947450\nPMCID: PMC5623570","page":"e016777","source":"PubMed","title":"The importance of maternal diet quality during pregnancy on cognitive and behavioural outcomes in children: a systematic review and meta-analysis","title-short":"The importance of maternal diet quality during pregnancy on cognitive and behavioural outcomes in children","volume":"7","author":[{"family":"Borge","given":"Tiril Cecilie"},{"family":"Aase","given":"Heidi"},{"family":"Brantsæter","given":"Anne Lise"},{"family":"Biele","given":"Guido"}],"issued":{"date-parts":[["2017",9,24]]}}}],"schema":"https://github.com/citation-style-language/schema/raw/master/csl-citation.json"} </w:instrText>
      </w:r>
      <w:r w:rsidR="00442EE4">
        <w:fldChar w:fldCharType="separate"/>
      </w:r>
      <w:r w:rsidRPr="001F4356">
        <w:rPr>
          <w:vertAlign w:val="superscript"/>
        </w:rPr>
        <w:t>4–7</w:t>
      </w:r>
      <w:r w:rsidR="00442EE4">
        <w:fldChar w:fldCharType="end"/>
      </w:r>
      <w:r w:rsidR="00617A31">
        <w:t xml:space="preserve"> </w:t>
      </w:r>
      <w:r w:rsidR="00844DED">
        <w:t>The quality of diet during pregnancy varies considerably between women,</w:t>
      </w:r>
      <w:r w:rsidR="00442EE4">
        <w:rPr>
          <w:lang w:val="en-CA"/>
        </w:rPr>
        <w:fldChar w:fldCharType="begin"/>
      </w:r>
      <w:r w:rsidR="00034C2C">
        <w:rPr>
          <w:lang w:val="en-CA"/>
        </w:rPr>
        <w:instrText xml:space="preserve"> ADDIN ZOTERO_ITEM CSL_CITATION {"citationID":"LEmx5QKz","properties":{"formattedCitation":"\\super 8,9\\nosupersub{}","plainCitation":"8,9","noteIndex":0},"citationItems":[{"id":109,"uris":["http://zotero.org/users/4872814/items/LQN8F9R4"],"itemData":{"id":109,"type":"article-journal","abstract":"BACKGROUND: Maternal diet may influence outcomes of pregnancy and childhood, but data on correlates of food and nutrient intake during pregnancy are scarce.\nOBJECTIVE: To examine relationships between maternal characteristics and diet quality during the first trimester of pregnancy. Secondarily we examined associations of diet quality with pregnancy outcomes.\nMETHODS: As part of the ongoing US prospective cohort study Project Viva, we studied 1,777 women who completed a food frequency questionnaire during the first trimester of pregnancy. We used linear regression models to examine the relationships of maternal age, prepregnancy body mass index, parity, education, and race/ethnicity with dietary intake during pregnancy. We used the Alternate Healthy Eating Index, slightly modified for pregnancy (AHEI-P), to measure diet quality on a 90-point scale with each of the following nine components contributing 10 possible points: vegetables, fruit, ratio of white to red meat, fiber, trans fat, ratio of polyunsaturated to saturated fatty acids, and folate, calcium, and iron from foods.\nRESULTS: Mean AHEI-P score was 61+/-10 (minimum 33, maximum 89). After adjusting for all characteristics simultaneously, participants who were older (1.3 points per 5 years, 95% confidence interval [CI] [0.7 to 1.8]) had better AHEI-P scores. Participants who had higher body mass index (-0.9 points per 5 kg/m(2), 95% CI [-1.3 to -0.4]), were less educated (-5.2 points for high school or less vs college graduate, 95% CI [-7.0 to -3.5]), and had more children (-1.5 points per child, 95% CI [-2.2 to -0.8]) had worse AHEI-P scores, but African-American and white participants had similar AHEI-P scores (1.3 points for African American vs white, 95% CI [-0.2 to 2.8]). Using multivariate adjusted models, each five points of first trimester AHEI-P was associated lower screening blood glucose level (beta -.64 [95% CI -0.02 to -1.25]). In addition, each five points of second trimester AHEI-P was associated with a slightly lower risk of developing preeclampsia (odds ratio 0.87 [95% CI 0.76 to 1.00]), but we did not observe this association with first trimester AHEI-P (odds ratio 0.96 [95% CI 0.84 to 1.10]).\nCONCLUSIONS: Pregnant women who were younger, less educated, had more children, and who had higher prepregnancy body mass index had poorer-quality diets. These results could be used to tailor nutrition education messages to pregnant women to avoid long-term sequelae from suboptimal maternal nutrition.","container-title":"Journal of the American Dietetic Association","DOI":"10.1016/j.jada.2009.03.001","ISSN":"1878-3570","issue":"6","journalAbbreviation":"J Am Diet Assoc","language":"eng","note":"PMID: 19465182\nPMCID: PMC4098830","page":"1004-1011","source":"PubMed","title":"Dietary quality during pregnancy varies by maternal characteristics in Project Viva: a US cohort","title-short":"Dietary quality during pregnancy varies by maternal characteristics in Project Viva","volume":"109","author":[{"family":"Rifas-Shiman","given":"Sheryl L."},{"family":"Rich-Edwards","given":"Janet W."},{"family":"Kleinman","given":"Ken P."},{"family":"Oken","given":"Emily"},{"family":"Gillman","given":"Matthew W."}],"issued":{"date-parts":[["2009",6]]}}},{"id":172,"uris":["http://zotero.org/users/4872814/items/3WK7ABNH"],"itemData":{"id":172,"type":"article-journal","abstract":"OBJECTIVE: Poor-quality diet, regarded as an important contributor to health inequalities, is linked to adverse health outcomes. We investigated sociodemographic and lifestyle predictors of poor-quality diet in a population sample.\nDESIGN: A cross-sectional analysis of the Survey of Lifestyle, Attitudes and Nutrition (SLÁN). Diet was assessed using an FFQ (n 9223, response rate = 89%), from which a dietary score (the DASH (Dietary Approaches to Stop Hypertension) score) was constructed.\nSETTING: General population of the Republic of Ireland.\nSUBJECTS: The SLÁN survey is a two-stage clustered sample of 10,364 individuals aged 18 years.\nRESULTS: Adjusting for age and gender, a number of sociodemographic, lifestyle and health-related variables were associated with poor-quality diet: social class, education, marital status, social support, food poverty (FP), smoking status, alcohol consumption, underweight and self-perceived general health. These associations persisted when adjusted for age, gender and social class. They were not significantly altered in the multivariate analysis, although the association with social support was attenuated and that with FP was borderline significant (OR = 1·2, 95% CI 1·03, 1·45). A classical U-shaped relationship between alcohol consumption and dietary quality was observed. Dietary quality was associated with social class, educational attainment, FP and related core determinants of health.\nCONCLUSIONS: The extent to which social inequalities in health can be explained by socially determined differences in dietary intake is probably underestimated. The use of composite dietary quality scores such as the DASH score to address the issue of confounding by diet in the relationship between alcohol consumption and health merits further study.","container-title":"Public Health Nutrition","DOI":"10.1017/S136898001100098X","ISSN":"1475-2727","issue":"12","journalAbbreviation":"Public Health Nutr","language":"eng","note":"PMID: 21729473","page":"2166-2175","source":"PubMed","title":"Sociodemographic, health and lifestyle predictors of poor diets","volume":"14","author":[{"family":"Harrington","given":"Janas"},{"family":"Fitzgerald","given":"Anthony P."},{"family":"Layte","given":"Richard"},{"family":"Lutomski","given":"Jennifer"},{"family":"Molcho","given":"Michal"},{"family":"Perry","given":"Ivan J."}],"issued":{"date-parts":[["2011",12]]}}}],"schema":"https://github.com/citation-style-language/schema/raw/master/csl-citation.json"} </w:instrText>
      </w:r>
      <w:r w:rsidR="00442EE4">
        <w:rPr>
          <w:lang w:val="en-CA"/>
        </w:rPr>
        <w:fldChar w:fldCharType="separate"/>
      </w:r>
      <w:r w:rsidRPr="001F4356">
        <w:rPr>
          <w:vertAlign w:val="superscript"/>
        </w:rPr>
        <w:t>8,9</w:t>
      </w:r>
      <w:r w:rsidR="00442EE4">
        <w:rPr>
          <w:lang w:val="en-CA"/>
        </w:rPr>
        <w:fldChar w:fldCharType="end"/>
      </w:r>
      <w:r w:rsidR="00324537">
        <w:rPr>
          <w:lang w:val="en-CA"/>
        </w:rPr>
        <w:t xml:space="preserve"> </w:t>
      </w:r>
      <w:r w:rsidR="00844DED">
        <w:t xml:space="preserve">and especially according to </w:t>
      </w:r>
      <w:r w:rsidR="00324537">
        <w:t>age, education</w:t>
      </w:r>
      <w:r w:rsidR="00551F1B">
        <w:t xml:space="preserve"> and </w:t>
      </w:r>
      <w:r w:rsidR="00324537">
        <w:t>income</w:t>
      </w:r>
      <w:r w:rsidR="00E44EB9">
        <w:t>,</w:t>
      </w:r>
      <w:r w:rsidR="00324537">
        <w:t xml:space="preserve"> </w:t>
      </w:r>
      <w:r w:rsidR="00844DED">
        <w:t>however</w:t>
      </w:r>
      <w:r w:rsidR="001038D5">
        <w:t xml:space="preserve"> the evidence regarding </w:t>
      </w:r>
      <w:r w:rsidR="00324537">
        <w:t>parity</w:t>
      </w:r>
      <w:r w:rsidR="00F14644">
        <w:t>, ethnicity or other factors are</w:t>
      </w:r>
      <w:r w:rsidR="00324537">
        <w:t xml:space="preserve"> </w:t>
      </w:r>
      <w:r w:rsidR="00F14644">
        <w:t>less clear</w:t>
      </w:r>
      <w:r w:rsidR="002252E3">
        <w:t>.</w:t>
      </w:r>
      <w:r w:rsidR="00442EE4">
        <w:fldChar w:fldCharType="begin"/>
      </w:r>
      <w:r w:rsidR="00034C2C">
        <w:instrText xml:space="preserve"> ADDIN ZOTERO_ITEM CSL_CITATION {"citationID":"7Nlvp5eK","properties":{"formattedCitation":"\\super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442EE4">
        <w:fldChar w:fldCharType="separate"/>
      </w:r>
      <w:r w:rsidRPr="001F4356">
        <w:rPr>
          <w:vertAlign w:val="superscript"/>
        </w:rPr>
        <w:t>10</w:t>
      </w:r>
      <w:r w:rsidR="00442EE4">
        <w:fldChar w:fldCharType="end"/>
      </w:r>
    </w:p>
    <w:p w14:paraId="3369C1DD" w14:textId="2081B20D" w:rsidR="00F5621F" w:rsidRPr="00DE7AA6" w:rsidRDefault="00F5621F" w:rsidP="00F5621F">
      <w:pPr>
        <w:pStyle w:val="NoSpacing"/>
        <w:spacing w:line="480" w:lineRule="auto"/>
        <w:ind w:firstLine="708"/>
        <w:rPr>
          <w:lang w:val="en-CA"/>
        </w:rPr>
      </w:pPr>
      <w:r>
        <w:t>Pregnancy is a period of life when changes in dietary habits may occur.</w:t>
      </w:r>
      <w:r>
        <w:fldChar w:fldCharType="begin"/>
      </w:r>
      <w:r w:rsidR="00034C2C">
        <w:instrText xml:space="preserve"> ADDIN ZOTERO_ITEM CSL_CITATION {"citationID":"h9nzyFVF","properties":{"formattedCitation":"\\super 11,12\\nosupersub{}","plainCitation":"11,12","noteIndex":0},"citationItems":[{"id":983,"uris":["http://zotero.org/users/4872814/items/94PUY474"],"itemData":{"id":983,"type":"article-journal","abstract":"This article provides a review of the determinants of healthy eating in pregnancy by synthesizing current research findings and offers strategies to promote healthy eating during pregnancy. This article is guided by the ecological model for health promotion that suggests the determinants of healthy eating as intrapersonal or collective determinants of food choices and public policies that support healthy eating during pregnancy. Community health nurses can apply this model to gain insights into identifying gaps in practice and to prioritize action strategies to guide program development and interventions designed to support healthy eating by all pregnant women.","container-title":"Journal of Community Health Nursing","DOI":"10.1080/07370010802221727","ISSN":"1532-7655","issue":"3","journalAbbreviation":"J Community Health Nurs","language":"eng","note":"PMID: 18709575","page":"138-152","source":"PubMed","title":"Healthy eating during pregnancy: determinants and supportive strategies","title-short":"Healthy eating during pregnancy","volume":"25","author":[{"family":"Fowles","given":"Eileen R."},{"family":"Fowles","given":"Sarah L."}],"issued":{"date-parts":[["2008",9]]}}},{"id":980,"uris":["http://zotero.org/users/4872814/items/DR5DAJZX"],"itemData":{"id":980,"type":"article-journal","abstract":"Women often make dietary changes during pregnancy; however, dietary modifications and reasons for changes are not well studied. We aimed to describe the dietary changes made during pregnancy, describe reasons for dietary changes, and determine what changes aligned with recommendations. Pregnant women (n = 379) recruited to the Alberta Pregnancy Outcomes and Nutrition (APrON) study in 2009/2010 completed a questionnaire in which they described dietary changes made during pregnancy and reasons for those changes. Changes and reasons were coded into categories. Women commonly reported increasing their intake of milk products, fruit, and sweet items and commonly decreased or eliminated intake of caffeine, alcohol, and meats. Women frequently reduced intake of foods for the baby’s health and increased foods to satisfy cravings. Changes made commonly aligned with recommendations for caffeine, alcohol intake, food safety, milk and alternatives, and fruit. Changes contrary to recommendations were common for fish and meats. The dietary changes women make during pregnancy appear to reflect women’s efforts to balance physiological changes accompanying pregnancy with the desire for healthy pregnancy outcomes. Understanding the reasons behind dietary change during pregnancy will help researchers and health professionals design effective strategies and public health messages to promote healthier pregnancies.","container-title":"Nutrients","DOI":"10.3390/nu10081032","ISSN":"2072-6643","issue":"8","journalAbbreviation":"Nutrients","note":"PMID: 30096771\nPMCID: PMC6115730","source":"PubMed Central","title":"Dietary Change during Pregnancy and Women’s Reasons for Change","URL":"https://www.ncbi.nlm.nih.gov/pmc/articles/PMC6115730/","volume":"10","author":[{"family":"Forbes","given":"Laura E."},{"family":"Graham","given":"Jocelyn E."},{"family":"Berglund","given":"Casey"},{"family":"Bell","given":"Rhonda C."}],"accessed":{"date-parts":[["2020",4,21]]},"issued":{"date-parts":[["2018",8,8]]}}}],"schema":"https://github.com/citation-style-language/schema/raw/master/csl-citation.json"} </w:instrText>
      </w:r>
      <w:r>
        <w:fldChar w:fldCharType="separate"/>
      </w:r>
      <w:r w:rsidRPr="00F5621F">
        <w:rPr>
          <w:vertAlign w:val="superscript"/>
        </w:rPr>
        <w:t>11,12</w:t>
      </w:r>
      <w:r>
        <w:fldChar w:fldCharType="end"/>
      </w:r>
      <w:r>
        <w:t xml:space="preserve"> It is considered as a window of opportunity for interventions to improve diet</w:t>
      </w:r>
      <w:r w:rsidR="00E753DF">
        <w:t>ary</w:t>
      </w:r>
      <w:r>
        <w:t xml:space="preserve"> quality and maternal, neonatal and child health outcomes.</w:t>
      </w:r>
      <w:r>
        <w:fldChar w:fldCharType="begin"/>
      </w:r>
      <w:r w:rsidR="00034C2C">
        <w:instrText xml:space="preserve"> ADDIN ZOTERO_ITEM CSL_CITATION {"citationID":"l9o5GW6E","properties":{"formattedCitation":"\\super 5,7\\nosupersub{}","plainCitation":"5,7","noteIndex":0},"citationItems":[{"id":964,"uris":["http://zotero.org/users/4872814/items/TD9N8KDJ"],"itemData":{"id":964,"type":"article-journal","abstract":"Maternal nutritional status during pregnancy will affect the outcomes for the mother and the baby. Many analyses of the relationship between diet and outcome are often based on a single or a few food items or nutrients. However, foods are not consumed ...","container-title":"Nutrients","DOI":"10.3390/nu8060351","issue":"6","language":"en","note":"publisher: Multidisciplinary Digital Publishing Institute  (MDPI)\nPMID: 27338455","source":"www.ncbi.nlm.nih.gov","title":"Maternal Dietary Patterns and Pregnancy Outcome","URL":"https://www.ncbi.nlm.nih.gov/pmc/articles/PMC4924192/","volume":"8","author":[{"family":"Chen","given":"Xuyang"},{"family":"Zhao","given":"Diqi"},{"family":"Mao","given":"Xun"},{"family":"Xia","given":"Yinyin"},{"family":"Baker","given":"Philip N."},{"family":"Zhang","given":"Hua"}],"accessed":{"date-parts":[["2020",4,20]]},"issued":{"date-parts":[["2016",6]]}}},{"id":159,"uris":["http://zotero.org/users/4872814/items/FHVQQ5US"],"itemData":{"id":159,"type":"article-journal","abstract":"OBJECTIVES: This systematic review and meta-analysis provides a quantitative summary of the literature exploring the relationship between maternal diet quality during pregnancy and child cognitive and affective outcomes. We investigate whether there are indications for robust associations and aim to identify methodological strengths and challenges of the current research to provide suggestions of improvement for future research.\nDESIGN AND PARTICIPANTS: Relevant studies were identified through a systematic literature search in relevant databases. All studies investigating maternal diet quality during pregnancy in relation to child cognitive or affective functioning in children of elementary school age or younger were assessed for inclusion.\nRESULTS: 18 relevant studies, comprising 63 861 participants were identified. The results indicated a small positive association between better maternal diet quality during pregnancy and child functioning. We observed publication bias and significant heterogeneity between studies, where type of diet classification, publication year and outcome domain together accounted for about 30% of this heterogeneity. Trim and fill analysis substantiated the presence of publication bias for studies in the affective domain and showed an adjusted effect size of Hedge's g=0.088 (p=0.0018) (unadjusted g=0.093 (p=0.03)). We observed no publication bias in the cognitive domain, where results indicated a slightly larger effect size (g=0.14 (p&lt;0.0001)) compared with that of the affective domain. The overall summary effect size was g=0.075 (p&lt;0.0001) adjusted for publication bias (unadjusted g=0.112 (p=0.0001)). Child diet was not systematically controlled for in the majority of the studies.\nCONCLUSION: The results indicated that a better maternal diet quality during pregnancy has a small positive association with child neurodevelopment, with more reliable results seen for cognitive development. These results warrant further research on the association between maternal diet quality during pregnancy and cognitive and affective aspects of child neurodevelopment, whereby it is crucial that future studies account for child diet in the analysis.","container-title":"BMJ open","DOI":"10.1136/bmjopen-2017-016777","ISSN":"2044-6055","issue":"9","journalAbbreviation":"BMJ Open","language":"eng","note":"PMID: 28947450\nPMCID: PMC5623570","page":"e016777","source":"PubMed","title":"The importance of maternal diet quality during pregnancy on cognitive and behavioural outcomes in children: a systematic review and meta-analysis","title-short":"The importance of maternal diet quality during pregnancy on cognitive and behavioural outcomes in children","volume":"7","author":[{"family":"Borge","given":"Tiril Cecilie"},{"family":"Aase","given":"Heidi"},{"family":"Brantsæter","given":"Anne Lise"},{"family":"Biele","given":"Guido"}],"issued":{"date-parts":[["2017",9,24]]}}}],"schema":"https://github.com/citation-style-language/schema/raw/master/csl-citation.json"} </w:instrText>
      </w:r>
      <w:r>
        <w:fldChar w:fldCharType="separate"/>
      </w:r>
      <w:r w:rsidRPr="001F4356">
        <w:rPr>
          <w:vertAlign w:val="superscript"/>
        </w:rPr>
        <w:t>5,7</w:t>
      </w:r>
      <w:r>
        <w:fldChar w:fldCharType="end"/>
      </w:r>
      <w:r>
        <w:t xml:space="preserve"> The development of public health strategies aimed at promoting a healthy diet during pregnancy should rely on evidence-based knowledge regarding the predictors of a healthy diet in the population, to target specific at-risk populations and develop more effective tailored interventions.</w:t>
      </w:r>
      <w:r>
        <w:fldChar w:fldCharType="begin"/>
      </w:r>
      <w:r>
        <w:instrText xml:space="preserve"> ADDIN ZOTERO_ITEM CSL_CITATION {"citationID":"S5y88VjU","properties":{"formattedCitation":"\\super 13\\nosupersub{}","plainCitation":"13","noteIndex":0},"citationItems":[{"id":1072,"uris":["http://zotero.org/users/4872814/items/92T5Z5LW"],"itemData":{"id":1072,"type":"article-journal","abstract":"Obesity prevention is a major public health priority. It is important that all groups benefit from measures to prevent obesity, but we know little about the differential effectiveness of such interventions within particular population subgroups. This review aimed to identify interventions for obesity prevention that evaluated a change in adiposity according to socioeconomic position (SEP) and to determine the effectiveness of these interventions across different socioeconomic groups. A systematic search of published and grey literature was conducted. Studies that described an obesity prevention intervention and reported anthropometric outcomes according to a measure of SEP were included. Evidence was synthesized using narrative analysis. A total of 14 studies were analysed, representing a range of study designs and settings. All studies were from developed countries, with eight conducted among children. Three studies were shown to have no effect on anthropometric outcomes and were not further analysed. Interventions shown to be ineffective in lower SEP participants were primarily based on information provision directed at individual behaviour change. Studies that were shown to be effective in lower SEP participants primarily included community-based strategies or policies aimed at structural changes to the environment. Interventions targeting individual-level behaviour change may be less successful in lower SEP populations. It is essential that our efforts to prevent obesity do not leave behind the most disadvantaged members of society.","container-title":"Obesity Reviews: An Official Journal of the International Association for the Study of Obesity","DOI":"10.1111/obr.12161","ISSN":"1467-789X","issue":"7","journalAbbreviation":"Obes Rev","language":"eng","note":"PMID: 24629126","page":"541-554","source":"PubMed","title":"The effect of obesity prevention interventions according to socioeconomic position: a systematic review","title-short":"The effect of obesity prevention interventions according to socioeconomic position","volume":"15","author":[{"family":"Beauchamp","given":"A."},{"family":"Backholer","given":"K."},{"family":"Magliano","given":"D."},{"family":"Peeters","given":"A."}],"issued":{"date-parts":[["2014",7]]}}}],"schema":"https://github.com/citation-style-language/schema/raw/master/csl-citation.json"} </w:instrText>
      </w:r>
      <w:r>
        <w:fldChar w:fldCharType="separate"/>
      </w:r>
      <w:r w:rsidRPr="00F5621F">
        <w:rPr>
          <w:vertAlign w:val="superscript"/>
        </w:rPr>
        <w:t>13</w:t>
      </w:r>
      <w:r>
        <w:fldChar w:fldCharType="end"/>
      </w:r>
    </w:p>
    <w:p w14:paraId="4F4B92FD" w14:textId="6BAFD035" w:rsidR="00F93CEB" w:rsidRDefault="00F93CEB" w:rsidP="00E603A6">
      <w:pPr>
        <w:pStyle w:val="NoSpacing"/>
        <w:spacing w:line="480" w:lineRule="auto"/>
        <w:ind w:firstLine="708"/>
      </w:pPr>
      <w:r>
        <w:t xml:space="preserve">To </w:t>
      </w:r>
      <w:r w:rsidR="0033537A">
        <w:t>investigate maternal diet</w:t>
      </w:r>
      <w:r>
        <w:t xml:space="preserve">, </w:t>
      </w:r>
      <w:r w:rsidR="004E6F47">
        <w:t xml:space="preserve">the </w:t>
      </w:r>
      <w:r>
        <w:t xml:space="preserve">ALPHABET </w:t>
      </w:r>
      <w:r w:rsidR="004E6F47">
        <w:t xml:space="preserve">consortium </w:t>
      </w:r>
      <w:r>
        <w:t>derived two scores:</w:t>
      </w:r>
      <w:r w:rsidR="00AC2B59">
        <w:t xml:space="preserve"> </w:t>
      </w:r>
      <w:r w:rsidR="00D95D9B">
        <w:t>the</w:t>
      </w:r>
      <w:r w:rsidR="001D0739">
        <w:t xml:space="preserve"> </w:t>
      </w:r>
      <w:r w:rsidR="00D95D9B">
        <w:t>Dietary Approaches to Stop Hypertension (DASH)</w:t>
      </w:r>
      <w:r w:rsidR="00442EE4">
        <w:fldChar w:fldCharType="begin"/>
      </w:r>
      <w:r w:rsidR="00034C2C">
        <w:instrText xml:space="preserve"> ADDIN ZOTERO_ITEM CSL_CITATION {"citationID":"Lo8kVQn5","properties":{"formattedCitation":"\\super 14\\nosupersub{}","plainCitation":"14","noteIndex":0},"citationItems":[{"id":951,"uris":["http://zotero.org/users/4872814/items/VQDFNXIN"],"itemData":{"id":951,"type":"article-journal","abstract":"The ALPHABET consortium aims to examine the interplays between maternal diet quality, epigenetics and offspring health in seven pregnancy/birth cohorts from five European countries. We aimed to use the Dietary Approaches to Stop Hypertension (DASH) score to assess diet quality, but different versions have been published. To derive a single DASH score allowing cross-country, cross-cohort and cross-period comparison and limiting data heterogeneity within the ALPHABET consortium, we harmonised food frequency questionnaire (FFQ) data collected before and during pregnancy in ≥26,500 women. Although FFQs differed strongly in length and content, we derived a consortium DASH score composed of eight food components by combining the prescriptive original DASH and the DASH described by Fung et al. Statistical issues tied to the nature of the FFQs led us to re-classify two food groups (grains and dairy products). Most DASH food components exhibited pronounced between-cohort variability, including non-full-fat dairy products (median intake ranging from 0.1 to 2.2 servings/day), sugar-sweetened beverages/sweets/added sugars (0.3–1.7 servings/day), fruits (1.1–3.1 servings/day), and vegetables (1.5–3.6 servings/day). We successfully developed a harmonized DASH score adapted to all cohorts being part of the ALPHABET consortium. This methodological work may benefit other research teams in adapting the DASH to their study’s specificities.","container-title":"Nutrients","DOI":"10.3390/nu11112706","ISSN":"2072-6643","issue":"11","journalAbbreviation":"Nutrients","note":"PMID: 31717283\nPMCID: PMC6893477","source":"PubMed Central","title":"Deriving the Dietary Approaches to Stop Hypertension (DASH) Score in Women from Seven Pregnancy Cohorts from the European ALPHABET Consortium","URL":"https://www.ncbi.nlm.nih.gov/pmc/articles/PMC6893477/","volume":"11","author":[{"family":"Aubert","given":"Adrien M."},{"family":"Forhan","given":"Anne"},{"family":"Lauzon-Guillain","given":"Blandine","non-dropping-particle":"de"},{"family":"Chen","given":"Ling-Wei"},{"family":"Polanska","given":"Kinga"},{"family":"Hanke","given":"Wojciech"},{"family":"Jankowska","given":"Agnieszka"},{"family":"Mensink-Bout","given":"Sara M."},{"family":"Duijts","given":"Liesbeth"},{"family":"Suderman","given":"Matthew"},{"family":"Relton","given":"Caroline L."},{"family":"Crozier","given":"Sarah R."},{"family":"Harvey","given":"Nicholas C."},{"family":"Cooper","given":"Cyrus"},{"family":"McAuliffe","given":"Fionnuala M."},{"family":"Kelleher","given":"Cecily C."},{"family":"Phillips","given":"Catherine M."},{"family":"Heude","given":"Barbara"},{"family":"Bernard","given":"Jonathan Y."}],"accessed":{"date-parts":[["2020",4,19]]},"issued":{"date-parts":[["2019",11,8]]}}}],"schema":"https://github.com/citation-style-language/schema/raw/master/csl-citation.json"} </w:instrText>
      </w:r>
      <w:r w:rsidR="00442EE4">
        <w:fldChar w:fldCharType="separate"/>
      </w:r>
      <w:r w:rsidR="00F5621F" w:rsidRPr="00F5621F">
        <w:rPr>
          <w:vertAlign w:val="superscript"/>
        </w:rPr>
        <w:t>14</w:t>
      </w:r>
      <w:r w:rsidR="00442EE4">
        <w:fldChar w:fldCharType="end"/>
      </w:r>
      <w:r w:rsidR="009C5C57">
        <w:t xml:space="preserve"> and</w:t>
      </w:r>
      <w:r>
        <w:t xml:space="preserve"> the</w:t>
      </w:r>
      <w:r w:rsidR="00945AA0">
        <w:t xml:space="preserve"> energy-adjusted </w:t>
      </w:r>
      <w:r>
        <w:t>Dietary Inflammatory Index (</w:t>
      </w:r>
      <w:r w:rsidR="00800735">
        <w:t>E-</w:t>
      </w:r>
      <w:r>
        <w:t>DII)</w:t>
      </w:r>
      <w:r w:rsidR="00442EE4">
        <w:fldChar w:fldCharType="begin"/>
      </w:r>
      <w:r w:rsidR="00034C2C">
        <w:instrText xml:space="preserve"> ADDIN ZOTERO_ITEM CSL_CITATION {"citationID":"GAygKt4V","properties":{"formattedCitation":"\\super 15\\nosupersub{}","plainCitation":"15","noteIndex":0},"citationItems":[{"id":160,"uris":["http://zotero.org/users/4872814/items/TQDIBICL"],"itemData":{"id":160,"type":"article-journal","abstract":"OBJECTIVE: To design and develop a literature-derived, population-based dietary inflammatory index (DII) to compare diverse populations on the inflammatory potential of their diets.\nDESIGN: Peer-reviewed primary research articles published through December 2010 on the effect of diet on inflammation were screened for possible inclusion in the DII scoring algorithm. Qualifying articles were scored according to whether each dietary parameter increased (+1), decreased (-1) or had no (0) effect on six inflammatory biomarkers: IL-1β, IL-4, IL-6, IL-10, TNF-α and C-reactive protein.\nSETTING: The Dietary Inflammatory Index Development Study was conducted in the Cancer Prevention and Control Program of the University of South Carolina in Columbia, SC, USA from 2011 to 2012.\nRESULTS: A total of ≈6500 articles published through December 2010 on the effect of dietary parameters on the six inflammatory markers were screened for inclusion in the DII scoring algorithm. Eleven food consumption data sets from countries around the world were identified that allowed individuals' intakes to be expressed relative to the range of intakes of the forty-five food parameters observed across these diverse populations. Qualifying articles (n 1943) were read and scored based on the forty-five pro- and anti-inflammatory food parameters identified in the search. When fit to this composite global database, the DII score of the maximally pro-inflammatory diet was +7·98, the maximally anti-inflammatory DII score was -8·87 and the median was +0·23.\nCONCLUSIONS: The DII reflects both a robust literature base and standardization of individual intakes to global referent values. The success of this first-of-a-kind attempt at relating intakes of inflammation-modulating foods relative to global norms sets the stage for use of the DII in a wide variety of epidemiological and clinical studies.","container-title":"Public Health Nutrition","DOI":"10.1017/S1368980013002115","ISSN":"1475-2727","issue":"8","journalAbbreviation":"Public Health Nutr","language":"eng","note":"PMID: 23941862\nPMCID: PMC3925198","page":"1689-1696","source":"PubMed","title":"Designing and developing a literature-derived, population-based dietary inflammatory index","volume":"17","author":[{"family":"Shivappa","given":"Nitin"},{"family":"Steck","given":"Susan E."},{"family":"Hurley","given":"Thomas G."},{"family":"Hussey","given":"James R."},{"family":"Hébert","given":"James R."}],"issued":{"date-parts":[["2014",8]]}}}],"schema":"https://github.com/citation-style-language/schema/raw/master/csl-citation.json"} </w:instrText>
      </w:r>
      <w:r w:rsidR="00442EE4">
        <w:fldChar w:fldCharType="separate"/>
      </w:r>
      <w:r w:rsidR="00F5621F" w:rsidRPr="00F5621F">
        <w:rPr>
          <w:vertAlign w:val="superscript"/>
        </w:rPr>
        <w:t>15</w:t>
      </w:r>
      <w:r w:rsidR="00442EE4">
        <w:fldChar w:fldCharType="end"/>
      </w:r>
      <w:r w:rsidR="00FB3D13">
        <w:t xml:space="preserve"> within </w:t>
      </w:r>
      <w:r w:rsidR="002E6357">
        <w:t xml:space="preserve">its </w:t>
      </w:r>
      <w:r w:rsidR="009D4BE4">
        <w:t>seven</w:t>
      </w:r>
      <w:r w:rsidR="00FB3D13">
        <w:t xml:space="preserve"> European cohorts</w:t>
      </w:r>
      <w:r w:rsidR="009C5C57">
        <w:t>.</w:t>
      </w:r>
      <w:r w:rsidR="00324537">
        <w:t xml:space="preserve"> </w:t>
      </w:r>
      <w:r w:rsidR="004E6F47">
        <w:t xml:space="preserve">These scores </w:t>
      </w:r>
      <w:r w:rsidR="0033537A">
        <w:t xml:space="preserve">rely on </w:t>
      </w:r>
      <w:r w:rsidR="003D3872">
        <w:t xml:space="preserve">two different approaches to </w:t>
      </w:r>
      <w:r w:rsidR="00267FD9">
        <w:t>examine</w:t>
      </w:r>
      <w:r w:rsidR="003D3872">
        <w:t xml:space="preserve"> diet: </w:t>
      </w:r>
      <w:r w:rsidR="004E6F47">
        <w:t xml:space="preserve">the former </w:t>
      </w:r>
      <w:r w:rsidR="003D3872">
        <w:t>consider</w:t>
      </w:r>
      <w:r w:rsidR="004E6F47">
        <w:t>s</w:t>
      </w:r>
      <w:r w:rsidR="003D3872">
        <w:t xml:space="preserve"> the </w:t>
      </w:r>
      <w:proofErr w:type="gramStart"/>
      <w:r w:rsidR="003D3872">
        <w:t>diet as a whole</w:t>
      </w:r>
      <w:r w:rsidR="00F02AD6">
        <w:t xml:space="preserve">, </w:t>
      </w:r>
      <w:r w:rsidR="00232B44">
        <w:t>while</w:t>
      </w:r>
      <w:proofErr w:type="gramEnd"/>
      <w:r w:rsidR="00232B44">
        <w:t xml:space="preserve"> </w:t>
      </w:r>
      <w:r w:rsidR="003D3872">
        <w:t xml:space="preserve">the </w:t>
      </w:r>
      <w:r w:rsidR="004E6F47">
        <w:t>latter uses a</w:t>
      </w:r>
      <w:r w:rsidR="002E6357">
        <w:t xml:space="preserve"> primarily</w:t>
      </w:r>
      <w:r w:rsidR="004E6F47">
        <w:t xml:space="preserve"> nutrient-based approach to estimate </w:t>
      </w:r>
      <w:r w:rsidR="00F02AD6">
        <w:t>pro- or anti-</w:t>
      </w:r>
      <w:r w:rsidR="003D3872">
        <w:t xml:space="preserve">inflammatory </w:t>
      </w:r>
      <w:r w:rsidR="0033537A">
        <w:t>diet</w:t>
      </w:r>
      <w:r w:rsidR="001038D5">
        <w:t xml:space="preserve">ary </w:t>
      </w:r>
      <w:r w:rsidR="003D3872">
        <w:t>potential</w:t>
      </w:r>
      <w:r w:rsidR="004E6F47">
        <w:t>. B</w:t>
      </w:r>
      <w:r w:rsidR="003D3872">
        <w:t>oth</w:t>
      </w:r>
      <w:r w:rsidR="00324537">
        <w:t xml:space="preserve"> </w:t>
      </w:r>
      <w:r w:rsidR="001038D5">
        <w:t xml:space="preserve">scores </w:t>
      </w:r>
      <w:r w:rsidR="00324537">
        <w:t xml:space="preserve">have been </w:t>
      </w:r>
      <w:r w:rsidR="004E6F47">
        <w:t xml:space="preserve">associated </w:t>
      </w:r>
      <w:r w:rsidR="001038D5">
        <w:t>with</w:t>
      </w:r>
      <w:r w:rsidR="00324537">
        <w:t xml:space="preserve"> a </w:t>
      </w:r>
      <w:r w:rsidR="004E6F47">
        <w:t xml:space="preserve">wide </w:t>
      </w:r>
      <w:r w:rsidR="00324537">
        <w:t xml:space="preserve">range of health outcomes and markers </w:t>
      </w:r>
      <w:r w:rsidR="004E6F47">
        <w:t>throughout the life course</w:t>
      </w:r>
      <w:r w:rsidR="00696F9A">
        <w:t>,</w:t>
      </w:r>
      <w:r w:rsidR="003E28E4">
        <w:fldChar w:fldCharType="begin"/>
      </w:r>
      <w:r w:rsidR="003E28E4">
        <w:instrText xml:space="preserve"> ADDIN ZOTERO_ITEM CSL_CITATION {"citationID":"t9fHwwMC","properties":{"formattedCitation":"\\super 16,17\\nosupersub{}","plainCitation":"16,17","noteIndex":0},"citationItems":[{"id":236,"uris":["http://zotero.org/users/4872814/items/WMQVJPNF"],"itemData":{"id":236,"type":"article-journal","abstract":"The Dietary Approach to Stop Hypertension (DASH) is recommended to lower blood pressure (BP), but its effects on cardiometabolic biomarkers are unclear. A systematic review and meta-analysis of randomised controlled trials (RCT) was conducted to determine the effects of the DASH diet on cardiovascular risk factors. Medline, Embase and Scopus databases were searched from inception to December 2013. Inclusion criteria were as follows: (1) DASH diet; (2) RCT; (3) risk factors including systolic and diastolic BP and glucose, HDL, LDL, TAG and total cholesterol concentrations; (4) control group. Random-effects models were used to determine the pooled effect sizes. Meta-regression analyses were carried out to examine the association between effect sizes, baseline values of the risk factors, BMI, age, quality of trials, salt intake and study duration. A total of twenty articles reporting data for 1917 participants were included in the meta-analysis. The duration of interventions ranged from 2 to 24 weeks. The DASH diet was found to result in significant decreases in systolic BP ( - 5·2 mmHg, 95% CI - 7·0, - 3·4; P&lt; 0·001) and diastolic BP ( - 2·6 mmHg, 95% CI - 3·5, - 1·7; P&lt; 0·001) and in the concentrations of total cholesterol ( - 0·20 mmol/l, 95% CI - 0·31, - 0·10; P&lt; 0·001) and LDL ( - 0·10 mmol/l, 95% CI - 0·20, - 0·01; P= 0·03). Changes in both systolic and diastolic BP were greater in participants with higher baseline BP or BMI. These changes predicted a reduction of approximately 13% in the 10-year Framingham risk score for CVD. The DASH diet improved cardiovascular risk factors and appeared to have greater beneficial effects in subjects with an increased cardiometabolic risk. The DASH diet is an effective nutritional strategy to prevent CVD.","container-title":"The British Journal of Nutrition","DOI":"10.1017/S0007114514003341","ISSN":"1475-2662","issue":"1","journalAbbreviation":"Br. J. Nutr.","language":"eng","note":"PMID: 25430608","page":"1-15","source":"PubMed","title":"Effects of the Dietary Approach to Stop Hypertension (DASH) diet on cardiovascular risk factors: a systematic review and meta-analysis","title-short":"Effects of the Dietary Approach to Stop Hypertension (DASH) diet on cardiovascular risk factors","volume":"113","author":[{"family":"Siervo","given":"Mario"},{"family":"Lara","given":"Jose"},{"family":"Chowdhury","given":"Shakir"},{"family":"Ashor","given":"Ammar"},{"family":"Oggioni","given":"Clio"},{"family":"Mathers","given":"John C."}],"issued":{"date-parts":[["2015",1,14]]}}},{"id":96,"uris":["http://zotero.org/users/4872814/items/NI8YEVF7"],"itemData":{"id":96,"type":"article-journal","container-title":"Nutrients","DOI":"10.3390/nu11081873","issue":"8","source":"PubMed","title":"Dietary Inflammatory Index and Non-Communicable Disease Risk: A Narrative Review.","URL":"https://www.ncbi.nlm.nih.gov/pubmed/31408965","volume":"11","author":[{"family":"Phillips","given":"C.M."},{"family":"Chen","given":"L.W."},{"family":"Heude","given":"B."},{"family":"Bernard","given":"J.Y."},{"family":"Harvey","given":"N.C."},{"family":"Duijts","given":"L."},{"family":"Mensink-Bout","given":"S.M."},{"family":"Polanska","given":"K."},{"family":"Mancano","given":"G."},{"family":"Suderman","given":"M."},{"family":"Shivappa","given":"N."},{"family":"Hébert","given":"J.R."}],"accessed":{"date-parts":[["2019",9,19]]},"issued":{"date-parts":[["2019",8]]}}}],"schema":"https://github.com/citation-style-language/schema/raw/master/csl-citation.json"} </w:instrText>
      </w:r>
      <w:r w:rsidR="003E28E4">
        <w:fldChar w:fldCharType="separate"/>
      </w:r>
      <w:r w:rsidR="003E28E4" w:rsidRPr="003E28E4">
        <w:rPr>
          <w:vertAlign w:val="superscript"/>
        </w:rPr>
        <w:t>16,17</w:t>
      </w:r>
      <w:r w:rsidR="003E28E4">
        <w:fldChar w:fldCharType="end"/>
      </w:r>
      <w:r w:rsidR="00696F9A">
        <w:t xml:space="preserve"> but also specifically </w:t>
      </w:r>
      <w:r w:rsidR="00AE274D">
        <w:t>on</w:t>
      </w:r>
      <w:r w:rsidR="00696F9A">
        <w:t xml:space="preserve"> pregnancy, its outcomes and child health and development.</w:t>
      </w:r>
      <w:r w:rsidR="003E28E4">
        <w:fldChar w:fldCharType="begin"/>
      </w:r>
      <w:r w:rsidR="003E28E4">
        <w:instrText xml:space="preserve"> ADDIN ZOTERO_ITEM CSL_CITATION {"citationID":"JPoPmwC1","properties":{"formattedCitation":"\\super 17\\uc0\\u8211{}21\\nosupersub{}","plainCitation":"17–21","noteIndex":0},"citationItems":[{"id":96,"uris":["http://zotero.org/users/4872814/items/NI8YEVF7"],"itemData":{"id":96,"type":"article-journal","container-title":"Nutrients","DOI":"10.3390/nu11081873","issue":"8","source":"PubMed","title":"Dietary Inflammatory Index and Non-Communicable Disease Risk: A Narrative Review.","URL":"https://www.ncbi.nlm.nih.gov/pubmed/31408965","volume":"11","author":[{"family":"Phillips","given":"C.M."},{"family":"Chen","given":"L.W."},{"family":"Heude","given":"B."},{"family":"Bernard","given":"J.Y."},{"family":"Harvey","given":"N.C."},{"family":"Duijts","given":"L."},{"family":"Mensink-Bout","given":"S.M."},{"family":"Polanska","given":"K."},{"family":"Mancano","given":"G."},{"family":"Suderman","given":"M."},{"family":"Shivappa","given":"N."},{"family":"Hébert","given":"J.R."}],"accessed":{"date-parts":[["2019",9,19]]},"issued":{"date-parts":[["2019",8]]}}},{"id":1400,"uris":["http://zotero.org/users/4872814/items/RK83XQ89"],"itemData":{"id":1400,"type":"article-journal","abstract":"BACKGROUND: Adverse birth outcomes are major causes of morbidity and mortality during childhood and associate with a higher risk of noncommunicable diseases in adult life. Maternal periconception and antenatal nutrition, mostly focusing on single nutrients or foods, has been shown to influence infant birth outcomes. However, evidence on whole diet that considers complex nutrient and food interaction is rare and conflicting. We aim to elucidate the influence of whole-diet maternal dietary inflammatory potential and quality during periconceptional and antenatal periods on birth outcomes.\nMETHODS AND FINDINGS: We harmonized and pooled individual participant data (IPD) from up to 24,861 mother-child pairs in 7 European mother-offspring cohorts [cohort name, country (recruitment dates): ALSPAC, UK (1 April 1991 to 31 December 1992); EDEN, France (27 January 2003 to 6 March 2006); Generation R, the Netherlands (1 April 2002 to 31 January 2006); Lifeways, Ireland (2 October 2001 to 4 April 2003); REPRO_PL, Poland (18 September 2007 to 16 December 2011); ROLO, Ireland (1 January 2007 to 1 January 2011); SWS, United Kingdom (6 April 1998 to 17 December 2002)]. Maternal diets were assessed preconceptionally (n = 2 cohorts) and antenatally (n = 7 cohorts). Maternal dietary inflammatory potential and quality were ranked using the energy-adjusted Dietary Inflammatory Index (E-DII) and Dietary Approaches to Stop Hypertension (DASH) index, respectively. Primary outcomes were birth weight and gestational age at birth. Adverse birth outcomes, i.e., low birth weight (LBW), macrosomia, small-for-gestational-age (SGA), large-for-gestational-age (LGA), preterm and postterm births were defined according to standard clinical cutoffs. Associations of maternal E-DII and DASH scores with infant birth outcomes were assessed using cohort-specific multivariable regression analyses (adjusted for confounders including maternal education, ethnicity, prepregnancy body mass index (BMI), maternal height, parity, cigarettes smoking, and alcohol consumption), with subsequent random-effects meta-analyses. Overall, the study mothers had a mean ± SD age of 29.5 ± 4.9 y at delivery and a mean BMI of 23.3 ± 4.2 kg/m2. Higher pregnancy DASH score (higher dietary quality) was associated with higher birth weight [β(95% CI) = 18.5(5.7, 31.3) g per 1-SD higher DASH score; P value = 0.005] and head circumference [0.03(0.01, 0.06) cm; P value = 0.004], longer birth length [0.05(0.01, 0.10) cm; P value = 0.010], and lower risk of delivering LBW [odds ratio (OR) (95% CI) = 0.89(0.82, 0.95); P value = 0.001] and SGA [0.87(0.82, 0.94); P value &lt; 0.001] infants. Higher maternal prepregnancy E-DII score (more pro-inflammatory diet) was associated with lower birth weight [β(95% CI) = -18.7(-34.8, -2.6) g per 1-SD higher E-DII score; P value = 0.023] and shorter birth length [-0.07(-0.14, -0.01) cm; P value = 0.031], whereas higher pregnancy E-DII score was associated with a shorter birth length [-0.06(-0.10, -0.01) cm; P value = 0.026] and higher risk of SGA [OR(95% CI) = 1.18(1.11, 1.26); P value &lt; 0.001]. In male, but not female, infants higher maternal prepregnancy E-DII was associated with lower birth weight and head circumference, shorter birth length, and higher risk of SGA (P-for-sex-interaction = 0.029, 0.059, 0.104, and 0.075, respectively). No consistent associations were observed for maternal E-DII and DASH scores with gestational age, preterm and postterm birth, or macrosomia and LGA. Limitations of this study were that self-reported dietary data might have increased nondifferential measurement error and that causality cannot be claimed definitely with observational design.\nCONCLUSIONS: In this cohort study, we observed that maternal diet that is of low quality and high inflammatory potential is associated with lower offspring birth size and higher risk of offspring being born SGA in this multicenter meta-analysis using harmonized IPD. Improving overall maternal dietary pattern based on predefined criteria may optimize fetal growth and avert substantial healthcare burden associated with adverse birth outcomes.","container-title":"PLoS medicine","DOI":"10.1371/journal.pmed.1003491","ISSN":"1549-1676","issue":"1","journalAbbreviation":"PLoS Med","language":"eng","note":"PMID: 33476335\nPMCID: PMC7819611","page":"e1003491","source":"PubMed","title":"Associations of maternal dietary inflammatory potential and quality with offspring birth outcomes: An individual participant data pooled analysis of 7 European cohorts in the ALPHABET consortium","title-short":"Associations of maternal dietary inflammatory potential and quality with offspring birth outcomes","volume":"18","author":[{"family":"Chen","given":"Ling-Wei"},{"family":"Aubert","given":"Adrien M."},{"family":"Shivappa","given":"Nitin"},{"family":"Bernard","given":"Jonathan Y."},{"family":"Mensink-Bout","given":"Sara M."},{"family":"Geraghty","given":"Aisling A."},{"family":"Mehegan","given":"John"},{"family":"Suderman","given":"Matthew"},{"family":"Polanska","given":"Kinga"},{"family":"Hanke","given":"Wojciech"},{"family":"Trafalska","given":"Elzbieta"},{"family":"Relton","given":"Caroline L."},{"family":"Crozier","given":"Sarah R."},{"family":"Harvey","given":"Nicholas C."},{"family":"Cooper","given":"Cyrus"},{"family":"Duijts","given":"Liesbeth"},{"family":"Heude","given":"Barbara"},{"family":"Hébert","given":"James R."},{"family":"McAuliffe","given":"Fionnuala M."},{"family":"Kelleher","given":"Cecily C."},{"family":"Phillips","given":"Catherine M."}],"issued":{"date-parts":[["2021",1]]}}},{"id":1397,"uris":["http://zotero.org/users/4872814/items/Z4NEDEWD"],"itemData":{"id":1397,"type":"article-journal","abstract":"BACKGROUND: Mounting evidence suggests that maternal diet influences pregnancy and birth outcomes, but its contribution to the global epidemic of childhood obesity has not as yet been definitively characterized. We investigated whether maternal whole diet quality and inflammatory potential influence childhood adiposity.\nMETHODS: We harmonized and pooled individual participant data from 16,295 mother-child pairs in seven European birth cohorts. Maternal pre-, early-, late-, and whole-pregnancy (any time during pregnancy) dietary quality and inflammatory potential assessed with the Dietary Approaches to Stop Hypertension (DASH) score and the energy-adjusted Dietary Inflammatory Index (E-DII™) score, respectively. Primary outcome was childhood overweight and obesity (OWOB) (age-and-sex-specific BMI z-score &gt; 85th percentile). Secondary outcomes were sum of skinfold thickness (SST), fat mass index (FMI) and fat-free mass index (FFMI). We used multivariable regression analyses (adjusting for maternal lifestyle and sociodemographic factors) to assess the associations of maternal DASH and E-DII scores with offspring adiposity outcomes in cohort-specific analyses, with subsequent random-effect meta-analyses.\nRESULTS: The study mothers had a mean (SD) age of 30.2 (4.6) years and a mean BMI of 23.4 (4.2) kg/m2. Higher early-pregnancy E-DII scores (more pro-inflammatory diet) tended to be associated with a higher odds of late-childhood [10.6 (1.2) years] OWOB [OR (95% CI) 1.09 (1.00, 1.19) per 1-SD E-DII score increase], whereas an inverse association was observed for late-pregnancy E-DII score and early-childhood [2.8 (0.3) years] OWOB [0.91 (0.83, 1.00)]. Higher maternal whole pregnancy DASH score (higher dietary quality) was associated with a lower odds of late-childhood OWOB [OR (95% CI) 0.92 (0.87, 0.98) per 1-SD DASH score increase]; associations were of similar magnitude for early and late-pregnancy [0.86 (0.72, 1.04) and 0.91 (0.85, 0.98), respectively]. These associations were robust in several sensitivity analyses and further adjustment for birth weight and childhood diet did not meaningfully alter the associations and conclusions. In two cohorts with available data, a higher whole pregnancy E-DII and lower DASH scores were associated with a lower late-childhood FFMI in males and a higher mid-childhood FMI in females (P interactions &lt; 0.10).\nCONCLUSIONS: A pro-inflammatory, low-quality maternal antenatal diet may adversely influence offspring body composition and OWOB risk, especially during late-childhood. Promoting an overall healthy and anti-inflammatory maternal dietary pattern may contribute to the prevention of childhood obesity, a complex health issue requiring multifaceted strategy.","container-title":"BMC medicine","DOI":"10.1186/s12916-021-01908-7","ISSN":"1741-7015","issue":"1","journalAbbreviation":"BMC Med","language":"eng","note":"PMID: 33612114\nPMCID: PMC7898733","page":"33","source":"PubMed","title":"Maternal dietary quality, inflammatory potential and childhood adiposity: an individual participant data pooled analysis of seven European cohorts in the ALPHABET consortium","title-short":"Maternal dietary quality, inflammatory potential and childhood adiposity","volume":"19","author":[{"family":"Chen","given":"Ling-Wei"},{"family":"Aubert","given":"Adrien M."},{"family":"Shivappa","given":"Nitin"},{"family":"Bernard","given":"Jonathan Y."},{"family":"Mensink-Bout","given":"Sara M."},{"family":"Geraghty","given":"Aisling A."},{"family":"Mehegan","given":"John"},{"family":"Suderman","given":"Matthew"},{"family":"Polanska","given":"Kinga"},{"family":"Hanke","given":"Wojciech"},{"family":"Jankowska","given":"Agnieszka"},{"family":"Relton","given":"Caroline L."},{"family":"Crozier","given":"Sarah R."},{"family":"Harvey","given":"Nicholas C."},{"family":"Cooper","given":"Cyrus"},{"family":"Hanson","given":"Mark"},{"family":"Godfrey","given":"Keith M."},{"family":"Gaillard","given":"Romy"},{"family":"Duijts","given":"Liesbeth"},{"family":"Heude","given":"Barbara"},{"family":"Hébert","given":"James R."},{"family":"McAuliffe","given":"Fionnuala M."},{"family":"Kelleher","given":"Cecily C."},{"family":"Phillips","given":"Catherine M."}],"issued":{"date-parts":[["2021",2,22]]}}},{"id":1403,"uris":["http://zotero.org/users/4872814/items/AEGFBEQU"],"itemData":{"id":1403,"type":"article-journal","abstract":"BACKGROUND: The impact of maternal diet during pregnancy on child neurodevelopment is of public health and clinical relevance. We evaluated the associations of dietary quality based on the Dietary Approaches to Stop Hypertension (DASH) score and dietary inflammatory potential based on the energy-adjusted Dietary Inflammatory Index (E-DII) score during pregnancy with emotional and behavioral symptoms of offspring at 7 to 10 years of age.\nMETHODS: Individual participant data for 11,870 mother-child pairs from four European cohorts participating in the ALPHABET project were analyzed. Maternal antenatal DASH and E-DII scores were generated from self-completed food frequency questionnaires. Symptoms of depression and anxiety, aggressive behavior, and attention-deficit/hyperactivity disorder in children were assessed using mother-reported tests and classified within the normal or borderline/clinical ranges using validated cutoffs. Adjusted odds ratios were determined by multivariable logistic regression models and aggregated by the two-level individual participant data meta-analysis method.\nRESULTS: Higher maternal DASH scores (indicating better dietary quality) were associated with lower risk of depressive and anxiety symptoms, aggressive behavior symptoms, and attention-deficit/hyperactivity disorder symptoms within the borderline/clinical ranges: odds ratio [OR] 0.97, 95% confidence interval [CI], 0.95-0.99; OR 0.97, 95% CI, 0.94-0.99; OR 0.97, 95% CI, 0.95-0.98, per one-unit DASH score increase, respectively. For depression and anxiety, aggressive behavior, and attention-deficit/hyperactivity disorder symptoms, a one-unit increase in E-DII scores (a more proinflammatory diet) was associated with a 7% increased risk of all three analyzed emotional and behavioral symptoms: OR 1.07, 95% CI, 1.03-1.11; OR 1.07, 95% CI, 1.02-1.13; OR 1.07, 95% CI, 1.01-1.13, respectively.\nCONCLUSIONS: Our findings suggest that a maternal low-quality and proinflammatory diet may increase the risk of emotional and behavioral symptoms in children.","container-title":"Biological Psychiatry","DOI":"10.1016/j.biopsych.2020.10.008","ISSN":"1873-2402","issue":"6","journalAbbreviation":"Biol Psychiatry","language":"eng","note":"PMID: 33358009","page":"550-559","source":"PubMed","title":"Dietary Quality and Dietary Inflammatory Potential During Pregnancy and Offspring Emotional and Behavioral Symptoms in Childhood: An Individual Participant Data Meta-analysis of Four European Cohorts","title-short":"Dietary Quality and Dietary Inflammatory Potential During Pregnancy and Offspring Emotional and Behavioral Symptoms in Childhood","volume":"89","author":[{"family":"Polanska","given":"Kinga"},{"family":"Kaluzny","given":"Pawel"},{"family":"Aubert","given":"Adrien M."},{"family":"Bernard","given":"Jonathan Y."},{"family":"Duijts","given":"Liesbeth"},{"family":"El Marroun","given":"Hanan"},{"family":"Hanke","given":"Wojciech"},{"family":"Hébert","given":"James R."},{"family":"Heude","given":"Barbara"},{"family":"Jankowska","given":"Agnieszka"},{"family":"Mancano","given":"Giulia"},{"family":"Mensink-Bout","given":"Sara M."},{"family":"Relton","given":"Caroline"},{"family":"Shivappa","given":"Nitin"},{"family":"Suderman","given":"Matthew"},{"family":"Trafalska","given":"Elzbieta"},{"family":"Wesolowska","given":"Ewelina"},{"family":"Garcia-Esteban","given":"Raquel"},{"family":"Guxens","given":"Mònica"},{"family":"Casas","given":"Maribel"},{"family":"Phillips","given":"Catherine M."}],"issued":{"date-parts":[["2021",3,15]]}}},{"id":1406,"uris":["http://zotero.org/users/4872814/items/WM5MMXJ9"],"itemData":{"id":1406,"type":"article-journal","abstract":"RATIONALE: Severe fetal malnutrition has been related to an increased risk of respiratory diseases later in life, but evidence for the association of a suboptimal diet during pregnancy with respiratory outcomes in childhood is conflicting. We aimed to examine whether a pro-inflammatory or low-quality maternal diet during pregnancy was associated with child's respiratory health.\nMETHODS: We performed an individual participant meta-analysis among 18 326 mother-child pairs from seven European birth cohorts. Maternal pro-inflammatory and low-quality diet were estimated by energy-adjusted Dietary Inflammatory Index (E-DIITM) and Dietary Approaches to Stop Hypertension (DASH) scores. Preschool wheezing and school-age asthma were measured by questionnaires and lung function by spirometry.\nRESULTS: After adjustment for lifestyle and sociodemographic factors, we observed that a higher maternal E-DII score (a more pro-inflammatory diet) during pregnancy was associated only with a lower FVC in children (Z-score difference (95% confidence interval (CI)): -0.05 (-0.08, -0.02), per IQR increase). No linear associations of the maternal E-DII or DASH score with child's wheezing or asthma were observed. When exploratively examining the extremes, a very low DASH score (&lt;10th percentile) (a very low dietary quality) was associated with an increased risk of preschool wheezing and a low FEV1/FVC (z-score &lt;-1.64) (OR (95% CI) 1.20 (1.06, 1.36), 1.40 (1.06, 1.85), compared to ≥10th percentile), with corresponding population attributable risk fractions of 1.7% and 3.3%.\nCONCLUSION: Main results from this individual participant data meta-analysis do not support the hypothesis that maternal pro-inflammatory or low-quality diet in pregnancy are related to respiratory diseases in childhood.","container-title":"The European Respiratory Journal","DOI":"10.1183/13993003.01315-2021","ISSN":"1399-3003","journalAbbreviation":"Eur Respir J","language":"eng","note":"PMID: 34503987","page":"2101315","source":"PubMed","title":"Maternal diet in pregnancy and child's respiratory outcomes: an individual participant data meta-analysis of 18 000 children","title-short":"Maternal diet in pregnancy and child's respiratory outcomes","author":[{"family":"Mensink-Bout","given":"Sara M."},{"family":"Meel","given":"Evelien R.","non-dropping-particle":"van"},{"family":"Jongste","given":"Johan C.","non-dropping-particle":"de"},{"family":"Annesi-Maesano","given":"Isabella"},{"family":"Aubert","given":"Adrien M."},{"family":"Bernard","given":"Jonathan Y."},{"family":"Chen","given":"Ling-Wei"},{"family":"Cooper","given":"Cyrus"},{"family":"Crozier","given":"Sarah R."},{"family":"Hanke","given":"Wojciech"},{"family":"Harvey","given":"Nicholas C."},{"family":"Hébert","given":"James R."},{"family":"Heude","given":"Barbara"},{"family":"Jerzynska","given":"Joanna"},{"family":"Kelleher","given":"Cecily C."},{"family":"Mehegan","given":"John"},{"family":"McAuliffe","given":"Fionnuala M."},{"family":"Phillips","given":"Catherine M."},{"family":"Polanska","given":"Kinga"},{"family":"Relton","given":"Caroline L."},{"family":"Shivappa","given":"Nitin"},{"family":"Suderman","given":"Matthew"},{"family":"Jaddoe","given":"Vincent W. V."},{"family":"Duijts","given":"Liesbeth"}],"issued":{"date-parts":[["2021",9,9]]}}}],"schema":"https://github.com/citation-style-language/schema/raw/master/csl-citation.json"} </w:instrText>
      </w:r>
      <w:r w:rsidR="003E28E4">
        <w:fldChar w:fldCharType="separate"/>
      </w:r>
      <w:r w:rsidR="003E28E4" w:rsidRPr="003E28E4">
        <w:rPr>
          <w:vertAlign w:val="superscript"/>
        </w:rPr>
        <w:t>17–21</w:t>
      </w:r>
      <w:r w:rsidR="003E28E4">
        <w:fldChar w:fldCharType="end"/>
      </w:r>
    </w:p>
    <w:p w14:paraId="046C253B" w14:textId="696CD99F" w:rsidR="00F93CEB" w:rsidRDefault="00466BA7" w:rsidP="00E603A6">
      <w:pPr>
        <w:pStyle w:val="NoSpacing"/>
        <w:spacing w:line="480" w:lineRule="auto"/>
        <w:ind w:firstLine="708"/>
      </w:pPr>
      <w:r>
        <w:lastRenderedPageBreak/>
        <w:t>Using</w:t>
      </w:r>
      <w:r w:rsidR="009C2257">
        <w:t xml:space="preserve"> data from</w:t>
      </w:r>
      <w:r>
        <w:t xml:space="preserve"> &gt;26,000 women</w:t>
      </w:r>
      <w:r w:rsidR="009C2257">
        <w:t xml:space="preserve"> </w:t>
      </w:r>
      <w:r w:rsidR="00542570">
        <w:t xml:space="preserve">from seven European cohorts and </w:t>
      </w:r>
      <w:r w:rsidR="009C2257">
        <w:t>combined</w:t>
      </w:r>
      <w:r>
        <w:t xml:space="preserve"> in an individual participant data </w:t>
      </w:r>
      <w:r w:rsidR="00542570">
        <w:t>meta-analysis</w:t>
      </w:r>
      <w:r w:rsidR="00B71828">
        <w:t>, t</w:t>
      </w:r>
      <w:r w:rsidR="00F93CEB">
        <w:t xml:space="preserve">his </w:t>
      </w:r>
      <w:r w:rsidR="0023736D">
        <w:t xml:space="preserve">study </w:t>
      </w:r>
      <w:r w:rsidR="00F93CEB">
        <w:t xml:space="preserve">aims to </w:t>
      </w:r>
      <w:r w:rsidR="000E0896">
        <w:t>i</w:t>
      </w:r>
      <w:r w:rsidR="00F93CEB">
        <w:t xml:space="preserve">) </w:t>
      </w:r>
      <w:r w:rsidR="00B71828">
        <w:t xml:space="preserve">describe and </w:t>
      </w:r>
      <w:r w:rsidR="00F93CEB">
        <w:t xml:space="preserve">compare </w:t>
      </w:r>
      <w:r w:rsidR="001038D5">
        <w:t xml:space="preserve">maternal </w:t>
      </w:r>
      <w:r w:rsidR="00F93CEB">
        <w:t xml:space="preserve">DASH and the </w:t>
      </w:r>
      <w:r w:rsidR="002A25F2">
        <w:t>E-</w:t>
      </w:r>
      <w:r w:rsidR="00F93CEB">
        <w:t xml:space="preserve">DII indexes; and </w:t>
      </w:r>
      <w:r w:rsidR="000E0896">
        <w:t>ii</w:t>
      </w:r>
      <w:r w:rsidR="00F93CEB">
        <w:t xml:space="preserve">) </w:t>
      </w:r>
      <w:r w:rsidR="00CF718F">
        <w:t>examine</w:t>
      </w:r>
      <w:r w:rsidR="000B026B">
        <w:t xml:space="preserve"> maternal sociodemographic</w:t>
      </w:r>
      <w:r w:rsidR="000E5C0D">
        <w:t>, health</w:t>
      </w:r>
      <w:r w:rsidR="000B026B">
        <w:t xml:space="preserve"> and behavioural</w:t>
      </w:r>
      <w:r w:rsidR="00CF718F">
        <w:t xml:space="preserve"> </w:t>
      </w:r>
      <w:r w:rsidR="009E1390">
        <w:t>predictors</w:t>
      </w:r>
      <w:r w:rsidR="00945AA0">
        <w:t xml:space="preserve"> associated with diet</w:t>
      </w:r>
      <w:r w:rsidR="00DD6A00">
        <w:t>ary</w:t>
      </w:r>
      <w:r w:rsidR="00945AA0">
        <w:t xml:space="preserve"> quality</w:t>
      </w:r>
      <w:r w:rsidR="005074E6">
        <w:t xml:space="preserve"> and dietary inflammatory potential</w:t>
      </w:r>
      <w:r w:rsidR="00CF718F">
        <w:t xml:space="preserve"> </w:t>
      </w:r>
      <w:r w:rsidR="00C06DA8">
        <w:t xml:space="preserve">before and </w:t>
      </w:r>
      <w:r w:rsidR="0023736D">
        <w:t xml:space="preserve">during pregnancy </w:t>
      </w:r>
      <w:r w:rsidR="00CF718F">
        <w:t>across cohorts</w:t>
      </w:r>
      <w:r w:rsidR="00F93CEB">
        <w:t xml:space="preserve">. </w:t>
      </w:r>
      <w:r w:rsidR="00915A90">
        <w:t xml:space="preserve">In </w:t>
      </w:r>
      <w:r w:rsidR="00D73447">
        <w:t>th</w:t>
      </w:r>
      <w:r w:rsidR="00915A90">
        <w:t>is</w:t>
      </w:r>
      <w:r w:rsidR="00D73447">
        <w:t xml:space="preserve"> </w:t>
      </w:r>
      <w:r w:rsidR="00974580">
        <w:t>second</w:t>
      </w:r>
      <w:r w:rsidR="00915A90">
        <w:t xml:space="preserve"> aim</w:t>
      </w:r>
      <w:r w:rsidR="00D73447">
        <w:t xml:space="preserve">, </w:t>
      </w:r>
      <w:r w:rsidR="00915A90">
        <w:t xml:space="preserve">we adopted the framework put by </w:t>
      </w:r>
      <w:r w:rsidR="00D73447">
        <w:t>Schooling and Jones,</w:t>
      </w:r>
      <w:r w:rsidR="00D73447">
        <w:fldChar w:fldCharType="begin"/>
      </w:r>
      <w:r w:rsidR="00034C2C">
        <w:instrText xml:space="preserve"> ADDIN ZOTERO_ITEM CSL_CITATION {"citationID":"Ir5DkhEo","properties":{"formattedCitation":"\\super 22\\nosupersub{}","plainCitation":"22","noteIndex":0},"citationItems":[{"id":1426,"uris":["http://zotero.org/users/4872814/items/YE7ZUSVK"],"itemData":{"id":1426,"type":"article-journal","abstract":"Background: In biomedical research much effort is thought to be wasted. Recommendations for improvement have largely focused on processes and procedures. Here, we additionally suggest less ambiguity concerning the questions addressed.\nMethods: We clarify the distinction between two conflated concepts, prediction and explanation, both encompassed by the term \"risk factor\", and give methods and presentation appropriate for each.\nResults: Risk prediction studies use statistical techniques to generate contextually specific data-driven models requiring a representative sample that identify people at risk of health conditions efficiently (target populations for interventions). Risk prediction studies do not necessarily include causes (targets of intervention), but may include cheap and easy to measure surrogates or biomarkers of causes. Explanatory studies, ideally embedded within an informative model of reality, assess the role of causal factors which if targeted for interventions, are likely to improve outcomes. Predictive models allow identification of people or populations at elevated disease risk enabling targeting of proven interventions acting on causal factors. Explanatory models allow identification of causal factors to target across populations to prevent disease.\nConclusion: Ensuring a clear match of question to methods and interpretation will reduce research waste due to misinterpretation.","container-title":"Emerging Themes in Epidemiology","DOI":"10.1186/s12982-018-0080-z","ISSN":"1742-7622","journalAbbreviation":"Emerg Themes Epidemiol","language":"eng","note":"PMID: 30116285\nPMCID: PMC6083579","page":"10","source":"PubMed","title":"Clarifying questions about \"risk factors\": predictors versus explanation","title-short":"Clarifying questions about \"risk factors\"","volume":"15","author":[{"family":"Schooling","given":"C. Mary"},{"family":"Jones","given":"Heidi E."}],"issued":{"date-parts":[["2018"]]}}}],"schema":"https://github.com/citation-style-language/schema/raw/master/csl-citation.json"} </w:instrText>
      </w:r>
      <w:r w:rsidR="00D73447">
        <w:fldChar w:fldCharType="separate"/>
      </w:r>
      <w:r w:rsidR="00D73447" w:rsidRPr="00D73447">
        <w:rPr>
          <w:vertAlign w:val="superscript"/>
        </w:rPr>
        <w:t>22</w:t>
      </w:r>
      <w:r w:rsidR="00D73447">
        <w:fldChar w:fldCharType="end"/>
      </w:r>
      <w:r w:rsidR="00D73447">
        <w:t xml:space="preserve"> </w:t>
      </w:r>
      <w:r w:rsidR="00915A90">
        <w:t>and</w:t>
      </w:r>
      <w:r w:rsidR="00D73447">
        <w:t xml:space="preserve"> </w:t>
      </w:r>
      <w:proofErr w:type="spellStart"/>
      <w:r w:rsidR="00D73447">
        <w:t>Hernán</w:t>
      </w:r>
      <w:proofErr w:type="spellEnd"/>
      <w:r w:rsidR="00D73447">
        <w:t xml:space="preserve"> et al.,</w:t>
      </w:r>
      <w:r w:rsidR="00D73447">
        <w:fldChar w:fldCharType="begin"/>
      </w:r>
      <w:r w:rsidR="00034C2C">
        <w:instrText xml:space="preserve"> ADDIN ZOTERO_ITEM CSL_CITATION {"citationID":"FhLMwfbj","properties":{"formattedCitation":"\\super 23\\nosupersub{}","plainCitation":"23","noteIndex":0},"citationItems":[{"id":1069,"uris":["http://zotero.org/users/4872814/items/3Y4EEG54"],"itemData":{"id":1069,"type":"article-journal","container-title":"CHANCE","DOI":"10.1080/09332480.2019.1579578","ISSN":"0933-2480","issue":"1","note":"publisher: Taylor &amp; Francis\n_eprint: https://doi.org/10.1080/09332480.2019.1579578","page":"42-49","source":"Taylor and Francis+NEJM","title":"A Second Chance to Get Causal Inference Right: A Classification of Data Science Tasks","title-short":"A Second Chance to Get Causal Inference Right","volume":"32","author":[{"family":"Hernán","given":"Miguel A."},{"family":"Hsu","given":"John"},{"family":"Healy","given":"Brian"}],"issued":{"date-parts":[["2019",1,2]]}}}],"schema":"https://github.com/citation-style-language/schema/raw/master/csl-citation.json"} </w:instrText>
      </w:r>
      <w:r w:rsidR="00D73447">
        <w:fldChar w:fldCharType="separate"/>
      </w:r>
      <w:r w:rsidR="00D73447" w:rsidRPr="00D73447">
        <w:rPr>
          <w:vertAlign w:val="superscript"/>
        </w:rPr>
        <w:t>23</w:t>
      </w:r>
      <w:r w:rsidR="00D73447">
        <w:fldChar w:fldCharType="end"/>
      </w:r>
      <w:r w:rsidR="00915A90">
        <w:t xml:space="preserve"> where the term </w:t>
      </w:r>
      <w:r w:rsidR="00D73447">
        <w:t xml:space="preserve">“predictor” </w:t>
      </w:r>
      <w:r w:rsidR="00915A90">
        <w:t>is used</w:t>
      </w:r>
      <w:r w:rsidR="00CF4408">
        <w:t>, as a synonym of “factors associated with”,</w:t>
      </w:r>
      <w:r w:rsidR="00915A90">
        <w:t xml:space="preserve"> for variables that </w:t>
      </w:r>
      <w:r w:rsidR="00B41CA1">
        <w:t xml:space="preserve">statistically </w:t>
      </w:r>
      <w:r w:rsidR="00D73447">
        <w:t xml:space="preserve">predict </w:t>
      </w:r>
      <w:r w:rsidR="000F4E9C">
        <w:t>women’s diet</w:t>
      </w:r>
      <w:r w:rsidR="00E753DF">
        <w:t>ary quality</w:t>
      </w:r>
      <w:r w:rsidR="000F4E9C">
        <w:t xml:space="preserve">, regardless of whether </w:t>
      </w:r>
      <w:r w:rsidR="00762570">
        <w:t xml:space="preserve">it implies </w:t>
      </w:r>
      <w:r w:rsidR="008B43DA">
        <w:t>causation</w:t>
      </w:r>
      <w:r w:rsidR="00D73447">
        <w:t>.</w:t>
      </w:r>
      <w:r w:rsidR="00FF192D">
        <w:t xml:space="preserve"> </w:t>
      </w:r>
      <w:r w:rsidR="006D2FAC">
        <w:t>C</w:t>
      </w:r>
      <w:r w:rsidR="00FF192D">
        <w:t xml:space="preserve">onducting an individual participant data meta-analysis </w:t>
      </w:r>
      <w:r w:rsidR="00547B94">
        <w:t>based on</w:t>
      </w:r>
      <w:r w:rsidR="00FF192D">
        <w:t xml:space="preserve"> harmonized data is a strategy </w:t>
      </w:r>
      <w:r w:rsidR="00547B94">
        <w:t xml:space="preserve">method </w:t>
      </w:r>
      <w:r w:rsidR="00FF192D">
        <w:t>which reduce</w:t>
      </w:r>
      <w:r w:rsidR="00547B94">
        <w:t>s</w:t>
      </w:r>
      <w:r w:rsidR="00FF192D">
        <w:t xml:space="preserve"> clinical heterogeneity and yield</w:t>
      </w:r>
      <w:r w:rsidR="00547B94">
        <w:t>s</w:t>
      </w:r>
      <w:r w:rsidR="00FF192D">
        <w:t xml:space="preserve"> more robust evidence</w:t>
      </w:r>
      <w:r w:rsidR="005816EC">
        <w:t xml:space="preserve"> than the more traditional aggregate data meta-analysis</w:t>
      </w:r>
      <w:r w:rsidR="00FF192D">
        <w:t>.</w:t>
      </w:r>
      <w:r w:rsidR="003E28E4">
        <w:fldChar w:fldCharType="begin"/>
      </w:r>
      <w:r w:rsidR="003E28E4">
        <w:instrText xml:space="preserve"> ADDIN ZOTERO_ITEM CSL_CITATION {"citationID":"S5HLk6X8","properties":{"formattedCitation":"\\super 24\\nosupersub{}","plainCitation":"24","noteIndex":0},"citationItems":[{"id":1627,"uris":["http://zotero.org/users/4872814/items/BMPPJDW8"],"itemData":{"id":1627,"type":"article-journal","container-title":"BMJ (Clinical research ed.)","DOI":"10.1136/bmj.c221","ISSN":"1756-1833","journalAbbreviation":"BMJ","language":"eng","note":"PMID: 20139215","page":"c221","source":"PubMed","title":"Meta-analysis of individual participant data: rationale, conduct, and reporting","title-short":"Meta-analysis of individual participant data","volume":"340","author":[{"family":"Riley","given":"Richard D."},{"family":"Lambert","given":"Paul C."},{"family":"Abo-Zaid","given":"Ghada"}],"issued":{"date-parts":[["2010",2,5]]}}}],"schema":"https://github.com/citation-style-language/schema/raw/master/csl-citation.json"} </w:instrText>
      </w:r>
      <w:r w:rsidR="003E28E4">
        <w:fldChar w:fldCharType="separate"/>
      </w:r>
      <w:r w:rsidR="003E28E4" w:rsidRPr="003E28E4">
        <w:rPr>
          <w:vertAlign w:val="superscript"/>
        </w:rPr>
        <w:t>24</w:t>
      </w:r>
      <w:r w:rsidR="003E28E4">
        <w:fldChar w:fldCharType="end"/>
      </w:r>
    </w:p>
    <w:p w14:paraId="1059E414" w14:textId="77777777" w:rsidR="00A57B77" w:rsidRPr="00A57B77" w:rsidRDefault="00A57B77" w:rsidP="00E603A6">
      <w:pPr>
        <w:pStyle w:val="Heading2"/>
        <w:spacing w:before="240" w:after="0" w:line="480" w:lineRule="auto"/>
      </w:pPr>
      <w:bookmarkStart w:id="6" w:name="_Toc534623709"/>
      <w:r w:rsidRPr="00A57B77">
        <w:t>Methods</w:t>
      </w:r>
      <w:bookmarkEnd w:id="6"/>
    </w:p>
    <w:p w14:paraId="638F85B1" w14:textId="77777777" w:rsidR="00A57B77" w:rsidRPr="00E603A6" w:rsidRDefault="00A57B77" w:rsidP="00E603A6">
      <w:pPr>
        <w:pStyle w:val="Heading3"/>
        <w:spacing w:before="120"/>
        <w:rPr>
          <w:b w:val="0"/>
          <w:bCs w:val="0"/>
        </w:rPr>
      </w:pPr>
      <w:bookmarkStart w:id="7" w:name="_Toc534623710"/>
      <w:r w:rsidRPr="00E603A6">
        <w:rPr>
          <w:b w:val="0"/>
          <w:bCs w:val="0"/>
        </w:rPr>
        <w:t xml:space="preserve">Study </w:t>
      </w:r>
      <w:r w:rsidR="00FC6A7D" w:rsidRPr="00E603A6">
        <w:rPr>
          <w:b w:val="0"/>
          <w:bCs w:val="0"/>
        </w:rPr>
        <w:t>Design and Participants</w:t>
      </w:r>
      <w:bookmarkEnd w:id="7"/>
    </w:p>
    <w:p w14:paraId="1408BA82" w14:textId="57F6E3E9" w:rsidR="001C604F" w:rsidRDefault="001C604F" w:rsidP="00E603A6">
      <w:pPr>
        <w:pStyle w:val="NoSpacing"/>
        <w:spacing w:line="480" w:lineRule="auto"/>
      </w:pPr>
      <w:r w:rsidRPr="009F7B6F">
        <w:t xml:space="preserve">The </w:t>
      </w:r>
      <w:r w:rsidR="000C3722">
        <w:t xml:space="preserve">European </w:t>
      </w:r>
      <w:r w:rsidRPr="009F7B6F">
        <w:t xml:space="preserve">ALPHABET </w:t>
      </w:r>
      <w:r w:rsidR="000C3722">
        <w:t>consortium</w:t>
      </w:r>
      <w:r w:rsidR="001C3D52">
        <w:t>, created specifically to investigate early-life nutritional programming of childhood health,</w:t>
      </w:r>
      <w:r w:rsidR="003E28E4">
        <w:fldChar w:fldCharType="begin"/>
      </w:r>
      <w:r w:rsidR="003E28E4">
        <w:instrText xml:space="preserve"> ADDIN ZOTERO_ITEM CSL_CITATION {"citationID":"U7bq2EwB","properties":{"formattedCitation":"\\super 17\\nosupersub{}","plainCitation":"17","noteIndex":0},"citationItems":[{"id":96,"uris":["http://zotero.org/users/4872814/items/NI8YEVF7"],"itemData":{"id":96,"type":"article-journal","container-title":"Nutrients","DOI":"10.3390/nu11081873","issue":"8","source":"PubMed","title":"Dietary Inflammatory Index and Non-Communicable Disease Risk: A Narrative Review.","URL":"https://www.ncbi.nlm.nih.gov/pubmed/31408965","volume":"11","author":[{"family":"Phillips","given":"C.M."},{"family":"Chen","given":"L.W."},{"family":"Heude","given":"B."},{"family":"Bernard","given":"J.Y."},{"family":"Harvey","given":"N.C."},{"family":"Duijts","given":"L."},{"family":"Mensink-Bout","given":"S.M."},{"family":"Polanska","given":"K."},{"family":"Mancano","given":"G."},{"family":"Suderman","given":"M."},{"family":"Shivappa","given":"N."},{"family":"Hébert","given":"J.R."}],"accessed":{"date-parts":[["2019",9,19]]},"issued":{"date-parts":[["2019",8]]}}}],"schema":"https://github.com/citation-style-language/schema/raw/master/csl-citation.json"} </w:instrText>
      </w:r>
      <w:r w:rsidR="003E28E4">
        <w:fldChar w:fldCharType="separate"/>
      </w:r>
      <w:r w:rsidR="003E28E4" w:rsidRPr="003E28E4">
        <w:rPr>
          <w:vertAlign w:val="superscript"/>
        </w:rPr>
        <w:t>17</w:t>
      </w:r>
      <w:r w:rsidR="003E28E4">
        <w:fldChar w:fldCharType="end"/>
      </w:r>
      <w:r w:rsidR="000C3722">
        <w:t xml:space="preserve"> c</w:t>
      </w:r>
      <w:r w:rsidRPr="009F7B6F">
        <w:t xml:space="preserve">omprised </w:t>
      </w:r>
      <w:r w:rsidR="0015793E">
        <w:t>seven</w:t>
      </w:r>
      <w:r w:rsidRPr="009F7B6F">
        <w:t xml:space="preserve"> </w:t>
      </w:r>
      <w:r w:rsidRPr="008D7B68">
        <w:t xml:space="preserve">longitudinal </w:t>
      </w:r>
      <w:r w:rsidR="004E345E">
        <w:t>mother-offspring</w:t>
      </w:r>
      <w:r w:rsidR="004E345E" w:rsidRPr="008D7B68">
        <w:t xml:space="preserve"> </w:t>
      </w:r>
      <w:r w:rsidRPr="008D7B68">
        <w:t>cohort</w:t>
      </w:r>
      <w:r w:rsidRPr="009F7B6F">
        <w:t xml:space="preserve"> studies: the Avon Longitudinal Study of Parents and Children (ALSPAC)</w:t>
      </w:r>
      <w:r w:rsidR="00DE7AA6">
        <w:t>,</w:t>
      </w:r>
      <w:r w:rsidR="00442EE4">
        <w:fldChar w:fldCharType="begin"/>
      </w:r>
      <w:r w:rsidR="003E28E4">
        <w:instrText xml:space="preserve"> ADDIN ZOTERO_ITEM CSL_CITATION {"citationID":"3C8g7mjO","properties":{"formattedCitation":"\\super 25,26\\nosupersub{}","plainCitation":"25,26","noteIndex":0},"citationItems":[{"id":257,"uris":["http://zotero.org/users/4872814/items/DDXPDNHC"],"itemData":{"id":257,"type":"article-journal","abstract":"The Avon Longitudinal Study of Parents and Children (ALSPAC) is a transgenerational\nprospective observational study investigating influences on health and development across\nthe life course. It considers multiple genetic, epigenetic, biological, psychological,\nsocial and other environmental exposures in relation to a similarly diverse range of\nhealth, social and developmental outcomes. Recruitment sought to enrol pregnant women in\nthe Bristol area of the UK during 1990–92; this was extended to include additional\nchildren eligible using the original enrolment definition up to the age of 18 years. The\nchildren from 14 541 pregnancies were recruited in 1990–92, increasing to\n15 247 pregnancies by the age of 18 years. This cohort profile describes the index\nchildren of these pregnancies. Follow-up includes 59 questionnaires (4 weeks–18\nyears of age) and 9 clinical assessment visits (7–17 years of age). The resource\ncomprises a wide range of phenotypic and environmental measures in addition to biological\nsamples, genetic (DNA on 11 343 children, genome-wide data on 8365 children,\ncomplete genome sequencing on 2000 children) and epigenetic (methylation sampling on 1000\nchildren) information and linkage to health and administrative records. Data access is\ndescribed in this article and is currently set up as a supported access resource. To date,\nover 700 peer-reviewed articles have been published using ALSPAC data.","container-title":"International Journal of Epidemiology","DOI":"10.1093/ije/dys064","ISSN":"0300-5771","issue":"1","journalAbbreviation":"Int J Epidemiol","note":"PMID: 22507743\nPMCID: PMC3600618","page":"111-127","source":"PubMed Central","title":"Cohort Profile: The ‘Children of the 90s’—the index offspring of the Avon Longitudinal Study of Parents and Children","title-short":"Cohort Profile","volume":"42","author":[{"family":"Boyd","given":"Andy"},{"family":"Golding","given":"Jean"},{"family":"Macleod","given":"John"},{"family":"Lawlor","given":"Debbie A"},{"family":"Fraser","given":"Abigail"},{"family":"Henderson","given":"John"},{"family":"Molloy","given":"Lynn"},{"family":"Ness","given":"Andy"},{"family":"Ring","given":"Susan"},{"family":"Davey Smith","given":"George"}],"issued":{"date-parts":[["2013",2]]}}},{"id":125,"uris":["http://zotero.org/users/4872814/items/75ASAVWG"],"itemData":{"id":125,"type":"article-journal","abstract":"Summary The Avon Longitudinal Study of Children and Parents (ALSPAC) was established to understand how genetic and environmental characteristics influence health and development in parents and children. All pregnant women resident in a defined area in the South West of England, with an expected date of delivery between 1st April 1991 and 31st December 1992, were eligible and 13761 women (contributing 13867 pregnancies) were recruited. These women have been followed over the last 19-22 years and have completed up to 20 questionnaires, have had detailed data abstracted from their medical records and have information on any cancer diagnoses and deaths through record linkage. A follow-up assessment was completed 17-18 years postnatal at which anthropometry, blood pressure, fat, lean and bone mass and carotid intima media thickness were assessed, and a fasting blood sample taken. The second follow-up clinic, which additionally measures cognitive function, physical capability, physical activity (with accelerometer) and wrist bone architecture, is underway and two further assessments with similar measurements will take place over the next 5 years. There is a detailed biobank that includes DNA, with genome-wide data available on &gt;10000, stored serum and plasma taken repeatedly since pregnancy and other samples; a wide range of data on completed biospecimen assays are available. Details of how to access these data are provided in this cohort profile.","container-title":"International Journal of Epidemiology","DOI":"10.1093/ije/dys066","ISSN":"1464-3685","issue":"1","journalAbbreviation":"Int J Epidemiol","language":"eng","note":"PMID: 22507742\nPMCID: PMC3600619","page":"97-110","source":"PubMed","title":"Cohort Profile: the Avon Longitudinal Study of Parents and Children: ALSPAC mothers cohort","title-short":"Cohort Profile","volume":"42","author":[{"family":"Fraser","given":"Abigail"},{"family":"Macdonald-Wallis","given":"Corrie"},{"family":"Tilling","given":"Kate"},{"family":"Boyd","given":"Andy"},{"family":"Golding","given":"Jean"},{"family":"Davey Smith","given":"George"},{"family":"Henderson","given":"John"},{"family":"Macleod","given":"John"},{"family":"Molloy","given":"Lynn"},{"family":"Ness","given":"Andy"},{"family":"Ring","given":"Susan"},{"family":"Nelson","given":"Scott M."},{"family":"Lawlor","given":"Debbie A."}],"issued":{"date-parts":[["2013",2]]}}}],"schema":"https://github.com/citation-style-language/schema/raw/master/csl-citation.json"} </w:instrText>
      </w:r>
      <w:r w:rsidR="00442EE4">
        <w:fldChar w:fldCharType="separate"/>
      </w:r>
      <w:r w:rsidR="003E28E4" w:rsidRPr="003E28E4">
        <w:rPr>
          <w:vertAlign w:val="superscript"/>
        </w:rPr>
        <w:t>25,26</w:t>
      </w:r>
      <w:r w:rsidR="00442EE4">
        <w:fldChar w:fldCharType="end"/>
      </w:r>
      <w:r w:rsidRPr="009F7B6F">
        <w:t xml:space="preserve"> the study on the pre- and early postnatal determinants of child health and development (EDEN)</w:t>
      </w:r>
      <w:r w:rsidR="00DE7AA6">
        <w:t>,</w:t>
      </w:r>
      <w:r w:rsidR="00442EE4">
        <w:fldChar w:fldCharType="begin"/>
      </w:r>
      <w:r w:rsidR="003E28E4">
        <w:instrText xml:space="preserve"> ADDIN ZOTERO_ITEM CSL_CITATION {"citationID":"JdZBjvs6","properties":{"formattedCitation":"\\super 27\\nosupersub{}","plainCitation":"27","noteIndex":0},"citationItems":[{"id":255,"uris":["http://zotero.org/users/4872814/items/RBZ6P4TU"],"itemData":{"id":255,"type":"article-journal","container-title":"International Journal of Epidemiology","DOI":"10.1093/ije/dyv151","ISSN":"1464-3685","issue":"2","journalAbbreviation":"Int J Epidemiol","language":"eng","note":"PMID: 26283636","page":"353-363","source":"PubMed","title":"Cohort Profile: The EDEN mother-child cohort on the prenatal and early postnatal determinants of child health and development","title-short":"Cohort Profile","volume":"45","author":[{"family":"Heude","given":"Barbara"},{"family":"Forhan","given":"Anne"},{"family":"Slama","given":"Rémy"},{"family":"Douhaud","given":"Lorraine"},{"family":"Bedel","given":"Sophie"},{"family":"Saurel-Cubizolles","given":"Marie-Josèphe"},{"family":"Hankard","given":"Régis"},{"family":"Thiebaugeorges","given":"Olivier"},{"family":"De Agostini","given":"Maria"},{"family":"Annesi-Maesano","given":"Isabella"},{"family":"Kaminski","given":"Monique"},{"family":"Charles","given":"Marie-Aline"},{"literal":"EDEN mother-child cohort study group"}],"issued":{"date-parts":[["2016"]]}}}],"schema":"https://github.com/citation-style-language/schema/raw/master/csl-citation.json"} </w:instrText>
      </w:r>
      <w:r w:rsidR="00442EE4">
        <w:fldChar w:fldCharType="separate"/>
      </w:r>
      <w:r w:rsidR="003E28E4" w:rsidRPr="003E28E4">
        <w:rPr>
          <w:vertAlign w:val="superscript"/>
        </w:rPr>
        <w:t>27</w:t>
      </w:r>
      <w:r w:rsidR="00442EE4">
        <w:fldChar w:fldCharType="end"/>
      </w:r>
      <w:r w:rsidRPr="009F7B6F">
        <w:t xml:space="preserve"> the Generation R </w:t>
      </w:r>
      <w:r w:rsidR="004E345E">
        <w:t>s</w:t>
      </w:r>
      <w:r w:rsidRPr="009F7B6F">
        <w:t>tudy (G</w:t>
      </w:r>
      <w:r w:rsidR="00B3072C">
        <w:t>eneration</w:t>
      </w:r>
      <w:r w:rsidRPr="009F7B6F">
        <w:t xml:space="preserve"> R)</w:t>
      </w:r>
      <w:r w:rsidR="00DE7AA6">
        <w:t>,</w:t>
      </w:r>
      <w:r w:rsidR="00442EE4">
        <w:fldChar w:fldCharType="begin"/>
      </w:r>
      <w:r w:rsidR="003E28E4">
        <w:instrText xml:space="preserve"> ADDIN ZOTERO_ITEM CSL_CITATION {"citationID":"B6vB6VVs","properties":{"formattedCitation":"\\super 28\\nosupersub{}","plainCitation":"28","noteIndex":0},"citationItems":[{"id":251,"uris":["http://zotero.org/users/4872814/items/ZMABPJ4A"],"itemData":{"id":251,"type":"article-journal","abstract":"The Generation R Study is a population-based prospective cohort study from fetal life until adulthood. The study is designed to identify early environmental and genetic causes and causal pathways leading to normal and abnormal growth, development and health from fetal life, childhood and young adulthood. This multidisciplinary study focuses on several health outcomes including behaviour and cognition, body composition, eye development, growth, hearing, heart and vascular development, infectious disease and immunity, oral health and facial growth, respiratory health, allergy and skin disorders of children and their parents. Main exposures of interest include environmental, endocrine, genomic (genetic, epigenetic, microbiome), lifestyle related, nutritional and socio-demographic determinants. In total, 9778 mothers with a delivery date from April 2002 until January 2006 were enrolled in the study. Response at baseline was 61%, and general follow-up rates until the age of 10 years were around 80%. Data collection in children and their parents includes questionnaires, interviews, detailed physical and ultrasound examinations, behavioural observations, lung function, Magnetic Resonance Imaging and biological sampling. Genome and epigenome wide association screens are available. Eventually, results from the Generation R Study contribute to the development of strategies for optimizing health and healthcare for pregnant women and children.","container-title":"European Journal of Epidemiology","DOI":"10.1007/s10654-016-0224-9","ISSN":"0393-2990","issue":"12","journalAbbreviation":"Eur J Epidemiol","note":"PMID: 28070760\nPMCID: PMC5233749","page":"1243-1264","source":"PubMed Central","title":"The Generation R Study: design and cohort update 2017","title-short":"The Generation R Study","volume":"31","author":[{"family":"Kooijman","given":"Marjolein N."},{"family":"Kruithof","given":"Claudia J."},{"family":"Duijn","given":"Cornelia M.","non-dropping-particle":"van"},{"family":"Duijts","given":"Liesbeth"},{"family":"Franco","given":"Oscar H."},{"family":"IJzendoorn","given":"Marinus H.","non-dropping-particle":"van"},{"family":"Jongste","given":"Johan C.","non-dropping-particle":"de"},{"family":"Klaver","given":"Caroline C. W."},{"family":"Lugt","given":"Aad","non-dropping-particle":"van der"},{"family":"Mackenbach","given":"Johan P."},{"family":"Moll","given":"Henriëtte A."},{"family":"Peeters","given":"Robin P."},{"family":"Raat","given":"Hein"},{"family":"Rings","given":"Edmond H. H. M."},{"family":"Rivadeneira","given":"Fernando"},{"family":"Schroeff","given":"Marc P.","non-dropping-particle":"van der"},{"family":"Steegers","given":"Eric A. P."},{"family":"Tiemeier","given":"Henning"},{"family":"Uitterlinden","given":"André G."},{"family":"Verhulst","given":"Frank C."},{"family":"Wolvius","given":"Eppo"},{"family":"Felix","given":"Janine F."},{"family":"Jaddoe","given":"Vincent W. V."}],"issued":{"date-parts":[["2016"]]}}}],"schema":"https://github.com/citation-style-language/schema/raw/master/csl-citation.json"} </w:instrText>
      </w:r>
      <w:r w:rsidR="00442EE4">
        <w:fldChar w:fldCharType="separate"/>
      </w:r>
      <w:r w:rsidR="003E28E4" w:rsidRPr="003E28E4">
        <w:rPr>
          <w:vertAlign w:val="superscript"/>
        </w:rPr>
        <w:t>28</w:t>
      </w:r>
      <w:r w:rsidR="00442EE4">
        <w:fldChar w:fldCharType="end"/>
      </w:r>
      <w:r w:rsidRPr="009F7B6F">
        <w:t xml:space="preserve"> the Lifeways Cross-Generation Cohort Study (L</w:t>
      </w:r>
      <w:r w:rsidR="00B3072C">
        <w:t>ifeways</w:t>
      </w:r>
      <w:r w:rsidRPr="009F7B6F">
        <w:t>)</w:t>
      </w:r>
      <w:r w:rsidR="00DE7AA6">
        <w:t>,</w:t>
      </w:r>
      <w:r w:rsidR="00442EE4">
        <w:fldChar w:fldCharType="begin"/>
      </w:r>
      <w:r w:rsidR="003E28E4">
        <w:instrText xml:space="preserve"> ADDIN ZOTERO_ITEM CSL_CITATION {"citationID":"xRJhq2y7","properties":{"formattedCitation":"\\super 29\\nosupersub{}","plainCitation":"29","noteIndex":0},"citationItems":[{"id":253,"uris":["http://zotero.org/users/4872814/items/RHRT5P4C"],"itemData":{"id":253,"type":"article-journal","abstract":"The Lifeways Cross-Generation Cohort Study was first established in 2001 and is a unique longitudinal database in Ireland, with currently over three and a half thousand family participants derived from 1124 mothers recruited initially during pregnancy, mainly during 2002. The database comprises a) baseline self-reported health data for all mothers, a third of fathers and at least one grandparent b) clinical hospital data at recruitment, c) three year follow-up data from the families' General Practitioners, and d) linkage to hospital and vaccination databases. Data collection for the five-year follow-up with parents is underway, continuing through 2007. Because there is at present no single national/regional health information system in Ireland, original data instruments were designed to capture data directly from family members and through their hospitals and healthcare providers. A system of relational databases was designed to coordinate data capture for a complex array of study instruments and to facilitate tracking of family members at different time points.","container-title":"Irish Medical Journal","ISSN":"0332-3102","issue":"8","journalAbbreviation":"Ir Med J","language":"eng","note":"PMID: 17955692","page":"suppl 3-6","source":"PubMed","title":"The Lifeways Cross-Generation Study: design, recruitment and data management considerations","title-short":"The Lifeways Cross-Generation Study","volume":"100","author":[{"family":"O'Mahony","given":"D."},{"family":"Fallon","given":"U. B."},{"family":"Hannon","given":"F."},{"family":"Kloeckner","given":"K."},{"family":"Avalos","given":"G."},{"family":"Murphy","given":"A. W."},{"family":"Kelleher","given":"C. C."},{"literal":"Lifeways Cross Generation Cohort Study Steering Group"}],"issued":{"date-parts":[["2007",9]]}}}],"schema":"https://github.com/citation-style-language/schema/raw/master/csl-citation.json"} </w:instrText>
      </w:r>
      <w:r w:rsidR="00442EE4">
        <w:fldChar w:fldCharType="separate"/>
      </w:r>
      <w:r w:rsidR="003E28E4" w:rsidRPr="003E28E4">
        <w:rPr>
          <w:vertAlign w:val="superscript"/>
        </w:rPr>
        <w:t>29</w:t>
      </w:r>
      <w:r w:rsidR="00442EE4">
        <w:fldChar w:fldCharType="end"/>
      </w:r>
      <w:r w:rsidRPr="009F7B6F">
        <w:t xml:space="preserve"> the Polish Mother and Child Cohort (REPRO</w:t>
      </w:r>
      <w:r w:rsidR="00B3072C">
        <w:t>_</w:t>
      </w:r>
      <w:r w:rsidRPr="008A7159">
        <w:t>PL)</w:t>
      </w:r>
      <w:r w:rsidR="00DE7AA6">
        <w:t>,</w:t>
      </w:r>
      <w:r w:rsidR="00442EE4">
        <w:fldChar w:fldCharType="begin"/>
      </w:r>
      <w:r w:rsidR="003E28E4">
        <w:instrText xml:space="preserve"> ADDIN ZOTERO_ITEM CSL_CITATION {"citationID":"MO3e5Qml","properties":{"formattedCitation":"\\super 30\\nosupersub{}","plainCitation":"30","noteIndex":0},"citationItems":[{"id":164,"uris":["http://zotero.org/users/4872814/items/SXGF2PQP"],"itemData":{"id":164,"type":"article-journal","abstract":"OBJECTIVES: Exposures during prenatal period have implications for pregnancy outcome as well as for children's health, morbidity and mortality. Prospective cohort study design allows for the identification of exposures that may influence pregnancy outcome and children's health, verification of such exposures by biomarker measurements and notification of any changes in exposure level.\nMATERIALS AND METHODS: Polish Mother and Child Cohort Study (REPRO_PL) is multicenter prospective cohort study conducted in 8 different regions of Poland. The final cohort is intended to comprise 1300 mother-child pairs to be recruited within 4-year period (2007-2011). The recruitment and all scheduled visits are conducted in maternity units or clinics in the districts included in the study. The women are followed-up 3 times in pregnancy (once in each trimester) and after delivery for the notification of pregnancy outcome. During each visit, detailed questionnaire and biological samples are collected including saliva, urine, hair, maternal blood and cord blood. About 6 weeks postpartum, breast milk from part of the women is collected. The study concentrates on the identification and evaluation of the effects of prenatal environmental exposure on pregnancy outcome and children's health. Specific research hypotheses refer to the role of heavy metals, exposure to polycyclic aromatic hydrocarbons (PAHs) and environmental tobacco smoke (ETS) in the aetiology of small-for-gestational-age (SGA) and preterm delivery (PD). The role of oxidative stress putative mechanism and pregnant women nutritional status will be investigated. Based on questionnaire data, the impact of occupational exposures and stressful situations will be evaluated.\nRESULTS: The results of the study will become available within the next few years and will help to determine levels of child prenatal exposure in several areas of Poland and its impact on course and outcome of pregnancy.","container-title":"International Journal of Occupational Medicine and Environmental Health","DOI":"10.2478/v10001-009-0037-0","ISSN":"1232-1087","issue":"4","journalAbbreviation":"Int J Occup Med Environ Health","language":"eng","note":"PMID: 20053622","page":"383-391","source":"PubMed","title":"Polish mother and child cohort study--defining the problem, the aim of the study and methodological assumption","volume":"22","author":[{"family":"Polańska","given":"Kinga"},{"family":"Hanke","given":"Wojciech"},{"family":"Gromadzińska","given":"Jolanta"},{"family":"Ligocka","given":"Danuta"},{"family":"Gulczyńska","given":"Ewa"},{"family":"Sobala","given":"Wojciech"},{"family":"Wásowicz","given":"Wojciech"}],"issued":{"date-parts":[["2009"]]}}}],"schema":"https://github.com/citation-style-language/schema/raw/master/csl-citation.json"} </w:instrText>
      </w:r>
      <w:r w:rsidR="00442EE4">
        <w:fldChar w:fldCharType="separate"/>
      </w:r>
      <w:r w:rsidR="003E28E4" w:rsidRPr="003E28E4">
        <w:rPr>
          <w:vertAlign w:val="superscript"/>
        </w:rPr>
        <w:t>30</w:t>
      </w:r>
      <w:r w:rsidR="00442EE4">
        <w:fldChar w:fldCharType="end"/>
      </w:r>
      <w:r w:rsidRPr="008A7159">
        <w:t xml:space="preserve"> the</w:t>
      </w:r>
      <w:r w:rsidRPr="009F7B6F">
        <w:t xml:space="preserve"> Randomised Control Trial of Low Glycaemic Index Diet study (ROLO)</w:t>
      </w:r>
      <w:r w:rsidR="00DE7AA6">
        <w:t>,</w:t>
      </w:r>
      <w:r w:rsidR="00442EE4">
        <w:fldChar w:fldCharType="begin"/>
      </w:r>
      <w:r w:rsidR="003E28E4">
        <w:instrText xml:space="preserve"> ADDIN ZOTERO_ITEM CSL_CITATION {"citationID":"g0o4i5Yd","properties":{"formattedCitation":"\\super 31\\nosupersub{}","plainCitation":"31","noteIndex":0},"citationItems":[{"id":252,"uris":["http://zotero.org/users/4872814/items/T49NHRKJ"],"itemData":{"id":252,"type":"article-journal","abstract":"Objective To determine if a low glycaemic index diet in pregnancy could reduce the incidence of macrosomia in an at risk group., Design Randomised controlled trial., Setting Maternity hospital in Dublin, Ireland., Participants 800 women without diabetes, all in their second pregnancy between January 2007 to January 2011, having previously delivered an infant weighing greater than 4 kg. , Intervention Women were randomised to receive no dietary intervention or start on a low glycaemic index diet from early pregnancy., Main outcomes The primary outcome measure was difference in birth weight. The secondary outcome measure was difference in gestational weight gain., Results No significant difference was seen between the two groups in absolute birth weight, birthweight centile, or ponderal index. Significantly less gestational weight gain occurred in women in the intervention arm (12.2 v 13.7 kg; mean difference −1.3, 95% confidence interval −2.4 to −0.2; P=0.01). The rate of glucose intolerance was also lower in the intervention arm: 21% (67/320) compared with 28% (100/352) of controls had a fasting glucose of 5.1 mmol/L or greater or a 1 hour glucose challenge test result of greater than 7.8 mmol/L (P=0.02)., Conclusion A low glycaemic index diet in pregnancy did not reduce the incidence of large for gestational age infants in a group at risk of fetal macrosomia. It did, however, have a significant positive effect on gestational weight gain and maternal glucose intolerance., Trial registration Current Controlled Trials ISRCTN54392969.","container-title":"The BMJ","DOI":"10.1136/bmj.e5605","ISSN":"0959-8138","journalAbbreviation":"BMJ","note":"PMID: 22936795\nPMCID: PMC3431285","source":"PubMed Central","title":"Low glycaemic index diet in pregnancy to prevent macrosomia (ROLO study): randomised control trial","title-short":"Low glycaemic index diet in pregnancy to prevent macrosomia (ROLO study)","URL":"https://www.ncbi.nlm.nih.gov/pmc/articles/PMC3431285/","volume":"345","author":[{"family":"Walsh","given":"Jennifer M"},{"family":"McGowan","given":"Ciara A"},{"family":"Mahony","given":"Rhona"},{"family":"Foley","given":"Michael E"},{"family":"McAuliffe","given":"Fionnuala M"}],"issued":{"date-parts":[["2012",8,30]]}}}],"schema":"https://github.com/citation-style-language/schema/raw/master/csl-citation.json"} </w:instrText>
      </w:r>
      <w:r w:rsidR="00442EE4">
        <w:fldChar w:fldCharType="separate"/>
      </w:r>
      <w:r w:rsidR="003E28E4" w:rsidRPr="003E28E4">
        <w:rPr>
          <w:vertAlign w:val="superscript"/>
        </w:rPr>
        <w:t>31</w:t>
      </w:r>
      <w:r w:rsidR="00442EE4">
        <w:fldChar w:fldCharType="end"/>
      </w:r>
      <w:r w:rsidRPr="009F7B6F">
        <w:t xml:space="preserve"> and the Southampton Women’s Survey (SWS)</w:t>
      </w:r>
      <w:r w:rsidR="00DE7AA6">
        <w:t>.</w:t>
      </w:r>
      <w:r w:rsidR="00442EE4">
        <w:fldChar w:fldCharType="begin"/>
      </w:r>
      <w:r w:rsidR="003E28E4">
        <w:instrText xml:space="preserve"> ADDIN ZOTERO_ITEM CSL_CITATION {"citationID":"dNjRAEkc","properties":{"formattedCitation":"\\super 32\\nosupersub{}","plainCitation":"32","noteIndex":0},"citationItems":[{"id":254,"uris":["http://zotero.org/users/4872814/items/MCRBUKDA"],"itemData":{"id":254,"type":"article-journal","container-title":"International journal of epidemiology","DOI":"10.1093/ije/dyi202","ISSN":"0300-5771","issue":"1","journalAbbreviation":"Int J Epidemiol","note":"PMID: 16195252\nPMCID: PMC4579566","page":"42-48","source":"PubMed Central","title":"Cohort Profile: The Southampton Women’s Survey","title-short":"Cohort Profile","volume":"35","author":[{"family":"Inskip","given":"Hazel M"},{"family":"Godfrey","given":"Keith M"},{"family":"Robinson","given":"Siân M"},{"family":"Law","given":"Catherine M"},{"family":"Barker","given":"David JP"},{"family":"Cooper","given":"Cyrus"}],"issued":{"date-parts":[["2006",2]]}}}],"schema":"https://github.com/citation-style-language/schema/raw/master/csl-citation.json"} </w:instrText>
      </w:r>
      <w:r w:rsidR="00442EE4">
        <w:fldChar w:fldCharType="separate"/>
      </w:r>
      <w:r w:rsidR="003E28E4" w:rsidRPr="003E28E4">
        <w:rPr>
          <w:vertAlign w:val="superscript"/>
        </w:rPr>
        <w:t>32</w:t>
      </w:r>
      <w:r w:rsidR="00442EE4">
        <w:fldChar w:fldCharType="end"/>
      </w:r>
      <w:r w:rsidRPr="009F7B6F">
        <w:t xml:space="preserve"> </w:t>
      </w:r>
    </w:p>
    <w:p w14:paraId="2DE7D396" w14:textId="77777777" w:rsidR="00A57B77" w:rsidRDefault="0015793E" w:rsidP="00E603A6">
      <w:pPr>
        <w:pStyle w:val="NoSpacing"/>
        <w:spacing w:line="480" w:lineRule="auto"/>
        <w:ind w:firstLine="426"/>
      </w:pPr>
      <w:r>
        <w:t xml:space="preserve">The main characteristics of each </w:t>
      </w:r>
      <w:r w:rsidR="001C4199">
        <w:t>cohort</w:t>
      </w:r>
      <w:r>
        <w:t xml:space="preserve"> </w:t>
      </w:r>
      <w:r w:rsidR="001C4199">
        <w:t xml:space="preserve">included for current analysis are </w:t>
      </w:r>
      <w:r w:rsidR="00A57B77" w:rsidRPr="009F7B6F">
        <w:t>presented</w:t>
      </w:r>
      <w:r w:rsidR="001C4199">
        <w:t xml:space="preserve"> in </w:t>
      </w:r>
      <w:r w:rsidR="001C4199" w:rsidRPr="001C4199">
        <w:rPr>
          <w:b/>
          <w:bCs/>
          <w:color w:val="0070C0"/>
        </w:rPr>
        <w:t>Table 1</w:t>
      </w:r>
      <w:r w:rsidR="00A57B77" w:rsidRPr="009F7B6F">
        <w:t xml:space="preserve">. </w:t>
      </w:r>
      <w:r w:rsidR="00BB1E54">
        <w:t xml:space="preserve">In brief, out of the </w:t>
      </w:r>
      <w:r w:rsidR="00A57B77" w:rsidRPr="009F7B6F">
        <w:t xml:space="preserve">seven studies, two </w:t>
      </w:r>
      <w:r w:rsidR="00BB1E54">
        <w:t>were</w:t>
      </w:r>
      <w:r w:rsidR="00A57B77" w:rsidRPr="009F7B6F">
        <w:t xml:space="preserve"> based in Ireland, two in</w:t>
      </w:r>
      <w:r w:rsidR="002E06C7">
        <w:t xml:space="preserve"> the United Kingdom</w:t>
      </w:r>
      <w:r w:rsidR="00A57B77" w:rsidRPr="009F7B6F">
        <w:t xml:space="preserve">, and the last three </w:t>
      </w:r>
      <w:r w:rsidR="00A57B77">
        <w:t>we</w:t>
      </w:r>
      <w:r w:rsidR="00A57B77" w:rsidRPr="009F7B6F">
        <w:t>re from Poland, the Netherlands and France.</w:t>
      </w:r>
      <w:r w:rsidR="001C4199">
        <w:t xml:space="preserve"> </w:t>
      </w:r>
      <w:r w:rsidR="00A57B77" w:rsidRPr="009F7B6F">
        <w:t xml:space="preserve">ALSPAC </w:t>
      </w:r>
      <w:r w:rsidR="00AE431E">
        <w:t>was</w:t>
      </w:r>
      <w:r w:rsidR="00A57B77" w:rsidRPr="009F7B6F">
        <w:t xml:space="preserve"> the </w:t>
      </w:r>
      <w:r w:rsidR="002E06C7">
        <w:t>first launched</w:t>
      </w:r>
      <w:r w:rsidR="00A57B77" w:rsidRPr="009F7B6F">
        <w:t xml:space="preserve"> study</w:t>
      </w:r>
      <w:r w:rsidR="001C4199">
        <w:t xml:space="preserve"> (</w:t>
      </w:r>
      <w:r w:rsidR="00571F16">
        <w:t>enrolment</w:t>
      </w:r>
      <w:r w:rsidR="004E345E">
        <w:t xml:space="preserve"> in </w:t>
      </w:r>
      <w:r w:rsidR="001C4199">
        <w:t>1990-1992)</w:t>
      </w:r>
      <w:r w:rsidR="00A57B77">
        <w:t>,</w:t>
      </w:r>
      <w:r w:rsidR="00A57B77" w:rsidRPr="009F7B6F">
        <w:t xml:space="preserve"> </w:t>
      </w:r>
      <w:r w:rsidR="00A57B77" w:rsidRPr="001C604F">
        <w:t>whereas</w:t>
      </w:r>
      <w:r w:rsidR="00A57B77" w:rsidRPr="009F7B6F">
        <w:t xml:space="preserve"> REPRO</w:t>
      </w:r>
      <w:r w:rsidR="001C4199">
        <w:t>_</w:t>
      </w:r>
      <w:r w:rsidR="00A57B77" w:rsidRPr="009F7B6F">
        <w:t>PL and ROLO</w:t>
      </w:r>
      <w:r w:rsidR="004E345E">
        <w:t xml:space="preserve"> (</w:t>
      </w:r>
      <w:r w:rsidR="00564351">
        <w:t xml:space="preserve">enrolment in </w:t>
      </w:r>
      <w:r w:rsidR="00564351">
        <w:lastRenderedPageBreak/>
        <w:t>2007-2011</w:t>
      </w:r>
      <w:r w:rsidR="004E345E">
        <w:t>)</w:t>
      </w:r>
      <w:r w:rsidR="00A57B77" w:rsidRPr="009F7B6F">
        <w:t xml:space="preserve"> </w:t>
      </w:r>
      <w:r w:rsidR="00AE431E">
        <w:t>were</w:t>
      </w:r>
      <w:r w:rsidR="00A57B77" w:rsidRPr="009F7B6F">
        <w:t xml:space="preserve"> the most recent. The sample size range</w:t>
      </w:r>
      <w:r w:rsidR="00AE431E">
        <w:t>d</w:t>
      </w:r>
      <w:r w:rsidR="00A57B77" w:rsidRPr="009F7B6F">
        <w:t xml:space="preserve"> from </w:t>
      </w:r>
      <w:r w:rsidR="001C604F">
        <w:t>759</w:t>
      </w:r>
      <w:r w:rsidR="00A57B77" w:rsidRPr="009F7B6F">
        <w:t xml:space="preserve"> (ROLO) to 14</w:t>
      </w:r>
      <w:r w:rsidR="00A57B77">
        <w:t>,</w:t>
      </w:r>
      <w:r w:rsidR="00A57B77" w:rsidRPr="009F7B6F">
        <w:t>541 (ALSPAC</w:t>
      </w:r>
      <w:r w:rsidR="0033414F">
        <w:t>).</w:t>
      </w:r>
    </w:p>
    <w:p w14:paraId="31ACEA79" w14:textId="6E1A1270" w:rsidR="001C604F" w:rsidRDefault="001C604F" w:rsidP="00E603A6">
      <w:pPr>
        <w:pStyle w:val="NoSpacing"/>
        <w:spacing w:line="480" w:lineRule="auto"/>
        <w:ind w:firstLine="426"/>
      </w:pPr>
      <w:r w:rsidRPr="009F7B6F">
        <w:t>All participating cohorts have obtained relevant institutional ethical approval</w:t>
      </w:r>
      <w:r w:rsidR="00DF1A4B">
        <w:t>s</w:t>
      </w:r>
      <w:r w:rsidRPr="009F7B6F">
        <w:t xml:space="preserve"> and research to date has been conducted according to the guidelines laid down in the Declaration of Helsinki</w:t>
      </w:r>
      <w:r>
        <w:t xml:space="preserve"> (</w:t>
      </w:r>
      <w:r w:rsidRPr="00BB79D6">
        <w:rPr>
          <w:b/>
          <w:color w:val="0070C0"/>
        </w:rPr>
        <w:t>Supplementary material</w:t>
      </w:r>
      <w:r w:rsidR="00EF69AF">
        <w:rPr>
          <w:b/>
          <w:color w:val="0070C0"/>
        </w:rPr>
        <w:t>s</w:t>
      </w:r>
      <w:r w:rsidR="00C808A3">
        <w:t>).</w:t>
      </w:r>
    </w:p>
    <w:p w14:paraId="4DBB9236" w14:textId="25D02500" w:rsidR="00F0622B" w:rsidRPr="00E603A6" w:rsidRDefault="00F0622B" w:rsidP="00E603A6">
      <w:pPr>
        <w:pStyle w:val="Heading3"/>
        <w:spacing w:before="120"/>
        <w:rPr>
          <w:b w:val="0"/>
          <w:bCs w:val="0"/>
        </w:rPr>
      </w:pPr>
      <w:bookmarkStart w:id="8" w:name="_Toc534640640"/>
      <w:r w:rsidRPr="00E603A6">
        <w:rPr>
          <w:b w:val="0"/>
          <w:bCs w:val="0"/>
        </w:rPr>
        <w:t>D</w:t>
      </w:r>
      <w:r w:rsidR="00F91C20" w:rsidRPr="00E603A6">
        <w:rPr>
          <w:b w:val="0"/>
          <w:bCs w:val="0"/>
        </w:rPr>
        <w:t>ietary data collection and indices</w:t>
      </w:r>
      <w:bookmarkEnd w:id="8"/>
      <w:r w:rsidR="005A1DBB" w:rsidRPr="00E603A6">
        <w:rPr>
          <w:b w:val="0"/>
          <w:bCs w:val="0"/>
        </w:rPr>
        <w:t xml:space="preserve"> of diet</w:t>
      </w:r>
      <w:r w:rsidR="005B5804" w:rsidRPr="00E603A6">
        <w:rPr>
          <w:b w:val="0"/>
          <w:bCs w:val="0"/>
        </w:rPr>
        <w:t>ary</w:t>
      </w:r>
      <w:r w:rsidR="005A1DBB" w:rsidRPr="00E603A6">
        <w:rPr>
          <w:b w:val="0"/>
          <w:bCs w:val="0"/>
        </w:rPr>
        <w:t xml:space="preserve"> quality and inflammatory potential</w:t>
      </w:r>
    </w:p>
    <w:p w14:paraId="2FE50EA4" w14:textId="15B465B3" w:rsidR="00A22684" w:rsidRPr="006E67F8" w:rsidRDefault="005B5804" w:rsidP="006E67F8">
      <w:pPr>
        <w:pStyle w:val="Heading4"/>
        <w:spacing w:before="120"/>
        <w:rPr>
          <w:i w:val="0"/>
          <w:iCs/>
          <w:u w:val="none"/>
        </w:rPr>
      </w:pPr>
      <w:r w:rsidRPr="00E603A6">
        <w:rPr>
          <w:i w:val="0"/>
          <w:iCs/>
        </w:rPr>
        <w:t>Maternal dietary assessment</w:t>
      </w:r>
      <w:r w:rsidR="006E67F8">
        <w:rPr>
          <w:i w:val="0"/>
          <w:iCs/>
        </w:rPr>
        <w:t>:</w:t>
      </w:r>
      <w:r w:rsidR="006E67F8" w:rsidRPr="006E67F8">
        <w:rPr>
          <w:i w:val="0"/>
          <w:iCs/>
          <w:u w:val="none"/>
        </w:rPr>
        <w:t xml:space="preserve"> </w:t>
      </w:r>
      <w:r w:rsidR="00E249D2" w:rsidRPr="006E67F8">
        <w:rPr>
          <w:i w:val="0"/>
          <w:iCs/>
          <w:u w:val="none"/>
        </w:rPr>
        <w:t xml:space="preserve">Dietary information </w:t>
      </w:r>
      <w:r w:rsidR="009D49EF" w:rsidRPr="006E67F8">
        <w:rPr>
          <w:i w:val="0"/>
          <w:iCs/>
          <w:u w:val="none"/>
        </w:rPr>
        <w:t xml:space="preserve">was </w:t>
      </w:r>
      <w:r w:rsidR="00E249D2" w:rsidRPr="006E67F8">
        <w:rPr>
          <w:i w:val="0"/>
          <w:iCs/>
          <w:u w:val="none"/>
        </w:rPr>
        <w:t>collected by</w:t>
      </w:r>
      <w:r w:rsidR="008853CE" w:rsidRPr="006E67F8">
        <w:rPr>
          <w:i w:val="0"/>
          <w:iCs/>
          <w:u w:val="none"/>
        </w:rPr>
        <w:t xml:space="preserve"> self-administered semi-quantitative (EDEN</w:t>
      </w:r>
      <w:r w:rsidR="00AB7D0E" w:rsidRPr="006E67F8">
        <w:rPr>
          <w:i w:val="0"/>
          <w:iCs/>
          <w:u w:val="none"/>
        </w:rPr>
        <w:t>,</w:t>
      </w:r>
      <w:r w:rsidR="008853CE" w:rsidRPr="006E67F8">
        <w:rPr>
          <w:i w:val="0"/>
          <w:iCs/>
          <w:u w:val="none"/>
        </w:rPr>
        <w:t xml:space="preserve"> Generation</w:t>
      </w:r>
      <w:r w:rsidR="00AB7D0E" w:rsidRPr="006E67F8">
        <w:rPr>
          <w:i w:val="0"/>
          <w:iCs/>
          <w:u w:val="none"/>
        </w:rPr>
        <w:t> </w:t>
      </w:r>
      <w:r w:rsidR="008853CE" w:rsidRPr="006E67F8">
        <w:rPr>
          <w:i w:val="0"/>
          <w:iCs/>
          <w:u w:val="none"/>
        </w:rPr>
        <w:t>R</w:t>
      </w:r>
      <w:r w:rsidR="00AB7D0E" w:rsidRPr="006E67F8">
        <w:rPr>
          <w:i w:val="0"/>
          <w:iCs/>
          <w:u w:val="none"/>
        </w:rPr>
        <w:t>,</w:t>
      </w:r>
      <w:r w:rsidR="008853CE" w:rsidRPr="006E67F8">
        <w:rPr>
          <w:i w:val="0"/>
          <w:iCs/>
          <w:u w:val="none"/>
        </w:rPr>
        <w:t xml:space="preserve"> Lifeways</w:t>
      </w:r>
      <w:r w:rsidR="00AB7D0E" w:rsidRPr="006E67F8">
        <w:rPr>
          <w:i w:val="0"/>
          <w:iCs/>
          <w:u w:val="none"/>
        </w:rPr>
        <w:t>,</w:t>
      </w:r>
      <w:r w:rsidR="008853CE" w:rsidRPr="006E67F8">
        <w:rPr>
          <w:i w:val="0"/>
          <w:iCs/>
          <w:u w:val="none"/>
        </w:rPr>
        <w:t xml:space="preserve"> ROLO</w:t>
      </w:r>
      <w:r w:rsidR="00AB7D0E" w:rsidRPr="006E67F8">
        <w:rPr>
          <w:i w:val="0"/>
          <w:iCs/>
          <w:u w:val="none"/>
        </w:rPr>
        <w:t>),</w:t>
      </w:r>
      <w:r w:rsidR="00442EE4" w:rsidRPr="006E67F8">
        <w:rPr>
          <w:i w:val="0"/>
          <w:iCs/>
          <w:u w:val="none"/>
        </w:rPr>
        <w:fldChar w:fldCharType="begin"/>
      </w:r>
      <w:r w:rsidR="003E28E4">
        <w:rPr>
          <w:i w:val="0"/>
          <w:iCs/>
          <w:u w:val="none"/>
        </w:rPr>
        <w:instrText xml:space="preserve"> ADDIN ZOTERO_ITEM CSL_CITATION {"citationID":"ssyAWirx","properties":{"formattedCitation":"\\super 33\\uc0\\u8211{}36\\nosupersub{}","plainCitation":"33–36","noteIndex":0},"citationItems":[{"id":167,"uris":["http://zotero.org/users/4872814/items/KYZVQ6QR"],"itemData":{"id":167,"type":"article-journal","abstract":"OBJECTIVE: Our aim was to evaluate the reproducibility of a food-frequency questionnaire (FFQ) developed in a French population, and its validity against four 24-h dietary recalls (24-HRs).\nMETHODS: A total of 57 adults (aged 18-63), 17 adolescents (aged 14-18) and 20 children (aged 10-14) completed four 24-HRs (one per season) and two FFQs over a 1-year interval. Reproducibility of the FFQ was estimated by intraclass correlation coefficients (ICCs). The validity of FFQ was assessed by comparison with the four 24-HRs.\nRESULTS: For most nutrients, the first FFQ measurements gave higher mean values than the second FFQ. The ICCs for nutrients ranged from 0.39 for total protein to 0.83 for alcohol. The ICCs were higher for food items consumed daily such as milk (0.80) or sugars and confectionery (0.65), and lower for rarely eaten food such as inner organs (0.11). Nutrient intakes as assessed by FFQs were higher than those from the 24-HRs, except for alcohol. The de-attenuated Pearson's correlation coefficient for nutrients varied from 0.25 (dietary fiber) to 0.90 (alcohol), but the adjustment for energy did not improve these coefficients. When nutrient intakes were categorized into quintiles, FFQ and 24-HRs produced agreement rates (same or adjacent quintile) between 55% (for PUFA) and 95% (for alcohol), while misclassification to an extreme quintile was rare (&lt;5%).\nCONCLUSION: The FFQ developed for the FLVS II Study can be used to classify adults or adolescents according to their nutrients and food intakes over a 1-year period.","container-title":"European Journal of Clinical Nutrition","DOI":"10.1038/sj.ejcn.1602914","ISSN":"1476-5640","issue":"2","journalAbbreviation":"Eur J Clin Nutr","language":"eng","note":"PMID: 17882132\nPMCID: PMC2663891","page":"282-291","source":"PubMed","title":"Reproducibility and relative validity of a food-frequency questionnaire among French adults and adolescents","volume":"63","author":[{"family":"Deschamps","given":"V."},{"family":"Lauzon-Guillain","given":"B.","non-dropping-particle":"de"},{"family":"Lafay","given":"L."},{"family":"Borys","given":"J.-M."},{"family":"Charles","given":"M. A."},{"family":"Romon","given":"M."}],"issued":{"date-parts":[["2009",2]]}}},{"id":166,"uris":["http://zotero.org/users/4872814/items/ULUKFZ6F"],"itemData":{"id":166,"type":"article-journal","abstract":"OBJECTIVE: The study was conducted to assess the relative validity of a 170-item semiquantitative food frequency questionnaire (SFFQ) adapted for use in the elderly.\nDESIGN AND SUBJECTS: The study was carried out in a sample of 80 men and women aged 55-75 y participating in a community based prospective cohort study in Rotterdam, The Netherlands. The two-step dietary assessment comprised a simple self-administered questionnaire (20 min) followed by a structured interview with trained dietitians (20 min) based on the completed questionnaire. Multiple food records (FR) collected over a one year period served as reference method. 24 h urine urea was used as indirect marker for protein intake.\nRESULTS: Compared with FR, the SFFQ generally overestimated nutrient intake as reflected by difference in means and the ratio of SFFQ to FR. Energy adjustment reduced the observed overestimation. Pearson's correlation coefficients varied from close to 0.5 to about 0.9 for crude data, and after adjustment for age, sex, total energy intake, and for within-person variability in daily intake for 0.4-0.8. Cross-classification into quintiles resulted in correct classification into the same or adjacent quintile of 75.8% for crude and 76.8% for energy-adjusted data. Validation of protein intake estimated by SFFQ with protein excretion from 24h urine urea indicated overestimation of protein intake by SFFQ. Spearman correlation coefficient between protein intake estimated from urea excretion and SFFQ was 0.67.\nCONCLUSIONS: Adaptation of a SFFQ for use in the elderly resulted in a valid and time-efficient dietary assessment instrument. Its ability to adequately rank study subjects according to their dietary intake support its application in epidemiological studies in the elderly.","container-title":"European Journal of Clinical Nutrition","ISSN":"0954-3007","issue":"8","journalAbbreviation":"Eur J Clin Nutr","language":"eng","note":"PMID: 9725660","page":"588-596","source":"PubMed","title":"Dietary assessment in the elderly: validation of a semiquantitative food frequency questionnaire","title-short":"Dietary assessment in the elderly","volume":"52","author":[{"family":"Klipstein-Grobusch","given":"K."},{"family":"Breeijen","given":"J. H.","non-dropping-particle":"den"},{"family":"Goldbohm","given":"R. A."},{"family":"Geleijnse","given":"J. M."},{"family":"Hofman","given":"A."},{"family":"Grobbee","given":"D. E."},{"family":"Witteman","given":"J. C."}],"issued":{"date-parts":[["1998",8]]}}},{"id":165,"uris":["http://zotero.org/users/4872814/items/Y2GEM5D2"],"itemData":{"id":165,"type":"article-journal","abstract":"BACKGROUND/OBJECTIVES: Animal models have demonstrated that maternal overnutrition during pregnancy influences offspring adiposity. Few human studies of normal pregnancy have replicated these findings. We examined the association between child body mass index at age 5 years and maternal nutrient intake during pregnancy and 5 years postpartum.\nSUBJECTS/METHODS: Five-year-old children (n=585) and their mothers were recruited during pregnancy from two maternity hospitals in Ireland. Data are from the Lifeways Cross-Generation Cohort study with detailed dietary information obtained during pregnancy and postpartum using a food frequency questionnaire. Nutrient intake was adjusted for energy intake (EI) and expressed in quartiles. Heights and weights were measured when the children were aged 5 years. We performed multivariate logistic regression analyses to examine the independent associations of macronutrients (protein, fat and carbohydrate) and their components (saturated fatty acid (SFA)/monounsaturated fatty acid/polyunsaturated fatty acid and sugar/starch) with child overweight/obesity. Associations were examined for nutrient intake during pregnancy (T1), at 5 years postpartum (T2) and the change in nutrient intake between T1 and T2.\nRESULTS: Total mean (s.d.) EI was significantly higher during pregnancy (2548 ± 1239 kcal) than 5 years postpartum (2084 ± 718 kcal). Increased odds of overweight/obesity were found in mothers with higher intakes of sugar at T1 (Q4 odds ratio (OR): 4.57, 95% confidence interval (CI): 1.01-20.69) and high intakes of SFA at T2 (Q4 OR: 3.35, 95% CI: 0.97-11.57). Mothers with persistently high intakes of SFA and those who reduce their sugar intake between T1 and T2 were more likely to have overweight/obese children.\nCONCLUSION: Maternal prenatal sugar and pre/postnatal SFA was associated with offspring adiposity.","container-title":"European Journal of Clinical Nutrition","DOI":"10.1038/ejcn.2013.76","ISSN":"1476-5640","issue":"6","journalAbbreviation":"Eur J Clin Nutr","language":"eng","note":"PMID: 23612514","page":"670-679","source":"PubMed","title":"Maternal macronutrient intake during pregnancy and 5 years postpartum and associations with child weight status aged five","volume":"67","author":[{"family":"Murrin","given":"C."},{"family":"Shrivastava","given":"A."},{"family":"Kelleher","given":"C. C."},{"literal":"Lifeways Cross-generation Cohort Study Steering Group"}],"issued":{"date-parts":[["2013",6]]}}},{"id":115,"uris":["http://zotero.org/users/4872814/items/Y39D6PW8"],"itemData":{"id":115,"type":"article-journal","abstract":"BACKGROUND/OBJECTIVE: Well-being has been linked to the quality of diet and lifestyle in adults; however, there is a paucity of data in pregnancy. The aim of this study was to examine the relationship between well-being and socioeconomic status, diet and lifestyle during pregnancy and to consider the effect of intervention with low glycaemic index (GI) diet on well-being.\nSUBJECTS/METHODS: This was a cohort analysis of 619 participants of the ROLO study (Randomised cOntrol trial of LOw GI diet versus no dietary intervention to prevent recurrence of fetal macrosomia). The following data were collected: educational attainment, dietary intakes (food frequency questionnaire), physical activity (self-reported) and well-being (WHO-5-Item Wellbeing Index--expressed as a percentage).\nRESULTS: Well-being was positively associated with education and physical activity. Third-level education was associated with a 3.07-point higher well-being percentage score, and each day that an individual achieved &gt;30 min walking per week was associated with a 1.10-point increase in percentage well-being score, Radj(2) 2.4% (F=7.260, P=0.001). The intervention low GI group had a significantly lower percentage well-being score than the usual diet group (56.3% vs 59.9%, P=0.015). No correlation was noted between well-being and GI status calculated from food diaries (P=0.469). Well-being was not associated with micronutrient intake.\nCONCLUSIONS: Well-being in pregnancy was independently and positively associated with education and physical activity and negatively associated with low GI dietary intervention. These findings have significance not only for women at risk of low mood but also for healthcare professionals when counselling women about the importance of healthy lifestyle in pregnancy.","container-title":"European Journal of Clinical Nutrition","DOI":"10.1038/ejcn.2013.212","ISSN":"1476-5640","issue":"1","journalAbbreviation":"Eur J Clin Nutr","language":"eng","note":"PMID: 24169456","page":"19-24","source":"PubMed","title":"Well-being in pregnancy: an examination of the effect of socioeconomic, dietary and lifestyle factors including impact of a low glycaemic index dietary intervention","title-short":"Well-being in pregnancy","volume":"68","author":[{"family":"Horan","given":"M. K."},{"family":"McGowan","given":"C. A."},{"family":"Doyle","given":"O."},{"family":"McAuliffe","given":"F. M."}],"issued":{"date-parts":[["2014",1]]}}}],"schema":"https://github.com/citation-style-language/schema/raw/master/csl-citation.json"} </w:instrText>
      </w:r>
      <w:r w:rsidR="00442EE4" w:rsidRPr="006E67F8">
        <w:rPr>
          <w:i w:val="0"/>
          <w:iCs/>
          <w:u w:val="none"/>
        </w:rPr>
        <w:fldChar w:fldCharType="separate"/>
      </w:r>
      <w:r w:rsidR="003E28E4" w:rsidRPr="003E28E4">
        <w:rPr>
          <w:vertAlign w:val="superscript"/>
        </w:rPr>
        <w:t>33–36</w:t>
      </w:r>
      <w:r w:rsidR="00442EE4" w:rsidRPr="006E67F8">
        <w:rPr>
          <w:i w:val="0"/>
          <w:iCs/>
          <w:u w:val="none"/>
        </w:rPr>
        <w:fldChar w:fldCharType="end"/>
      </w:r>
      <w:r w:rsidR="008853CE" w:rsidRPr="006E67F8">
        <w:rPr>
          <w:i w:val="0"/>
          <w:iCs/>
          <w:u w:val="none"/>
        </w:rPr>
        <w:t xml:space="preserve"> and</w:t>
      </w:r>
      <w:r w:rsidR="00E249D2" w:rsidRPr="006E67F8">
        <w:rPr>
          <w:i w:val="0"/>
          <w:iCs/>
          <w:u w:val="none"/>
        </w:rPr>
        <w:t xml:space="preserve"> </w:t>
      </w:r>
      <w:r w:rsidR="008853CE" w:rsidRPr="006E67F8">
        <w:rPr>
          <w:i w:val="0"/>
          <w:iCs/>
          <w:u w:val="none"/>
        </w:rPr>
        <w:t>non-quantitative (ALSPAC, REPRO_PL, SWS</w:t>
      </w:r>
      <w:r w:rsidR="00AB7D0E" w:rsidRPr="006E67F8">
        <w:rPr>
          <w:i w:val="0"/>
          <w:iCs/>
          <w:u w:val="none"/>
        </w:rPr>
        <w:t>)</w:t>
      </w:r>
      <w:r w:rsidR="00442EE4" w:rsidRPr="006E67F8">
        <w:rPr>
          <w:i w:val="0"/>
          <w:iCs/>
          <w:u w:val="none"/>
        </w:rPr>
        <w:fldChar w:fldCharType="begin"/>
      </w:r>
      <w:r w:rsidR="003E28E4">
        <w:rPr>
          <w:i w:val="0"/>
          <w:iCs/>
          <w:u w:val="none"/>
        </w:rPr>
        <w:instrText xml:space="preserve"> ADDIN ZOTERO_ITEM CSL_CITATION {"citationID":"pJskMKzf","properties":{"unsorted":true,"formattedCitation":"\\super 37,30,38\\nosupersub{}","plainCitation":"37,30,38","noteIndex":0},"citationItems":[{"id":124,"uris":["http://zotero.org/users/4872814/items/YKN442LL"],"itemData":{"id":124,"type":"article-journal","abstract":"OBJECTIVE: To describe the diet of a population of pregnant women.\nSUBJECTS: Eleven thousand, nine hundred and twenty-three pregnant women resident in the south-west of England.\nDESIGN: A self-completion unquantified food-frequency questionnaire was sent to the women at 32 weeks gestation. Estimated daily nutrient intakes were calculated from the answers to the questionnaire.\nRESULTS: On the whole, nutrient intakes of the pregnant women in this survey compared very closely with the reported nutrient intakes for all women aged 16-64 in the last Dietary and Nutritional Survey of British Adults (DNSBA). The exceptions were sugar, calcium, folate and vitamin C where the estimated intakes were somewhat higher, and retinol, where the estimated intake was somewhat lower than the DNSBA. Mean and median estimated nutrient intakes were above the RNIs for the majority of nutrients investigated except for energy, iron, magnesium, potassium and folate. Levels of supplementary vitamin and mineral use were fairly low, the two most commonly taken supplements were iron--taken by 22.5% of the pregnant women before 18 weeks and 43% at 32 weeks, and folate, taken by 9% and 18% of the women, respectively.\nCONCLUSIONS: These results suggest that the diets of pregnant women in this country are likely to contain adequate amounts of most nutrients, the most likely exceptions being iron, magnesium, potassium and folate. The relatively low intakes of folate and small proportion of women taking folate supplements is of concern, because of the association between inadequate amounts of folate in the diet and neural tube defects.","container-title":"European Journal of Clinical Nutrition","ISSN":"0954-3007","issue":"4","journalAbbreviation":"Eur J Clin Nutr","language":"eng","note":"PMID: 9578336","page":"246-250","source":"PubMed","title":"Diet during pregnancy in a population of pregnant women in South West England. ALSPAC Study Team. Avon Longitudinal Study of Pregnancy and Childhood","volume":"52","author":[{"family":"Rogers","given":"I."},{"family":"Emmett","given":"P."}],"issued":{"date-parts":[["1998",4]]}}},{"id":164,"uris":["http://zotero.org/users/4872814/items/SXGF2PQP"],"itemData":{"id":164,"type":"article-journal","abstract":"OBJECTIVES: Exposures during prenatal period have implications for pregnancy outcome as well as for children's health, morbidity and mortality. Prospective cohort study design allows for the identification of exposures that may influence pregnancy outcome and children's health, verification of such exposures by biomarker measurements and notification of any changes in exposure level.\nMATERIALS AND METHODS: Polish Mother and Child Cohort Study (REPRO_PL) is multicenter prospective cohort study conducted in 8 different regions of Poland. The final cohort is intended to comprise 1300 mother-child pairs to be recruited within 4-year period (2007-2011). The recruitment and all scheduled visits are conducted in maternity units or clinics in the districts included in the study. The women are followed-up 3 times in pregnancy (once in each trimester) and after delivery for the notification of pregnancy outcome. During each visit, detailed questionnaire and biological samples are collected including saliva, urine, hair, maternal blood and cord blood. About 6 weeks postpartum, breast milk from part of the women is collected. The study concentrates on the identification and evaluation of the effects of prenatal environmental exposure on pregnancy outcome and children's health. Specific research hypotheses refer to the role of heavy metals, exposure to polycyclic aromatic hydrocarbons (PAHs) and environmental tobacco smoke (ETS) in the aetiology of small-for-gestational-age (SGA) and preterm delivery (PD). The role of oxidative stress putative mechanism and pregnant women nutritional status will be investigated. Based on questionnaire data, the impact of occupational exposures and stressful situations will be evaluated.\nRESULTS: The results of the study will become available within the next few years and will help to determine levels of child prenatal exposure in several areas of Poland and its impact on course and outcome of pregnancy.","container-title":"International Journal of Occupational Medicine and Environmental Health","DOI":"10.2478/v10001-009-0037-0","ISSN":"1232-1087","issue":"4","journalAbbreviation":"Int J Occup Med Environ Health","language":"eng","note":"PMID: 20053622","page":"383-391","source":"PubMed","title":"Polish mother and child cohort study--defining the problem, the aim of the study and methodological assumption","volume":"22","author":[{"family":"Polańska","given":"Kinga"},{"family":"Hanke","given":"Wojciech"},{"family":"Gromadzińska","given":"Jolanta"},{"family":"Ligocka","given":"Danuta"},{"family":"Gulczyńska","given":"Ewa"},{"family":"Sobala","given":"Wojciech"},{"family":"Wásowicz","given":"Wojciech"}],"issued":{"date-parts":[["2009"]]}}},{"id":162,"uris":["http://zotero.org/users/4872814/items/WREWIASD"],"itemData":{"id":162,"type":"article-journal","abstract":"OBJECTIVE: To compare nutrient intakes assessed by food frequency questionnaire (FFQ) with those determined from food diaries.\nDESIGN: A 100-item FFQ was administered to women at 15 weeks of pregnancy. Food diaries were kept for a 4-day period at 16 weeks of pregnancy.\nSETTING: Community-based study of a general population sample of pregnant women booked for delivery at the Princess Anne Maternity Hospital, Southampton, UK.\nSUBJECTS: 603 women were recruited. Complete dietary data were provided by 569 women.\nRESULTS: Nutrient intakes determined by FFQ were greater than those from food diaries. Spearman rank correlation coefficients for macronutrients ranged from 0.27 (protein and starch) to 0.37 (fat). Stronger correlations for energy, fat and carbohydrate were seen in women who did not experience nausea, suggesting that the level of agreement observed between the FFQ and food diary in the whole group may be an underestimate of the true agreement. The percentage of individuals classified to the same quarter of the distribution of nutrient intake by the FFQ and diaries ranged from 30% (starch) to 41% (calcium), with between 4% (riboflavin) and 8% (energy, protein and vitamin E) classified to the opposite quarters. Using serum vitamin C as an independent biomarker of intake, the percentage of individuals classified to the correct quarter of intake was similar for the FFQ and diary (34% and 37%), with 8% (FFQ) and 6% (diary) misclassified to the opposite quarter.\nCONCLUSION: The FFQ appears to give meaningful estimates of nutrient intake in early pregnancy which can be used to rank individuals within the distribution.","container-title":"European Journal of Clinical Nutrition","ISSN":"0954-3007","issue":"5","journalAbbreviation":"Eur J Clin Nutr","language":"eng","note":"PMID: 8735311","page":"302-308","source":"PubMed","title":"Evaluation of a food frequency questionnaire used to assess nutrient intakes in pregnant women","volume":"50","author":[{"family":"Robinson","given":"S."},{"family":"Godfrey","given":"K."},{"family":"Osmond","given":"C."},{"family":"Cox","given":"V."},{"family":"Barker","given":"D."}],"issued":{"date-parts":[["1996",5]]}}}],"schema":"https://github.com/citation-style-language/schema/raw/master/csl-citation.json"} </w:instrText>
      </w:r>
      <w:r w:rsidR="00442EE4" w:rsidRPr="006E67F8">
        <w:rPr>
          <w:i w:val="0"/>
          <w:iCs/>
          <w:u w:val="none"/>
        </w:rPr>
        <w:fldChar w:fldCharType="separate"/>
      </w:r>
      <w:r w:rsidR="003E28E4" w:rsidRPr="003E28E4">
        <w:rPr>
          <w:vertAlign w:val="superscript"/>
        </w:rPr>
        <w:t>37,30,38</w:t>
      </w:r>
      <w:r w:rsidR="00442EE4" w:rsidRPr="006E67F8">
        <w:rPr>
          <w:i w:val="0"/>
          <w:iCs/>
          <w:u w:val="none"/>
        </w:rPr>
        <w:fldChar w:fldCharType="end"/>
      </w:r>
      <w:r w:rsidR="008853CE" w:rsidRPr="006E67F8">
        <w:rPr>
          <w:i w:val="0"/>
          <w:iCs/>
          <w:u w:val="none"/>
        </w:rPr>
        <w:t xml:space="preserve"> </w:t>
      </w:r>
      <w:r w:rsidR="00A750CF">
        <w:rPr>
          <w:i w:val="0"/>
          <w:iCs/>
          <w:u w:val="none"/>
        </w:rPr>
        <w:t>F</w:t>
      </w:r>
      <w:r w:rsidR="00E249D2" w:rsidRPr="006E67F8">
        <w:rPr>
          <w:i w:val="0"/>
          <w:iCs/>
          <w:u w:val="none"/>
        </w:rPr>
        <w:t xml:space="preserve">ood </w:t>
      </w:r>
      <w:r w:rsidR="00A750CF">
        <w:rPr>
          <w:i w:val="0"/>
          <w:iCs/>
          <w:u w:val="none"/>
        </w:rPr>
        <w:t>F</w:t>
      </w:r>
      <w:r w:rsidR="00E249D2" w:rsidRPr="006E67F8">
        <w:rPr>
          <w:i w:val="0"/>
          <w:iCs/>
          <w:u w:val="none"/>
        </w:rPr>
        <w:t xml:space="preserve">requency </w:t>
      </w:r>
      <w:r w:rsidR="00A750CF">
        <w:rPr>
          <w:i w:val="0"/>
          <w:iCs/>
          <w:u w:val="none"/>
        </w:rPr>
        <w:t>Q</w:t>
      </w:r>
      <w:r w:rsidR="00E249D2" w:rsidRPr="006E67F8">
        <w:rPr>
          <w:i w:val="0"/>
          <w:iCs/>
          <w:u w:val="none"/>
        </w:rPr>
        <w:t>uestionnaires (FFQs) (</w:t>
      </w:r>
      <w:r w:rsidR="002E6357" w:rsidRPr="006E67F8">
        <w:rPr>
          <w:i w:val="0"/>
          <w:iCs/>
          <w:u w:val="none"/>
        </w:rPr>
        <w:t xml:space="preserve">except </w:t>
      </w:r>
      <w:r w:rsidR="00E249D2" w:rsidRPr="006E67F8">
        <w:rPr>
          <w:i w:val="0"/>
          <w:iCs/>
          <w:u w:val="none"/>
        </w:rPr>
        <w:t>SWS</w:t>
      </w:r>
      <w:r w:rsidR="002E6357" w:rsidRPr="006E67F8">
        <w:rPr>
          <w:i w:val="0"/>
          <w:iCs/>
          <w:u w:val="none"/>
        </w:rPr>
        <w:t xml:space="preserve"> which used </w:t>
      </w:r>
      <w:r w:rsidR="00E249D2" w:rsidRPr="006E67F8">
        <w:rPr>
          <w:i w:val="0"/>
          <w:iCs/>
          <w:u w:val="none"/>
        </w:rPr>
        <w:t>nurse-administered FFQs)</w:t>
      </w:r>
      <w:r w:rsidR="008853CE" w:rsidRPr="006E67F8">
        <w:rPr>
          <w:i w:val="0"/>
          <w:iCs/>
          <w:u w:val="none"/>
        </w:rPr>
        <w:t xml:space="preserve">. </w:t>
      </w:r>
      <w:r w:rsidR="00DF1A4B" w:rsidRPr="006E67F8">
        <w:rPr>
          <w:i w:val="0"/>
          <w:iCs/>
          <w:u w:val="none"/>
        </w:rPr>
        <w:t>M</w:t>
      </w:r>
      <w:r w:rsidR="00A22684" w:rsidRPr="006E67F8">
        <w:rPr>
          <w:i w:val="0"/>
          <w:iCs/>
          <w:u w:val="none"/>
        </w:rPr>
        <w:t xml:space="preserve">aternal diet was </w:t>
      </w:r>
      <w:r w:rsidR="00DF1A4B" w:rsidRPr="006E67F8">
        <w:rPr>
          <w:i w:val="0"/>
          <w:iCs/>
          <w:u w:val="none"/>
        </w:rPr>
        <w:t xml:space="preserve">assessed in </w:t>
      </w:r>
      <w:r w:rsidR="00A22684" w:rsidRPr="006E67F8">
        <w:rPr>
          <w:i w:val="0"/>
          <w:iCs/>
          <w:u w:val="none"/>
        </w:rPr>
        <w:t>pre-pregnancy</w:t>
      </w:r>
      <w:r w:rsidR="00932B4F" w:rsidRPr="006E67F8">
        <w:rPr>
          <w:i w:val="0"/>
          <w:iCs/>
          <w:u w:val="none"/>
        </w:rPr>
        <w:t xml:space="preserve"> </w:t>
      </w:r>
      <w:r w:rsidR="00A22684" w:rsidRPr="006E67F8">
        <w:rPr>
          <w:i w:val="0"/>
          <w:iCs/>
          <w:u w:val="none"/>
        </w:rPr>
        <w:t>in two studies (EDEN</w:t>
      </w:r>
      <w:r w:rsidR="008A66D0" w:rsidRPr="006E67F8">
        <w:rPr>
          <w:i w:val="0"/>
          <w:iCs/>
          <w:u w:val="none"/>
        </w:rPr>
        <w:t xml:space="preserve"> and SWS</w:t>
      </w:r>
      <w:r w:rsidR="00A22684" w:rsidRPr="006E67F8">
        <w:rPr>
          <w:i w:val="0"/>
          <w:iCs/>
          <w:u w:val="none"/>
        </w:rPr>
        <w:t xml:space="preserve">) and </w:t>
      </w:r>
      <w:r w:rsidR="00DF1A4B" w:rsidRPr="006E67F8">
        <w:rPr>
          <w:i w:val="0"/>
          <w:iCs/>
          <w:u w:val="none"/>
        </w:rPr>
        <w:t xml:space="preserve">during </w:t>
      </w:r>
      <w:r w:rsidR="00A22684" w:rsidRPr="006E67F8">
        <w:rPr>
          <w:i w:val="0"/>
          <w:iCs/>
          <w:u w:val="none"/>
        </w:rPr>
        <w:t>pregnancy</w:t>
      </w:r>
      <w:r w:rsidR="00932B4F" w:rsidRPr="006E67F8">
        <w:rPr>
          <w:i w:val="0"/>
          <w:iCs/>
          <w:u w:val="none"/>
        </w:rPr>
        <w:t xml:space="preserve"> </w:t>
      </w:r>
      <w:r w:rsidR="00A22684" w:rsidRPr="006E67F8">
        <w:rPr>
          <w:i w:val="0"/>
          <w:iCs/>
          <w:u w:val="none"/>
        </w:rPr>
        <w:t>in all studies</w:t>
      </w:r>
      <w:r w:rsidR="00EC49AA" w:rsidRPr="006E67F8">
        <w:rPr>
          <w:i w:val="0"/>
          <w:iCs/>
          <w:u w:val="none"/>
        </w:rPr>
        <w:t>.</w:t>
      </w:r>
      <w:r w:rsidR="00DF1A4B" w:rsidRPr="006E67F8">
        <w:rPr>
          <w:i w:val="0"/>
          <w:iCs/>
          <w:u w:val="none"/>
        </w:rPr>
        <w:t xml:space="preserve"> Of note, </w:t>
      </w:r>
      <w:r w:rsidR="00932B4F" w:rsidRPr="006E67F8">
        <w:rPr>
          <w:i w:val="0"/>
          <w:iCs/>
          <w:u w:val="none"/>
        </w:rPr>
        <w:t xml:space="preserve">maternal diet was assessed </w:t>
      </w:r>
      <w:r w:rsidR="00DF1A4B" w:rsidRPr="006E67F8">
        <w:rPr>
          <w:i w:val="0"/>
          <w:iCs/>
          <w:u w:val="none"/>
        </w:rPr>
        <w:t xml:space="preserve">twice during pregnancy in SWS: early and late pregnancy measures </w:t>
      </w:r>
      <w:r w:rsidR="00932B4F" w:rsidRPr="006E67F8">
        <w:rPr>
          <w:i w:val="0"/>
          <w:iCs/>
          <w:u w:val="none"/>
        </w:rPr>
        <w:t>were average</w:t>
      </w:r>
      <w:r w:rsidR="00DF1A4B" w:rsidRPr="006E67F8">
        <w:rPr>
          <w:i w:val="0"/>
          <w:iCs/>
          <w:u w:val="none"/>
        </w:rPr>
        <w:t>d</w:t>
      </w:r>
      <w:r w:rsidR="00932B4F" w:rsidRPr="006E67F8">
        <w:rPr>
          <w:i w:val="0"/>
          <w:iCs/>
          <w:u w:val="none"/>
        </w:rPr>
        <w:t xml:space="preserve"> to reflect overall pregnancy diet.</w:t>
      </w:r>
    </w:p>
    <w:p w14:paraId="016F6813" w14:textId="084DA318" w:rsidR="00DE158B" w:rsidRPr="006E67F8" w:rsidRDefault="005B5804" w:rsidP="006E67F8">
      <w:pPr>
        <w:pStyle w:val="Heading4"/>
        <w:spacing w:before="120"/>
        <w:rPr>
          <w:i w:val="0"/>
          <w:iCs/>
          <w:u w:val="none"/>
        </w:rPr>
      </w:pPr>
      <w:r w:rsidRPr="00E603A6">
        <w:rPr>
          <w:i w:val="0"/>
          <w:iCs/>
        </w:rPr>
        <w:t>Maternal dietary quality</w:t>
      </w:r>
      <w:r w:rsidR="00465D72" w:rsidRPr="00E603A6">
        <w:rPr>
          <w:i w:val="0"/>
          <w:iCs/>
        </w:rPr>
        <w:t xml:space="preserve"> – Dietary Approaches to Stop Hypertension (DASH) score</w:t>
      </w:r>
      <w:r w:rsidR="006E67F8">
        <w:rPr>
          <w:i w:val="0"/>
          <w:iCs/>
        </w:rPr>
        <w:t>:</w:t>
      </w:r>
      <w:r w:rsidR="006E67F8" w:rsidRPr="002A7DFD">
        <w:rPr>
          <w:i w:val="0"/>
          <w:iCs/>
          <w:u w:val="none"/>
        </w:rPr>
        <w:t xml:space="preserve"> </w:t>
      </w:r>
      <w:r w:rsidR="008C0309" w:rsidRPr="006E67F8">
        <w:rPr>
          <w:i w:val="0"/>
          <w:iCs/>
          <w:u w:val="none"/>
        </w:rPr>
        <w:t>As previously described in detail</w:t>
      </w:r>
      <w:r w:rsidR="00AB7D0E" w:rsidRPr="006E67F8">
        <w:rPr>
          <w:i w:val="0"/>
          <w:iCs/>
          <w:u w:val="none"/>
        </w:rPr>
        <w:t>,</w:t>
      </w:r>
      <w:r w:rsidR="00442EE4" w:rsidRPr="0072540A">
        <w:rPr>
          <w:i w:val="0"/>
          <w:iCs/>
          <w:u w:val="none"/>
        </w:rPr>
        <w:fldChar w:fldCharType="begin"/>
      </w:r>
      <w:r w:rsidR="00034C2C">
        <w:rPr>
          <w:i w:val="0"/>
          <w:iCs/>
          <w:u w:val="none"/>
        </w:rPr>
        <w:instrText xml:space="preserve"> ADDIN ZOTERO_ITEM CSL_CITATION {"citationID":"Wtb7tXWx","properties":{"formattedCitation":"\\super 14\\nosupersub{}","plainCitation":"14","noteIndex":0},"citationItems":[{"id":951,"uris":["http://zotero.org/users/4872814/items/VQDFNXIN"],"itemData":{"id":951,"type":"article-journal","abstract":"The ALPHABET consortium aims to examine the interplays between maternal diet quality, epigenetics and offspring health in seven pregnancy/birth cohorts from five European countries. We aimed to use the Dietary Approaches to Stop Hypertension (DASH) score to assess diet quality, but different versions have been published. To derive a single DASH score allowing cross-country, cross-cohort and cross-period comparison and limiting data heterogeneity within the ALPHABET consortium, we harmonised food frequency questionnaire (FFQ) data collected before and during pregnancy in ≥26,500 women. Although FFQs differed strongly in length and content, we derived a consortium DASH score composed of eight food components by combining the prescriptive original DASH and the DASH described by Fung et al. Statistical issues tied to the nature of the FFQs led us to re-classify two food groups (grains and dairy products). Most DASH food components exhibited pronounced between-cohort variability, including non-full-fat dairy products (median intake ranging from 0.1 to 2.2 servings/day), sugar-sweetened beverages/sweets/added sugars (0.3–1.7 servings/day), fruits (1.1–3.1 servings/day), and vegetables (1.5–3.6 servings/day). We successfully developed a harmonized DASH score adapted to all cohorts being part of the ALPHABET consortium. This methodological work may benefit other research teams in adapting the DASH to their study’s specificities.","container-title":"Nutrients","DOI":"10.3390/nu11112706","ISSN":"2072-6643","issue":"11","journalAbbreviation":"Nutrients","note":"PMID: 31717283\nPMCID: PMC6893477","source":"PubMed Central","title":"Deriving the Dietary Approaches to Stop Hypertension (DASH) Score in Women from Seven Pregnancy Cohorts from the European ALPHABET Consortium","URL":"https://www.ncbi.nlm.nih.gov/pmc/articles/PMC6893477/","volume":"11","author":[{"family":"Aubert","given":"Adrien M."},{"family":"Forhan","given":"Anne"},{"family":"Lauzon-Guillain","given":"Blandine","non-dropping-particle":"de"},{"family":"Chen","given":"Ling-Wei"},{"family":"Polanska","given":"Kinga"},{"family":"Hanke","given":"Wojciech"},{"family":"Jankowska","given":"Agnieszka"},{"family":"Mensink-Bout","given":"Sara M."},{"family":"Duijts","given":"Liesbeth"},{"family":"Suderman","given":"Matthew"},{"family":"Relton","given":"Caroline L."},{"family":"Crozier","given":"Sarah R."},{"family":"Harvey","given":"Nicholas C."},{"family":"Cooper","given":"Cyrus"},{"family":"McAuliffe","given":"Fionnuala M."},{"family":"Kelleher","given":"Cecily C."},{"family":"Phillips","given":"Catherine M."},{"family":"Heude","given":"Barbara"},{"family":"Bernard","given":"Jonathan Y."}],"accessed":{"date-parts":[["2020",4,19]]},"issued":{"date-parts":[["2019",11,8]]}}}],"schema":"https://github.com/citation-style-language/schema/raw/master/csl-citation.json"} </w:instrText>
      </w:r>
      <w:r w:rsidR="00442EE4" w:rsidRPr="0072540A">
        <w:rPr>
          <w:i w:val="0"/>
          <w:iCs/>
          <w:u w:val="none"/>
        </w:rPr>
        <w:fldChar w:fldCharType="separate"/>
      </w:r>
      <w:r w:rsidR="00F5621F" w:rsidRPr="0072540A">
        <w:rPr>
          <w:i w:val="0"/>
          <w:u w:val="none"/>
          <w:vertAlign w:val="superscript"/>
        </w:rPr>
        <w:t>14</w:t>
      </w:r>
      <w:r w:rsidR="00442EE4" w:rsidRPr="0072540A">
        <w:rPr>
          <w:i w:val="0"/>
          <w:iCs/>
          <w:u w:val="none"/>
        </w:rPr>
        <w:fldChar w:fldCharType="end"/>
      </w:r>
      <w:r w:rsidR="008C0309" w:rsidRPr="006E67F8">
        <w:rPr>
          <w:i w:val="0"/>
          <w:iCs/>
          <w:u w:val="none"/>
        </w:rPr>
        <w:t xml:space="preserve"> t</w:t>
      </w:r>
      <w:r w:rsidR="009F3056" w:rsidRPr="006E67F8">
        <w:rPr>
          <w:i w:val="0"/>
          <w:iCs/>
          <w:u w:val="none"/>
        </w:rPr>
        <w:t>he DASH score</w:t>
      </w:r>
      <w:r w:rsidR="008C0309" w:rsidRPr="006E67F8">
        <w:rPr>
          <w:i w:val="0"/>
          <w:iCs/>
          <w:u w:val="none"/>
        </w:rPr>
        <w:t xml:space="preserve"> was</w:t>
      </w:r>
      <w:r w:rsidR="002C46E8" w:rsidRPr="006E67F8">
        <w:rPr>
          <w:i w:val="0"/>
          <w:iCs/>
          <w:u w:val="none"/>
        </w:rPr>
        <w:t xml:space="preserve"> adapted to the </w:t>
      </w:r>
      <w:r w:rsidR="0033537A" w:rsidRPr="006E67F8">
        <w:rPr>
          <w:i w:val="0"/>
          <w:iCs/>
          <w:u w:val="none"/>
        </w:rPr>
        <w:t xml:space="preserve">data collected within the cohorts of the </w:t>
      </w:r>
      <w:r w:rsidR="002C46E8" w:rsidRPr="006E67F8">
        <w:rPr>
          <w:i w:val="0"/>
          <w:iCs/>
          <w:u w:val="none"/>
        </w:rPr>
        <w:t xml:space="preserve">ALPHABET </w:t>
      </w:r>
      <w:r w:rsidR="0033537A" w:rsidRPr="006E67F8">
        <w:rPr>
          <w:i w:val="0"/>
          <w:iCs/>
          <w:u w:val="none"/>
        </w:rPr>
        <w:t>consortium</w:t>
      </w:r>
      <w:r w:rsidR="00A47750" w:rsidRPr="006E67F8">
        <w:rPr>
          <w:i w:val="0"/>
          <w:iCs/>
          <w:u w:val="none"/>
        </w:rPr>
        <w:t xml:space="preserve"> (</w:t>
      </w:r>
      <w:r w:rsidR="00A47750" w:rsidRPr="006E67F8">
        <w:rPr>
          <w:b/>
          <w:i w:val="0"/>
          <w:iCs/>
          <w:color w:val="0070C0"/>
          <w:u w:val="none"/>
        </w:rPr>
        <w:t>Supplemental table S1</w:t>
      </w:r>
      <w:r w:rsidR="00A47750" w:rsidRPr="006E67F8">
        <w:rPr>
          <w:i w:val="0"/>
          <w:iCs/>
          <w:u w:val="none"/>
        </w:rPr>
        <w:t>)</w:t>
      </w:r>
      <w:r w:rsidR="0033537A" w:rsidRPr="006E67F8">
        <w:rPr>
          <w:i w:val="0"/>
          <w:iCs/>
          <w:u w:val="none"/>
        </w:rPr>
        <w:t xml:space="preserve">, </w:t>
      </w:r>
      <w:r w:rsidR="00C85145" w:rsidRPr="006E67F8">
        <w:rPr>
          <w:i w:val="0"/>
          <w:iCs/>
          <w:u w:val="none"/>
        </w:rPr>
        <w:t>using</w:t>
      </w:r>
      <w:r w:rsidR="009F3056" w:rsidRPr="006E67F8">
        <w:rPr>
          <w:i w:val="0"/>
          <w:iCs/>
          <w:u w:val="none"/>
        </w:rPr>
        <w:t xml:space="preserve"> eight food components (seven food groups and one nutrient) </w:t>
      </w:r>
      <w:r w:rsidR="00C85145" w:rsidRPr="006E67F8">
        <w:rPr>
          <w:i w:val="0"/>
          <w:iCs/>
          <w:u w:val="none"/>
        </w:rPr>
        <w:t>combined into a score</w:t>
      </w:r>
      <w:r w:rsidR="00B014BE" w:rsidRPr="006E67F8">
        <w:rPr>
          <w:i w:val="0"/>
          <w:iCs/>
          <w:u w:val="none"/>
        </w:rPr>
        <w:t xml:space="preserve"> based on </w:t>
      </w:r>
      <w:r w:rsidR="00BE64CE" w:rsidRPr="006E67F8">
        <w:rPr>
          <w:i w:val="0"/>
          <w:iCs/>
          <w:u w:val="none"/>
        </w:rPr>
        <w:t>cohort-</w:t>
      </w:r>
      <w:r w:rsidR="00B014BE" w:rsidRPr="006E67F8">
        <w:rPr>
          <w:i w:val="0"/>
          <w:iCs/>
          <w:u w:val="none"/>
        </w:rPr>
        <w:t>quintile rankings</w:t>
      </w:r>
      <w:r w:rsidR="00AB7D0E" w:rsidRPr="006E67F8">
        <w:rPr>
          <w:i w:val="0"/>
          <w:iCs/>
          <w:u w:val="none"/>
        </w:rPr>
        <w:t>.</w:t>
      </w:r>
      <w:r w:rsidR="00442EE4" w:rsidRPr="006E67F8">
        <w:rPr>
          <w:i w:val="0"/>
          <w:iCs/>
          <w:u w:val="none"/>
        </w:rPr>
        <w:fldChar w:fldCharType="begin"/>
      </w:r>
      <w:r w:rsidR="003E28E4">
        <w:rPr>
          <w:i w:val="0"/>
          <w:iCs/>
          <w:u w:val="none"/>
        </w:rPr>
        <w:instrText xml:space="preserve"> ADDIN ZOTERO_ITEM CSL_CITATION {"citationID":"ror6ncfW","properties":{"formattedCitation":"\\super 39\\nosupersub{}","plainCitation":"39","noteIndex":0},"citationItems":[{"id":169,"uris":["http://zotero.org/users/4872814/items/ACQ92NBP"],"itemData":{"id":169,"type":"article-journal","abstract":"BACKGROUND: The Dietary Approaches to Stop Hypertension (DASH) diet has been shown to lower blood pressure, but little is known about its long-term effect on cardiovascular end points. Our objective was to assess the association between a DASH-style diet adherence score and risk of coronary heart disease (CHD) and stroke in women.\nMETHODS: In this prospective cohort study, diet was assessed 7 times during 24 years of follow-up (1980-2004) with validated food frequency questionnaires. A DASH score based on 8 food and nutrient components (fruits, vegetables, whole grains, nuts and legumes, low-fat dairy, red and processed meats, sweetened beverages, and sodium) was calculated. Lifestyle and medical information was collected biennially with a questionnaire. The Cox proportional hazard model was used to adjust for potential confounders. The study population comprised 88,517 female nurses aged 34 to 59 years without a history of cardiovascular disease or diabetes in 1980. The main outcome measures were the numbers of confirmed incident cases of nonfatal myocardial infarction, CHD death, and stroke.\nRESULTS: We documented 2129 cases of incident nonfatal myocardial infarction, 976 CHD deaths, and 2317 [corrected] cases of stroke. After adjustment for age, smoking, and other cardiovascular risk factors, the relative risks of CHD across quintiles of the DASH score were 1.0, 0.99, 0.86, 0.87, and 0.76 (95% confidence interval, 0.67-0.85) (P&lt;.001 for trend). The magnitude of risk difference was similar for nonfatal myocardial infarction and fatal CHD. The DASH score was also significantly associated with lower risk of stroke (multivariate relative risks across quintiles of the DASH score were 1.0, 0.92, 0.91, 0.89, and 0.82) (P=.002 for trend). Cross-sectional analysis in a subgroup of women with blood samples showed that the DASH score was significantly associated with lower plasma levels of C-reactive protein (P=.008 for trend) and interleukin 6 (P=.04 for trend).\nCONCLUSION: Adherence to the DASH-style diet is associated with a lower risk of CHD and stroke among middle-aged women during 24 years of follow-up.","container-title":"Archives of Internal Medicine","DOI":"10.1001/archinte.168.7.713","ISSN":"0003-9926","issue":"7","journalAbbreviation":"Arch. Intern. Med.","language":"eng","note":"PMID: 18413553","page":"713-720","source":"PubMed","title":"Adherence to a DASH-style diet and risk of coronary heart disease and stroke in women","volume":"168","author":[{"family":"Fung","given":"Teresa T."},{"family":"Chiuve","given":"Stephanie E."},{"family":"McCullough","given":"Marjorie L."},{"family":"Rexrode","given":"Kathryn M."},{"family":"Logroscino","given":"Giancarlo"},{"family":"Hu","given":"Frank B."}],"issued":{"date-parts":[["2008",4,14]]}}}],"schema":"https://github.com/citation-style-language/schema/raw/master/csl-citation.json"} </w:instrText>
      </w:r>
      <w:r w:rsidR="00442EE4" w:rsidRPr="006E67F8">
        <w:rPr>
          <w:i w:val="0"/>
          <w:iCs/>
          <w:u w:val="none"/>
        </w:rPr>
        <w:fldChar w:fldCharType="separate"/>
      </w:r>
      <w:r w:rsidR="003E28E4" w:rsidRPr="003E28E4">
        <w:rPr>
          <w:vertAlign w:val="superscript"/>
        </w:rPr>
        <w:t>39</w:t>
      </w:r>
      <w:r w:rsidR="00442EE4" w:rsidRPr="006E67F8">
        <w:rPr>
          <w:i w:val="0"/>
          <w:iCs/>
          <w:u w:val="none"/>
        </w:rPr>
        <w:fldChar w:fldCharType="end"/>
      </w:r>
      <w:r w:rsidR="00B014BE" w:rsidRPr="006E67F8">
        <w:rPr>
          <w:i w:val="0"/>
          <w:iCs/>
          <w:u w:val="none"/>
        </w:rPr>
        <w:t xml:space="preserve"> For</w:t>
      </w:r>
      <w:r w:rsidR="009F3056" w:rsidRPr="006E67F8">
        <w:rPr>
          <w:i w:val="0"/>
          <w:iCs/>
          <w:u w:val="none"/>
        </w:rPr>
        <w:t xml:space="preserve"> intake</w:t>
      </w:r>
      <w:r w:rsidR="00CD5C60" w:rsidRPr="006E67F8">
        <w:rPr>
          <w:i w:val="0"/>
          <w:iCs/>
          <w:u w:val="none"/>
        </w:rPr>
        <w:t>s</w:t>
      </w:r>
      <w:r w:rsidR="009F3056" w:rsidRPr="006E67F8">
        <w:rPr>
          <w:i w:val="0"/>
          <w:iCs/>
          <w:u w:val="none"/>
        </w:rPr>
        <w:t xml:space="preserve"> of total grains</w:t>
      </w:r>
      <w:r w:rsidR="00E87594" w:rsidRPr="006E67F8">
        <w:rPr>
          <w:i w:val="0"/>
          <w:iCs/>
          <w:u w:val="none"/>
        </w:rPr>
        <w:t>,</w:t>
      </w:r>
      <w:r w:rsidR="009F3056" w:rsidRPr="006E67F8">
        <w:rPr>
          <w:i w:val="0"/>
          <w:iCs/>
          <w:u w:val="none"/>
        </w:rPr>
        <w:t xml:space="preserve"> vegetables </w:t>
      </w:r>
      <w:r w:rsidR="00E87594" w:rsidRPr="006E67F8">
        <w:rPr>
          <w:i w:val="0"/>
          <w:iCs/>
          <w:u w:val="none"/>
        </w:rPr>
        <w:t>(excluding</w:t>
      </w:r>
      <w:r w:rsidR="009F3056" w:rsidRPr="006E67F8">
        <w:rPr>
          <w:i w:val="0"/>
          <w:iCs/>
          <w:u w:val="none"/>
        </w:rPr>
        <w:t xml:space="preserve"> potatoes and condiments</w:t>
      </w:r>
      <w:r w:rsidR="00E87594" w:rsidRPr="006E67F8">
        <w:rPr>
          <w:i w:val="0"/>
          <w:iCs/>
          <w:u w:val="none"/>
        </w:rPr>
        <w:t>),</w:t>
      </w:r>
      <w:r w:rsidR="009F3056" w:rsidRPr="006E67F8">
        <w:rPr>
          <w:i w:val="0"/>
          <w:iCs/>
          <w:u w:val="none"/>
        </w:rPr>
        <w:t xml:space="preserve"> fruits</w:t>
      </w:r>
      <w:r w:rsidR="00E87594" w:rsidRPr="006E67F8">
        <w:rPr>
          <w:i w:val="0"/>
          <w:iCs/>
          <w:u w:val="none"/>
        </w:rPr>
        <w:t>,</w:t>
      </w:r>
      <w:r w:rsidR="009F3056" w:rsidRPr="006E67F8">
        <w:rPr>
          <w:i w:val="0"/>
          <w:iCs/>
          <w:u w:val="none"/>
        </w:rPr>
        <w:t xml:space="preserve"> non-full-fat dairy products</w:t>
      </w:r>
      <w:r w:rsidR="00E87594" w:rsidRPr="006E67F8">
        <w:rPr>
          <w:i w:val="0"/>
          <w:iCs/>
          <w:u w:val="none"/>
        </w:rPr>
        <w:t>,</w:t>
      </w:r>
      <w:r w:rsidR="009F3056" w:rsidRPr="006E67F8">
        <w:rPr>
          <w:i w:val="0"/>
          <w:iCs/>
          <w:u w:val="none"/>
        </w:rPr>
        <w:t xml:space="preserve"> </w:t>
      </w:r>
      <w:r w:rsidR="00E87594" w:rsidRPr="006E67F8">
        <w:rPr>
          <w:i w:val="0"/>
          <w:iCs/>
          <w:u w:val="none"/>
        </w:rPr>
        <w:t xml:space="preserve">and </w:t>
      </w:r>
      <w:r w:rsidR="009F3056" w:rsidRPr="006E67F8">
        <w:rPr>
          <w:i w:val="0"/>
          <w:iCs/>
          <w:u w:val="none"/>
        </w:rPr>
        <w:t>nuts</w:t>
      </w:r>
      <w:r w:rsidR="00E87594" w:rsidRPr="006E67F8">
        <w:rPr>
          <w:i w:val="0"/>
          <w:iCs/>
          <w:u w:val="none"/>
        </w:rPr>
        <w:t>/</w:t>
      </w:r>
      <w:r w:rsidR="009F3056" w:rsidRPr="006E67F8">
        <w:rPr>
          <w:i w:val="0"/>
          <w:iCs/>
          <w:u w:val="none"/>
        </w:rPr>
        <w:t>seeds</w:t>
      </w:r>
      <w:r w:rsidR="00E87594" w:rsidRPr="006E67F8">
        <w:rPr>
          <w:i w:val="0"/>
          <w:iCs/>
          <w:u w:val="none"/>
        </w:rPr>
        <w:t>/</w:t>
      </w:r>
      <w:r w:rsidR="009F3056" w:rsidRPr="006E67F8">
        <w:rPr>
          <w:i w:val="0"/>
          <w:iCs/>
          <w:u w:val="none"/>
        </w:rPr>
        <w:t>legumes</w:t>
      </w:r>
      <w:r w:rsidR="00E87594" w:rsidRPr="006E67F8">
        <w:rPr>
          <w:i w:val="0"/>
          <w:iCs/>
          <w:u w:val="none"/>
        </w:rPr>
        <w:t>,</w:t>
      </w:r>
      <w:r w:rsidR="00B014BE" w:rsidRPr="006E67F8">
        <w:rPr>
          <w:i w:val="0"/>
          <w:iCs/>
          <w:u w:val="none"/>
        </w:rPr>
        <w:t xml:space="preserve"> women received a score from 1 (lowest quintile) to 5 (highest quintile). </w:t>
      </w:r>
      <w:r w:rsidR="00C85145" w:rsidRPr="006E67F8">
        <w:rPr>
          <w:i w:val="0"/>
          <w:iCs/>
          <w:u w:val="none"/>
        </w:rPr>
        <w:t>Inversely</w:t>
      </w:r>
      <w:r w:rsidR="00B014BE" w:rsidRPr="006E67F8">
        <w:rPr>
          <w:i w:val="0"/>
          <w:iCs/>
          <w:u w:val="none"/>
        </w:rPr>
        <w:t>, for</w:t>
      </w:r>
      <w:r w:rsidR="009F3056" w:rsidRPr="006E67F8">
        <w:rPr>
          <w:i w:val="0"/>
          <w:iCs/>
          <w:u w:val="none"/>
        </w:rPr>
        <w:t xml:space="preserve"> intake</w:t>
      </w:r>
      <w:r w:rsidR="00CD5C60" w:rsidRPr="006E67F8">
        <w:rPr>
          <w:i w:val="0"/>
          <w:iCs/>
          <w:u w:val="none"/>
        </w:rPr>
        <w:t>s</w:t>
      </w:r>
      <w:r w:rsidR="009F3056" w:rsidRPr="006E67F8">
        <w:rPr>
          <w:i w:val="0"/>
          <w:iCs/>
          <w:u w:val="none"/>
        </w:rPr>
        <w:t xml:space="preserve"> of red and processed meats</w:t>
      </w:r>
      <w:r w:rsidR="00E87594" w:rsidRPr="006E67F8">
        <w:rPr>
          <w:i w:val="0"/>
          <w:iCs/>
          <w:u w:val="none"/>
        </w:rPr>
        <w:t>,</w:t>
      </w:r>
      <w:r w:rsidR="009F3056" w:rsidRPr="006E67F8">
        <w:rPr>
          <w:i w:val="0"/>
          <w:iCs/>
          <w:u w:val="none"/>
        </w:rPr>
        <w:t xml:space="preserve"> sugar-sweetened beverages</w:t>
      </w:r>
      <w:r w:rsidR="00E87594" w:rsidRPr="006E67F8">
        <w:rPr>
          <w:i w:val="0"/>
          <w:iCs/>
          <w:u w:val="none"/>
        </w:rPr>
        <w:t>/</w:t>
      </w:r>
      <w:r w:rsidR="009F3056" w:rsidRPr="006E67F8">
        <w:rPr>
          <w:i w:val="0"/>
          <w:iCs/>
          <w:u w:val="none"/>
        </w:rPr>
        <w:t>sweets</w:t>
      </w:r>
      <w:r w:rsidR="00E87594" w:rsidRPr="006E67F8">
        <w:rPr>
          <w:i w:val="0"/>
          <w:iCs/>
          <w:u w:val="none"/>
        </w:rPr>
        <w:t>/</w:t>
      </w:r>
      <w:r w:rsidR="009F3056" w:rsidRPr="006E67F8">
        <w:rPr>
          <w:i w:val="0"/>
          <w:iCs/>
          <w:u w:val="none"/>
        </w:rPr>
        <w:t>added sugars</w:t>
      </w:r>
      <w:r w:rsidR="00E87594" w:rsidRPr="006E67F8">
        <w:rPr>
          <w:i w:val="0"/>
          <w:iCs/>
          <w:u w:val="none"/>
        </w:rPr>
        <w:t>, and</w:t>
      </w:r>
      <w:r w:rsidR="009F3056" w:rsidRPr="006E67F8">
        <w:rPr>
          <w:i w:val="0"/>
          <w:iCs/>
          <w:u w:val="none"/>
        </w:rPr>
        <w:t xml:space="preserve"> sodium</w:t>
      </w:r>
      <w:r w:rsidR="00B014BE" w:rsidRPr="006E67F8">
        <w:rPr>
          <w:i w:val="0"/>
          <w:iCs/>
          <w:u w:val="none"/>
        </w:rPr>
        <w:t>, women received a score from 5 (lowest quintile) to 1 (highest quintile)</w:t>
      </w:r>
      <w:r w:rsidR="009F3056" w:rsidRPr="006E67F8">
        <w:rPr>
          <w:i w:val="0"/>
          <w:iCs/>
          <w:u w:val="none"/>
        </w:rPr>
        <w:t>.</w:t>
      </w:r>
      <w:r w:rsidR="00B014BE" w:rsidRPr="006E67F8">
        <w:rPr>
          <w:i w:val="0"/>
          <w:iCs/>
          <w:u w:val="none"/>
        </w:rPr>
        <w:t xml:space="preserve"> Finally, component scores were summed up and an overall DASH </w:t>
      </w:r>
      <w:r w:rsidR="00376A6D" w:rsidRPr="006E67F8">
        <w:rPr>
          <w:i w:val="0"/>
          <w:iCs/>
          <w:u w:val="none"/>
        </w:rPr>
        <w:t xml:space="preserve">score </w:t>
      </w:r>
      <w:r w:rsidR="00B014BE" w:rsidRPr="006E67F8">
        <w:rPr>
          <w:i w:val="0"/>
          <w:iCs/>
          <w:u w:val="none"/>
        </w:rPr>
        <w:t>for each participant was calculated</w:t>
      </w:r>
      <w:r w:rsidR="00FA6A35" w:rsidRPr="006E67F8">
        <w:rPr>
          <w:i w:val="0"/>
          <w:iCs/>
          <w:u w:val="none"/>
        </w:rPr>
        <w:t>,</w:t>
      </w:r>
      <w:r w:rsidR="00B014BE" w:rsidRPr="006E67F8">
        <w:rPr>
          <w:i w:val="0"/>
          <w:iCs/>
          <w:u w:val="none"/>
        </w:rPr>
        <w:t xml:space="preserve"> ranking from 8 to 40 points with </w:t>
      </w:r>
      <w:r w:rsidR="00A25901" w:rsidRPr="006E67F8">
        <w:rPr>
          <w:i w:val="0"/>
          <w:iCs/>
          <w:u w:val="none"/>
        </w:rPr>
        <w:t xml:space="preserve">a </w:t>
      </w:r>
      <w:r w:rsidR="00B014BE" w:rsidRPr="006E67F8">
        <w:rPr>
          <w:i w:val="0"/>
          <w:iCs/>
          <w:u w:val="none"/>
        </w:rPr>
        <w:t xml:space="preserve">higher score </w:t>
      </w:r>
      <w:r w:rsidR="00A25901" w:rsidRPr="006E67F8">
        <w:rPr>
          <w:i w:val="0"/>
          <w:iCs/>
          <w:u w:val="none"/>
        </w:rPr>
        <w:t>characteriz</w:t>
      </w:r>
      <w:r w:rsidR="00FA6A35" w:rsidRPr="006E67F8">
        <w:rPr>
          <w:i w:val="0"/>
          <w:iCs/>
          <w:u w:val="none"/>
        </w:rPr>
        <w:t>ing</w:t>
      </w:r>
      <w:r w:rsidR="00A25901" w:rsidRPr="006E67F8">
        <w:rPr>
          <w:i w:val="0"/>
          <w:iCs/>
          <w:u w:val="none"/>
        </w:rPr>
        <w:t xml:space="preserve"> a higher dietary quality.</w:t>
      </w:r>
    </w:p>
    <w:p w14:paraId="1545F5CC" w14:textId="61BAB9A7" w:rsidR="00D91BB8" w:rsidRPr="006E67F8" w:rsidRDefault="005B5804" w:rsidP="006E67F8">
      <w:pPr>
        <w:pStyle w:val="Heading4"/>
        <w:spacing w:before="120"/>
        <w:rPr>
          <w:i w:val="0"/>
          <w:iCs/>
          <w:u w:val="none"/>
        </w:rPr>
      </w:pPr>
      <w:r w:rsidRPr="00E603A6">
        <w:rPr>
          <w:i w:val="0"/>
          <w:iCs/>
        </w:rPr>
        <w:lastRenderedPageBreak/>
        <w:t>Maternal dietary inflammatory potential</w:t>
      </w:r>
      <w:r w:rsidR="00465D72" w:rsidRPr="00E603A6">
        <w:rPr>
          <w:i w:val="0"/>
          <w:iCs/>
        </w:rPr>
        <w:t xml:space="preserve"> – energy-adjusted Dietary Inflammatory Index (E-DII)</w:t>
      </w:r>
      <w:r w:rsidR="006E67F8">
        <w:rPr>
          <w:i w:val="0"/>
          <w:iCs/>
        </w:rPr>
        <w:t>:</w:t>
      </w:r>
      <w:r w:rsidR="006E67F8" w:rsidRPr="002A7DFD">
        <w:rPr>
          <w:i w:val="0"/>
          <w:iCs/>
          <w:u w:val="none"/>
        </w:rPr>
        <w:t xml:space="preserve"> </w:t>
      </w:r>
      <w:r w:rsidR="00313129" w:rsidRPr="006E67F8">
        <w:rPr>
          <w:i w:val="0"/>
          <w:iCs/>
          <w:u w:val="none"/>
        </w:rPr>
        <w:t>A complete description of the</w:t>
      </w:r>
      <w:r w:rsidR="00C85145" w:rsidRPr="006E67F8">
        <w:rPr>
          <w:i w:val="0"/>
          <w:iCs/>
          <w:u w:val="none"/>
        </w:rPr>
        <w:t xml:space="preserve"> method used to build the</w:t>
      </w:r>
      <w:r w:rsidR="00313129" w:rsidRPr="006E67F8">
        <w:rPr>
          <w:i w:val="0"/>
          <w:iCs/>
          <w:u w:val="none"/>
        </w:rPr>
        <w:t xml:space="preserve"> </w:t>
      </w:r>
      <w:r w:rsidR="007B3EC8" w:rsidRPr="006E67F8">
        <w:rPr>
          <w:i w:val="0"/>
          <w:iCs/>
          <w:u w:val="none"/>
        </w:rPr>
        <w:t>E-</w:t>
      </w:r>
      <w:r w:rsidR="00313129" w:rsidRPr="006E67F8">
        <w:rPr>
          <w:i w:val="0"/>
          <w:iCs/>
          <w:u w:val="none"/>
        </w:rPr>
        <w:t>DII is available elsewhere</w:t>
      </w:r>
      <w:r w:rsidR="00AB7D0E" w:rsidRPr="006E67F8">
        <w:rPr>
          <w:i w:val="0"/>
          <w:iCs/>
          <w:u w:val="none"/>
        </w:rPr>
        <w:t>.</w:t>
      </w:r>
      <w:r w:rsidR="00442EE4" w:rsidRPr="0072540A">
        <w:rPr>
          <w:i w:val="0"/>
          <w:iCs/>
          <w:u w:val="none"/>
        </w:rPr>
        <w:fldChar w:fldCharType="begin"/>
      </w:r>
      <w:r w:rsidR="003E28E4">
        <w:rPr>
          <w:i w:val="0"/>
          <w:iCs/>
          <w:u w:val="none"/>
        </w:rPr>
        <w:instrText xml:space="preserve"> ADDIN ZOTERO_ITEM CSL_CITATION {"citationID":"DVi7gNzr","properties":{"formattedCitation":"\\super 15,40\\nosupersub{}","plainCitation":"15,40","noteIndex":0},"citationItems":[{"id":160,"uris":["http://zotero.org/users/4872814/items/TQDIBICL"],"itemData":{"id":160,"type":"article-journal","abstract":"OBJECTIVE: To design and develop a literature-derived, population-based dietary inflammatory index (DII) to compare diverse populations on the inflammatory potential of their diets.\nDESIGN: Peer-reviewed primary research articles published through December 2010 on the effect of diet on inflammation were screened for possible inclusion in the DII scoring algorithm. Qualifying articles were scored according to whether each dietary parameter increased (+1), decreased (-1) or had no (0) effect on six inflammatory biomarkers: IL-1β, IL-4, IL-6, IL-10, TNF-α and C-reactive protein.\nSETTING: The Dietary Inflammatory Index Development Study was conducted in the Cancer Prevention and Control Program of the University of South Carolina in Columbia, SC, USA from 2011 to 2012.\nRESULTS: A total of ≈6500 articles published through December 2010 on the effect of dietary parameters on the six inflammatory markers were screened for inclusion in the DII scoring algorithm. Eleven food consumption data sets from countries around the world were identified that allowed individuals' intakes to be expressed relative to the range of intakes of the forty-five food parameters observed across these diverse populations. Qualifying articles (n 1943) were read and scored based on the forty-five pro- and anti-inflammatory food parameters identified in the search. When fit to this composite global database, the DII score of the maximally pro-inflammatory diet was +7·98, the maximally anti-inflammatory DII score was -8·87 and the median was +0·23.\nCONCLUSIONS: The DII reflects both a robust literature base and standardization of individual intakes to global referent values. The success of this first-of-a-kind attempt at relating intakes of inflammation-modulating foods relative to global norms sets the stage for use of the DII in a wide variety of epidemiological and clinical studies.","container-title":"Public Health Nutrition","DOI":"10.1017/S1368980013002115","ISSN":"1475-2727","issue":"8","journalAbbreviation":"Public Health Nutr","language":"eng","note":"PMID: 23941862\nPMCID: PMC3925198","page":"1689-1696","source":"PubMed","title":"Designing and developing a literature-derived, population-based dietary inflammatory index","volume":"17","author":[{"family":"Shivappa","given":"Nitin"},{"family":"Steck","given":"Susan E."},{"family":"Hurley","given":"Thomas G."},{"family":"Hussey","given":"James R."},{"family":"Hébert","given":"James R."}],"issued":{"date-parts":[["2014",8]]}}},{"id":1394,"uris":["http://zotero.org/users/4872814/items/5C23U4H9"],"itemData":{"id":1394,"type":"article-journal","abstract":"The literature on the role of inflammation in health has grown exponentially over the past several decades. Paralleling this growth has been an equally intense focus on the role of diet in modulating inflammation, with a doubling in the size of the literature approximately every 4 y. The Dietary Inflammatory Index (DII) was developed to provide a quantitative means for assessing the role of diet in relation to health outcomes ranging from blood concentrations of inflammatory cytokines to chronic diseases. Based on literature from a variety of different study designs ranging from cell culture to observational and experimental studies in humans, the DII was designed to be universally applicable across all human studies with adequate dietary assessment. Over the past 4 y, the DII has been used in &gt;200 studies and forms the basis for 12 meta-analyses. In the process of conducting this work, lessons were learned with regard to methodologic issues related to total energy and nutrient intake and energy and nutrient densities. Accordingly, refinements to the original algorithm have been made. In this article we discuss these improvements and observations that we made with regard to misuse and misinterpretation of the DII and provide suggestions for future developments.","container-title":"Advances in Nutrition (Bethesda, Md.)","DOI":"10.1093/advances/nmy071","ISSN":"2156-5376","issue":"2","journalAbbreviation":"Adv Nutr","language":"eng","note":"PMID: 30615051\nPMCID: PMC6416047","page":"185-195","source":"PubMed","title":"Perspective: The Dietary Inflammatory Index (DII)-Lessons Learned, Improvements Made, and Future Directions","title-short":"Perspective","volume":"10","author":[{"family":"Hébert","given":"James R."},{"family":"Shivappa","given":"Nitin"},{"family":"Wirth","given":"Michael D."},{"family":"Hussey","given":"James R."},{"family":"Hurley","given":"Thomas G."}],"issued":{"date-parts":[["2019",3,1]]}}}],"schema":"https://github.com/citation-style-language/schema/raw/master/csl-citation.json"} </w:instrText>
      </w:r>
      <w:r w:rsidR="00442EE4" w:rsidRPr="0072540A">
        <w:rPr>
          <w:i w:val="0"/>
          <w:iCs/>
          <w:u w:val="none"/>
        </w:rPr>
        <w:fldChar w:fldCharType="separate"/>
      </w:r>
      <w:r w:rsidR="003E28E4" w:rsidRPr="003E28E4">
        <w:rPr>
          <w:vertAlign w:val="superscript"/>
        </w:rPr>
        <w:t>15,40</w:t>
      </w:r>
      <w:r w:rsidR="00442EE4" w:rsidRPr="0072540A">
        <w:rPr>
          <w:i w:val="0"/>
          <w:iCs/>
          <w:u w:val="none"/>
        </w:rPr>
        <w:fldChar w:fldCharType="end"/>
      </w:r>
      <w:r w:rsidR="00E249D2" w:rsidRPr="006E67F8">
        <w:rPr>
          <w:i w:val="0"/>
          <w:iCs/>
          <w:u w:val="none"/>
        </w:rPr>
        <w:t xml:space="preserve"> </w:t>
      </w:r>
      <w:r w:rsidR="00313129" w:rsidRPr="006E67F8">
        <w:rPr>
          <w:i w:val="0"/>
          <w:iCs/>
          <w:u w:val="none"/>
        </w:rPr>
        <w:t>Briefly, a total of 1</w:t>
      </w:r>
      <w:r w:rsidR="001E0817" w:rsidRPr="006E67F8">
        <w:rPr>
          <w:i w:val="0"/>
          <w:iCs/>
          <w:u w:val="none"/>
        </w:rPr>
        <w:t>,</w:t>
      </w:r>
      <w:r w:rsidR="00313129" w:rsidRPr="006E67F8">
        <w:rPr>
          <w:i w:val="0"/>
          <w:iCs/>
          <w:u w:val="none"/>
        </w:rPr>
        <w:t xml:space="preserve">943 articles were peer-reviewed and scored. Scoring for each food parameter was based on its inflammatory potential on six inflammatory biomarkers including C-reactive protein, IL-1β, IL-4, IL-6, IL-10, and tumor necrosis factor-alpha. The dietary information on each participant </w:t>
      </w:r>
      <w:r w:rsidR="009D49EF" w:rsidRPr="006E67F8">
        <w:rPr>
          <w:i w:val="0"/>
          <w:iCs/>
          <w:u w:val="none"/>
        </w:rPr>
        <w:t xml:space="preserve">was </w:t>
      </w:r>
      <w:r w:rsidR="00313129" w:rsidRPr="006E67F8">
        <w:rPr>
          <w:i w:val="0"/>
          <w:iCs/>
          <w:u w:val="none"/>
        </w:rPr>
        <w:t xml:space="preserve">first linked to food consumption data sets from 11 countries around the world to estimate the average and standard deviation for each of the 45 food parameters. Z scores were calculated by subtracting the global standard average from the amount reported and dividing by </w:t>
      </w:r>
      <w:r w:rsidR="00372635" w:rsidRPr="006E67F8">
        <w:rPr>
          <w:i w:val="0"/>
          <w:iCs/>
          <w:u w:val="none"/>
        </w:rPr>
        <w:t>the global</w:t>
      </w:r>
      <w:r w:rsidR="00313129" w:rsidRPr="006E67F8">
        <w:rPr>
          <w:i w:val="0"/>
          <w:iCs/>
          <w:u w:val="none"/>
        </w:rPr>
        <w:t xml:space="preserve"> standard deviation.</w:t>
      </w:r>
      <w:r w:rsidR="00372635" w:rsidRPr="006E67F8">
        <w:rPr>
          <w:i w:val="0"/>
          <w:iCs/>
          <w:u w:val="none"/>
        </w:rPr>
        <w:t xml:space="preserve"> To limit influence from highly skewed data each Z score was converted to proportions (i.e., with values ranging from 0 to 1). These proportions were then</w:t>
      </w:r>
      <w:r w:rsidR="00313129" w:rsidRPr="006E67F8">
        <w:rPr>
          <w:i w:val="0"/>
          <w:iCs/>
          <w:u w:val="none"/>
        </w:rPr>
        <w:t xml:space="preserve"> </w:t>
      </w:r>
      <w:r w:rsidR="00372635" w:rsidRPr="006E67F8">
        <w:rPr>
          <w:i w:val="0"/>
          <w:iCs/>
          <w:u w:val="none"/>
        </w:rPr>
        <w:t>“</w:t>
      </w:r>
      <w:r w:rsidR="00313129" w:rsidRPr="006E67F8">
        <w:rPr>
          <w:i w:val="0"/>
          <w:iCs/>
          <w:u w:val="none"/>
        </w:rPr>
        <w:t>centered</w:t>
      </w:r>
      <w:r w:rsidR="00372635" w:rsidRPr="006E67F8">
        <w:rPr>
          <w:i w:val="0"/>
          <w:iCs/>
          <w:u w:val="none"/>
        </w:rPr>
        <w:t>” on zero by multiplying each by 2 and subtracting</w:t>
      </w:r>
      <w:r w:rsidR="0028561E" w:rsidRPr="006E67F8">
        <w:rPr>
          <w:i w:val="0"/>
          <w:iCs/>
          <w:u w:val="none"/>
        </w:rPr>
        <w:t> </w:t>
      </w:r>
      <w:r w:rsidR="00372635" w:rsidRPr="006E67F8">
        <w:rPr>
          <w:i w:val="0"/>
          <w:iCs/>
          <w:u w:val="none"/>
        </w:rPr>
        <w:t>1.</w:t>
      </w:r>
      <w:r w:rsidR="00372635" w:rsidRPr="006E67F8">
        <w:rPr>
          <w:i w:val="0"/>
          <w:iCs/>
          <w:u w:val="none"/>
        </w:rPr>
        <w:fldChar w:fldCharType="begin"/>
      </w:r>
      <w:r w:rsidR="003E28E4">
        <w:rPr>
          <w:i w:val="0"/>
          <w:iCs/>
          <w:u w:val="none"/>
        </w:rPr>
        <w:instrText xml:space="preserve"> ADDIN ZOTERO_ITEM CSL_CITATION {"citationID":"7mstAyme","properties":{"formattedCitation":"\\super 40\\nosupersub{}","plainCitation":"40","noteIndex":0},"citationItems":[{"id":1394,"uris":["http://zotero.org/users/4872814/items/5C23U4H9"],"itemData":{"id":1394,"type":"article-journal","abstract":"The literature on the role of inflammation in health has grown exponentially over the past several decades. Paralleling this growth has been an equally intense focus on the role of diet in modulating inflammation, with a doubling in the size of the literature approximately every 4 y. The Dietary Inflammatory Index (DII) was developed to provide a quantitative means for assessing the role of diet in relation to health outcomes ranging from blood concentrations of inflammatory cytokines to chronic diseases. Based on literature from a variety of different study designs ranging from cell culture to observational and experimental studies in humans, the DII was designed to be universally applicable across all human studies with adequate dietary assessment. Over the past 4 y, the DII has been used in &gt;200 studies and forms the basis for 12 meta-analyses. In the process of conducting this work, lessons were learned with regard to methodologic issues related to total energy and nutrient intake and energy and nutrient densities. Accordingly, refinements to the original algorithm have been made. In this article we discuss these improvements and observations that we made with regard to misuse and misinterpretation of the DII and provide suggestions for future developments.","container-title":"Advances in Nutrition (Bethesda, Md.)","DOI":"10.1093/advances/nmy071","ISSN":"2156-5376","issue":"2","journalAbbreviation":"Adv Nutr","language":"eng","note":"PMID: 30615051\nPMCID: PMC6416047","page":"185-195","source":"PubMed","title":"Perspective: The Dietary Inflammatory Index (DII)-Lessons Learned, Improvements Made, and Future Directions","title-short":"Perspective","volume":"10","author":[{"family":"Hébert","given":"James R."},{"family":"Shivappa","given":"Nitin"},{"family":"Wirth","given":"Michael D."},{"family":"Hussey","given":"James R."},{"family":"Hurley","given":"Thomas G."}],"issued":{"date-parts":[["2019",3,1]]}}}],"schema":"https://github.com/citation-style-language/schema/raw/master/csl-citation.json"} </w:instrText>
      </w:r>
      <w:r w:rsidR="00372635" w:rsidRPr="006E67F8">
        <w:rPr>
          <w:i w:val="0"/>
          <w:iCs/>
          <w:u w:val="none"/>
        </w:rPr>
        <w:fldChar w:fldCharType="separate"/>
      </w:r>
      <w:r w:rsidR="003E28E4" w:rsidRPr="003E28E4">
        <w:rPr>
          <w:vertAlign w:val="superscript"/>
        </w:rPr>
        <w:t>40</w:t>
      </w:r>
      <w:r w:rsidR="00372635" w:rsidRPr="006E67F8">
        <w:rPr>
          <w:i w:val="0"/>
          <w:iCs/>
          <w:u w:val="none"/>
        </w:rPr>
        <w:fldChar w:fldCharType="end"/>
      </w:r>
      <w:r w:rsidR="00372635" w:rsidRPr="006E67F8">
        <w:rPr>
          <w:i w:val="0"/>
          <w:iCs/>
          <w:u w:val="none"/>
        </w:rPr>
        <w:t xml:space="preserve"> </w:t>
      </w:r>
      <w:r w:rsidR="00313129" w:rsidRPr="006E67F8">
        <w:rPr>
          <w:i w:val="0"/>
          <w:iCs/>
          <w:u w:val="none"/>
        </w:rPr>
        <w:t xml:space="preserve">Each obtained value was multiplied by the corresponding food parameter effect score. </w:t>
      </w:r>
      <w:proofErr w:type="gramStart"/>
      <w:r w:rsidR="00313129" w:rsidRPr="006E67F8">
        <w:rPr>
          <w:i w:val="0"/>
          <w:iCs/>
          <w:u w:val="none"/>
        </w:rPr>
        <w:t>All of</w:t>
      </w:r>
      <w:proofErr w:type="gramEnd"/>
      <w:r w:rsidR="00313129" w:rsidRPr="006E67F8">
        <w:rPr>
          <w:i w:val="0"/>
          <w:iCs/>
          <w:u w:val="none"/>
        </w:rPr>
        <w:t xml:space="preserve"> the food parameter-specific </w:t>
      </w:r>
      <w:r w:rsidR="007B3EC8" w:rsidRPr="006E67F8">
        <w:rPr>
          <w:i w:val="0"/>
          <w:iCs/>
          <w:u w:val="none"/>
        </w:rPr>
        <w:t>E-</w:t>
      </w:r>
      <w:r w:rsidR="00313129" w:rsidRPr="006E67F8">
        <w:rPr>
          <w:i w:val="0"/>
          <w:iCs/>
          <w:u w:val="none"/>
        </w:rPr>
        <w:t xml:space="preserve">DII scores were summed to obtain the overall </w:t>
      </w:r>
      <w:r w:rsidR="007B3EC8" w:rsidRPr="006E67F8">
        <w:rPr>
          <w:i w:val="0"/>
          <w:iCs/>
          <w:u w:val="none"/>
        </w:rPr>
        <w:t>E-</w:t>
      </w:r>
      <w:r w:rsidR="00313129" w:rsidRPr="006E67F8">
        <w:rPr>
          <w:i w:val="0"/>
          <w:iCs/>
          <w:u w:val="none"/>
        </w:rPr>
        <w:t>DII score.</w:t>
      </w:r>
      <w:r w:rsidR="00D16B79" w:rsidRPr="006E67F8">
        <w:rPr>
          <w:i w:val="0"/>
          <w:iCs/>
          <w:u w:val="none"/>
        </w:rPr>
        <w:t xml:space="preserve"> </w:t>
      </w:r>
      <w:r w:rsidR="003D1A8C" w:rsidRPr="006E67F8">
        <w:rPr>
          <w:i w:val="0"/>
          <w:iCs/>
          <w:u w:val="none"/>
        </w:rPr>
        <w:t>In ALPHABET, the E-DII score was generated from 2</w:t>
      </w:r>
      <w:r w:rsidR="000E152C" w:rsidRPr="006E67F8">
        <w:rPr>
          <w:i w:val="0"/>
          <w:iCs/>
          <w:u w:val="none"/>
        </w:rPr>
        <w:t>4</w:t>
      </w:r>
      <w:r w:rsidR="003D1A8C" w:rsidRPr="006E67F8">
        <w:rPr>
          <w:i w:val="0"/>
          <w:iCs/>
          <w:u w:val="none"/>
        </w:rPr>
        <w:t>-</w:t>
      </w:r>
      <w:r w:rsidR="000E152C" w:rsidRPr="006E67F8">
        <w:rPr>
          <w:i w:val="0"/>
          <w:iCs/>
          <w:u w:val="none"/>
        </w:rPr>
        <w:t>28 dietary parameters</w:t>
      </w:r>
      <w:r w:rsidR="003D1A8C" w:rsidRPr="006E67F8">
        <w:rPr>
          <w:i w:val="0"/>
          <w:iCs/>
          <w:u w:val="none"/>
        </w:rPr>
        <w:t xml:space="preserve"> (out of the 4</w:t>
      </w:r>
      <w:r w:rsidR="000E152C" w:rsidRPr="006E67F8">
        <w:rPr>
          <w:i w:val="0"/>
          <w:iCs/>
          <w:u w:val="none"/>
        </w:rPr>
        <w:t>4</w:t>
      </w:r>
      <w:r w:rsidR="003D1A8C" w:rsidRPr="006E67F8">
        <w:rPr>
          <w:i w:val="0"/>
          <w:iCs/>
          <w:u w:val="none"/>
        </w:rPr>
        <w:t xml:space="preserve"> possible</w:t>
      </w:r>
      <w:r w:rsidR="00533C81" w:rsidRPr="006E67F8">
        <w:rPr>
          <w:i w:val="0"/>
          <w:iCs/>
          <w:u w:val="none"/>
        </w:rPr>
        <w:t xml:space="preserve"> excluding energy </w:t>
      </w:r>
      <w:proofErr w:type="gramStart"/>
      <w:r w:rsidR="00533C81" w:rsidRPr="006E67F8">
        <w:rPr>
          <w:i w:val="0"/>
          <w:iCs/>
          <w:u w:val="none"/>
        </w:rPr>
        <w:t>intake</w:t>
      </w:r>
      <w:proofErr w:type="gramEnd"/>
      <w:r w:rsidR="000E152C" w:rsidRPr="006E67F8">
        <w:rPr>
          <w:i w:val="0"/>
          <w:iCs/>
          <w:u w:val="none"/>
        </w:rPr>
        <w:t>; as the E-DII has been intrinsically adjusted for energy intake</w:t>
      </w:r>
      <w:r w:rsidR="00533C81" w:rsidRPr="006E67F8">
        <w:rPr>
          <w:i w:val="0"/>
          <w:iCs/>
          <w:u w:val="none"/>
        </w:rPr>
        <w:t>, it is not considered as a distinct parameter</w:t>
      </w:r>
      <w:r w:rsidR="003D1A8C" w:rsidRPr="006E67F8">
        <w:rPr>
          <w:i w:val="0"/>
          <w:iCs/>
          <w:u w:val="none"/>
        </w:rPr>
        <w:t xml:space="preserve">) in all cohorts except for Generation R, which </w:t>
      </w:r>
      <w:r w:rsidR="00A54003" w:rsidRPr="006E67F8">
        <w:rPr>
          <w:i w:val="0"/>
          <w:iCs/>
          <w:u w:val="none"/>
        </w:rPr>
        <w:t xml:space="preserve">included </w:t>
      </w:r>
      <w:r w:rsidR="003D1A8C" w:rsidRPr="006E67F8">
        <w:rPr>
          <w:i w:val="0"/>
          <w:iCs/>
          <w:u w:val="none"/>
        </w:rPr>
        <w:t>20 dietary parameters</w:t>
      </w:r>
      <w:r w:rsidR="00A47750" w:rsidRPr="006E67F8">
        <w:rPr>
          <w:i w:val="0"/>
          <w:iCs/>
          <w:u w:val="none"/>
        </w:rPr>
        <w:t xml:space="preserve"> (</w:t>
      </w:r>
      <w:r w:rsidR="00A47750" w:rsidRPr="006E67F8">
        <w:rPr>
          <w:b/>
          <w:i w:val="0"/>
          <w:iCs/>
          <w:color w:val="0070C0"/>
          <w:u w:val="none"/>
        </w:rPr>
        <w:t>Supplemental table S1</w:t>
      </w:r>
      <w:r w:rsidR="00A47750" w:rsidRPr="006E67F8">
        <w:rPr>
          <w:i w:val="0"/>
          <w:iCs/>
          <w:u w:val="none"/>
        </w:rPr>
        <w:t>)</w:t>
      </w:r>
      <w:r w:rsidR="003D1A8C" w:rsidRPr="006E67F8">
        <w:rPr>
          <w:i w:val="0"/>
          <w:iCs/>
          <w:u w:val="none"/>
        </w:rPr>
        <w:t xml:space="preserve">. </w:t>
      </w:r>
      <w:r w:rsidR="00952B43" w:rsidRPr="006E67F8">
        <w:rPr>
          <w:i w:val="0"/>
          <w:iCs/>
          <w:u w:val="none"/>
        </w:rPr>
        <w:t>Positive scores indicated a more proinflammatory diet, whereas negative scores indicated a more anti-inflammatory diet.</w:t>
      </w:r>
    </w:p>
    <w:p w14:paraId="1D69162F" w14:textId="75EE5F64" w:rsidR="00D77159" w:rsidRPr="00E603A6" w:rsidRDefault="00DE1A89" w:rsidP="00E603A6">
      <w:pPr>
        <w:pStyle w:val="Heading3"/>
        <w:spacing w:before="120"/>
        <w:rPr>
          <w:b w:val="0"/>
          <w:bCs w:val="0"/>
        </w:rPr>
      </w:pPr>
      <w:bookmarkStart w:id="9" w:name="_Toc534640642"/>
      <w:r w:rsidRPr="00E603A6">
        <w:rPr>
          <w:b w:val="0"/>
          <w:bCs w:val="0"/>
        </w:rPr>
        <w:t xml:space="preserve">Maternal </w:t>
      </w:r>
      <w:bookmarkEnd w:id="9"/>
      <w:r w:rsidR="00FB586D" w:rsidRPr="00E603A6">
        <w:rPr>
          <w:b w:val="0"/>
          <w:bCs w:val="0"/>
        </w:rPr>
        <w:t>predictors</w:t>
      </w:r>
    </w:p>
    <w:p w14:paraId="6384D084" w14:textId="62A4F11C" w:rsidR="00126AC0" w:rsidRDefault="00C85145" w:rsidP="00E603A6">
      <w:pPr>
        <w:pStyle w:val="NoSpacing"/>
        <w:spacing w:line="480" w:lineRule="auto"/>
      </w:pPr>
      <w:r>
        <w:t>Information on m</w:t>
      </w:r>
      <w:r w:rsidR="00E85B19">
        <w:t xml:space="preserve">aternal </w:t>
      </w:r>
      <w:r>
        <w:t xml:space="preserve">sociodemographic, health and behavioural </w:t>
      </w:r>
      <w:r w:rsidR="00FB586D">
        <w:t>predictors</w:t>
      </w:r>
      <w:r w:rsidR="002433AF">
        <w:t xml:space="preserve"> w</w:t>
      </w:r>
      <w:r w:rsidR="001A130E">
        <w:t>as</w:t>
      </w:r>
      <w:r w:rsidR="002433AF">
        <w:t xml:space="preserve"> </w:t>
      </w:r>
      <w:r>
        <w:t xml:space="preserve">collected </w:t>
      </w:r>
      <w:r w:rsidR="002433AF">
        <w:t xml:space="preserve">by </w:t>
      </w:r>
      <w:r w:rsidR="00A07B47">
        <w:t>questionnaires</w:t>
      </w:r>
      <w:r w:rsidR="002433AF">
        <w:t xml:space="preserve"> (</w:t>
      </w:r>
      <w:r w:rsidR="00A07B47">
        <w:t>self- or interviewer</w:t>
      </w:r>
      <w:r w:rsidR="002433AF">
        <w:t xml:space="preserve">-administered) </w:t>
      </w:r>
      <w:r w:rsidR="00A07B47">
        <w:t xml:space="preserve">or abstracted from </w:t>
      </w:r>
      <w:r w:rsidR="00376A6D">
        <w:t xml:space="preserve">obstetrical and </w:t>
      </w:r>
      <w:r w:rsidR="00A07B47">
        <w:t>birth records</w:t>
      </w:r>
      <w:r w:rsidR="002433AF">
        <w:t xml:space="preserve"> during pregnancy </w:t>
      </w:r>
      <w:r w:rsidR="00376A6D">
        <w:t xml:space="preserve">and </w:t>
      </w:r>
      <w:r w:rsidR="002433AF">
        <w:t xml:space="preserve">after childbirth. Concerning </w:t>
      </w:r>
      <w:r w:rsidR="00924E64">
        <w:t xml:space="preserve">maternal </w:t>
      </w:r>
      <w:r w:rsidR="002433AF">
        <w:t xml:space="preserve">sociodemographic </w:t>
      </w:r>
      <w:r w:rsidR="00114D53">
        <w:t>predictors</w:t>
      </w:r>
      <w:r w:rsidR="002433AF">
        <w:t xml:space="preserve">, we </w:t>
      </w:r>
      <w:r>
        <w:t>considered</w:t>
      </w:r>
      <w:r w:rsidR="002433AF">
        <w:t xml:space="preserve"> </w:t>
      </w:r>
      <w:r w:rsidR="00174E0F">
        <w:t>age at childbirth</w:t>
      </w:r>
      <w:r w:rsidR="00FF32B4">
        <w:t xml:space="preserve"> (</w:t>
      </w:r>
      <w:r w:rsidR="003759A1">
        <w:t>continuous</w:t>
      </w:r>
      <w:r w:rsidR="00FF32B4">
        <w:t>)</w:t>
      </w:r>
      <w:r w:rsidR="002433AF">
        <w:t xml:space="preserve">, </w:t>
      </w:r>
      <w:r w:rsidR="00174E0F">
        <w:t>education</w:t>
      </w:r>
      <w:r w:rsidR="00117D17">
        <w:t>al</w:t>
      </w:r>
      <w:r w:rsidR="00174E0F">
        <w:t xml:space="preserve"> level</w:t>
      </w:r>
      <w:r w:rsidR="002433AF">
        <w:t xml:space="preserve"> (</w:t>
      </w:r>
      <w:r w:rsidR="001D4D05">
        <w:t xml:space="preserve">low: </w:t>
      </w:r>
      <w:r w:rsidR="00DD1E3B">
        <w:rPr>
          <w:rFonts w:ascii="Century Gothic" w:hAnsi="Century Gothic"/>
        </w:rPr>
        <w:t>≤</w:t>
      </w:r>
      <w:r w:rsidR="00DD1E3B">
        <w:t xml:space="preserve">lower secondary; </w:t>
      </w:r>
      <w:r w:rsidR="001D4D05">
        <w:t xml:space="preserve">medium: </w:t>
      </w:r>
      <w:r w:rsidR="00DD1E3B">
        <w:t>upper secondary</w:t>
      </w:r>
      <w:r w:rsidR="009F1119">
        <w:t xml:space="preserve"> or post-secondary non-tertiary</w:t>
      </w:r>
      <w:r w:rsidR="00DD1E3B">
        <w:t xml:space="preserve">; </w:t>
      </w:r>
      <w:r w:rsidR="001D4D05">
        <w:t xml:space="preserve">high: </w:t>
      </w:r>
      <w:r w:rsidR="00114655">
        <w:t>≥</w:t>
      </w:r>
      <w:r w:rsidR="001D4D05">
        <w:t>t</w:t>
      </w:r>
      <w:r w:rsidR="00DD1E3B">
        <w:t>ertiary</w:t>
      </w:r>
      <w:r w:rsidR="002433AF">
        <w:t>)</w:t>
      </w:r>
      <w:r w:rsidR="005D50DA">
        <w:t xml:space="preserve"> (adapted from </w:t>
      </w:r>
      <w:r w:rsidR="00AD0E27">
        <w:t>the International Standard Classification of Education</w:t>
      </w:r>
      <w:r w:rsidR="005D50DA">
        <w:t xml:space="preserve"> </w:t>
      </w:r>
      <w:r w:rsidR="00AD0E27">
        <w:t xml:space="preserve">– </w:t>
      </w:r>
      <w:r w:rsidR="005D50DA">
        <w:t>2011 levels</w:t>
      </w:r>
      <w:r w:rsidR="00CC5A51">
        <w:t>),</w:t>
      </w:r>
      <w:r w:rsidR="00442EE4">
        <w:fldChar w:fldCharType="begin"/>
      </w:r>
      <w:r w:rsidR="003E28E4">
        <w:instrText xml:space="preserve"> ADDIN ZOTERO_ITEM CSL_CITATION {"citationID":"ZqNrk436","properties":{"formattedCitation":"\\super 41\\nosupersub{}","plainCitation":"41","noteIndex":0},"citationItems":[{"id":1273,"uris":["http://zotero.org/users/4872814/items/UD7B3DB6"],"itemData":{"id":1273,"type":"book","event-place":"Montreal, Quebec","ISBN":"978-92-9189-123-8","language":"en","note":"OCLC: 879578739","publisher":"UNESCO Institute for Statistics","publisher-place":"Montreal, Quebec","source":"Open WorldCat","title":"International standard classification of education: ISCED 2011","title-short":"International standard classification of education","URL":"http://uis.unesco.org/sites/default/files/documents/international-standard-classification-of-education-isced-2011-en.pdf","author":[{"literal":"UNESCO Institute for Statistics"}],"issued":{"date-parts":[["2012"]]}}}],"schema":"https://github.com/citation-style-language/schema/raw/master/csl-citation.json"} </w:instrText>
      </w:r>
      <w:r w:rsidR="00442EE4">
        <w:fldChar w:fldCharType="separate"/>
      </w:r>
      <w:r w:rsidR="003E28E4" w:rsidRPr="003E28E4">
        <w:rPr>
          <w:vertAlign w:val="superscript"/>
        </w:rPr>
        <w:t>41</w:t>
      </w:r>
      <w:r w:rsidR="00442EE4">
        <w:fldChar w:fldCharType="end"/>
      </w:r>
      <w:r w:rsidR="003759A1">
        <w:t xml:space="preserve"> household income </w:t>
      </w:r>
      <w:r w:rsidR="003759A1">
        <w:lastRenderedPageBreak/>
        <w:t>(low; medium; high</w:t>
      </w:r>
      <w:r w:rsidR="00691B47">
        <w:t>, defined as cohort</w:t>
      </w:r>
      <w:r w:rsidR="00241646">
        <w:t>-</w:t>
      </w:r>
      <w:r w:rsidR="00691B47">
        <w:t xml:space="preserve">specific </w:t>
      </w:r>
      <w:proofErr w:type="spellStart"/>
      <w:r w:rsidR="007E3A6F">
        <w:t>tertile</w:t>
      </w:r>
      <w:r w:rsidR="003759A1">
        <w:t>s</w:t>
      </w:r>
      <w:proofErr w:type="spellEnd"/>
      <w:r w:rsidR="003759A1">
        <w:t>),</w:t>
      </w:r>
      <w:r w:rsidR="002433AF">
        <w:t xml:space="preserve"> </w:t>
      </w:r>
      <w:r w:rsidR="00174E0F">
        <w:t>parity</w:t>
      </w:r>
      <w:r w:rsidR="002433AF">
        <w:t xml:space="preserve"> (</w:t>
      </w:r>
      <w:r w:rsidR="00FF32B4">
        <w:t>primiparous</w:t>
      </w:r>
      <w:r w:rsidR="008B6144">
        <w:t xml:space="preserve">; </w:t>
      </w:r>
      <w:r w:rsidR="00FF32B4">
        <w:t>multiparous</w:t>
      </w:r>
      <w:r w:rsidR="002433AF">
        <w:t xml:space="preserve">) and </w:t>
      </w:r>
      <w:r w:rsidR="00FF32B4">
        <w:t xml:space="preserve">birthplace/maternal </w:t>
      </w:r>
      <w:r w:rsidR="00EA3CE2">
        <w:t>ethnicity</w:t>
      </w:r>
      <w:r w:rsidR="002D3F4C">
        <w:t xml:space="preserve"> (</w:t>
      </w:r>
      <w:r w:rsidR="00FF32B4">
        <w:t>European-born/W</w:t>
      </w:r>
      <w:r w:rsidR="002D3F4C">
        <w:t xml:space="preserve">hite; </w:t>
      </w:r>
      <w:r w:rsidR="00FF32B4">
        <w:t>non-European-born/</w:t>
      </w:r>
      <w:r w:rsidR="002D3F4C">
        <w:t>non-</w:t>
      </w:r>
      <w:r w:rsidR="00FF32B4">
        <w:t>W</w:t>
      </w:r>
      <w:r w:rsidR="002D3F4C">
        <w:t>hite)</w:t>
      </w:r>
      <w:r w:rsidR="002433AF">
        <w:t xml:space="preserve">. </w:t>
      </w:r>
      <w:r w:rsidR="0049293D">
        <w:t>We also investigated</w:t>
      </w:r>
      <w:r w:rsidR="002433AF">
        <w:t xml:space="preserve"> </w:t>
      </w:r>
      <w:bookmarkStart w:id="10" w:name="_Hlk93055538"/>
      <w:r w:rsidR="00924E64">
        <w:t xml:space="preserve">maternal </w:t>
      </w:r>
      <w:r w:rsidR="002433AF">
        <w:t xml:space="preserve">health </w:t>
      </w:r>
      <w:r w:rsidR="00A42224">
        <w:t xml:space="preserve">and behavioural </w:t>
      </w:r>
      <w:r w:rsidR="00114D53">
        <w:t>predictors</w:t>
      </w:r>
      <w:r w:rsidR="0049293D">
        <w:t xml:space="preserve"> </w:t>
      </w:r>
      <w:bookmarkEnd w:id="10"/>
      <w:r w:rsidR="00992AA7">
        <w:t>including</w:t>
      </w:r>
      <w:r w:rsidR="002433AF">
        <w:t xml:space="preserve"> </w:t>
      </w:r>
      <w:r w:rsidR="00673F27">
        <w:t xml:space="preserve">pre-pregnancy </w:t>
      </w:r>
      <w:r w:rsidR="00EC2C33">
        <w:t>B</w:t>
      </w:r>
      <w:r w:rsidR="009E028C">
        <w:t xml:space="preserve">ody </w:t>
      </w:r>
      <w:r w:rsidR="00EC2C33">
        <w:t>M</w:t>
      </w:r>
      <w:r w:rsidR="009E028C">
        <w:t xml:space="preserve">ass </w:t>
      </w:r>
      <w:r w:rsidR="00EC2C33">
        <w:t>I</w:t>
      </w:r>
      <w:r w:rsidR="009E028C">
        <w:t>ndex</w:t>
      </w:r>
      <w:r w:rsidR="00924E64" w:rsidRPr="00924E64">
        <w:t xml:space="preserve"> </w:t>
      </w:r>
      <w:r w:rsidR="00924E64">
        <w:t>(BMI</w:t>
      </w:r>
      <w:r w:rsidR="009E028C">
        <w:t>)</w:t>
      </w:r>
      <w:r w:rsidR="002433AF">
        <w:t xml:space="preserve"> (underweight</w:t>
      </w:r>
      <w:r w:rsidR="00D01F55">
        <w:t xml:space="preserve"> [&lt;</w:t>
      </w:r>
      <w:r w:rsidR="000D7828">
        <w:t>18.5 kg/m²</w:t>
      </w:r>
      <w:r w:rsidR="00D01F55">
        <w:t>]</w:t>
      </w:r>
      <w:r w:rsidR="000D7828">
        <w:t>;</w:t>
      </w:r>
      <w:r w:rsidR="002433AF">
        <w:t xml:space="preserve"> normal range [</w:t>
      </w:r>
      <w:r w:rsidR="000D7828">
        <w:t>18.5-</w:t>
      </w:r>
      <w:r w:rsidR="002931EC">
        <w:t>2</w:t>
      </w:r>
      <w:r w:rsidR="000D7828">
        <w:t>4</w:t>
      </w:r>
      <w:r w:rsidR="00924E64">
        <w:t>.</w:t>
      </w:r>
      <w:r w:rsidR="000D7828">
        <w:t>9</w:t>
      </w:r>
      <w:r w:rsidR="002433AF">
        <w:t> </w:t>
      </w:r>
      <w:r w:rsidR="002931EC">
        <w:t>kg/m²</w:t>
      </w:r>
      <w:r w:rsidR="002433AF">
        <w:t>]; overweight [2</w:t>
      </w:r>
      <w:r w:rsidR="0025494B">
        <w:t>5-29.9 </w:t>
      </w:r>
      <w:r w:rsidR="002931EC">
        <w:t>kg/m²</w:t>
      </w:r>
      <w:r w:rsidR="002433AF">
        <w:t>]</w:t>
      </w:r>
      <w:r w:rsidR="0025494B">
        <w:t>; obesity [</w:t>
      </w:r>
      <w:r w:rsidR="002931EC">
        <w:rPr>
          <w:rFonts w:ascii="Century Gothic" w:hAnsi="Century Gothic"/>
        </w:rPr>
        <w:t>≥</w:t>
      </w:r>
      <w:r w:rsidR="0025494B">
        <w:t>30 </w:t>
      </w:r>
      <w:r w:rsidR="002931EC">
        <w:t>kg/m²</w:t>
      </w:r>
      <w:r w:rsidR="0025494B">
        <w:t>]</w:t>
      </w:r>
      <w:r w:rsidR="00E9431A">
        <w:t>),</w:t>
      </w:r>
      <w:r w:rsidR="00442EE4">
        <w:fldChar w:fldCharType="begin"/>
      </w:r>
      <w:r w:rsidR="003E28E4">
        <w:instrText xml:space="preserve"> ADDIN ZOTERO_ITEM CSL_CITATION {"citationID":"4uBj7XZu","properties":{"formattedCitation":"\\super 42\\nosupersub{}","plainCitation":"42","noteIndex":0},"citationItems":[{"id":281,"uris":["http://zotero.org/users/4872814/items/2GZVU9SS"],"itemData":{"id":281,"type":"webpage","container-title":"World Health Organization","title":"Global Database on Body Mass Index","URL":"http://apps.who.int/bmi/index.jsp?introPage=intro_3.html","author":[{"literal":"WHO"}],"accessed":{"date-parts":[["2018",4,22]]},"issued":{"date-parts":[["2006"]]}}}],"schema":"https://github.com/citation-style-language/schema/raw/master/csl-citation.json"} </w:instrText>
      </w:r>
      <w:r w:rsidR="00442EE4">
        <w:fldChar w:fldCharType="separate"/>
      </w:r>
      <w:r w:rsidR="003E28E4" w:rsidRPr="003E28E4">
        <w:rPr>
          <w:vertAlign w:val="superscript"/>
        </w:rPr>
        <w:t>42</w:t>
      </w:r>
      <w:r w:rsidR="00442EE4">
        <w:fldChar w:fldCharType="end"/>
      </w:r>
      <w:r w:rsidR="0025494B">
        <w:t xml:space="preserve"> </w:t>
      </w:r>
      <w:r w:rsidR="00796D97">
        <w:t>smoking status</w:t>
      </w:r>
      <w:r w:rsidR="00A0425F">
        <w:t xml:space="preserve"> during pregnancy</w:t>
      </w:r>
      <w:r w:rsidR="0025494B">
        <w:t xml:space="preserve"> (</w:t>
      </w:r>
      <w:r w:rsidR="00A0425F">
        <w:t>non-</w:t>
      </w:r>
      <w:r w:rsidR="00286668">
        <w:t>smoker; smoker</w:t>
      </w:r>
      <w:r w:rsidR="004510BE">
        <w:t>)</w:t>
      </w:r>
      <w:r w:rsidR="0025494B">
        <w:t xml:space="preserve">, </w:t>
      </w:r>
      <w:r w:rsidR="00796D97">
        <w:t>alcohol consumption during pregnancy</w:t>
      </w:r>
      <w:r w:rsidR="0025494B">
        <w:t xml:space="preserve"> (</w:t>
      </w:r>
      <w:r w:rsidR="00FA3E83">
        <w:t>n</w:t>
      </w:r>
      <w:r w:rsidR="00286668">
        <w:t xml:space="preserve">o; </w:t>
      </w:r>
      <w:r w:rsidR="00FA3E83">
        <w:t>y</w:t>
      </w:r>
      <w:r w:rsidR="00286668">
        <w:t>es</w:t>
      </w:r>
      <w:r w:rsidR="0025494B">
        <w:t>)</w:t>
      </w:r>
      <w:r w:rsidR="00B758E7">
        <w:t>, and physical activity during pregnancy (low; medium; high</w:t>
      </w:r>
      <w:r w:rsidR="00691B47">
        <w:t>,</w:t>
      </w:r>
      <w:r w:rsidR="00A54003">
        <w:t xml:space="preserve"> defined as cohort</w:t>
      </w:r>
      <w:r w:rsidR="00241646">
        <w:t>-</w:t>
      </w:r>
      <w:r w:rsidR="00A54003">
        <w:t xml:space="preserve">specific </w:t>
      </w:r>
      <w:proofErr w:type="spellStart"/>
      <w:r w:rsidR="007E3A6F">
        <w:t>tertile</w:t>
      </w:r>
      <w:r w:rsidR="00A54003">
        <w:t>s</w:t>
      </w:r>
      <w:proofErr w:type="spellEnd"/>
      <w:r w:rsidR="00B758E7">
        <w:t>)</w:t>
      </w:r>
      <w:r w:rsidR="0044161C">
        <w:t>.</w:t>
      </w:r>
    </w:p>
    <w:p w14:paraId="32C0EC7B" w14:textId="77777777" w:rsidR="00E8464C" w:rsidRPr="00E603A6" w:rsidRDefault="009D49EF" w:rsidP="00E603A6">
      <w:pPr>
        <w:pStyle w:val="Heading3"/>
        <w:spacing w:before="120"/>
        <w:rPr>
          <w:b w:val="0"/>
          <w:bCs w:val="0"/>
        </w:rPr>
      </w:pPr>
      <w:r w:rsidRPr="00E603A6">
        <w:rPr>
          <w:b w:val="0"/>
          <w:bCs w:val="0"/>
        </w:rPr>
        <w:t>Statistical analyses</w:t>
      </w:r>
    </w:p>
    <w:p w14:paraId="2E3D0054" w14:textId="64815127" w:rsidR="00996950" w:rsidRDefault="009D49EF" w:rsidP="00E603A6">
      <w:pPr>
        <w:pStyle w:val="NoSpacing"/>
        <w:spacing w:line="480" w:lineRule="auto"/>
      </w:pPr>
      <w:r>
        <w:t xml:space="preserve">We </w:t>
      </w:r>
      <w:r w:rsidR="00DD372F">
        <w:t xml:space="preserve">present </w:t>
      </w:r>
      <w:r w:rsidR="00717915">
        <w:t xml:space="preserve">means </w:t>
      </w:r>
      <w:r>
        <w:t xml:space="preserve">and </w:t>
      </w:r>
      <w:r w:rsidR="00717915">
        <w:t>standard deviations</w:t>
      </w:r>
      <w:r w:rsidR="00B7335A">
        <w:t xml:space="preserve"> (SD)</w:t>
      </w:r>
      <w:r w:rsidR="00916B26">
        <w:t xml:space="preserve"> and proportions</w:t>
      </w:r>
      <w:r w:rsidR="00717915">
        <w:t xml:space="preserve"> </w:t>
      </w:r>
      <w:r w:rsidR="00916B26">
        <w:t>to de</w:t>
      </w:r>
      <w:r w:rsidR="00C51D45">
        <w:t>scribe the maternal factors for</w:t>
      </w:r>
      <w:r w:rsidR="00916B26">
        <w:t xml:space="preserve"> </w:t>
      </w:r>
      <w:r w:rsidR="00717915">
        <w:t xml:space="preserve">continuous variables </w:t>
      </w:r>
      <w:r w:rsidR="00916B26">
        <w:t xml:space="preserve">or </w:t>
      </w:r>
      <w:r w:rsidR="002B28DD">
        <w:t>categorical variables, respectively</w:t>
      </w:r>
      <w:r w:rsidR="00717915">
        <w:t xml:space="preserve">. </w:t>
      </w:r>
      <w:r>
        <w:t xml:space="preserve">We examined the </w:t>
      </w:r>
      <w:r w:rsidR="00EC7E95">
        <w:t xml:space="preserve">rank </w:t>
      </w:r>
      <w:r>
        <w:t xml:space="preserve">correlations between DASH and </w:t>
      </w:r>
      <w:r w:rsidR="0001466A">
        <w:t>E-</w:t>
      </w:r>
      <w:r>
        <w:t xml:space="preserve">DII scores </w:t>
      </w:r>
      <w:r w:rsidR="00C51D45">
        <w:t>using</w:t>
      </w:r>
      <w:r>
        <w:t xml:space="preserve"> </w:t>
      </w:r>
      <w:r w:rsidR="00717915">
        <w:t>Spearman</w:t>
      </w:r>
      <w:r w:rsidR="00C51D45">
        <w:t>’s</w:t>
      </w:r>
      <w:r w:rsidR="00717915">
        <w:t xml:space="preserve"> correlation</w:t>
      </w:r>
      <w:r w:rsidR="00BA34DD">
        <w:t xml:space="preserve"> coefficient</w:t>
      </w:r>
      <w:r w:rsidR="00267FD9">
        <w:t>s</w:t>
      </w:r>
      <w:r w:rsidR="00717915">
        <w:t>.</w:t>
      </w:r>
      <w:r w:rsidR="00996950">
        <w:t xml:space="preserve"> </w:t>
      </w:r>
    </w:p>
    <w:p w14:paraId="6DBA2281" w14:textId="6CC2B568" w:rsidR="00AE78C4" w:rsidRDefault="005C5656" w:rsidP="00E603A6">
      <w:pPr>
        <w:pStyle w:val="NoSpacing"/>
        <w:spacing w:line="480" w:lineRule="auto"/>
        <w:ind w:firstLine="708"/>
      </w:pPr>
      <w:r>
        <w:t>The associations between</w:t>
      </w:r>
      <w:r w:rsidR="002C5FEF">
        <w:t xml:space="preserve"> predictors and </w:t>
      </w:r>
      <w:r>
        <w:t>DASH</w:t>
      </w:r>
      <w:r w:rsidR="00DD372F">
        <w:t xml:space="preserve"> and </w:t>
      </w:r>
      <w:r>
        <w:t xml:space="preserve">E-DII scores </w:t>
      </w:r>
      <w:r w:rsidR="001E5A87">
        <w:t>were analysed by a two-sta</w:t>
      </w:r>
      <w:r w:rsidR="00466BA7">
        <w:t xml:space="preserve">ge individual participant data </w:t>
      </w:r>
      <w:r w:rsidR="001E5A87">
        <w:t>meta-analysis:</w:t>
      </w:r>
      <w:r>
        <w:t xml:space="preserve"> </w:t>
      </w:r>
      <w:r w:rsidR="001E5A87">
        <w:t xml:space="preserve">first, </w:t>
      </w:r>
      <w:r>
        <w:t>cohort-specific effect estimates were obtained by multi</w:t>
      </w:r>
      <w:r w:rsidR="00FF6E86">
        <w:t>ple</w:t>
      </w:r>
      <w:r>
        <w:t xml:space="preserve"> linear regression (mutually</w:t>
      </w:r>
      <w:r w:rsidR="005C28C7">
        <w:t xml:space="preserve"> </w:t>
      </w:r>
      <w:r>
        <w:t xml:space="preserve">controlling for all other </w:t>
      </w:r>
      <w:r w:rsidR="00C51D45">
        <w:t>predictors</w:t>
      </w:r>
      <w:r>
        <w:t>), then</w:t>
      </w:r>
      <w:r w:rsidR="001E5A87">
        <w:t>, t</w:t>
      </w:r>
      <w:r w:rsidR="009669E9" w:rsidRPr="00B61ECF">
        <w:t>he effect estimates were pooled using random-effects meta-analysis, which considers both within- and between-study variability.</w:t>
      </w:r>
      <w:r w:rsidR="004520A9">
        <w:fldChar w:fldCharType="begin"/>
      </w:r>
      <w:r w:rsidR="003E28E4">
        <w:instrText xml:space="preserve"> ADDIN ZOTERO_ITEM CSL_CITATION {"citationID":"GWfP6mwj","properties":{"formattedCitation":"\\super 24,43\\nosupersub{}","plainCitation":"24,43","noteIndex":0},"citationItems":[{"id":1627,"uris":["http://zotero.org/users/4872814/items/BMPPJDW8"],"itemData":{"id":1627,"type":"article-journal","container-title":"BMJ (Clinical research ed.)","DOI":"10.1136/bmj.c221","ISSN":"1756-1833","journalAbbreviation":"BMJ","language":"eng","note":"PMID: 20139215","page":"c221","source":"PubMed","title":"Meta-analysis of individual participant data: rationale, conduct, and reporting","title-short":"Meta-analysis of individual participant data","volume":"340","author":[{"family":"Riley","given":"Richard D."},{"family":"Lambert","given":"Paul C."},{"family":"Abo-Zaid","given":"Ghada"}],"issued":{"date-parts":[["2010",2,5]]}}},{"id":1626,"uris":["http://zotero.org/users/4872814/items/9XJ47ZLQ"],"itemData":{"id":1626,"type":"article-journal","abstract":"In this article, I describe a command, ipdmetan, that facilitates two-stage individual participant data meta-analysis of any measure of effect and its standard error by fitting a specified model to data from each study. The command can estimate random effects and heterogeneity statistics and include additional covariates and interactions. If individual participant data are available for certain studies and aggregate data for others, ipdmetan allows them to be combined in one analysis. This command can produce detailed and flexible forest plots, including ones outside the context of formal meta-analysis.","container-title":"The Stata Journal","DOI":"10.1177/1536867X1501500203","ISSN":"1536-867X","issue":"2","journalAbbreviation":"The Stata Journal","note":"publisher: SAGE Publications","page":"369-396","source":"SAGE Journals","title":"Two-stage Individual Participant Data Meta-analysis and Generalized Forest Plots","volume":"15","author":[{"family":"Fisher","given":"David J."}],"issued":{"date-parts":[["2015",6,1]]}}}],"schema":"https://github.com/citation-style-language/schema/raw/master/csl-citation.json"} </w:instrText>
      </w:r>
      <w:r w:rsidR="004520A9">
        <w:fldChar w:fldCharType="separate"/>
      </w:r>
      <w:r w:rsidR="003E28E4" w:rsidRPr="003E28E4">
        <w:rPr>
          <w:vertAlign w:val="superscript"/>
        </w:rPr>
        <w:t>24,43</w:t>
      </w:r>
      <w:r w:rsidR="004520A9">
        <w:fldChar w:fldCharType="end"/>
      </w:r>
      <w:r w:rsidR="006E3198">
        <w:t xml:space="preserve"> Because of different missing/available data patterns between </w:t>
      </w:r>
      <w:r w:rsidR="00AB3328">
        <w:t>predictor</w:t>
      </w:r>
      <w:r w:rsidR="006E3198">
        <w:t>s and cohorts (</w:t>
      </w:r>
      <w:r w:rsidR="006E3198" w:rsidRPr="005429BD">
        <w:rPr>
          <w:b/>
          <w:color w:val="0070C0"/>
        </w:rPr>
        <w:t>Supplemental table</w:t>
      </w:r>
      <w:r w:rsidR="006E3198">
        <w:rPr>
          <w:b/>
          <w:color w:val="0070C0"/>
        </w:rPr>
        <w:t> S</w:t>
      </w:r>
      <w:r w:rsidR="00D157CC">
        <w:rPr>
          <w:b/>
          <w:color w:val="0070C0"/>
        </w:rPr>
        <w:t>2</w:t>
      </w:r>
      <w:r w:rsidR="006E3198">
        <w:t>), we organized analyses of associations into t</w:t>
      </w:r>
      <w:r w:rsidR="002C5FEF">
        <w:t>wo</w:t>
      </w:r>
      <w:r w:rsidR="006E3198">
        <w:t xml:space="preserve"> </w:t>
      </w:r>
      <w:r w:rsidR="002C5FEF">
        <w:t>part</w:t>
      </w:r>
      <w:r w:rsidR="006E3198">
        <w:t xml:space="preserve">s: i) </w:t>
      </w:r>
      <w:r w:rsidR="0089733B">
        <w:t xml:space="preserve">a </w:t>
      </w:r>
      <w:r w:rsidR="006E3198">
        <w:t>main analys</w:t>
      </w:r>
      <w:r w:rsidR="0089733B">
        <w:t>is</w:t>
      </w:r>
      <w:r w:rsidR="006E3198">
        <w:t xml:space="preserve"> on the seven </w:t>
      </w:r>
      <w:r w:rsidR="00AB3328">
        <w:t>predictors</w:t>
      </w:r>
      <w:r w:rsidR="006E3198">
        <w:t xml:space="preserve"> available for all cohorts</w:t>
      </w:r>
      <w:r w:rsidR="005B0FBE">
        <w:t xml:space="preserve"> (age, educational level, parity, birthplace/maternal ethnicity, pre-pregnancy BMI, smoking status and alcohol consumption during pregnancy)</w:t>
      </w:r>
      <w:r w:rsidR="006E3198">
        <w:t xml:space="preserve"> (</w:t>
      </w:r>
      <w:r w:rsidR="006E3198">
        <w:rPr>
          <w:b/>
          <w:color w:val="0070C0"/>
        </w:rPr>
        <w:t>Figures</w:t>
      </w:r>
      <w:r w:rsidR="006E3198" w:rsidRPr="008F6915">
        <w:rPr>
          <w:b/>
          <w:color w:val="0070C0"/>
        </w:rPr>
        <w:t xml:space="preserve"> </w:t>
      </w:r>
      <w:r w:rsidR="00C60087">
        <w:rPr>
          <w:b/>
          <w:color w:val="0070C0"/>
        </w:rPr>
        <w:t>2</w:t>
      </w:r>
      <w:r w:rsidR="0039706A">
        <w:rPr>
          <w:b/>
          <w:color w:val="0070C0"/>
        </w:rPr>
        <w:t>A</w:t>
      </w:r>
      <w:r w:rsidR="00C60087">
        <w:rPr>
          <w:b/>
          <w:color w:val="0070C0"/>
        </w:rPr>
        <w:t>-</w:t>
      </w:r>
      <w:r w:rsidR="0039706A">
        <w:rPr>
          <w:b/>
          <w:color w:val="0070C0"/>
        </w:rPr>
        <w:t>2G</w:t>
      </w:r>
      <w:r w:rsidR="006E3198">
        <w:t xml:space="preserve">); ii) </w:t>
      </w:r>
      <w:r w:rsidR="002C5FEF">
        <w:t xml:space="preserve">a </w:t>
      </w:r>
      <w:r w:rsidR="006E3198">
        <w:t>secondary analys</w:t>
      </w:r>
      <w:r w:rsidR="002C5FEF">
        <w:t>is</w:t>
      </w:r>
      <w:r w:rsidR="006E3198">
        <w:t xml:space="preserve"> additionally </w:t>
      </w:r>
      <w:r w:rsidR="002C5FEF">
        <w:t xml:space="preserve">looking at household income and physical activity during pregnancy with adjustment </w:t>
      </w:r>
      <w:r w:rsidR="00527C93">
        <w:t xml:space="preserve">for </w:t>
      </w:r>
      <w:r w:rsidR="002C5FEF">
        <w:t xml:space="preserve">the seven </w:t>
      </w:r>
      <w:r w:rsidR="00AB3328">
        <w:t>predictors</w:t>
      </w:r>
      <w:r w:rsidR="002C5FEF">
        <w:t xml:space="preserve"> of the main analysis</w:t>
      </w:r>
      <w:r w:rsidR="006E3198">
        <w:t xml:space="preserve"> (</w:t>
      </w:r>
      <w:r w:rsidR="006E3198">
        <w:rPr>
          <w:b/>
          <w:color w:val="0070C0"/>
        </w:rPr>
        <w:t>Figures</w:t>
      </w:r>
      <w:r w:rsidR="006E3198" w:rsidRPr="008F6915">
        <w:rPr>
          <w:b/>
          <w:color w:val="0070C0"/>
        </w:rPr>
        <w:t xml:space="preserve"> </w:t>
      </w:r>
      <w:r w:rsidR="0039706A">
        <w:rPr>
          <w:b/>
          <w:color w:val="0070C0"/>
        </w:rPr>
        <w:t>3A</w:t>
      </w:r>
      <w:r w:rsidR="006E3198">
        <w:rPr>
          <w:b/>
          <w:color w:val="0070C0"/>
        </w:rPr>
        <w:t>-</w:t>
      </w:r>
      <w:r w:rsidR="0039706A">
        <w:rPr>
          <w:b/>
          <w:color w:val="0070C0"/>
        </w:rPr>
        <w:t>3B</w:t>
      </w:r>
      <w:r w:rsidR="006E3198">
        <w:t>)</w:t>
      </w:r>
      <w:r w:rsidR="002C5FEF">
        <w:t>. We additionally realized</w:t>
      </w:r>
      <w:r w:rsidR="006E3198">
        <w:t xml:space="preserve"> a </w:t>
      </w:r>
      <w:r w:rsidR="00DE7F80">
        <w:t>sensitivity</w:t>
      </w:r>
      <w:r w:rsidR="006E3198">
        <w:t xml:space="preserve"> analysis</w:t>
      </w:r>
      <w:r w:rsidR="0089733B">
        <w:t xml:space="preserve"> </w:t>
      </w:r>
      <w:r w:rsidR="00AB3328">
        <w:t>restricted to</w:t>
      </w:r>
      <w:r w:rsidR="0089733B">
        <w:t xml:space="preserve"> the three cohorts with the nine </w:t>
      </w:r>
      <w:r w:rsidR="00AB3328">
        <w:t>predictors</w:t>
      </w:r>
      <w:r w:rsidR="0089733B">
        <w:t xml:space="preserve"> available</w:t>
      </w:r>
      <w:r w:rsidR="00193716">
        <w:t xml:space="preserve"> throughout a model adjusted </w:t>
      </w:r>
      <w:r w:rsidR="006C324E">
        <w:t xml:space="preserve">for </w:t>
      </w:r>
      <w:r w:rsidR="00193716">
        <w:t>all the nine predictors</w:t>
      </w:r>
      <w:r w:rsidR="0089733B">
        <w:t xml:space="preserve"> (ALSPAC, EDEN, and Lifeways) (</w:t>
      </w:r>
      <w:r w:rsidR="0089733B" w:rsidRPr="005429BD">
        <w:rPr>
          <w:b/>
          <w:color w:val="0070C0"/>
        </w:rPr>
        <w:t>Supplemental table</w:t>
      </w:r>
      <w:r w:rsidR="0089733B">
        <w:rPr>
          <w:b/>
          <w:color w:val="0070C0"/>
        </w:rPr>
        <w:t> S</w:t>
      </w:r>
      <w:r w:rsidR="00D157CC">
        <w:rPr>
          <w:b/>
          <w:color w:val="0070C0"/>
        </w:rPr>
        <w:t>3</w:t>
      </w:r>
      <w:r w:rsidR="002D09D2">
        <w:rPr>
          <w:b/>
          <w:color w:val="0070C0"/>
        </w:rPr>
        <w:t>-</w:t>
      </w:r>
      <w:r w:rsidR="00D157CC">
        <w:rPr>
          <w:b/>
          <w:color w:val="0070C0"/>
        </w:rPr>
        <w:t>4</w:t>
      </w:r>
      <w:r w:rsidR="0089733B">
        <w:t>)</w:t>
      </w:r>
      <w:r w:rsidR="001B612A">
        <w:t xml:space="preserve">. Another sensitivity analysis was conducted with both adjustment </w:t>
      </w:r>
      <w:r w:rsidR="00527C93">
        <w:t xml:space="preserve">for </w:t>
      </w:r>
      <w:r w:rsidR="001B612A">
        <w:t xml:space="preserve">energy intake (kcal/day) </w:t>
      </w:r>
      <w:r w:rsidR="001B612A">
        <w:lastRenderedPageBreak/>
        <w:t xml:space="preserve">for models with DASH (to follow the same logic as for the E-DII intrinsically adjusted </w:t>
      </w:r>
      <w:r w:rsidR="006C324E">
        <w:t xml:space="preserve">for </w:t>
      </w:r>
      <w:r w:rsidR="001B612A">
        <w:t>energy intake) and the</w:t>
      </w:r>
      <w:r w:rsidR="000A0251">
        <w:t xml:space="preserve"> exclu</w:t>
      </w:r>
      <w:r w:rsidR="001B612A">
        <w:t>sion of</w:t>
      </w:r>
      <w:r w:rsidR="000A0251">
        <w:t xml:space="preserve"> participants</w:t>
      </w:r>
      <w:r w:rsidR="00F32E6D">
        <w:t xml:space="preserve"> with likely implausible energy intake (&lt;500 or &gt;3,500 kcal/day) </w:t>
      </w:r>
      <w:r w:rsidR="00F81CC8">
        <w:t>which could induce</w:t>
      </w:r>
      <w:r w:rsidR="00F32E6D">
        <w:t xml:space="preserve"> extreme misreporting</w:t>
      </w:r>
      <w:r w:rsidR="000A0251">
        <w:t xml:space="preserve"> (</w:t>
      </w:r>
      <w:r w:rsidR="000A0251" w:rsidRPr="00AB3328">
        <w:rPr>
          <w:b/>
          <w:color w:val="0070C0"/>
        </w:rPr>
        <w:t>Supplemental table S</w:t>
      </w:r>
      <w:r w:rsidR="00D157CC">
        <w:rPr>
          <w:b/>
          <w:color w:val="0070C0"/>
        </w:rPr>
        <w:t>5</w:t>
      </w:r>
      <w:r w:rsidR="00281B24">
        <w:rPr>
          <w:b/>
          <w:color w:val="0070C0"/>
        </w:rPr>
        <w:t>-6</w:t>
      </w:r>
      <w:r w:rsidR="000A0251">
        <w:t>)</w:t>
      </w:r>
      <w:r w:rsidR="0089733B">
        <w:t>.</w:t>
      </w:r>
      <w:r w:rsidR="00B821AA">
        <w:fldChar w:fldCharType="begin"/>
      </w:r>
      <w:r w:rsidR="00034C2C">
        <w:instrText xml:space="preserve"> ADDIN ZOTERO_ITEM CSL_CITATION {"citationID":"U7RG1a4S","properties":{"formattedCitation":"\\super 44,45\\nosupersub{}","plainCitation":"44,45","noteIndex":0},"citationItems":[{"id":1408,"uris":["http://zotero.org/users/4872814/items/GJ7DL97T"],"itemData":{"id":1408,"type":"article-journal","abstract":"BACKGROUND: Type 2 diabetes mellitus (T2DM) has reached epidemic proportions. Women with gestational diabetes mellitus (GDM) are at high risk for T2DM after pregnancy. Adherence to healthful dietary patterns has been inversely associated with T2DM in the general population; however, whether these dietary patterns are associated with progression to T2DM among a susceptible population is unknown.\nMETHODS: Four thousand four hundred thirteen participants from the Nurses' Health Study II cohort with prior GDM were followed up from 1991 to 2005. We derived the alternate Mediterranean diet (aMED), Dietary Approaches to Stop Hypertension (DASH), and alternate Healthy Eating Index (aHEI) dietary pattern adherence scores from a post-GDM validated food-frequency questionnaire, with cumulative average updating every 4 years. Multivariable Cox proportional hazards models estimated the relative risk (hazard ratios) and 95% confidence intervals.\nRESULTS: We observed 491 cases of incident T2DM during 52 743 person-years. All 3 patterns were inversely associated with T2DM risk with adjustment for age, total calorie intake, age at first birth, parity, ethnicity, parental diabetes, oral contraceptive use, menopause, and smoking. When we compared participants with the highest adherence (quartile 4) vs lowest (quartile 1), the aMED pattern was associated with 40% lower risk of T2DM (hazard ratio, 0.60 [95% CI, 0.44-0.82; P=.002]); the DASH pattern, with 46% lower risk (0.54 [0.39-0.73; P.001]); and the aHEI pattern, with 57% lower risk (0.43 [0.31-0.59; P.001]). Adjustment for body mass index moderately attenuated these findings.\nCONCLUSIONS: Adherence to healthful dietary patterns is associated with lower T2DM risk among women with a history of GDM. The inverse associations are partly mediated by body mass index.","container-title":"Archives of Internal Medicine","DOI":"10.1001/archinternmed.2012.3747","ISSN":"1538-3679","issue":"20","journalAbbreviation":"Arch Intern Med","language":"eng","note":"PMID: 22987062\nPMCID: PMC3774782","page":"1566-1572","source":"PubMed","title":"Healthful dietary patterns and type 2 diabetes mellitus risk among women with a history of gestational diabetes mellitus","volume":"172","author":[{"family":"Tobias","given":"Deirdre K."},{"family":"Hu","given":"Frank B."},{"family":"Chavarro","given":"Jorge"},{"family":"Rosner","given":"Bernard"},{"family":"Mozaffarian","given":"Dariush"},{"family":"Zhang","given":"Cuilin"}],"issued":{"date-parts":[["2012",11,12]]}}},{"id":1411,"uris":["http://zotero.org/users/4872814/items/ZRVWXNXJ"],"itemData":{"id":1411,"type":"article-journal","abstract":"Higher heme iron intake is associated with increased type 2 diabetes risk. However, no previous study has evaluated gestational diabetes mellitus (GDM) risk in relation to heme iron intake during pregnancy. We investigated associations of maternal preconceptional and early pregnancy heme and nonheme iron intake with subsequent GDM risk.We conducted a prospective cohort study of 3,158 pregnant women. A food frequency questionnaire was used to assess maternal diet. Multivariable generalized linear regression models were used to derive estimates of relative risks (RRs) and 95% CIs.Approximately 5.0% of the cohort developed GDM (n = 158). Heme iron intake was positively and significantly associated with GDM risk (Ptrend = 0.04). After adjusting for confounders, women reporting the highest heme iron intake levels (≥1.52 vs. &amp;lt;0.48 mg per day) experienced a 3.31-fold–increased GDM risk (95% CI 1.02–10.72). In fully adjusted models, we noted that a 1-mg per day increase in heme iron was associated with a 51% increased GDM risk (RR 1.51 [95% CI 0.99–2.36]). Nonheme iron was inversely, though not statistically significantly, associated with GDM risk, and the corresponding RRs were 1.00, 0.83, 0.62, and 0.61 across quartiles of nonheme iron intake (Ptrend = 0.08).High levels of dietary heme iron intake during the preconceptional and early pregnancy period may be associated with increased GDM risk. Associations of GDM risk with dietary nonheme iron intake are less clear. Confirmation of these findings by future studies is warranted.","container-title":"Diabetes Care","DOI":"10.2337/dc11-0135","ISSN":"0149-5992","issue":"7","journalAbbreviation":"Diabetes Care","page":"1564-1569","source":"Silverchair","title":"Gestational Diabetes Mellitus in Relation to Maternal Dietary Heme Iron and Nonheme Iron Intake","volume":"34","author":[{"family":"Qiu","given":"Chunfang"},{"family":"Zhang","given":"Cuilin"},{"family":"Gelaye","given":"Bizu"},{"family":"Enquobahrie","given":"Daniel A."},{"family":"Frederick","given":"Ihunnaya O."},{"family":"Williams","given":"Michelle A."}],"issued":{"date-parts":[["2011",6,17]]}}}],"schema":"https://github.com/citation-style-language/schema/raw/master/csl-citation.json"} </w:instrText>
      </w:r>
      <w:r w:rsidR="00B821AA">
        <w:fldChar w:fldCharType="separate"/>
      </w:r>
      <w:r w:rsidR="004520A9" w:rsidRPr="004520A9">
        <w:rPr>
          <w:vertAlign w:val="superscript"/>
        </w:rPr>
        <w:t>44,45</w:t>
      </w:r>
      <w:r w:rsidR="00B821AA">
        <w:fldChar w:fldCharType="end"/>
      </w:r>
      <w:r w:rsidR="00FF13D6">
        <w:t xml:space="preserve"> S</w:t>
      </w:r>
      <w:r w:rsidR="009669E9" w:rsidRPr="00B61ECF">
        <w:t xml:space="preserve">tatistical heterogeneity among included studies was assessed using the Cochran Q test and </w:t>
      </w:r>
      <w:r w:rsidR="009669E9" w:rsidRPr="00B61ECF">
        <w:rPr>
          <w:i/>
          <w:iCs/>
        </w:rPr>
        <w:t>I</w:t>
      </w:r>
      <w:r w:rsidR="009669E9" w:rsidRPr="00B61ECF">
        <w:rPr>
          <w:vertAlign w:val="superscript"/>
        </w:rPr>
        <w:t>2</w:t>
      </w:r>
      <w:r w:rsidR="009669E9" w:rsidRPr="00B61ECF">
        <w:t>-statistic</w:t>
      </w:r>
      <w:r w:rsidR="005E73C4">
        <w:t>.</w:t>
      </w:r>
      <w:r w:rsidR="00442EE4">
        <w:fldChar w:fldCharType="begin"/>
      </w:r>
      <w:r w:rsidR="00034C2C">
        <w:instrText xml:space="preserve"> ADDIN ZOTERO_ITEM CSL_CITATION {"citationID":"GP83dCRI","properties":{"formattedCitation":"\\super 46,47\\nosupersub{}","plainCitation":"46,47","noteIndex":0},"citationItems":[{"id":1377,"uris":["http://zotero.org/users/4872814/items/3FPJZCBL"],"itemData":{"id":1377,"type":"article-journal","container-title":"BMJ (Clinical research ed.)","DOI":"10.1136/bmj.327.7414.557","ISSN":"1756-1833","issue":"7414","journalAbbreviation":"BMJ","language":"eng","note":"PMID: 12958120\nPMCID: PMC192859","page":"557-560","source":"PubMed","title":"Measuring inconsistency in meta-analyses","volume":"327","author":[{"family":"Higgins","given":"Julian P. T."},{"family":"Thompson","given":"Simon G."},{"family":"Deeks","given":"Jonathan J."},{"family":"Altman","given":"Douglas G."}],"issued":{"date-parts":[["2003",9,6]]}}},{"id":1376,"uris":["http://zotero.org/users/4872814/items/SSSF3GJZ"],"itemData":{"id":1376,"type":"article-journal","abstract":"The extent of heterogeneity in a meta-analysis partly determines the difficulty in drawing overall conclusions. This extent may be measured by estimating a between-study variance, but interpretation is then specific to a particular treatment effect metric. A test for the existence of heterogeneity exists, but depends on the number of studies in the meta-analysis. We develop measures of the impact of heterogeneity on a meta-analysis, from mathematical criteria, that are independent of the number of studies and the treatment effect metric. We derive and propose three suitable statistics: H is the square root of the chi2 heterogeneity statistic divided by its degrees of freedom; R is the ratio of the standard error of the underlying mean from a random effects meta-analysis to the standard error of a fixed effect meta-analytic estimate, and I2 is a transformation of (H) that describes the proportion of total variation in study estimates that is due to heterogeneity. We discuss interpretation, interval estimates and other properties of these measures and examine them in five example data sets showing different amounts of heterogeneity. We conclude that H and I2, which can usually be calculated for published meta-analyses, are particularly useful summaries of the impact of heterogeneity. One or both should be presented in published meta-analyses in preference to the test for heterogeneity.","container-title":"Statistics in Medicine","DOI":"10.1002/sim.1186","ISSN":"0277-6715","issue":"11","journalAbbreviation":"Stat Med","language":"eng","note":"PMID: 12111919","page":"1539-1558","source":"PubMed","title":"Quantifying heterogeneity in a meta-analysis","volume":"21","author":[{"family":"Higgins","given":"Julian P. T."},{"family":"Thompson","given":"Simon G."}],"issued":{"date-parts":[["2002",6,15]]}}}],"schema":"https://github.com/citation-style-language/schema/raw/master/csl-citation.json"} </w:instrText>
      </w:r>
      <w:r w:rsidR="00442EE4">
        <w:fldChar w:fldCharType="separate"/>
      </w:r>
      <w:r w:rsidR="004520A9" w:rsidRPr="004520A9">
        <w:rPr>
          <w:vertAlign w:val="superscript"/>
        </w:rPr>
        <w:t>46,47</w:t>
      </w:r>
      <w:r w:rsidR="00442EE4">
        <w:fldChar w:fldCharType="end"/>
      </w:r>
      <w:r w:rsidR="001E5A87">
        <w:t xml:space="preserve"> </w:t>
      </w:r>
      <w:r w:rsidR="0006625C">
        <w:t>D</w:t>
      </w:r>
      <w:r w:rsidR="001C615B">
        <w:t>ata are presented alongside study weight (%), I</w:t>
      </w:r>
      <w:r w:rsidR="001C615B" w:rsidRPr="00E176D0">
        <w:rPr>
          <w:vertAlign w:val="superscript"/>
        </w:rPr>
        <w:t>2</w:t>
      </w:r>
      <w:r w:rsidR="001C615B">
        <w:t xml:space="preserve"> statistics, and expressed as</w:t>
      </w:r>
      <w:r w:rsidR="00E176D0">
        <w:t xml:space="preserve"> </w:t>
      </w:r>
      <w:r w:rsidR="00D84442">
        <w:t>standardized regression</w:t>
      </w:r>
      <w:r w:rsidR="00E176D0">
        <w:t xml:space="preserve"> coefficient (β) changes</w:t>
      </w:r>
      <w:r w:rsidR="008F0643">
        <w:t xml:space="preserve"> in DASH</w:t>
      </w:r>
      <w:r w:rsidR="00DD372F">
        <w:t xml:space="preserve"> and</w:t>
      </w:r>
      <w:r w:rsidR="00EF72F8">
        <w:t xml:space="preserve"> </w:t>
      </w:r>
      <w:r w:rsidR="008F0643">
        <w:t>E-DII scores</w:t>
      </w:r>
      <w:r w:rsidR="00E176D0">
        <w:t xml:space="preserve"> and their 95% confidence intervals (CI)</w:t>
      </w:r>
      <w:r w:rsidR="001C615B">
        <w:t xml:space="preserve">. </w:t>
      </w:r>
      <w:r w:rsidR="00A54003" w:rsidRPr="006F34F6">
        <w:t xml:space="preserve">All analyses </w:t>
      </w:r>
      <w:r w:rsidR="00A54003">
        <w:t>were carried out using the statistical software Stata version 15.</w:t>
      </w:r>
      <w:r w:rsidR="004E20CD">
        <w:t>1</w:t>
      </w:r>
      <w:r w:rsidR="00A54003">
        <w:t xml:space="preserve"> (</w:t>
      </w:r>
      <w:proofErr w:type="spellStart"/>
      <w:r w:rsidR="00A54003">
        <w:t>StataCorp</w:t>
      </w:r>
      <w:proofErr w:type="spellEnd"/>
      <w:r w:rsidR="00A54003">
        <w:t>, College Station, TX, USA)</w:t>
      </w:r>
      <w:r w:rsidR="00C93BE1">
        <w:t>.</w:t>
      </w:r>
    </w:p>
    <w:p w14:paraId="2C275431" w14:textId="77777777" w:rsidR="00CD3656" w:rsidRPr="00E603A6" w:rsidRDefault="00E341A6" w:rsidP="00E603A6">
      <w:pPr>
        <w:pStyle w:val="Heading2"/>
        <w:spacing w:before="240" w:after="0" w:line="480" w:lineRule="auto"/>
      </w:pPr>
      <w:bookmarkStart w:id="11" w:name="_Toc534640644"/>
      <w:r w:rsidRPr="00E603A6">
        <w:t>R</w:t>
      </w:r>
      <w:r w:rsidR="00F208E2" w:rsidRPr="00E603A6">
        <w:t>esult</w:t>
      </w:r>
      <w:r w:rsidR="00930735" w:rsidRPr="00E603A6">
        <w:t>s</w:t>
      </w:r>
      <w:bookmarkEnd w:id="11"/>
    </w:p>
    <w:p w14:paraId="7BD5A0E2" w14:textId="5144408A" w:rsidR="00195DA5" w:rsidRDefault="00FF57EB" w:rsidP="00E603A6">
      <w:pPr>
        <w:pStyle w:val="NoSpacing"/>
        <w:spacing w:line="480" w:lineRule="auto"/>
      </w:pPr>
      <w:r>
        <w:t>C</w:t>
      </w:r>
      <w:r w:rsidR="00195DA5">
        <w:t xml:space="preserve">haracteristics </w:t>
      </w:r>
      <w:r>
        <w:t xml:space="preserve">of the 26,410 participants </w:t>
      </w:r>
      <w:r w:rsidR="00195DA5">
        <w:t xml:space="preserve">are </w:t>
      </w:r>
      <w:r>
        <w:t>summari</w:t>
      </w:r>
      <w:r w:rsidR="00FB174B">
        <w:t>s</w:t>
      </w:r>
      <w:r>
        <w:t xml:space="preserve">ed </w:t>
      </w:r>
      <w:r w:rsidR="00195DA5">
        <w:t xml:space="preserve">in </w:t>
      </w:r>
      <w:r w:rsidR="00195DA5" w:rsidRPr="008F6915">
        <w:rPr>
          <w:b/>
          <w:color w:val="0070C0"/>
        </w:rPr>
        <w:t xml:space="preserve">Table </w:t>
      </w:r>
      <w:r w:rsidR="001E0817">
        <w:rPr>
          <w:b/>
          <w:color w:val="0070C0"/>
        </w:rPr>
        <w:t>2</w:t>
      </w:r>
      <w:r w:rsidR="00195DA5">
        <w:t xml:space="preserve">. </w:t>
      </w:r>
      <w:r w:rsidR="00DD372F">
        <w:t xml:space="preserve">The </w:t>
      </w:r>
      <w:r w:rsidR="00B95AC9">
        <w:t>mean (SD)</w:t>
      </w:r>
      <w:r w:rsidR="00EF6355">
        <w:t xml:space="preserve"> </w:t>
      </w:r>
      <w:r w:rsidR="00B7335A">
        <w:t xml:space="preserve">maternal </w:t>
      </w:r>
      <w:r w:rsidR="00EF6355">
        <w:t>age at delivery ranged from 28.</w:t>
      </w:r>
      <w:r w:rsidR="00025D15">
        <w:t>3</w:t>
      </w:r>
      <w:r w:rsidR="00EF6355">
        <w:t xml:space="preserve"> (4.</w:t>
      </w:r>
      <w:r w:rsidR="00025D15">
        <w:t>9</w:t>
      </w:r>
      <w:r w:rsidR="00EF6355">
        <w:t>) (ALSPAC) to 32.</w:t>
      </w:r>
      <w:r w:rsidR="00025D15">
        <w:t>2</w:t>
      </w:r>
      <w:r w:rsidR="00EF6355">
        <w:t xml:space="preserve"> (4.</w:t>
      </w:r>
      <w:r w:rsidR="00025D15">
        <w:t>1</w:t>
      </w:r>
      <w:r w:rsidR="00EF6355">
        <w:t xml:space="preserve">) (ROLO) years. </w:t>
      </w:r>
      <w:r w:rsidR="00DD372F">
        <w:t>Differences in e</w:t>
      </w:r>
      <w:r w:rsidR="00EF6355" w:rsidRPr="00674E6A">
        <w:t xml:space="preserve">ducation levels </w:t>
      </w:r>
      <w:r w:rsidR="00DD372F">
        <w:t xml:space="preserve">were observed: from </w:t>
      </w:r>
      <w:r w:rsidR="00EF6355" w:rsidRPr="00674E6A">
        <w:t>2</w:t>
      </w:r>
      <w:r w:rsidR="00025D15">
        <w:t>6</w:t>
      </w:r>
      <w:r w:rsidR="00EF6355" w:rsidRPr="00674E6A">
        <w:t>.</w:t>
      </w:r>
      <w:r w:rsidR="004E20CD">
        <w:t>2</w:t>
      </w:r>
      <w:r w:rsidR="00EF6355" w:rsidRPr="00674E6A">
        <w:t xml:space="preserve">% </w:t>
      </w:r>
      <w:r w:rsidR="00025D15">
        <w:t>(Generation</w:t>
      </w:r>
      <w:r w:rsidR="009E0936">
        <w:t> </w:t>
      </w:r>
      <w:r w:rsidR="00025D15">
        <w:t>R</w:t>
      </w:r>
      <w:r w:rsidR="00EF6355" w:rsidRPr="00674E6A">
        <w:t xml:space="preserve">) to 78.1% (ROLO) </w:t>
      </w:r>
      <w:r w:rsidR="00674E6A" w:rsidRPr="00674E6A">
        <w:t xml:space="preserve">of women </w:t>
      </w:r>
      <w:r w:rsidR="00DD372F">
        <w:t xml:space="preserve">had </w:t>
      </w:r>
      <w:r w:rsidR="00674E6A" w:rsidRPr="00674E6A">
        <w:t>tertiary education.</w:t>
      </w:r>
      <w:r w:rsidR="00940532">
        <w:t xml:space="preserve"> </w:t>
      </w:r>
      <w:proofErr w:type="gramStart"/>
      <w:r w:rsidR="004C4CA3">
        <w:t>With the exception of</w:t>
      </w:r>
      <w:proofErr w:type="gramEnd"/>
      <w:r w:rsidR="004C4CA3">
        <w:t xml:space="preserve"> </w:t>
      </w:r>
      <w:r w:rsidR="00940532">
        <w:t xml:space="preserve">ROLO where second gravida was </w:t>
      </w:r>
      <w:r w:rsidR="00B9645A">
        <w:t>an inclusion</w:t>
      </w:r>
      <w:r w:rsidR="00940532">
        <w:t xml:space="preserve"> criteri</w:t>
      </w:r>
      <w:r w:rsidR="008D3310">
        <w:t>on</w:t>
      </w:r>
      <w:r w:rsidR="004C4CA3">
        <w:t>, 44.6% (EDEN) to 58.9% (REPRO_PL) were nulliparous. In</w:t>
      </w:r>
      <w:r w:rsidR="00951149">
        <w:t xml:space="preserve"> Generation</w:t>
      </w:r>
      <w:r w:rsidR="009E0936">
        <w:t> </w:t>
      </w:r>
      <w:r w:rsidR="00951149">
        <w:t>R</w:t>
      </w:r>
      <w:r w:rsidR="00080555">
        <w:t>,</w:t>
      </w:r>
      <w:r w:rsidR="00951149">
        <w:t xml:space="preserve"> 34.3% of women </w:t>
      </w:r>
      <w:r w:rsidR="004C4CA3">
        <w:t xml:space="preserve">were </w:t>
      </w:r>
      <w:r w:rsidR="00951149">
        <w:t>non-European-born/non-white</w:t>
      </w:r>
      <w:r w:rsidR="008A35AE">
        <w:t>. M</w:t>
      </w:r>
      <w:r w:rsidR="00940532">
        <w:t xml:space="preserve">ost </w:t>
      </w:r>
      <w:r w:rsidR="00401A78">
        <w:t xml:space="preserve">women </w:t>
      </w:r>
      <w:r w:rsidR="004C4CA3">
        <w:t xml:space="preserve">in the other cohorts </w:t>
      </w:r>
      <w:r w:rsidR="00940532">
        <w:t xml:space="preserve">were </w:t>
      </w:r>
      <w:proofErr w:type="gramStart"/>
      <w:r w:rsidR="001F151B">
        <w:t>European-born</w:t>
      </w:r>
      <w:proofErr w:type="gramEnd"/>
      <w:r w:rsidR="001F151B">
        <w:t>/</w:t>
      </w:r>
      <w:r w:rsidR="00940532">
        <w:t>white:</w:t>
      </w:r>
      <w:r w:rsidR="008A35AE">
        <w:t xml:space="preserve"> i.e.,</w:t>
      </w:r>
      <w:r w:rsidR="00940532">
        <w:t xml:space="preserve"> from 95.1% (ALSPAC) to 97.8% (ROLO) (100% for L</w:t>
      </w:r>
      <w:r w:rsidR="00FA4096">
        <w:t>ifeways</w:t>
      </w:r>
      <w:r w:rsidR="00940532">
        <w:t xml:space="preserve"> and REPRO</w:t>
      </w:r>
      <w:r w:rsidR="00FA4096">
        <w:t>_</w:t>
      </w:r>
      <w:r w:rsidR="00940532">
        <w:t>PL where it was an inclusion criteri</w:t>
      </w:r>
      <w:r w:rsidR="008D3310">
        <w:t>on</w:t>
      </w:r>
      <w:r w:rsidR="00940532">
        <w:t>).</w:t>
      </w:r>
      <w:r w:rsidR="00C75047">
        <w:t xml:space="preserve"> </w:t>
      </w:r>
      <w:r w:rsidR="00B2679B">
        <w:t>H</w:t>
      </w:r>
      <w:r w:rsidR="005969CB">
        <w:t>ousehold income</w:t>
      </w:r>
      <w:r w:rsidR="009E3B60">
        <w:t xml:space="preserve"> </w:t>
      </w:r>
      <w:r w:rsidR="00CC5C63">
        <w:t xml:space="preserve">was not available </w:t>
      </w:r>
      <w:r w:rsidR="005969CB">
        <w:t xml:space="preserve">in </w:t>
      </w:r>
      <w:r w:rsidR="00DD161A">
        <w:t>three</w:t>
      </w:r>
      <w:r w:rsidR="005969CB">
        <w:t xml:space="preserve"> cohorts</w:t>
      </w:r>
      <w:r w:rsidR="009B12BF">
        <w:t xml:space="preserve">, namely </w:t>
      </w:r>
      <w:r w:rsidR="003D262F">
        <w:t>REPRO_PL, ROLO</w:t>
      </w:r>
      <w:r w:rsidR="009B12BF">
        <w:t xml:space="preserve"> and </w:t>
      </w:r>
      <w:r w:rsidR="003D262F">
        <w:t>SWS</w:t>
      </w:r>
      <w:r w:rsidR="005969CB">
        <w:t xml:space="preserve">. </w:t>
      </w:r>
      <w:r w:rsidR="00080555">
        <w:t>T</w:t>
      </w:r>
      <w:r w:rsidR="004C4CA3">
        <w:t xml:space="preserve">he prevalence of </w:t>
      </w:r>
      <w:r w:rsidR="003E2662">
        <w:t>w</w:t>
      </w:r>
      <w:r w:rsidR="00C75047">
        <w:t xml:space="preserve">omen </w:t>
      </w:r>
      <w:r w:rsidR="003E2662">
        <w:t>with</w:t>
      </w:r>
      <w:r w:rsidR="00C75047">
        <w:t xml:space="preserve"> pre-pregnancy BMI in </w:t>
      </w:r>
      <w:r w:rsidR="004C4CA3">
        <w:t xml:space="preserve">the </w:t>
      </w:r>
      <w:r w:rsidR="00C75047">
        <w:t xml:space="preserve">normal range </w:t>
      </w:r>
      <w:r w:rsidR="003E2662">
        <w:t xml:space="preserve">varied from </w:t>
      </w:r>
      <w:r w:rsidR="00C75047">
        <w:t>4</w:t>
      </w:r>
      <w:r w:rsidR="00412C35">
        <w:t>3.4</w:t>
      </w:r>
      <w:r w:rsidR="00C75047">
        <w:t>% (ROLO) to 72.6% (REPRO</w:t>
      </w:r>
      <w:r w:rsidR="00FA4096">
        <w:t>_</w:t>
      </w:r>
      <w:r w:rsidR="00C75047">
        <w:t>PL)</w:t>
      </w:r>
      <w:r w:rsidR="004C4CA3">
        <w:t xml:space="preserve">; </w:t>
      </w:r>
      <w:r w:rsidR="009E3B60">
        <w:t xml:space="preserve">3.6% (ROLO) to </w:t>
      </w:r>
      <w:r w:rsidR="002B3EB4">
        <w:t xml:space="preserve">26.9% </w:t>
      </w:r>
      <w:r w:rsidR="006D25E5">
        <w:t>(EDEN) of women were smoker</w:t>
      </w:r>
      <w:r w:rsidR="004C4CA3">
        <w:t>s</w:t>
      </w:r>
      <w:r w:rsidR="002B3EB4">
        <w:t>,</w:t>
      </w:r>
      <w:r w:rsidR="00BB79CF">
        <w:t xml:space="preserve"> and </w:t>
      </w:r>
      <w:r w:rsidR="002B3EB4">
        <w:t>6.4</w:t>
      </w:r>
      <w:r w:rsidR="00BB79CF">
        <w:t>% (R</w:t>
      </w:r>
      <w:r w:rsidR="002B3EB4">
        <w:t>EPRO_PL</w:t>
      </w:r>
      <w:r w:rsidR="00BB79CF">
        <w:t xml:space="preserve">) to </w:t>
      </w:r>
      <w:r w:rsidR="002B3EB4">
        <w:t>68.9</w:t>
      </w:r>
      <w:r w:rsidR="00BB79CF">
        <w:t>% (R</w:t>
      </w:r>
      <w:r w:rsidR="002B3EB4">
        <w:t>OLO</w:t>
      </w:r>
      <w:r w:rsidR="00BB79CF">
        <w:t xml:space="preserve">) </w:t>
      </w:r>
      <w:r w:rsidR="00A42ED8">
        <w:t>consume</w:t>
      </w:r>
      <w:r w:rsidR="002B3EB4">
        <w:t>d</w:t>
      </w:r>
      <w:r w:rsidR="00A42ED8">
        <w:t xml:space="preserve"> alcohol during pregnancy.</w:t>
      </w:r>
      <w:r w:rsidR="002B3EB4">
        <w:t xml:space="preserve"> </w:t>
      </w:r>
      <w:r w:rsidR="004C4CA3">
        <w:t>Data on p</w:t>
      </w:r>
      <w:r w:rsidR="002B3EB4">
        <w:t>hysical activity during pregnancy w</w:t>
      </w:r>
      <w:r w:rsidR="000B6184">
        <w:t>ere</w:t>
      </w:r>
      <w:r w:rsidR="002B3EB4">
        <w:t xml:space="preserve"> available for all cohorts except </w:t>
      </w:r>
      <w:r w:rsidR="00DD0C8F">
        <w:t>Generation</w:t>
      </w:r>
      <w:r w:rsidR="00002F9E">
        <w:t> </w:t>
      </w:r>
      <w:r w:rsidR="00DD0C8F">
        <w:t>R</w:t>
      </w:r>
      <w:r w:rsidR="002B3EB4">
        <w:t>.</w:t>
      </w:r>
    </w:p>
    <w:p w14:paraId="4D89EA13" w14:textId="77777777" w:rsidR="00BB79CF" w:rsidRPr="00674E6A" w:rsidRDefault="00BB79CF" w:rsidP="00E603A6">
      <w:pPr>
        <w:pStyle w:val="NoSpacing"/>
        <w:spacing w:line="480" w:lineRule="auto"/>
      </w:pPr>
    </w:p>
    <w:p w14:paraId="3EE5AB00" w14:textId="77777777" w:rsidR="00DA5B0D" w:rsidRPr="00E603A6" w:rsidRDefault="00637FF1" w:rsidP="00E603A6">
      <w:pPr>
        <w:pStyle w:val="Heading3"/>
        <w:spacing w:before="120"/>
        <w:rPr>
          <w:b w:val="0"/>
          <w:bCs w:val="0"/>
        </w:rPr>
      </w:pPr>
      <w:bookmarkStart w:id="12" w:name="_Toc534640645"/>
      <w:r w:rsidRPr="00E603A6">
        <w:rPr>
          <w:b w:val="0"/>
          <w:bCs w:val="0"/>
        </w:rPr>
        <w:lastRenderedPageBreak/>
        <w:t xml:space="preserve">DASH </w:t>
      </w:r>
      <w:r w:rsidR="00A42ED8" w:rsidRPr="00E603A6">
        <w:rPr>
          <w:b w:val="0"/>
          <w:bCs w:val="0"/>
        </w:rPr>
        <w:t>&amp;</w:t>
      </w:r>
      <w:r w:rsidR="00923BF1" w:rsidRPr="00E603A6">
        <w:rPr>
          <w:b w:val="0"/>
          <w:bCs w:val="0"/>
        </w:rPr>
        <w:t xml:space="preserve"> </w:t>
      </w:r>
      <w:r w:rsidR="00A42ED8" w:rsidRPr="00E603A6">
        <w:rPr>
          <w:b w:val="0"/>
          <w:bCs w:val="0"/>
        </w:rPr>
        <w:t>E-</w:t>
      </w:r>
      <w:r w:rsidR="00923BF1" w:rsidRPr="00E603A6">
        <w:rPr>
          <w:b w:val="0"/>
          <w:bCs w:val="0"/>
        </w:rPr>
        <w:t xml:space="preserve">DII </w:t>
      </w:r>
      <w:r w:rsidRPr="00E603A6">
        <w:rPr>
          <w:b w:val="0"/>
          <w:bCs w:val="0"/>
        </w:rPr>
        <w:t>scores</w:t>
      </w:r>
      <w:bookmarkEnd w:id="12"/>
    </w:p>
    <w:p w14:paraId="0BDDFF83" w14:textId="4B3A29F1" w:rsidR="008F6915" w:rsidRPr="0015793E" w:rsidRDefault="00A42ED8" w:rsidP="00E603A6">
      <w:pPr>
        <w:pStyle w:val="NoSpacing"/>
        <w:spacing w:line="480" w:lineRule="auto"/>
      </w:pPr>
      <w:r>
        <w:t xml:space="preserve">Mean (SD) of DASH scores </w:t>
      </w:r>
      <w:r w:rsidR="005D0469">
        <w:t>ranged from</w:t>
      </w:r>
      <w:r>
        <w:t xml:space="preserve"> 23.7 (4.6) to 24.1 (4.4) depending on </w:t>
      </w:r>
      <w:r w:rsidR="004735CE">
        <w:t xml:space="preserve">cohorts and </w:t>
      </w:r>
      <w:r>
        <w:t>period</w:t>
      </w:r>
      <w:r w:rsidR="004735CE">
        <w:t>s</w:t>
      </w:r>
      <w:r w:rsidR="000B6184">
        <w:t>, as expected by construction</w:t>
      </w:r>
      <w:r>
        <w:t xml:space="preserve">. ALPHABET’s </w:t>
      </w:r>
      <w:r w:rsidR="008A35AE">
        <w:t xml:space="preserve">average </w:t>
      </w:r>
      <w:r>
        <w:t xml:space="preserve">E-DII scores </w:t>
      </w:r>
      <w:r w:rsidR="00AD0DAB">
        <w:t xml:space="preserve">were 0.2 (1.7) and 0.3 (1.7) for </w:t>
      </w:r>
      <w:r w:rsidR="0088009A">
        <w:t xml:space="preserve">the </w:t>
      </w:r>
      <w:r w:rsidR="00AD0DAB">
        <w:t>pre-pregnancy and pregnancy period</w:t>
      </w:r>
      <w:r w:rsidR="0088009A">
        <w:t>s</w:t>
      </w:r>
      <w:r w:rsidR="00AD0DAB">
        <w:t>, respectively; some differences between cohorts and periods</w:t>
      </w:r>
      <w:r w:rsidR="004735CE">
        <w:t xml:space="preserve"> were observed, however, with a range </w:t>
      </w:r>
      <w:r w:rsidR="00AD0DAB">
        <w:t>from -1.1 (1.5) (REPRO_PL</w:t>
      </w:r>
      <w:r w:rsidR="0088009A">
        <w:t>, pregnancy</w:t>
      </w:r>
      <w:r w:rsidR="00AD0DAB">
        <w:t>) to 0.9 (1.7) (EDEN</w:t>
      </w:r>
      <w:r w:rsidR="00BA5BF5">
        <w:t>, pregnancy</w:t>
      </w:r>
      <w:r w:rsidR="00AD0DAB">
        <w:t>) (</w:t>
      </w:r>
      <w:r w:rsidR="00AD0DAB" w:rsidRPr="008F6915">
        <w:rPr>
          <w:b/>
          <w:color w:val="0070C0"/>
        </w:rPr>
        <w:t xml:space="preserve">Table </w:t>
      </w:r>
      <w:r w:rsidR="00AD0DAB">
        <w:rPr>
          <w:b/>
          <w:color w:val="0070C0"/>
        </w:rPr>
        <w:t>2</w:t>
      </w:r>
      <w:r w:rsidR="00AD0DAB">
        <w:t xml:space="preserve">). </w:t>
      </w:r>
      <w:r w:rsidR="003D3FF0">
        <w:t>Spearman correlation</w:t>
      </w:r>
      <w:r w:rsidR="00BA34DD">
        <w:t>s</w:t>
      </w:r>
      <w:r w:rsidR="003D3FF0">
        <w:t xml:space="preserve"> between DASH and </w:t>
      </w:r>
      <w:r w:rsidR="00FA4096">
        <w:t>E-</w:t>
      </w:r>
      <w:r w:rsidR="003D3FF0">
        <w:t>DII scores (</w:t>
      </w:r>
      <w:r w:rsidR="008F6915" w:rsidRPr="003D3FF0">
        <w:rPr>
          <w:b/>
          <w:color w:val="0070C0"/>
        </w:rPr>
        <w:t>Figure 1</w:t>
      </w:r>
      <w:r w:rsidR="003D3FF0">
        <w:t>) were</w:t>
      </w:r>
      <w:r w:rsidR="000B6184">
        <w:t xml:space="preserve"> negative and</w:t>
      </w:r>
      <w:r w:rsidR="003D3FF0">
        <w:t xml:space="preserve"> </w:t>
      </w:r>
      <w:r w:rsidR="00E35EB4">
        <w:t xml:space="preserve">mostly </w:t>
      </w:r>
      <w:r w:rsidR="003D3FF0">
        <w:t>moderat</w:t>
      </w:r>
      <w:r w:rsidR="00E35EB4">
        <w:t xml:space="preserve">e, with small variations </w:t>
      </w:r>
      <w:r w:rsidR="00935337">
        <w:t>depending on cohort</w:t>
      </w:r>
      <w:r w:rsidR="004735CE">
        <w:t>s</w:t>
      </w:r>
      <w:r w:rsidR="00935337">
        <w:t xml:space="preserve"> and period</w:t>
      </w:r>
      <w:r w:rsidR="004735CE">
        <w:t xml:space="preserve">s; it ranged </w:t>
      </w:r>
      <w:r w:rsidR="003D3FF0">
        <w:t>from</w:t>
      </w:r>
      <w:r w:rsidR="00666C6F">
        <w:t xml:space="preserve"> -0.63 (95% CI: -0.66, -0.59) and -0.63 (-0.65, -0.60) for Lifeways and SWS, respectively, to</w:t>
      </w:r>
      <w:r w:rsidR="003D3FF0">
        <w:t xml:space="preserve"> -0.48 </w:t>
      </w:r>
      <w:r w:rsidR="000E168E">
        <w:t>(</w:t>
      </w:r>
      <w:r w:rsidR="003D3FF0">
        <w:t>-0.4</w:t>
      </w:r>
      <w:r w:rsidR="00DD628E">
        <w:t>9</w:t>
      </w:r>
      <w:r w:rsidR="00280448">
        <w:t>,</w:t>
      </w:r>
      <w:r w:rsidR="003D3FF0">
        <w:t xml:space="preserve"> -0.4</w:t>
      </w:r>
      <w:r w:rsidR="00DD628E">
        <w:t>7</w:t>
      </w:r>
      <w:r w:rsidR="000E168E">
        <w:t>)</w:t>
      </w:r>
      <w:r w:rsidR="003D3FF0">
        <w:t xml:space="preserve"> </w:t>
      </w:r>
      <w:r w:rsidR="009163D0">
        <w:t>for ALSPAC</w:t>
      </w:r>
      <w:r w:rsidR="00D81550">
        <w:t>.</w:t>
      </w:r>
    </w:p>
    <w:p w14:paraId="5E9FF644" w14:textId="77777777" w:rsidR="00687225" w:rsidRPr="0015793E" w:rsidRDefault="00687225" w:rsidP="00E603A6">
      <w:pPr>
        <w:pStyle w:val="NoSpacing"/>
        <w:spacing w:line="480" w:lineRule="auto"/>
      </w:pPr>
    </w:p>
    <w:p w14:paraId="39B778F4" w14:textId="4588D885" w:rsidR="00923BF1" w:rsidRPr="00E603A6" w:rsidRDefault="003E729E" w:rsidP="00E603A6">
      <w:pPr>
        <w:pStyle w:val="Heading3"/>
        <w:spacing w:before="120"/>
        <w:rPr>
          <w:b w:val="0"/>
          <w:bCs w:val="0"/>
        </w:rPr>
      </w:pPr>
      <w:bookmarkStart w:id="13" w:name="_Toc534640646"/>
      <w:r w:rsidRPr="00E603A6">
        <w:rPr>
          <w:b w:val="0"/>
          <w:bCs w:val="0"/>
        </w:rPr>
        <w:t xml:space="preserve">Maternal </w:t>
      </w:r>
      <w:r w:rsidR="00BF43B5" w:rsidRPr="00E603A6">
        <w:rPr>
          <w:b w:val="0"/>
          <w:bCs w:val="0"/>
        </w:rPr>
        <w:t>predictors</w:t>
      </w:r>
      <w:r w:rsidR="00923BF1" w:rsidRPr="00E603A6">
        <w:rPr>
          <w:b w:val="0"/>
          <w:bCs w:val="0"/>
        </w:rPr>
        <w:t xml:space="preserve"> associated</w:t>
      </w:r>
      <w:bookmarkEnd w:id="13"/>
      <w:r w:rsidR="00B139F3" w:rsidRPr="00E603A6">
        <w:rPr>
          <w:b w:val="0"/>
          <w:bCs w:val="0"/>
        </w:rPr>
        <w:t xml:space="preserve"> with DASH and </w:t>
      </w:r>
      <w:r w:rsidR="00E14774" w:rsidRPr="00E603A6">
        <w:rPr>
          <w:b w:val="0"/>
          <w:bCs w:val="0"/>
        </w:rPr>
        <w:t>E-</w:t>
      </w:r>
      <w:r w:rsidR="00B139F3" w:rsidRPr="00E603A6">
        <w:rPr>
          <w:b w:val="0"/>
          <w:bCs w:val="0"/>
        </w:rPr>
        <w:t>DII scores</w:t>
      </w:r>
    </w:p>
    <w:p w14:paraId="12FD1433" w14:textId="048C0378" w:rsidR="007C0D12" w:rsidRDefault="00BD73CB" w:rsidP="00E603A6">
      <w:pPr>
        <w:pStyle w:val="NoSpacing"/>
        <w:spacing w:line="480" w:lineRule="auto"/>
      </w:pPr>
      <w:r>
        <w:t>Regard</w:t>
      </w:r>
      <w:r w:rsidR="00BF43B5">
        <w:t xml:space="preserve">ing maternal sociodemographic predictors, </w:t>
      </w:r>
      <w:r w:rsidR="0088009A">
        <w:t xml:space="preserve">older </w:t>
      </w:r>
      <w:r w:rsidR="009B1E6E">
        <w:t>age</w:t>
      </w:r>
      <w:r w:rsidR="004E7DB8">
        <w:t xml:space="preserve"> (</w:t>
      </w:r>
      <w:r w:rsidR="004E7DB8" w:rsidRPr="004E7DB8">
        <w:rPr>
          <w:b/>
          <w:color w:val="0070C0"/>
        </w:rPr>
        <w:t>Figure 2A</w:t>
      </w:r>
      <w:r w:rsidR="004E7DB8">
        <w:t>)</w:t>
      </w:r>
      <w:r w:rsidR="009B1E6E">
        <w:t xml:space="preserve"> and </w:t>
      </w:r>
      <w:r w:rsidR="0088009A">
        <w:t xml:space="preserve">higher </w:t>
      </w:r>
      <w:r w:rsidR="004E7DB8">
        <w:t>educational level (</w:t>
      </w:r>
      <w:r w:rsidR="004E7DB8" w:rsidRPr="004E7DB8">
        <w:rPr>
          <w:b/>
          <w:color w:val="0070C0"/>
        </w:rPr>
        <w:t>Figure 2B</w:t>
      </w:r>
      <w:r w:rsidR="004E7DB8">
        <w:t xml:space="preserve">) </w:t>
      </w:r>
      <w:r w:rsidR="00CC0EAD">
        <w:t>were</w:t>
      </w:r>
      <w:r w:rsidR="004E7DB8">
        <w:t xml:space="preserve"> </w:t>
      </w:r>
      <w:r w:rsidR="004735CE">
        <w:t xml:space="preserve">consistently </w:t>
      </w:r>
      <w:r w:rsidR="004E7DB8">
        <w:t>associated with a better dietary quality and an anti-inflammatory diet during both pre-pregnancy and pregnancy period</w:t>
      </w:r>
      <w:r w:rsidR="004735CE">
        <w:t>s</w:t>
      </w:r>
      <w:r w:rsidR="004E7DB8">
        <w:t xml:space="preserve">. Indeed, </w:t>
      </w:r>
      <w:r w:rsidR="004735CE">
        <w:t xml:space="preserve">associations </w:t>
      </w:r>
      <w:r w:rsidR="000865CF">
        <w:t xml:space="preserve">of </w:t>
      </w:r>
      <w:r>
        <w:t xml:space="preserve">older </w:t>
      </w:r>
      <w:r w:rsidR="000865CF">
        <w:t xml:space="preserve">maternal age with the </w:t>
      </w:r>
      <w:r w:rsidR="004735CE">
        <w:t>DASH were found in all cohorts but REPRO_PL</w:t>
      </w:r>
      <w:r w:rsidR="000865CF">
        <w:t xml:space="preserve">, and associations of </w:t>
      </w:r>
      <w:r w:rsidR="00280933">
        <w:t xml:space="preserve">medium </w:t>
      </w:r>
      <w:r w:rsidR="000865CF">
        <w:t>(</w:t>
      </w:r>
      <w:r w:rsidR="00280933">
        <w:t>vs high</w:t>
      </w:r>
      <w:r w:rsidR="000865CF">
        <w:t>)</w:t>
      </w:r>
      <w:r w:rsidR="00280933">
        <w:t xml:space="preserve"> educational level </w:t>
      </w:r>
      <w:r w:rsidR="000865CF">
        <w:t xml:space="preserve">with </w:t>
      </w:r>
      <w:r w:rsidR="00280933">
        <w:t xml:space="preserve">both the DASH and E-DII scores </w:t>
      </w:r>
      <w:r w:rsidR="000865CF">
        <w:t>were found in all cohorts but ROLO</w:t>
      </w:r>
      <w:r w:rsidR="00280933">
        <w:t>.</w:t>
      </w:r>
      <w:r w:rsidR="004E7DB8">
        <w:t xml:space="preserve"> </w:t>
      </w:r>
      <w:r w:rsidR="009B12BF">
        <w:t>Overall, m</w:t>
      </w:r>
      <w:r w:rsidR="00006EBA">
        <w:t xml:space="preserve">ultiparity was associated with a lower dietary quality and a more </w:t>
      </w:r>
      <w:r w:rsidR="005329B5">
        <w:t>proinflammatory</w:t>
      </w:r>
      <w:r w:rsidR="00006EBA">
        <w:t xml:space="preserve"> diet</w:t>
      </w:r>
      <w:r w:rsidR="007007B9">
        <w:t xml:space="preserve"> (</w:t>
      </w:r>
      <w:r w:rsidR="007007B9" w:rsidRPr="007007B9">
        <w:rPr>
          <w:b/>
          <w:color w:val="0070C0"/>
        </w:rPr>
        <w:t>Figure 2C</w:t>
      </w:r>
      <w:r w:rsidR="007007B9">
        <w:t>)</w:t>
      </w:r>
      <w:r w:rsidR="009B12BF">
        <w:t>, although not in SWS</w:t>
      </w:r>
      <w:r w:rsidR="00CC0EAD">
        <w:t xml:space="preserve"> </w:t>
      </w:r>
      <w:r w:rsidR="009B12BF">
        <w:t>in</w:t>
      </w:r>
      <w:r w:rsidR="00CC0EAD">
        <w:t xml:space="preserve"> pre-pregnancy and REPRO_PL</w:t>
      </w:r>
      <w:r w:rsidR="009B12BF">
        <w:t xml:space="preserve"> during pregnancy</w:t>
      </w:r>
      <w:r w:rsidR="00F77B39">
        <w:t>.</w:t>
      </w:r>
      <w:r w:rsidR="00CC0EAD">
        <w:t xml:space="preserve"> </w:t>
      </w:r>
      <w:r w:rsidR="00F77B39">
        <w:t xml:space="preserve">Maternal birthplace/ethnicity was not associated with </w:t>
      </w:r>
      <w:r w:rsidR="0088009A">
        <w:t>n</w:t>
      </w:r>
      <w:r w:rsidR="009B12BF">
        <w:t xml:space="preserve">either </w:t>
      </w:r>
      <w:r w:rsidR="00F77B39">
        <w:t xml:space="preserve">dietary quality </w:t>
      </w:r>
      <w:r w:rsidR="009B12BF">
        <w:t xml:space="preserve">nor </w:t>
      </w:r>
      <w:r w:rsidR="00F77B39">
        <w:t>inflammatory potential (</w:t>
      </w:r>
      <w:r w:rsidR="00F77B39" w:rsidRPr="00F77B39">
        <w:rPr>
          <w:b/>
          <w:color w:val="0070C0"/>
        </w:rPr>
        <w:t>Figure 2D</w:t>
      </w:r>
      <w:r w:rsidR="00F77B39">
        <w:t xml:space="preserve">). </w:t>
      </w:r>
      <w:r w:rsidR="009B12BF">
        <w:t>In analyses r</w:t>
      </w:r>
      <w:r w:rsidR="00BF43B5">
        <w:t>estricted to the four cohorts with information on household income (</w:t>
      </w:r>
      <w:r w:rsidR="00BF43B5" w:rsidRPr="00BF43B5">
        <w:rPr>
          <w:b/>
          <w:color w:val="0070C0"/>
        </w:rPr>
        <w:t>Figure 3A</w:t>
      </w:r>
      <w:r w:rsidR="00BF43B5">
        <w:t xml:space="preserve">), low </w:t>
      </w:r>
      <w:r w:rsidR="009B12BF">
        <w:t xml:space="preserve">(vs high) </w:t>
      </w:r>
      <w:r w:rsidR="00BF43B5">
        <w:t xml:space="preserve">household income was associated with a lower dietary quality during pregnancy, whereas both low and medium household income were associated with a more </w:t>
      </w:r>
      <w:r w:rsidR="005329B5">
        <w:t>proinflammatory</w:t>
      </w:r>
      <w:r w:rsidR="00BF43B5">
        <w:t xml:space="preserve"> diet before and during pregnancy.</w:t>
      </w:r>
    </w:p>
    <w:p w14:paraId="4EA7F1D8" w14:textId="3C4D2EDB" w:rsidR="00B217A9" w:rsidRDefault="00BD73CB" w:rsidP="00E603A6">
      <w:pPr>
        <w:pStyle w:val="NoSpacing"/>
        <w:spacing w:line="480" w:lineRule="auto"/>
        <w:ind w:firstLine="708"/>
      </w:pPr>
      <w:r>
        <w:lastRenderedPageBreak/>
        <w:t>Examining</w:t>
      </w:r>
      <w:r w:rsidR="008444E7">
        <w:t xml:space="preserve"> maternal health and behavioural predictors</w:t>
      </w:r>
      <w:r w:rsidR="009F095B">
        <w:t xml:space="preserve">, </w:t>
      </w:r>
      <w:r w:rsidR="004F4D7E">
        <w:t xml:space="preserve">obese </w:t>
      </w:r>
      <w:r w:rsidR="00AB4010">
        <w:t xml:space="preserve">women </w:t>
      </w:r>
      <w:r w:rsidR="004F4D7E">
        <w:t xml:space="preserve">before pregnancy </w:t>
      </w:r>
      <w:r w:rsidR="00AB4010">
        <w:t>had lower pregnancy DASH score</w:t>
      </w:r>
      <w:r w:rsidR="004F4D7E">
        <w:t xml:space="preserve"> than women with normal</w:t>
      </w:r>
      <w:r w:rsidR="00AB4010">
        <w:t xml:space="preserve"> </w:t>
      </w:r>
      <w:r w:rsidR="004F4D7E">
        <w:t>BMI in two cohorts</w:t>
      </w:r>
      <w:r>
        <w:t xml:space="preserve"> only</w:t>
      </w:r>
      <w:r w:rsidR="004F4D7E">
        <w:t xml:space="preserve"> (ALSPAC and Generation R) </w:t>
      </w:r>
      <w:r w:rsidR="00AB4010">
        <w:t>(</w:t>
      </w:r>
      <w:r w:rsidR="00AB4010" w:rsidRPr="00AB4010">
        <w:rPr>
          <w:b/>
          <w:color w:val="0070C0"/>
        </w:rPr>
        <w:t>Figure 2</w:t>
      </w:r>
      <w:r w:rsidR="00AB4010">
        <w:rPr>
          <w:b/>
          <w:color w:val="0070C0"/>
        </w:rPr>
        <w:t>E</w:t>
      </w:r>
      <w:r w:rsidR="00AB4010">
        <w:t xml:space="preserve">). E-DII scores did not differ significantly by pre-pregnancy BMI. </w:t>
      </w:r>
      <w:r w:rsidR="00E608B9">
        <w:t xml:space="preserve">Women who smoked during pregnancy </w:t>
      </w:r>
      <w:r w:rsidR="005B071F">
        <w:t>had</w:t>
      </w:r>
      <w:r w:rsidR="00E608B9">
        <w:t xml:space="preserve"> </w:t>
      </w:r>
      <w:r w:rsidR="005B071F">
        <w:t xml:space="preserve">poorer </w:t>
      </w:r>
      <w:r w:rsidR="00E608B9">
        <w:t>diet</w:t>
      </w:r>
      <w:r w:rsidR="00FB6A47">
        <w:t>ary</w:t>
      </w:r>
      <w:r w:rsidR="00E608B9">
        <w:t xml:space="preserve"> quality </w:t>
      </w:r>
      <w:r w:rsidR="00045E70">
        <w:t xml:space="preserve">and more </w:t>
      </w:r>
      <w:r w:rsidR="005329B5">
        <w:t>proinflammatory</w:t>
      </w:r>
      <w:r w:rsidR="00045E70">
        <w:t xml:space="preserve"> </w:t>
      </w:r>
      <w:r w:rsidR="00565B40">
        <w:t xml:space="preserve">dietary scores before and during pregnancy </w:t>
      </w:r>
      <w:r w:rsidR="00E608B9">
        <w:t>(</w:t>
      </w:r>
      <w:r w:rsidR="00E608B9" w:rsidRPr="00E608B9">
        <w:rPr>
          <w:b/>
          <w:color w:val="0070C0"/>
        </w:rPr>
        <w:t xml:space="preserve">Figure </w:t>
      </w:r>
      <w:r w:rsidR="0096463B">
        <w:rPr>
          <w:b/>
          <w:color w:val="0070C0"/>
        </w:rPr>
        <w:t>2F</w:t>
      </w:r>
      <w:r w:rsidR="00E608B9">
        <w:t>).</w:t>
      </w:r>
      <w:r w:rsidR="00244599">
        <w:t xml:space="preserve"> Maternal alcohol consumption during pregnancy was associated with </w:t>
      </w:r>
      <w:r w:rsidR="00AC31E2">
        <w:t xml:space="preserve">a more anti-inflammatory diet </w:t>
      </w:r>
      <w:r w:rsidR="00244599">
        <w:t xml:space="preserve">during </w:t>
      </w:r>
      <w:r w:rsidR="006C5704">
        <w:t xml:space="preserve">the </w:t>
      </w:r>
      <w:r w:rsidR="00244599">
        <w:t>pre-pregnancy</w:t>
      </w:r>
      <w:r w:rsidR="006C5704">
        <w:t xml:space="preserve"> period</w:t>
      </w:r>
      <w:r w:rsidR="00244599">
        <w:t xml:space="preserve">, but </w:t>
      </w:r>
      <w:r w:rsidR="00AC31E2">
        <w:t xml:space="preserve">a more </w:t>
      </w:r>
      <w:r w:rsidR="005329B5">
        <w:t>proinflammatory</w:t>
      </w:r>
      <w:r w:rsidR="00AC31E2">
        <w:t xml:space="preserve"> diet </w:t>
      </w:r>
      <w:r w:rsidR="00244599">
        <w:t xml:space="preserve">during </w:t>
      </w:r>
      <w:r w:rsidR="006C5704">
        <w:t xml:space="preserve">the </w:t>
      </w:r>
      <w:r w:rsidR="00244599">
        <w:t>pregnancy period (</w:t>
      </w:r>
      <w:r w:rsidR="00244599" w:rsidRPr="00244599">
        <w:rPr>
          <w:b/>
          <w:color w:val="0070C0"/>
        </w:rPr>
        <w:t xml:space="preserve">Figure </w:t>
      </w:r>
      <w:r w:rsidR="0096463B">
        <w:rPr>
          <w:b/>
          <w:color w:val="0070C0"/>
        </w:rPr>
        <w:t>2G</w:t>
      </w:r>
      <w:r w:rsidR="00244599">
        <w:t>).</w:t>
      </w:r>
      <w:r w:rsidR="00CC7241">
        <w:t xml:space="preserve"> </w:t>
      </w:r>
      <w:r w:rsidR="006E7084">
        <w:t>Maternal alcohol consumption</w:t>
      </w:r>
      <w:r w:rsidR="006E7084" w:rsidDel="00232B44">
        <w:t xml:space="preserve"> </w:t>
      </w:r>
      <w:r w:rsidR="006E7084">
        <w:t>was not related to diet</w:t>
      </w:r>
      <w:r w:rsidR="00287A1C">
        <w:t>ary</w:t>
      </w:r>
      <w:r w:rsidR="006E7084">
        <w:t xml:space="preserve"> quality before or during pregnancy. </w:t>
      </w:r>
      <w:r w:rsidR="00232B44">
        <w:t>Finally</w:t>
      </w:r>
      <w:r w:rsidR="00CC7241">
        <w:t>,</w:t>
      </w:r>
      <w:r w:rsidR="00BA1B7D">
        <w:t xml:space="preserve"> low physical activity level during pregnancy was associated with a lower diet</w:t>
      </w:r>
      <w:r w:rsidR="00841F76">
        <w:t>ary</w:t>
      </w:r>
      <w:r w:rsidR="00BA1B7D">
        <w:t xml:space="preserve"> quality </w:t>
      </w:r>
      <w:r w:rsidR="00841F76">
        <w:t xml:space="preserve">and a more </w:t>
      </w:r>
      <w:r w:rsidR="005329B5">
        <w:t>proinflammatory</w:t>
      </w:r>
      <w:r w:rsidR="00841F76">
        <w:t xml:space="preserve"> diet </w:t>
      </w:r>
      <w:r w:rsidR="00BA1B7D">
        <w:t>during pregnancy</w:t>
      </w:r>
      <w:r w:rsidR="00CC7241">
        <w:t xml:space="preserve"> (</w:t>
      </w:r>
      <w:r w:rsidR="00CC7241" w:rsidRPr="00244599">
        <w:rPr>
          <w:b/>
          <w:color w:val="0070C0"/>
        </w:rPr>
        <w:t xml:space="preserve">Figure </w:t>
      </w:r>
      <w:r w:rsidR="00CC7241">
        <w:rPr>
          <w:b/>
          <w:color w:val="0070C0"/>
        </w:rPr>
        <w:t>3B</w:t>
      </w:r>
      <w:r w:rsidR="00CC7241">
        <w:t>).</w:t>
      </w:r>
    </w:p>
    <w:p w14:paraId="3CD53A4E" w14:textId="6191F5FF" w:rsidR="00DA7382" w:rsidRDefault="00B85C03" w:rsidP="00E603A6">
      <w:pPr>
        <w:pStyle w:val="NoSpacing"/>
        <w:spacing w:line="480" w:lineRule="auto"/>
        <w:ind w:firstLine="708"/>
      </w:pPr>
      <w:r>
        <w:t>S</w:t>
      </w:r>
      <w:r w:rsidR="008E139A">
        <w:t>ensitivity analys</w:t>
      </w:r>
      <w:r>
        <w:t>e</w:t>
      </w:r>
      <w:r w:rsidR="008E139A">
        <w:t xml:space="preserve">s </w:t>
      </w:r>
      <w:r>
        <w:t>accounting for the nine predictors</w:t>
      </w:r>
      <w:r w:rsidR="00995595">
        <w:t xml:space="preserve"> (including household income and physical activity) </w:t>
      </w:r>
      <w:r>
        <w:t xml:space="preserve">available only in three cohorts (ALSPAC, EDEN, and Lifeways) </w:t>
      </w:r>
      <w:r w:rsidR="008E139A">
        <w:t>yielded similar results</w:t>
      </w:r>
      <w:r w:rsidR="00995595">
        <w:t xml:space="preserve"> and conclusions</w:t>
      </w:r>
      <w:r w:rsidR="008E139A">
        <w:t xml:space="preserve"> </w:t>
      </w:r>
      <w:r>
        <w:t xml:space="preserve">than the main analyses </w:t>
      </w:r>
      <w:r w:rsidR="00995595">
        <w:t xml:space="preserve">accounting for </w:t>
      </w:r>
      <w:r w:rsidR="00777884">
        <w:t xml:space="preserve">only </w:t>
      </w:r>
      <w:r w:rsidR="00995595">
        <w:t xml:space="preserve">the seven predictors available in all cohorts </w:t>
      </w:r>
      <w:r w:rsidR="008E139A">
        <w:t>(</w:t>
      </w:r>
      <w:r w:rsidR="008E139A" w:rsidRPr="005429BD">
        <w:rPr>
          <w:b/>
          <w:color w:val="0070C0"/>
        </w:rPr>
        <w:t>Supplemental table</w:t>
      </w:r>
      <w:r w:rsidR="002B44D6">
        <w:rPr>
          <w:b/>
          <w:color w:val="0070C0"/>
        </w:rPr>
        <w:t> S3</w:t>
      </w:r>
      <w:r w:rsidR="008E139A">
        <w:rPr>
          <w:b/>
          <w:color w:val="0070C0"/>
        </w:rPr>
        <w:t>-</w:t>
      </w:r>
      <w:r w:rsidR="002B44D6">
        <w:rPr>
          <w:b/>
          <w:color w:val="0070C0"/>
        </w:rPr>
        <w:t>4</w:t>
      </w:r>
      <w:r w:rsidR="008E139A">
        <w:t>).</w:t>
      </w:r>
      <w:r w:rsidR="00F32E6D">
        <w:t xml:space="preserve"> </w:t>
      </w:r>
      <w:r w:rsidR="00995595">
        <w:t>In models with the DASH as the outcome, s</w:t>
      </w:r>
      <w:r w:rsidR="00F32E6D">
        <w:t>ensitivity analysis</w:t>
      </w:r>
      <w:r w:rsidR="008B6190">
        <w:t xml:space="preserve"> </w:t>
      </w:r>
      <w:r w:rsidR="00995595">
        <w:t xml:space="preserve">with further adjustment for </w:t>
      </w:r>
      <w:r w:rsidR="008B6190">
        <w:t>energy intake and</w:t>
      </w:r>
      <w:r w:rsidR="00F32E6D">
        <w:t xml:space="preserve"> exclu</w:t>
      </w:r>
      <w:r w:rsidR="00995595">
        <w:t>sion of</w:t>
      </w:r>
      <w:r w:rsidR="00F32E6D">
        <w:t xml:space="preserve"> participants with implausible energy intake </w:t>
      </w:r>
      <w:r w:rsidR="00995595">
        <w:t>also yielded similar results</w:t>
      </w:r>
      <w:r w:rsidR="00500424">
        <w:t>,</w:t>
      </w:r>
      <w:r w:rsidR="00995595">
        <w:t xml:space="preserve"> </w:t>
      </w:r>
      <w:r w:rsidR="00500424">
        <w:t xml:space="preserve">overall </w:t>
      </w:r>
      <w:r w:rsidR="00F32E6D">
        <w:t>(</w:t>
      </w:r>
      <w:r w:rsidR="00F32E6D" w:rsidRPr="00AB3328">
        <w:rPr>
          <w:b/>
          <w:color w:val="0070C0"/>
        </w:rPr>
        <w:t>Supplemental table S</w:t>
      </w:r>
      <w:r w:rsidR="002B44D6">
        <w:rPr>
          <w:b/>
          <w:color w:val="0070C0"/>
        </w:rPr>
        <w:t>5</w:t>
      </w:r>
      <w:r w:rsidR="00F32E6D">
        <w:t>)</w:t>
      </w:r>
      <w:r w:rsidR="002B44D6">
        <w:t xml:space="preserve">. </w:t>
      </w:r>
      <w:r w:rsidR="00500424">
        <w:t>T</w:t>
      </w:r>
      <w:r w:rsidR="002B44D6">
        <w:t xml:space="preserve">wo </w:t>
      </w:r>
      <w:r w:rsidR="0062353D">
        <w:t xml:space="preserve">slight </w:t>
      </w:r>
      <w:r w:rsidR="00500424">
        <w:t>changes should be noted</w:t>
      </w:r>
      <w:r w:rsidR="002B44D6">
        <w:t xml:space="preserve"> (</w:t>
      </w:r>
      <w:r w:rsidR="002B44D6" w:rsidRPr="002B44D6">
        <w:rPr>
          <w:b/>
          <w:color w:val="0070C0"/>
        </w:rPr>
        <w:t>Supplemental table S6</w:t>
      </w:r>
      <w:r w:rsidR="002B44D6">
        <w:t xml:space="preserve">). </w:t>
      </w:r>
      <w:r w:rsidR="0062353D">
        <w:t>P</w:t>
      </w:r>
      <w:r w:rsidR="00DA7382">
        <w:t>arity</w:t>
      </w:r>
      <w:r w:rsidR="002B44D6">
        <w:t xml:space="preserve"> remained associated with the pre-pregnancy DASH in one out of two studies but</w:t>
      </w:r>
      <w:r w:rsidR="00DA7382">
        <w:t xml:space="preserve"> bec</w:t>
      </w:r>
      <w:r w:rsidR="0062353D">
        <w:t>a</w:t>
      </w:r>
      <w:r w:rsidR="00DA7382">
        <w:t>me non-significant</w:t>
      </w:r>
      <w:r w:rsidR="006E67F8">
        <w:t>, overall</w:t>
      </w:r>
      <w:r w:rsidR="002B44D6">
        <w:t xml:space="preserve">. </w:t>
      </w:r>
      <w:r w:rsidR="0062353D">
        <w:t xml:space="preserve">Maternal </w:t>
      </w:r>
      <w:r w:rsidR="002B44D6">
        <w:t>b</w:t>
      </w:r>
      <w:r w:rsidR="00DA7382">
        <w:t>irthplace/ethnicity</w:t>
      </w:r>
      <w:r w:rsidR="002B44D6">
        <w:t xml:space="preserve"> remained not associated with the pregnancy DASH in three out of five </w:t>
      </w:r>
      <w:proofErr w:type="gramStart"/>
      <w:r w:rsidR="002B44D6">
        <w:t>studies</w:t>
      </w:r>
      <w:proofErr w:type="gramEnd"/>
      <w:r w:rsidR="002B44D6">
        <w:t xml:space="preserve"> </w:t>
      </w:r>
      <w:r w:rsidR="00C551F6">
        <w:t xml:space="preserve">but </w:t>
      </w:r>
      <w:r w:rsidR="0062353D">
        <w:t xml:space="preserve">the </w:t>
      </w:r>
      <w:r w:rsidR="002B44D6">
        <w:t>overall</w:t>
      </w:r>
      <w:r w:rsidR="00C551F6">
        <w:t xml:space="preserve"> effect</w:t>
      </w:r>
      <w:r w:rsidR="002B44D6">
        <w:t xml:space="preserve"> </w:t>
      </w:r>
      <w:r w:rsidR="00C551F6">
        <w:t xml:space="preserve">became </w:t>
      </w:r>
      <w:r w:rsidR="00DA7382">
        <w:t>significant</w:t>
      </w:r>
      <w:r w:rsidR="002B44D6">
        <w:t xml:space="preserve">. In both cases, </w:t>
      </w:r>
      <w:r w:rsidR="00C551F6">
        <w:t xml:space="preserve">we did not observe changes </w:t>
      </w:r>
      <w:r w:rsidR="00DA7382">
        <w:t>in the other periods and scores.</w:t>
      </w:r>
    </w:p>
    <w:p w14:paraId="41487AB9" w14:textId="2D81E0B9" w:rsidR="00E341A6" w:rsidRPr="00E603A6" w:rsidRDefault="00E341A6" w:rsidP="00E603A6">
      <w:pPr>
        <w:pStyle w:val="Heading2"/>
        <w:spacing w:before="240" w:after="0" w:line="480" w:lineRule="auto"/>
      </w:pPr>
      <w:bookmarkStart w:id="14" w:name="_Toc534640648"/>
      <w:r w:rsidRPr="00E603A6">
        <w:t>Discussion</w:t>
      </w:r>
      <w:bookmarkEnd w:id="14"/>
    </w:p>
    <w:p w14:paraId="73512F2B" w14:textId="10EF7501" w:rsidR="009D5981" w:rsidRPr="00E603A6" w:rsidRDefault="00D91BB8" w:rsidP="00E603A6">
      <w:pPr>
        <w:pStyle w:val="Heading3"/>
        <w:spacing w:before="120"/>
        <w:rPr>
          <w:b w:val="0"/>
          <w:bCs w:val="0"/>
        </w:rPr>
      </w:pPr>
      <w:proofErr w:type="gramStart"/>
      <w:r w:rsidRPr="00E603A6">
        <w:rPr>
          <w:b w:val="0"/>
          <w:bCs w:val="0"/>
        </w:rPr>
        <w:t>Findings</w:t>
      </w:r>
      <w:proofErr w:type="gramEnd"/>
      <w:r w:rsidRPr="00E603A6">
        <w:rPr>
          <w:b w:val="0"/>
          <w:bCs w:val="0"/>
        </w:rPr>
        <w:t xml:space="preserve"> summary</w:t>
      </w:r>
    </w:p>
    <w:p w14:paraId="1498D2FE" w14:textId="23210C13" w:rsidR="00E46860" w:rsidRDefault="00786A90" w:rsidP="00E603A6">
      <w:pPr>
        <w:pStyle w:val="NoSpacing"/>
        <w:spacing w:line="480" w:lineRule="auto"/>
      </w:pPr>
      <w:r>
        <w:t xml:space="preserve">Using </w:t>
      </w:r>
      <w:r w:rsidR="008170A6">
        <w:t xml:space="preserve">dietary data from </w:t>
      </w:r>
      <w:r w:rsidR="00D470B6">
        <w:t>seven</w:t>
      </w:r>
      <w:r w:rsidR="008170A6">
        <w:t xml:space="preserve"> European pregnancy cohorts, we </w:t>
      </w:r>
      <w:r w:rsidR="00C73DA0">
        <w:t>report</w:t>
      </w:r>
      <w:r w:rsidR="008170A6">
        <w:t xml:space="preserve"> that DASH</w:t>
      </w:r>
      <w:r w:rsidR="00353025">
        <w:t xml:space="preserve"> scores</w:t>
      </w:r>
      <w:r w:rsidR="008170A6">
        <w:t xml:space="preserve"> </w:t>
      </w:r>
      <w:r w:rsidR="00922273">
        <w:t>(higher</w:t>
      </w:r>
      <w:r w:rsidR="00353025">
        <w:t xml:space="preserve"> values indicating better dietary quality</w:t>
      </w:r>
      <w:r w:rsidR="00922273">
        <w:t xml:space="preserve">) </w:t>
      </w:r>
      <w:r w:rsidR="008170A6">
        <w:t xml:space="preserve">and </w:t>
      </w:r>
      <w:r w:rsidR="00ED7B75">
        <w:t>E-</w:t>
      </w:r>
      <w:r w:rsidR="008170A6">
        <w:t>DII</w:t>
      </w:r>
      <w:r w:rsidR="00353025">
        <w:t xml:space="preserve"> scores</w:t>
      </w:r>
      <w:r w:rsidR="00ED7B75">
        <w:t xml:space="preserve"> </w:t>
      </w:r>
      <w:r w:rsidR="00922273">
        <w:t>(lower</w:t>
      </w:r>
      <w:r w:rsidR="00353025">
        <w:t xml:space="preserve"> values indicating less </w:t>
      </w:r>
      <w:r w:rsidR="00353025">
        <w:lastRenderedPageBreak/>
        <w:t>inflammatory diets</w:t>
      </w:r>
      <w:r w:rsidR="00922273">
        <w:t xml:space="preserve">) </w:t>
      </w:r>
      <w:r w:rsidR="008170A6">
        <w:t xml:space="preserve">were </w:t>
      </w:r>
      <w:r w:rsidR="00390801">
        <w:t>moderately</w:t>
      </w:r>
      <w:r w:rsidR="00D470B6">
        <w:t xml:space="preserve"> and negatively </w:t>
      </w:r>
      <w:r w:rsidR="008170A6">
        <w:t>correlated</w:t>
      </w:r>
      <w:r w:rsidR="00DB3203">
        <w:t xml:space="preserve"> </w:t>
      </w:r>
      <w:r w:rsidR="00353025">
        <w:t>with</w:t>
      </w:r>
      <w:r w:rsidR="00DB3203">
        <w:t xml:space="preserve"> each other</w:t>
      </w:r>
      <w:r w:rsidR="008D381B">
        <w:t xml:space="preserve">. </w:t>
      </w:r>
      <w:r w:rsidR="002A5E3B">
        <w:t>W</w:t>
      </w:r>
      <w:r w:rsidR="00390801">
        <w:t xml:space="preserve">e identified </w:t>
      </w:r>
      <w:r w:rsidR="00E0137B">
        <w:t xml:space="preserve">consistent associations between </w:t>
      </w:r>
      <w:r w:rsidR="00353025">
        <w:t xml:space="preserve">older </w:t>
      </w:r>
      <w:r w:rsidR="002A5E3B">
        <w:t xml:space="preserve">maternal age, </w:t>
      </w:r>
      <w:r w:rsidR="00353025">
        <w:t xml:space="preserve">higher </w:t>
      </w:r>
      <w:r w:rsidR="002A5E3B">
        <w:t>educational level</w:t>
      </w:r>
      <w:r w:rsidR="006E26B4">
        <w:t>,</w:t>
      </w:r>
      <w:r w:rsidR="002A5E3B">
        <w:t xml:space="preserve"> </w:t>
      </w:r>
      <w:r w:rsidR="00353025">
        <w:t xml:space="preserve">higher </w:t>
      </w:r>
      <w:r w:rsidR="002A5E3B">
        <w:t>household income</w:t>
      </w:r>
      <w:r w:rsidR="006E26B4">
        <w:t xml:space="preserve">, and </w:t>
      </w:r>
      <w:r w:rsidR="00353025">
        <w:t xml:space="preserve">higher </w:t>
      </w:r>
      <w:r w:rsidR="006E26B4">
        <w:t>physical activity level during pregnancy</w:t>
      </w:r>
      <w:r w:rsidR="00390801">
        <w:t xml:space="preserve"> with</w:t>
      </w:r>
      <w:r w:rsidR="001E2C15">
        <w:t xml:space="preserve"> a greater dietary quality and anti-inflammatory potential.</w:t>
      </w:r>
      <w:r w:rsidR="00390801">
        <w:t xml:space="preserve"> </w:t>
      </w:r>
      <w:r w:rsidR="00E46860">
        <w:t xml:space="preserve">Conversely, </w:t>
      </w:r>
      <w:r w:rsidR="001E2C15">
        <w:t>multi</w:t>
      </w:r>
      <w:r w:rsidR="00E46860">
        <w:t>parity and smoking during pregnancy were associated with</w:t>
      </w:r>
      <w:r w:rsidR="001E2C15">
        <w:t xml:space="preserve"> a lower dietary quality and a </w:t>
      </w:r>
      <w:r w:rsidR="006828A3">
        <w:t>more</w:t>
      </w:r>
      <w:r w:rsidR="001E2C15">
        <w:t xml:space="preserve"> </w:t>
      </w:r>
      <w:r w:rsidR="005329B5">
        <w:t>proinflammatory</w:t>
      </w:r>
      <w:r w:rsidR="00E46860">
        <w:t xml:space="preserve"> diet. </w:t>
      </w:r>
      <w:r w:rsidR="00A77D67">
        <w:t>Maternal obesity was related to poorer diet</w:t>
      </w:r>
      <w:r w:rsidR="000D1EDF">
        <w:t>ary</w:t>
      </w:r>
      <w:r w:rsidR="00A77D67">
        <w:t xml:space="preserve"> quality during pregnancy but not to dietary inflammatory </w:t>
      </w:r>
      <w:proofErr w:type="gramStart"/>
      <w:r w:rsidR="00A77D67">
        <w:t>potential</w:t>
      </w:r>
      <w:r w:rsidR="00FF7607">
        <w:t>;</w:t>
      </w:r>
      <w:proofErr w:type="gramEnd"/>
      <w:r w:rsidR="00FF7607">
        <w:t xml:space="preserve"> while</w:t>
      </w:r>
      <w:r w:rsidR="00E46860">
        <w:t xml:space="preserve"> </w:t>
      </w:r>
      <w:r w:rsidR="00FF7607">
        <w:t>maternal alcohol consumption</w:t>
      </w:r>
      <w:r w:rsidR="006828A3">
        <w:t xml:space="preserve"> during pregnancy</w:t>
      </w:r>
      <w:r w:rsidR="00FF7607">
        <w:t xml:space="preserve"> was associated with</w:t>
      </w:r>
      <w:r w:rsidR="00D956F8">
        <w:t xml:space="preserve"> </w:t>
      </w:r>
      <w:r w:rsidR="00FF7607">
        <w:t>E-DII score only (</w:t>
      </w:r>
      <w:r w:rsidR="00D956F8">
        <w:t>with an anti-inflammatory potential</w:t>
      </w:r>
      <w:r w:rsidR="00FF7607">
        <w:t xml:space="preserve"> pre-pregnancy and </w:t>
      </w:r>
      <w:r w:rsidR="005329B5">
        <w:t>proinflammatory</w:t>
      </w:r>
      <w:r w:rsidR="00D956F8">
        <w:t xml:space="preserve"> potential</w:t>
      </w:r>
      <w:r w:rsidR="00FF7607">
        <w:t xml:space="preserve"> </w:t>
      </w:r>
      <w:r w:rsidR="00CF110B">
        <w:t>in the</w:t>
      </w:r>
      <w:r w:rsidR="00FF7607">
        <w:t xml:space="preserve"> pregnancy period).</w:t>
      </w:r>
    </w:p>
    <w:p w14:paraId="45E30E33" w14:textId="43838A79" w:rsidR="0098546B" w:rsidRPr="00E603A6" w:rsidRDefault="005846B3" w:rsidP="00E603A6">
      <w:pPr>
        <w:pStyle w:val="Heading3"/>
        <w:spacing w:before="120"/>
        <w:rPr>
          <w:b w:val="0"/>
          <w:bCs w:val="0"/>
        </w:rPr>
      </w:pPr>
      <w:bookmarkStart w:id="15" w:name="_Hlk92964869"/>
      <w:r w:rsidRPr="00E603A6">
        <w:rPr>
          <w:b w:val="0"/>
          <w:bCs w:val="0"/>
        </w:rPr>
        <w:t>Dietary data and predictors of dietary quality and dietary inflammatory potential</w:t>
      </w:r>
    </w:p>
    <w:bookmarkEnd w:id="15"/>
    <w:p w14:paraId="7C6ADA7B" w14:textId="1167CF21" w:rsidR="002555EA" w:rsidRDefault="001E2039" w:rsidP="00E603A6">
      <w:pPr>
        <w:pStyle w:val="NoSpacing"/>
        <w:spacing w:line="480" w:lineRule="auto"/>
      </w:pPr>
      <w:r>
        <w:t>C</w:t>
      </w:r>
      <w:r w:rsidR="00F65A1E">
        <w:t xml:space="preserve">orrelations between DASH and </w:t>
      </w:r>
      <w:r w:rsidR="00ED7B75">
        <w:t>E-</w:t>
      </w:r>
      <w:r w:rsidR="00F65A1E">
        <w:t>DII scores</w:t>
      </w:r>
      <w:r w:rsidR="005C2C4D">
        <w:t xml:space="preserve"> </w:t>
      </w:r>
      <w:r w:rsidR="009405A2">
        <w:t xml:space="preserve">observed in our study </w:t>
      </w:r>
      <w:r w:rsidR="005C2C4D">
        <w:t>(from</w:t>
      </w:r>
      <w:r w:rsidR="007D46DB">
        <w:t xml:space="preserve"> -0.63 to</w:t>
      </w:r>
      <w:r w:rsidR="005C2C4D">
        <w:t xml:space="preserve"> -0.48</w:t>
      </w:r>
      <w:r w:rsidR="004C0F3F">
        <w:t>)</w:t>
      </w:r>
      <w:r w:rsidR="00C54339">
        <w:t xml:space="preserve"> </w:t>
      </w:r>
      <w:r w:rsidR="00E0137B">
        <w:t>are</w:t>
      </w:r>
      <w:r w:rsidR="00F65A1E">
        <w:t xml:space="preserve"> in concordance with the literature</w:t>
      </w:r>
      <w:r w:rsidR="004C0F3F">
        <w:rPr>
          <w:lang w:val="en-CA"/>
        </w:rPr>
        <w:t xml:space="preserve">. </w:t>
      </w:r>
      <w:r w:rsidR="00202085">
        <w:rPr>
          <w:lang w:val="en-CA"/>
        </w:rPr>
        <w:t>A</w:t>
      </w:r>
      <w:r w:rsidR="00E0137B">
        <w:rPr>
          <w:lang w:val="en-CA"/>
        </w:rPr>
        <w:t xml:space="preserve"> previous </w:t>
      </w:r>
      <w:r w:rsidR="00162DDE">
        <w:rPr>
          <w:lang w:val="en-CA"/>
        </w:rPr>
        <w:t xml:space="preserve">study </w:t>
      </w:r>
      <w:r w:rsidR="00292B75" w:rsidRPr="00292B75">
        <w:t xml:space="preserve">comparing the DII with other diet scores </w:t>
      </w:r>
      <w:r w:rsidR="00E0137B">
        <w:t>reported</w:t>
      </w:r>
      <w:r w:rsidR="00292B75">
        <w:t xml:space="preserve"> a </w:t>
      </w:r>
      <w:r w:rsidR="00E0137B">
        <w:t xml:space="preserve">similar </w:t>
      </w:r>
      <w:r w:rsidR="00292B75">
        <w:t>correlation</w:t>
      </w:r>
      <w:r w:rsidR="00FB6844">
        <w:t xml:space="preserve"> with DASH </w:t>
      </w:r>
      <w:r w:rsidR="00292B75">
        <w:t>(r=-0.52)</w:t>
      </w:r>
      <w:r w:rsidR="004E547F">
        <w:t>.</w:t>
      </w:r>
      <w:r w:rsidR="004E547F">
        <w:fldChar w:fldCharType="begin"/>
      </w:r>
      <w:r w:rsidR="00034C2C">
        <w:instrText xml:space="preserve"> ADDIN ZOTERO_ITEM CSL_CITATION {"citationID":"Ll6U3mb9","properties":{"formattedCitation":"\\super 48\\nosupersub{}","plainCitation":"48","noteIndex":0},"citationItems":[{"id":110,"uris":["http://zotero.org/users/4872814/items/55YXP4YK"],"itemData":{"id":110,"type":"article-journal","abstract":"Dietary components are important determinants of systemic inflammation; a risk factor for most chronic diseases. The Dietary Inflammatory Index (DII) was developed to assess dietary inflammatory potential. It was hypothesized that anti-inflammatory DII scores would be associated with ‘healthier’ scores on other dietary indices. The Energy Balance Study is an observational study focusing on energy intake and expenditure in young adults; only baseline data were used for this analysis (n=430). The DII, as well as the Healthy Eating Index-2010 (HEI-2010), the Alternative Healthy Eating Index (AHEI), and the Dietary Approaches to Stop Hypertension Index (DASH) were calculated based on one to three 24-hour dietary recalls. General linear models were used to estimate least square means of the AHEI, HEI-2010, and DASH according to DII quartiles. Those with higher (i.e., more pro-inflammatory) DII scores were more likely to be males, have less than a completed college education, and be younger. Additionally, those with higher scores for cognitive restraint for eating or drive for thinness had lower (i.e., anti-inflammatory) DII scores. Linear regression analyses indicated that as the DII increased, the AHEI, HEI-2010, and DASH dietary indices decreased (i.e., became more unhealthy, all p&lt;0.01). The DII is a novel tool that characterizes the inflammatory potential of diet and is grounded in the peer-reviewed literature on diet and inflammation. Findings from the Energy Balance Study indicate that the DII is associated with other dietary indices, but has the added advantage of specifically measuring dietary inflammatory potential, a risk factor for chronic disease.","container-title":"Nutrition research (New York, N.Y.)","DOI":"10.1016/j.nutres.2015.11.009","ISSN":"0271-5317","issue":"3","journalAbbreviation":"Nutr Res","note":"PMID: 26923507\nPMCID: PMC4773655","page":"214-219","source":"PubMed Central","title":"Anti-inflammatory Dietary Inflammatory Index scores are associated with healthier scores on other dietary indices","volume":"36","author":[{"family":"Wirth","given":"Michael D."},{"family":"Hébert","given":"James R."},{"family":"Shivappa","given":"Nitin"},{"family":"Hand","given":"Gregory A."},{"family":"Hurley","given":"Thomas G."},{"family":"Drenowatz","given":"Clemens"},{"family":"McMahon","given":"Daria"},{"family":"Shook","given":"Robin P."},{"family":"Blair","given":"Steven N."}],"issued":{"date-parts":[["2016",3]]}}}],"schema":"https://github.com/citation-style-language/schema/raw/master/csl-citation.json"} </w:instrText>
      </w:r>
      <w:r w:rsidR="004E547F">
        <w:fldChar w:fldCharType="separate"/>
      </w:r>
      <w:r w:rsidR="004520A9" w:rsidRPr="004520A9">
        <w:rPr>
          <w:vertAlign w:val="superscript"/>
        </w:rPr>
        <w:t>48</w:t>
      </w:r>
      <w:r w:rsidR="004E547F">
        <w:fldChar w:fldCharType="end"/>
      </w:r>
      <w:r w:rsidR="001141DF">
        <w:t xml:space="preserve"> </w:t>
      </w:r>
      <w:r w:rsidR="00E0137B">
        <w:t>Collectively</w:t>
      </w:r>
      <w:r w:rsidR="00361EC7">
        <w:t>,</w:t>
      </w:r>
      <w:r w:rsidR="00E0137B">
        <w:t xml:space="preserve"> this suggests that </w:t>
      </w:r>
      <w:r w:rsidR="00E26137">
        <w:t xml:space="preserve">both scores are complementary </w:t>
      </w:r>
      <w:r w:rsidR="00162DDE">
        <w:t xml:space="preserve">for assessing </w:t>
      </w:r>
      <w:r w:rsidR="00E26137">
        <w:t>the complexity of diet</w:t>
      </w:r>
      <w:r w:rsidR="002252E3">
        <w:t>.</w:t>
      </w:r>
      <w:r w:rsidR="00442EE4">
        <w:fldChar w:fldCharType="begin"/>
      </w:r>
      <w:r w:rsidR="00034C2C">
        <w:instrText xml:space="preserve"> ADDIN ZOTERO_ITEM CSL_CITATION {"citationID":"jFJRE8Z7","properties":{"formattedCitation":"\\super 48\\nosupersub{}","plainCitation":"48","noteIndex":0},"citationItems":[{"id":110,"uris":["http://zotero.org/users/4872814/items/55YXP4YK"],"itemData":{"id":110,"type":"article-journal","abstract":"Dietary components are important determinants of systemic inflammation; a risk factor for most chronic diseases. The Dietary Inflammatory Index (DII) was developed to assess dietary inflammatory potential. It was hypothesized that anti-inflammatory DII scores would be associated with ‘healthier’ scores on other dietary indices. The Energy Balance Study is an observational study focusing on energy intake and expenditure in young adults; only baseline data were used for this analysis (n=430). The DII, as well as the Healthy Eating Index-2010 (HEI-2010), the Alternative Healthy Eating Index (AHEI), and the Dietary Approaches to Stop Hypertension Index (DASH) were calculated based on one to three 24-hour dietary recalls. General linear models were used to estimate least square means of the AHEI, HEI-2010, and DASH according to DII quartiles. Those with higher (i.e., more pro-inflammatory) DII scores were more likely to be males, have less than a completed college education, and be younger. Additionally, those with higher scores for cognitive restraint for eating or drive for thinness had lower (i.e., anti-inflammatory) DII scores. Linear regression analyses indicated that as the DII increased, the AHEI, HEI-2010, and DASH dietary indices decreased (i.e., became more unhealthy, all p&lt;0.01). The DII is a novel tool that characterizes the inflammatory potential of diet and is grounded in the peer-reviewed literature on diet and inflammation. Findings from the Energy Balance Study indicate that the DII is associated with other dietary indices, but has the added advantage of specifically measuring dietary inflammatory potential, a risk factor for chronic disease.","container-title":"Nutrition research (New York, N.Y.)","DOI":"10.1016/j.nutres.2015.11.009","ISSN":"0271-5317","issue":"3","journalAbbreviation":"Nutr Res","note":"PMID: 26923507\nPMCID: PMC4773655","page":"214-219","source":"PubMed Central","title":"Anti-inflammatory Dietary Inflammatory Index scores are associated with healthier scores on other dietary indices","volume":"36","author":[{"family":"Wirth","given":"Michael D."},{"family":"Hébert","given":"James R."},{"family":"Shivappa","given":"Nitin"},{"family":"Hand","given":"Gregory A."},{"family":"Hurley","given":"Thomas G."},{"family":"Drenowatz","given":"Clemens"},{"family":"McMahon","given":"Daria"},{"family":"Shook","given":"Robin P."},{"family":"Blair","given":"Steven N."}],"issued":{"date-parts":[["2016",3]]}}}],"schema":"https://github.com/citation-style-language/schema/raw/master/csl-citation.json"} </w:instrText>
      </w:r>
      <w:r w:rsidR="00442EE4">
        <w:fldChar w:fldCharType="separate"/>
      </w:r>
      <w:r w:rsidR="004520A9" w:rsidRPr="004520A9">
        <w:rPr>
          <w:vertAlign w:val="superscript"/>
        </w:rPr>
        <w:t>48</w:t>
      </w:r>
      <w:r w:rsidR="00442EE4">
        <w:fldChar w:fldCharType="end"/>
      </w:r>
    </w:p>
    <w:p w14:paraId="30C95D4A" w14:textId="52D3788A" w:rsidR="00154293" w:rsidRPr="00F94B9B" w:rsidRDefault="000D41E6" w:rsidP="00E603A6">
      <w:pPr>
        <w:pStyle w:val="NoSpacing"/>
        <w:spacing w:line="480" w:lineRule="auto"/>
        <w:ind w:firstLine="708"/>
        <w:rPr>
          <w:color w:val="7030A0"/>
        </w:rPr>
      </w:pPr>
      <w:r>
        <w:t>W</w:t>
      </w:r>
      <w:r w:rsidR="00F94B9B" w:rsidRPr="00F94B9B">
        <w:t xml:space="preserve">e found </w:t>
      </w:r>
      <w:r w:rsidR="009405A2">
        <w:t xml:space="preserve">that </w:t>
      </w:r>
      <w:r w:rsidR="00F94B9B" w:rsidRPr="00F94B9B">
        <w:t>maternal a</w:t>
      </w:r>
      <w:r w:rsidR="00977688" w:rsidRPr="00F94B9B">
        <w:t>ge, education</w:t>
      </w:r>
      <w:r w:rsidR="00F94B9B" w:rsidRPr="00F94B9B">
        <w:t xml:space="preserve"> level and</w:t>
      </w:r>
      <w:r w:rsidR="00977688" w:rsidRPr="00F94B9B">
        <w:t xml:space="preserve"> </w:t>
      </w:r>
      <w:r w:rsidR="00F94B9B" w:rsidRPr="00F94B9B">
        <w:t xml:space="preserve">household </w:t>
      </w:r>
      <w:r w:rsidR="00977688" w:rsidRPr="00F94B9B">
        <w:t>income</w:t>
      </w:r>
      <w:r w:rsidR="00F94B9B" w:rsidRPr="00F94B9B">
        <w:t xml:space="preserve"> </w:t>
      </w:r>
      <w:r w:rsidR="009405A2">
        <w:t xml:space="preserve">were </w:t>
      </w:r>
      <w:r w:rsidR="00F94B9B" w:rsidRPr="00F94B9B">
        <w:t>consistently and positively associated</w:t>
      </w:r>
      <w:r w:rsidR="009405A2" w:rsidRPr="009405A2">
        <w:t xml:space="preserve"> </w:t>
      </w:r>
      <w:r w:rsidR="009405A2">
        <w:t>with</w:t>
      </w:r>
      <w:r w:rsidR="009405A2" w:rsidRPr="00F94B9B">
        <w:t xml:space="preserve"> dietary quality and </w:t>
      </w:r>
      <w:r w:rsidR="00004B43">
        <w:t>anti-</w:t>
      </w:r>
      <w:r w:rsidR="009405A2" w:rsidRPr="00F94B9B">
        <w:t>inflammatory potential</w:t>
      </w:r>
      <w:r w:rsidR="00F94B9B" w:rsidRPr="00F94B9B">
        <w:t xml:space="preserve">. </w:t>
      </w:r>
      <w:r w:rsidR="002D3389">
        <w:t>These results reinforc</w:t>
      </w:r>
      <w:r w:rsidR="00BD374A">
        <w:t>e</w:t>
      </w:r>
      <w:r w:rsidR="002D3389">
        <w:t xml:space="preserve"> findings already describe</w:t>
      </w:r>
      <w:r w:rsidR="00BD374A">
        <w:t>d</w:t>
      </w:r>
      <w:r w:rsidR="002D3389">
        <w:t xml:space="preserve"> in the literature.</w:t>
      </w:r>
      <w:r w:rsidR="00263433">
        <w:fldChar w:fldCharType="begin"/>
      </w:r>
      <w:r w:rsidR="00034C2C">
        <w:instrText xml:space="preserve"> ADDIN ZOTERO_ITEM CSL_CITATION {"citationID":"TpsgQUWZ","properties":{"formattedCitation":"\\super 10,49,50\\nosupersub{}","plainCitation":"10,49,50","noteIndex":0},"citationItems":[{"id":108,"uris":["http://zotero.org/users/4872814/items/YNCXC8B7"],"itemData":{"id":108,"type":"article-journal","abstract":"OBJECTIVE: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id":1424,"uris":["http://zotero.org/users/4872814/items/RH6JPBIM"],"itemData":{"id":1424,"type":"article-journal","abstract":"OBJECTIVES: The aim of this study was to investigate food consumption during pregnancy by determining dietary patterns, associations with maternal characteristics, and possible changes in adherence to patterns throughout pregnancy.\nMETHODS: We prospectively followed two groups of pregnant women (N = 353) and collected, in each gestational trimester, two 24-h dietary recalls: one in person and another by telephone, with one of these recalls performed on a weekend or holiday. To determine the women's dietary patterns, principal component analysis was conducted using the combined data of groups and trimesters. The association between adherence to patterns and maternal characteristics was investigated using a logistic regression model, including covariates as potential confounders. Changes in adherence throughout the trimesters by the means difference test also were examined.\nRESULTS: Three dietary patterns were identified: traditional Brazilian; predominantly ultra-processed and beef; and whole grains, fruits, vegetables, low-fat milk, and dairy. Associations were found between adherence to patterns and not working outside the home, not being white, being younger, not living with a partner, drinking alcohol before pregnancy, years of formal education, and socioeconomic classification. Adherence to the traditional Brazilian pattern increased as gestational trimesters advanced, whereas the pattern that included whole grains, fruits, vegetables, low-fat milk, and milk derivatives decreased from the first to the second gestational trimester.\nCONCLUSION: We found associations between maternal sociodemographic characteristics and adherence to different dietary patterns, as well as changes in adherence during pregnancy. This knowledge is relevant to creating specific and feasible guidelines for different population strata associated with the patterns.","container-title":"Nutrition (Burbank, Los Angeles County, Calif.)","DOI":"10.1016/j.nut.2018.10.036","ISSN":"1873-1244","journalAbbreviation":"Nutrition","language":"eng","note":"PMID: 30856399","page":"85-92","source":"PubMed","title":"Adherence to dietary patterns during pregnancy and association with maternal characteristics in pregnant Brazilian women","volume":"62","author":[{"family":"Gomes","given":"Caroline Barros"},{"family":"Malta","given":"Maíra Barreto"},{"family":"Papini","given":"Sílvia Justina"},{"family":"Benício","given":"Maria Helena D'Aquino"},{"family":"Corrente","given":"José Eduardo"},{"family":"Carvalhaes","given":"Maria Antonieta Barros Leite"}],"issued":{"date-parts":[["2019",6]]}}},{"id":1418,"uris":["http://zotero.org/users/4872814/items/LI8ZDHPA"],"itemData":{"id":1418,"type":"article-journal","abstract":"Overweight and obesity pre pregnancy or during pregnancy is associated with an increased risk for maternal obstetric and fetal complications. Diet is one modifiable risk factor that women may be motivated to improve. General healthy eating guidelines, micronutrient sufficiency and macronutrient quantity and quality are important nutrition considerations pre and during pregnancy. With regards to specific nutrients, health authorities have recommendations for folate and/or iodine supplementation; but not consistently for iron and omega-3 despite evidence for their association with health outcomes. There are modest additional requirements for energy and protein, but not fat or carbohydrate, in mid-late pregnancy. Diet indices and dietary pattern analysis are additional tools or methodologies used to assess diet quality. These tools have been used to determine dietary intakes and patterns and their association with pregnancy complications and birth outcomes pre or during pregnancy. Women who may unnecessarily resist foods due to fear of food contamination from listeriosis and methylmercury may limit their diet quality and a balanced approached is required. Dietary intake may also vary according to certain population characteristics. Additional support for women who are younger, less educated, overweight and obese, from socially disadvantaged areas, smokers and those who unnecessarily avoid healthy foods, is required to achieve a higher quality diet and optimal lifestyle peri conception.","container-title":"Seminars in Reproductive Medicine","DOI":"10.1055/s-0036-1571353","ISSN":"1526-4564","issue":"2","journalAbbreviation":"Semin Reprod Med","language":"eng","note":"PMID: 26886241","page":"83-92","source":"PubMed","title":"The Assessment of Diet Quality and Its Effects on Health Outcomes Pre-pregnancy and during Pregnancy","volume":"34","author":[{"family":"Martin","given":"Julie C."},{"family":"Zhou","given":"Shao J."},{"family":"Flynn","given":"Angela C."},{"family":"Malek","given":"Lenka"},{"family":"Greco","given":"Rebecca"},{"family":"Moran","given":"Lisa"}],"issued":{"date-parts":[["2016",3]]}}}],"schema":"https://github.com/citation-style-language/schema/raw/master/csl-citation.json"} </w:instrText>
      </w:r>
      <w:r w:rsidR="00263433">
        <w:fldChar w:fldCharType="separate"/>
      </w:r>
      <w:r w:rsidR="004520A9" w:rsidRPr="004520A9">
        <w:rPr>
          <w:vertAlign w:val="superscript"/>
        </w:rPr>
        <w:t>10,49,50</w:t>
      </w:r>
      <w:r w:rsidR="00263433">
        <w:fldChar w:fldCharType="end"/>
      </w:r>
      <w:r w:rsidR="00056933">
        <w:t>In our study</w:t>
      </w:r>
      <w:r w:rsidR="00361EC7">
        <w:t>,</w:t>
      </w:r>
      <w:r w:rsidR="00056933">
        <w:t xml:space="preserve"> </w:t>
      </w:r>
      <w:r w:rsidR="00EC7D7C">
        <w:t>multi</w:t>
      </w:r>
      <w:r w:rsidR="00402913">
        <w:t>parity was</w:t>
      </w:r>
      <w:r w:rsidR="00615E7A">
        <w:t xml:space="preserve"> mostly</w:t>
      </w:r>
      <w:r w:rsidR="00402913">
        <w:t xml:space="preserve"> associated with </w:t>
      </w:r>
      <w:r w:rsidR="00A952F0">
        <w:t xml:space="preserve">a </w:t>
      </w:r>
      <w:r w:rsidR="001E447F">
        <w:t>low</w:t>
      </w:r>
      <w:r w:rsidR="00A952F0">
        <w:t xml:space="preserve">er dietary quality and more </w:t>
      </w:r>
      <w:r w:rsidR="005329B5">
        <w:t>proinflammatory</w:t>
      </w:r>
      <w:r w:rsidR="00A952F0">
        <w:t xml:space="preserve"> potential</w:t>
      </w:r>
      <w:r w:rsidR="00402913">
        <w:t xml:space="preserve">. This association has been </w:t>
      </w:r>
      <w:r w:rsidR="00214F44">
        <w:t>suggested in some studies</w:t>
      </w:r>
      <w:r w:rsidR="00402913">
        <w:t xml:space="preserve"> (e.g.</w:t>
      </w:r>
      <w:r w:rsidR="00653E0C">
        <w:t>,</w:t>
      </w:r>
      <w:r w:rsidR="00402913">
        <w:t xml:space="preserve"> with</w:t>
      </w:r>
      <w:r w:rsidR="007B4742">
        <w:t xml:space="preserve"> “Alternate Healthy Eating Index” or</w:t>
      </w:r>
      <w:r w:rsidR="00402913">
        <w:t xml:space="preserve"> “Western diet”</w:t>
      </w:r>
      <w:r w:rsidR="009B660C">
        <w:t>)</w:t>
      </w:r>
      <w:r w:rsidR="00442EE4">
        <w:fldChar w:fldCharType="begin"/>
      </w:r>
      <w:r w:rsidR="00034C2C">
        <w:instrText xml:space="preserve"> ADDIN ZOTERO_ITEM CSL_CITATION {"citationID":"2hMyooE8","properties":{"formattedCitation":"\\super 8,51\\nosupersub{}","plainCitation":"8,51","noteIndex":0},"citationItems":[{"id":109,"uris":["http://zotero.org/users/4872814/items/LQN8F9R4"],"itemData":{"id":109,"type":"article-journal","abstract":"BACKGROUND: Maternal diet may influence outcomes of pregnancy and childhood, but data on correlates of food and nutrient intake during pregnancy are scarce.\nOBJECTIVE: To examine relationships between maternal characteristics and diet quality during the first trimester of pregnancy. Secondarily we examined associations of diet quality with pregnancy outcomes.\nMETHODS: As part of the ongoing US prospective cohort study Project Viva, we studied 1,777 women who completed a food frequency questionnaire during the first trimester of pregnancy. We used linear regression models to examine the relationships of maternal age, prepregnancy body mass index, parity, education, and race/ethnicity with dietary intake during pregnancy. We used the Alternate Healthy Eating Index, slightly modified for pregnancy (AHEI-P), to measure diet quality on a 90-point scale with each of the following nine components contributing 10 possible points: vegetables, fruit, ratio of white to red meat, fiber, trans fat, ratio of polyunsaturated to saturated fatty acids, and folate, calcium, and iron from foods.\nRESULTS: Mean AHEI-P score was 61+/-10 (minimum 33, maximum 89). After adjusting for all characteristics simultaneously, participants who were older (1.3 points per 5 years, 95% confidence interval [CI] [0.7 to 1.8]) had better AHEI-P scores. Participants who had higher body mass index (-0.9 points per 5 kg/m(2), 95% CI [-1.3 to -0.4]), were less educated (-5.2 points for high school or less vs college graduate, 95% CI [-7.0 to -3.5]), and had more children (-1.5 points per child, 95% CI [-2.2 to -0.8]) had worse AHEI-P scores, but African-American and white participants had similar AHEI-P scores (1.3 points for African American vs white, 95% CI [-0.2 to 2.8]). Using multivariate adjusted models, each five points of first trimester AHEI-P was associated lower screening blood glucose level (beta -.64 [95% CI -0.02 to -1.25]). In addition, each five points of second trimester AHEI-P was associated with a slightly lower risk of developing preeclampsia (odds ratio 0.87 [95% CI 0.76 to 1.00]), but we did not observe this association with first trimester AHEI-P (odds ratio 0.96 [95% CI 0.84 to 1.10]).\nCONCLUSIONS: Pregnant women who were younger, less educated, had more children, and who had higher prepregnancy body mass index had poorer-quality diets. These results could be used to tailor nutrition education messages to pregnant women to avoid long-term sequelae from suboptimal maternal nutrition.","container-title":"Journal of the American Dietetic Association","DOI":"10.1016/j.jada.2009.03.001","ISSN":"1878-3570","issue":"6","journalAbbreviation":"J Am Diet Assoc","language":"eng","note":"PMID: 19465182\nPMCID: PMC4098830","page":"1004-1011","source":"PubMed","title":"Dietary quality during pregnancy varies by maternal characteristics in Project Viva: a US cohort","title-short":"Dietary quality during pregnancy varies by maternal characteristics in Project Viva","volume":"109","author":[{"family":"Rifas-Shiman","given":"Sheryl L."},{"family":"Rich-Edwards","given":"Janet W."},{"family":"Kleinman","given":"Ken P."},{"family":"Oken","given":"Emily"},{"family":"Gillman","given":"Matthew W."}],"issued":{"date-parts":[["2009",6]]}}},{"id":968,"uris":["http://zotero.org/users/4872814/items/QRSB62EB"],"itemData":{"id":968,"type":"article-journal","abstract":"Background: Characterization of dietary patterns represents a valid and meaningful measure of overall diet quality and nutrient intake. The study aims at evaluating the sociodemographic, lifestyle, environmental, and pregnancy-related determinants of maternal dietary patterns during pregnancy. Methods: The analysis was conducted on a group of pregnant women from the Polish Mother and Child Cohort (REPRO_PL). During the second trimester of pregnancy, 1306 women filled in a modified version of the validated food frequency questionnaire (FFQ). Dietary patterns were estimated using an exploratory factor analysis. Potential dietary determinants were assessed via a questionnaire or biomarker measurements (saliva cotinine level). Results: Two dietary patterns were identified. The Prudent dietary pattern was characterized by high consumption of fruit, vegetables, legumes, whole grains, poultry, and low-fat dairy products, while the Western dietary pattern included high intake of refined grains, processed meat, potatoes, and very low intake of whole grains. Clear sociodemographic, environmental, lifestyle, and pregnancy-related determinants of diet quality were established. Older age (β = 0.2; p &lt; 0.01), higher educational level (β = 0.3; p &lt; 0.01), and socioeconomic status (SES) (β = 0.2; p &lt; 0.01), overweight/obesity before (β = 0.3; p &lt; 0.01), as well as physical activity during pregnancy (β = 0.2; p = 0.01) were positive determinants of a healthier diet (increasing Prudent⁻Western difference in dietary pattern scores). On the other hand, parity (β = -0.2; p = 0.04) and living in small cities (β = -0.3; p = 0.02) were significantly related to a rather Western dietary pattern. Conclusions: The current study presents evidence on specific factors influencing dietary patterns. They need to be accounted for in educational programs and interventions focused on healthy diet recommendations during pregnancy.","container-title":"International Journal of Environmental Research and Public Health","DOI":"10.3390/ijerph16050754","ISSN":"1660-4601","issue":"5","journalAbbreviation":"Int J Environ Res Public Health","language":"eng","note":"PMID: 30832307\nPMCID: PMC6427254","source":"PubMed","title":"Sociodemographic, Lifestyle, Environmental and Pregnancy-Related Determinants of Dietary Patterns during Pregnancy","volume":"16","author":[{"family":"Wesołowska","given":"Ewelina"},{"family":"Jankowska","given":"Agnieszka"},{"family":"Trafalska","given":"Elżbieta"},{"family":"Kałużny","given":"Paweł"},{"family":"Grzesiak","given":"Mariusz"},{"family":"Dominowska","given":"Jolanta"},{"family":"Hanke","given":"Wojciech"},{"family":"Calamandrei","given":"Gemma"},{"family":"Polańska","given":"Kinga"}],"issued":{"date-parts":[["2019"]],"season":"02"}}}],"schema":"https://github.com/citation-style-language/schema/raw/master/csl-citation.json"} </w:instrText>
      </w:r>
      <w:r w:rsidR="00442EE4">
        <w:fldChar w:fldCharType="separate"/>
      </w:r>
      <w:r w:rsidR="00C52A16" w:rsidRPr="00C52A16">
        <w:rPr>
          <w:vertAlign w:val="superscript"/>
        </w:rPr>
        <w:t>8,51</w:t>
      </w:r>
      <w:r w:rsidR="00442EE4">
        <w:fldChar w:fldCharType="end"/>
      </w:r>
      <w:r w:rsidR="00402913">
        <w:t xml:space="preserve"> but </w:t>
      </w:r>
      <w:r w:rsidR="00214F44">
        <w:t>seem</w:t>
      </w:r>
      <w:r w:rsidR="0003690E">
        <w:t>s</w:t>
      </w:r>
      <w:r w:rsidR="00214F44">
        <w:t xml:space="preserve"> </w:t>
      </w:r>
      <w:r w:rsidR="00402913">
        <w:t xml:space="preserve">inconsistent </w:t>
      </w:r>
      <w:r w:rsidR="00214F44">
        <w:t>overall</w:t>
      </w:r>
      <w:r w:rsidR="009B660C">
        <w:t>.</w:t>
      </w:r>
      <w:r w:rsidR="00442EE4">
        <w:fldChar w:fldCharType="begin"/>
      </w:r>
      <w:r w:rsidR="00034C2C">
        <w:instrText xml:space="preserve"> ADDIN ZOTERO_ITEM CSL_CITATION {"citationID":"w38y5jrw","properties":{"formattedCitation":"\\super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442EE4">
        <w:fldChar w:fldCharType="separate"/>
      </w:r>
      <w:r w:rsidR="001F4356" w:rsidRPr="001F4356">
        <w:rPr>
          <w:vertAlign w:val="superscript"/>
        </w:rPr>
        <w:t>10</w:t>
      </w:r>
      <w:r w:rsidR="00442EE4">
        <w:fldChar w:fldCharType="end"/>
      </w:r>
      <w:r w:rsidR="005D61AD">
        <w:t xml:space="preserve"> </w:t>
      </w:r>
      <w:r w:rsidR="00056933">
        <w:t>We report null findings for maternal birthplace</w:t>
      </w:r>
      <w:r w:rsidR="001F16E9">
        <w:t>/</w:t>
      </w:r>
      <w:r w:rsidR="00056933">
        <w:t>ethnicity and both dietary scores before and during pregnancy</w:t>
      </w:r>
      <w:r w:rsidR="00154293">
        <w:t xml:space="preserve">, except with the DASH during pregnancy after adjustment </w:t>
      </w:r>
      <w:r w:rsidR="00527C93">
        <w:t xml:space="preserve">for </w:t>
      </w:r>
      <w:r w:rsidR="00154293">
        <w:t>energy intake and exclusion of participants with likely implausible energy intake</w:t>
      </w:r>
      <w:r w:rsidR="00056933">
        <w:t>.</w:t>
      </w:r>
      <w:r w:rsidR="00154293">
        <w:t xml:space="preserve"> This sensitivity analysis change</w:t>
      </w:r>
      <w:r w:rsidR="00A62A7A">
        <w:t>d slightly</w:t>
      </w:r>
      <w:r w:rsidR="00154293">
        <w:t xml:space="preserve"> </w:t>
      </w:r>
      <w:r w:rsidR="00A62A7A">
        <w:t>the effect for Generation R (remaining not associated in three out of five studies) and resulted in an overall effect which became significant. The literature is inconsistent in this regard,</w:t>
      </w:r>
      <w:r w:rsidR="00A62A7A">
        <w:fldChar w:fldCharType="begin"/>
      </w:r>
      <w:r w:rsidR="00034C2C">
        <w:instrText xml:space="preserve"> ADDIN ZOTERO_ITEM CSL_CITATION {"citationID":"8lQTOkMu","properties":{"formattedCitation":"\\super 49,52,53\\nosupersub{}","plainCitation":"49,52,53","noteIndex":0},"citationItems":[{"id":1425,"uris":["http://zotero.org/users/4872814/items/28QH9FAU"],"itemData":{"id":1425,"type":"article-journal","abstract":"Dietary patterns are sensitive to differences across socio-economic strata or cultural habits and may impact programing of diseases in later life. The purpose of this study was to identify distinct dietary patterns during pregnancy in the Mid-South using factor analysis. Furthermore, we aimed to analyze the differences in the food groups and in macro- and micronutrients among the different food patterns. The study was a cross-sectional analysis of 1155 pregnant women (mean age 26.5 ± 5.4 years; 62% African American, 35% Caucasian, 3% Other; and pre-pregnancy BMI 27.6 ± 7.5 kg/m(2)). Using food frequency questionnaire data collected from participants in the Conditions Affecting Neurocognitive Development and Learning in Early Childhood (CANDLE) study between 16 and 28 weeks of gestation, dietary patterns were identified using factor analysis. Three major dietary patterns, namely, Healthy, Processed, and US Southern were identified among pregnant women from the Mid-South. Further analysis of the three main patterns revealed four mixed dietary patterns, i.e., Healthy-Processed, Healthy-US Southern, Processed-US Southern, and overall Mixed. These dietary patterns were different (p &lt; 0.001) from each other in almost all the food items, macro- and micro nutrients and aligned across socioeconomic and racial groups. Our study describes unique dietary patterns in the Mid-South, consumed by a cohort of women enrolled in a prospective study examining the association of maternal nutritional factors during pregnancy that are known to affect brain and cognitive development by age 3.","container-title":"Nutrients","DOI":"10.3390/nu5051511","ISSN":"2072-6643","issue":"5","journalAbbreviation":"Nutrients","language":"eng","note":"PMID: 23645026\nPMCID: PMC3708333","page":"1511-1530","source":"PubMed","title":"Dietary patterns in pregnancy and effects on nutrient intake in the Mid-South: the Conditions Affecting Neurocognitive Development and Learning in Early Childhood (CANDLE) study","title-short":"Dietary patterns in pregnancy and effects on nutrient intake in the Mid-South","volume":"5","author":[{"family":"Völgyi","given":"Eszter"},{"family":"Carroll","given":"Kecia N."},{"family":"Hare","given":"Marion E."},{"family":"Ringwald-Smith","given":"Karen"},{"family":"Piyathilake","given":"Chandrika"},{"family":"Yoo","given":"Wonsuk"},{"family":"Tylavsky","given":"Frances A."}],"issued":{"date-parts":[["2013",5,3]]}}},{"id":1419,"uris":["http://zotero.org/users/4872814/items/73GFEYNT"],"itemData":{"id":1419,"type":"article-journal","abstract":"OBJECTIVE: To estimate the associations of individual maternal social capital and social capital dimensions (Participation in the Community, Feelings of Safety, Value of Life and Social Agency, Tolerance of Diversity) with adherence to the Mediterranean diet during pregnancy.\nDESIGN: This is a cross-sectional analysis of data from a prospective mother-child cohort (Rhea Study). Participants completed a social capital questionnaire and an FFQ in mid-pregnancy. Mediterranean diet adherence was evaluated through an a priori score ranging from 0 to 8 (minimal-maximal adherence). Maternal social capital scores were categorized into three groups: the upper 10 % was the high social capital group, the middle 80 % was the medium and the lowest 10 % was the low social capital group. Multivariable log-binomial and linear regression models adjusted for confounders were performed.\nSETTING: Heraklion, Crete, Greece.\nSUBJECTS: A total of 377 women with singleton pregnancies.\nRESULTS: High maternal Total Social Capital was associated with an increase of almost 1 point in Mediterranean diet score (highest v. lowest group: β coefficient=0·95, 95 % CI 0·23, 1·68), after adjustment for confounders. Similar dose-response effects were noted for the scale Tolerance of Diversity (highest v. lowest group: adjusted β coefficient=1·08, 95 % CI 0·39, 1·77).\nCONCLUSIONS: Individual social capital and tolerance of diversity are associated with adherence to the Mediterranean diet in pregnancy. Women with higher social capital may exhibit a higher sense of obligation to themselves and to others that may lead to proactive nutrition-related activities. Less tolerant women may not provide the opportunity to new healthier, but unfamiliar, nutritional recommendations to become part of their regular diet.","container-title":"Public Health Nutrition","DOI":"10.1017/S136898001400144X","ISSN":"1475-2727","issue":"7","journalAbbreviation":"Public Health Nutr","language":"eng","note":"PMID: 25089536","page":"1300-1307","source":"PubMed","title":"Social capital, tolerance of diversity and adherence to Mediterranean diet: the Rhea Mother-Child Cohort in Crete, Greece","title-short":"Social capital, tolerance of diversity and adherence to Mediterranean diet","volume":"18","author":[{"family":"Kritsotakis","given":"George"},{"family":"Chatzi","given":"Leda"},{"family":"Vassilaki","given":"Maria"},{"family":"Georgiou","given":"Vaggelis"},{"family":"Kogevinas","given":"Manolis"},{"family":"Philalithis","given":"Anastassios E."},{"family":"Koutis","given":"Antonis"}],"issued":{"date-parts":[["2015",5]]}}},{"id":1424,"uris":["http://zotero.org/users/4872814/items/RH6JPBIM"],"itemData":{"id":1424,"type":"article-journal","abstract":"OBJECTIVES: The aim of this study was to investigate food consumption during pregnancy by determining dietary patterns, associations with maternal characteristics, and possible changes in adherence to patterns throughout pregnancy.\nMETHODS: We prospectively followed two groups of pregnant women (N = 353) and collected, in each gestational trimester, two 24-h dietary recalls: one in person and another by telephone, with one of these recalls performed on a weekend or holiday. To determine the women's dietary patterns, principal component analysis was conducted using the combined data of groups and trimesters. The association between adherence to patterns and maternal characteristics was investigated using a logistic regression model, including covariates as potential confounders. Changes in adherence throughout the trimesters by the means difference test also were examined.\nRESULTS: Three dietary patterns were identified: traditional Brazilian; predominantly ultra-processed and beef; and whole grains, fruits, vegetables, low-fat milk, and dairy. Associations were found between adherence to patterns and not working outside the home, not being white, being younger, not living with a partner, drinking alcohol before pregnancy, years of formal education, and socioeconomic classification. Adherence to the traditional Brazilian pattern increased as gestational trimesters advanced, whereas the pattern that included whole grains, fruits, vegetables, low-fat milk, and milk derivatives decreased from the first to the second gestational trimester.\nCONCLUSION: We found associations between maternal sociodemographic characteristics and adherence to different dietary patterns, as well as changes in adherence during pregnancy. This knowledge is relevant to creating specific and feasible guidelines for different population strata associated with the patterns.","container-title":"Nutrition (Burbank, Los Angeles County, Calif.)","DOI":"10.1016/j.nut.2018.10.036","ISSN":"1873-1244","journalAbbreviation":"Nutrition","language":"eng","note":"PMID: 30856399","page":"85-92","source":"PubMed","title":"Adherence to dietary patterns during pregnancy and association with maternal characteristics in pregnant Brazilian women","volume":"62","author":[{"family":"Gomes","given":"Caroline Barros"},{"family":"Malta","given":"Maíra Barreto"},{"family":"Papini","given":"Sílvia Justina"},{"family":"Benício","given":"Maria Helena D'Aquino"},{"family":"Corrente","given":"José Eduardo"},{"family":"Carvalhaes","given":"Maria Antonieta Barros Leite"}],"issued":{"date-parts":[["2019",6]]}}}],"schema":"https://github.com/citation-style-language/schema/raw/master/csl-citation.json"} </w:instrText>
      </w:r>
      <w:r w:rsidR="00A62A7A">
        <w:fldChar w:fldCharType="separate"/>
      </w:r>
      <w:r w:rsidR="004520A9" w:rsidRPr="004520A9">
        <w:rPr>
          <w:vertAlign w:val="superscript"/>
        </w:rPr>
        <w:t>49,52,53</w:t>
      </w:r>
      <w:r w:rsidR="00A62A7A">
        <w:fldChar w:fldCharType="end"/>
      </w:r>
      <w:r w:rsidR="00A62A7A">
        <w:t xml:space="preserve"> and our </w:t>
      </w:r>
      <w:r w:rsidR="00A62A7A">
        <w:lastRenderedPageBreak/>
        <w:t>finding may be explained by the adjustment for other sociodemographic factors including maternal age, educational level or parity.</w:t>
      </w:r>
      <w:r w:rsidR="00A62A7A" w:rsidRPr="000441CA">
        <w:fldChar w:fldCharType="begin"/>
      </w:r>
      <w:r w:rsidR="00034C2C">
        <w:rPr>
          <w:highlight w:val="yellow"/>
        </w:rPr>
        <w:instrText xml:space="preserve"> ADDIN ZOTERO_ITEM CSL_CITATION {"citationID":"UoihXuCx","properties":{"formattedCitation":"\\super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A62A7A" w:rsidRPr="000441CA">
        <w:fldChar w:fldCharType="separate"/>
      </w:r>
      <w:r w:rsidR="00A62A7A" w:rsidRPr="001F4356">
        <w:rPr>
          <w:vertAlign w:val="superscript"/>
        </w:rPr>
        <w:t>10</w:t>
      </w:r>
      <w:r w:rsidR="00A62A7A" w:rsidRPr="000441CA">
        <w:fldChar w:fldCharType="end"/>
      </w:r>
      <w:r w:rsidR="00A62A7A">
        <w:t xml:space="preserve"> Moreover, the “non-European-born/non-white” group is not homogenous in the ALPHABET consortium and probably constituted of various ethnic groups. Last and already discussed in another article of the consortium,</w:t>
      </w:r>
      <w:r w:rsidR="00A62A7A">
        <w:fldChar w:fldCharType="begin"/>
      </w:r>
      <w:r w:rsidR="003E28E4">
        <w:instrText xml:space="preserve"> ADDIN ZOTERO_ITEM CSL_CITATION {"citationID":"tjwINLtY","properties":{"formattedCitation":"\\super 19\\nosupersub{}","plainCitation":"19","noteIndex":0},"citationItems":[{"id":1397,"uris":["http://zotero.org/users/4872814/items/Z4NEDEWD"],"itemData":{"id":1397,"type":"article-journal","abstract":"BACKGROUND: Mounting evidence suggests that maternal diet influences pregnancy and birth outcomes, but its contribution to the global epidemic of childhood obesity has not as yet been definitively characterized. We investigated whether maternal whole diet quality and inflammatory potential influence childhood adiposity.\nMETHODS: We harmonized and pooled individual participant data from 16,295 mother-child pairs in seven European birth cohorts. Maternal pre-, early-, late-, and whole-pregnancy (any time during pregnancy) dietary quality and inflammatory potential assessed with the Dietary Approaches to Stop Hypertension (DASH) score and the energy-adjusted Dietary Inflammatory Index (E-DII™) score, respectively. Primary outcome was childhood overweight and obesity (OWOB) (age-and-sex-specific BMI z-score &gt; 85th percentile). Secondary outcomes were sum of skinfold thickness (SST), fat mass index (FMI) and fat-free mass index (FFMI). We used multivariable regression analyses (adjusting for maternal lifestyle and sociodemographic factors) to assess the associations of maternal DASH and E-DII scores with offspring adiposity outcomes in cohort-specific analyses, with subsequent random-effect meta-analyses.\nRESULTS: The study mothers had a mean (SD) age of 30.2 (4.6) years and a mean BMI of 23.4 (4.2) kg/m2. Higher early-pregnancy E-DII scores (more pro-inflammatory diet) tended to be associated with a higher odds of late-childhood [10.6 (1.2) years] OWOB [OR (95% CI) 1.09 (1.00, 1.19) per 1-SD E-DII score increase], whereas an inverse association was observed for late-pregnancy E-DII score and early-childhood [2.8 (0.3) years] OWOB [0.91 (0.83, 1.00)]. Higher maternal whole pregnancy DASH score (higher dietary quality) was associated with a lower odds of late-childhood OWOB [OR (95% CI) 0.92 (0.87, 0.98) per 1-SD DASH score increase]; associations were of similar magnitude for early and late-pregnancy [0.86 (0.72, 1.04) and 0.91 (0.85, 0.98), respectively]. These associations were robust in several sensitivity analyses and further adjustment for birth weight and childhood diet did not meaningfully alter the associations and conclusions. In two cohorts with available data, a higher whole pregnancy E-DII and lower DASH scores were associated with a lower late-childhood FFMI in males and a higher mid-childhood FMI in females (P interactions &lt; 0.10).\nCONCLUSIONS: A pro-inflammatory, low-quality maternal antenatal diet may adversely influence offspring body composition and OWOB risk, especially during late-childhood. Promoting an overall healthy and anti-inflammatory maternal dietary pattern may contribute to the prevention of childhood obesity, a complex health issue requiring multifaceted strategy.","container-title":"BMC medicine","DOI":"10.1186/s12916-021-01908-7","ISSN":"1741-7015","issue":"1","journalAbbreviation":"BMC Med","language":"eng","note":"PMID: 33612114\nPMCID: PMC7898733","page":"33","source":"PubMed","title":"Maternal dietary quality, inflammatory potential and childhood adiposity: an individual participant data pooled analysis of seven European cohorts in the ALPHABET consortium","title-short":"Maternal dietary quality, inflammatory potential and childhood adiposity","volume":"19","author":[{"family":"Chen","given":"Ling-Wei"},{"family":"Aubert","given":"Adrien M."},{"family":"Shivappa","given":"Nitin"},{"family":"Bernard","given":"Jonathan Y."},{"family":"Mensink-Bout","given":"Sara M."},{"family":"Geraghty","given":"Aisling A."},{"family":"Mehegan","given":"John"},{"family":"Suderman","given":"Matthew"},{"family":"Polanska","given":"Kinga"},{"family":"Hanke","given":"Wojciech"},{"family":"Jankowska","given":"Agnieszka"},{"family":"Relton","given":"Caroline L."},{"family":"Crozier","given":"Sarah R."},{"family":"Harvey","given":"Nicholas C."},{"family":"Cooper","given":"Cyrus"},{"family":"Hanson","given":"Mark"},{"family":"Godfrey","given":"Keith M."},{"family":"Gaillard","given":"Romy"},{"family":"Duijts","given":"Liesbeth"},{"family":"Heude","given":"Barbara"},{"family":"Hébert","given":"James R."},{"family":"McAuliffe","given":"Fionnuala M."},{"family":"Kelleher","given":"Cecily C."},{"family":"Phillips","given":"Catherine M."}],"issued":{"date-parts":[["2021",2,22]]}}}],"schema":"https://github.com/citation-style-language/schema/raw/master/csl-citation.json"} </w:instrText>
      </w:r>
      <w:r w:rsidR="00A62A7A">
        <w:fldChar w:fldCharType="separate"/>
      </w:r>
      <w:r w:rsidR="003E28E4" w:rsidRPr="003E28E4">
        <w:rPr>
          <w:vertAlign w:val="superscript"/>
        </w:rPr>
        <w:t>19</w:t>
      </w:r>
      <w:r w:rsidR="00A62A7A">
        <w:fldChar w:fldCharType="end"/>
      </w:r>
      <w:r w:rsidR="00A62A7A">
        <w:t xml:space="preserve"> the FFQs were mainly validated in European-born/White women (e.g., in Generation R), introducing potential heterogeneity and measurement error for non-European-born/non-White women.</w:t>
      </w:r>
    </w:p>
    <w:p w14:paraId="19940103" w14:textId="70501D89" w:rsidR="00DF5D27" w:rsidRDefault="00DA5367" w:rsidP="00E603A6">
      <w:pPr>
        <w:pStyle w:val="NoSpacing"/>
        <w:spacing w:line="480" w:lineRule="auto"/>
        <w:ind w:firstLine="708"/>
      </w:pPr>
      <w:r>
        <w:t>O</w:t>
      </w:r>
      <w:r w:rsidR="00C837F9">
        <w:t>besity, but not overweight, was associated with poorer diet</w:t>
      </w:r>
      <w:r w:rsidR="002217AB">
        <w:t>ary</w:t>
      </w:r>
      <w:r w:rsidR="00C837F9">
        <w:t xml:space="preserve"> quality during pregnancy but not </w:t>
      </w:r>
      <w:r w:rsidR="00527C93">
        <w:t xml:space="preserve">with </w:t>
      </w:r>
      <w:r w:rsidR="00C837F9">
        <w:t>the dietary inflammatory potential</w:t>
      </w:r>
      <w:r w:rsidR="001F16E9">
        <w:t>.</w:t>
      </w:r>
      <w:r w:rsidR="005A5A50">
        <w:t xml:space="preserve"> </w:t>
      </w:r>
      <w:r w:rsidR="00D10821">
        <w:t xml:space="preserve">In the literature, the association between diet and BMI categories has </w:t>
      </w:r>
      <w:r w:rsidR="009E2DEE">
        <w:t xml:space="preserve">already </w:t>
      </w:r>
      <w:r w:rsidR="00D10821">
        <w:t xml:space="preserve">been </w:t>
      </w:r>
      <w:r w:rsidR="009E2DEE">
        <w:t>presented as incons</w:t>
      </w:r>
      <w:r w:rsidR="00A94F59">
        <w:t>is</w:t>
      </w:r>
      <w:r w:rsidR="009E2DEE">
        <w:t>t</w:t>
      </w:r>
      <w:r w:rsidR="00A94F59">
        <w:t>e</w:t>
      </w:r>
      <w:r w:rsidR="009E2DEE">
        <w:t>nt.</w:t>
      </w:r>
      <w:r w:rsidR="00DA430F">
        <w:fldChar w:fldCharType="begin"/>
      </w:r>
      <w:r w:rsidR="00034C2C">
        <w:instrText xml:space="preserve"> ADDIN ZOTERO_ITEM CSL_CITATION {"citationID":"WtFcJGfR","properties":{"formattedCitation":"\\super 52,54,55\\nosupersub{}","plainCitation":"52,54,55","noteIndex":0},"citationItems":[{"id":1425,"uris":["http://zotero.org/users/4872814/items/28QH9FAU"],"itemData":{"id":1425,"type":"article-journal","abstract":"Dietary patterns are sensitive to differences across socio-economic strata or cultural habits and may impact programing of diseases in later life. The purpose of this study was to identify distinct dietary patterns during pregnancy in the Mid-South using factor analysis. Furthermore, we aimed to analyze the differences in the food groups and in macro- and micronutrients among the different food patterns. The study was a cross-sectional analysis of 1155 pregnant women (mean age 26.5 ± 5.4 years; 62% African American, 35% Caucasian, 3% Other; and pre-pregnancy BMI 27.6 ± 7.5 kg/m(2)). Using food frequency questionnaire data collected from participants in the Conditions Affecting Neurocognitive Development and Learning in Early Childhood (CANDLE) study between 16 and 28 weeks of gestation, dietary patterns were identified using factor analysis. Three major dietary patterns, namely, Healthy, Processed, and US Southern were identified among pregnant women from the Mid-South. Further analysis of the three main patterns revealed four mixed dietary patterns, i.e., Healthy-Processed, Healthy-US Southern, Processed-US Southern, and overall Mixed. These dietary patterns were different (p &lt; 0.001) from each other in almost all the food items, macro- and micro nutrients and aligned across socioeconomic and racial groups. Our study describes unique dietary patterns in the Mid-South, consumed by a cohort of women enrolled in a prospective study examining the association of maternal nutritional factors during pregnancy that are known to affect brain and cognitive development by age 3.","container-title":"Nutrients","DOI":"10.3390/nu5051511","ISSN":"2072-6643","issue":"5","journalAbbreviation":"Nutrients","language":"eng","note":"PMID: 23645026\nPMCID: PMC3708333","page":"1511-1530","source":"PubMed","title":"Dietary patterns in pregnancy and effects on nutrient intake in the Mid-South: the Conditions Affecting Neurocognitive Development and Learning in Early Childhood (CANDLE) study","title-short":"Dietary patterns in pregnancy and effects on nutrient intake in the Mid-South","volume":"5","author":[{"family":"Völgyi","given":"Eszter"},{"family":"Carroll","given":"Kecia N."},{"family":"Hare","given":"Marion E."},{"family":"Ringwald-Smith","given":"Karen"},{"family":"Piyathilake","given":"Chandrika"},{"family":"Yoo","given":"Wonsuk"},{"family":"Tylavsky","given":"Frances A."}],"issued":{"date-parts":[["2013",5,3]]}}},{"id":1423,"uris":["http://zotero.org/users/4872814/items/2S9D66LC"],"itemData":{"id":1423,"type":"article-journal","abstract":"OBJECTIVE: To assess differences in the Healthy Eating Index (HEI) during pregnancy with the pre-gravid and gravid weight status of women.\nDESIGN: Cross-sectional.\nSETTING: Athens, Greece.\nSUBJECTS: One hundred pregnant women, inhabitants of Athens.\nRESULTS: The mean raw HEI score of the sample was 66·9 (sd 7·6) and the mean HEI adjusted for energy intake was 66·9 (sd 0·6). No difference was recorded between the adjusted HEI and different gravidities, the embryo's sex, different income categories or education. When HEI was categorised as low, average and adequate, living in an urban residence increased the odds for demonstrating low HEI score (OR = 10·231, 95 % CI 1·300, 80·487). HEI score during pregnancy was significantly higher in participants who were either pre-gravidly underweight or of normal body weight (BW). In relation to the gestational weight status, the highest HEI scores and protein intake were shown in the underweight and of normal BW participants compared with the obese. According to the simple correspondence analysis, adequate HEI was associated with rural residence and being underweight or having normal BW during pregnancy. Low HEI was associated with overweight and obesity during pregnancy, with obesity before pregnancy and living in an urban environment. HEI was negatively correlated to the pre-conceptional and gestational BMI (r = -0·298, P ≤ 0·003 and r = -0·345, P ≤ 0·001) and to the week of gestation (r = -0·285, P ≤ 0·004).\nCONCLUSIONS: Overall, the HEI of the sample was mediocre. Women who were underweight or of normal BW exhibited a better diet quality compared with obese women; thus the latter consist a population in greater need for supervised nutrition and dietary counselling during pregnancy.","container-title":"Public Health Nutrition","DOI":"10.1017/S1368980010001989","ISSN":"1475-2727","issue":"2","journalAbbreviation":"Public Health Nutr","language":"eng","note":"PMID: 20642871","page":"290-296","source":"PubMed","title":"Healthy Eating Index during pregnancy according to pre-gravid and gravid weight status","volume":"14","author":[{"family":"Tsigga","given":"Maria"},{"family":"Filis","given":"Vlasios"},{"family":"Hatzopoulou","given":"Konstantina"},{"family":"Kotzamanidis","given":"Charalambos"},{"family":"Grammatikopoulou","given":"Maria G."}],"issued":{"date-parts":[["2011",2]]}}},{"id":1422,"uris":["http://zotero.org/users/4872814/items/E38LJGDQ"],"itemData":{"id":1422,"type":"article-journal","abstract":"PURPOSE: Eating behaviours were assessed among pregnant women in a mid-sized Canadian city.\nMETHODS: As part of the Prenatal Health Project, we interviewed 2313 pregnant women in London, Ontario. Subjects also completed a food frequency questionnaire. Recruitment took place in ultrasound clinics at 10 to 22 weeks of gestation. The main outcome measures were number of daily servings for each food group, measured against the minimum number recommended by the 2007 Eating Well with Canada's Food Guide (CFG), the proportion of women consuming the recommended number of servings for each and all of the four food groups, and factors associated with adequate consumption. We also determined the number of servings of \"other foods.\" Analysis included descriptive statistics and logistic regression, all at p&lt;0.05.\nRESULTS: A total of 3.5% of women consumed the recommended number of servings for all four food groups; 15.3% did not consume the minimum number of servings of foods for any of the four food groups. Women for whom this was their first pregnancy were less likely to consume the recommended number of servings from all four food groups (odds ratio=0.41; confidence interval=0.23, 0.74).\nCONCLUSIONS: Very few pregnant women consumed food group servings consistent with the 2007 recommendations. Strategies to improve dietary behaviours must focus on the establishment of healthy eating behaviours among women of reproductive age.","container-title":"Canadian Journal of Dietetic Practice and Research: A Publication of Dietitians of Canada = Revue Canadienne De La Pratique Et De La Recherche En Dietetique: Une Publication Des Dietetistes Du Canada","DOI":"10.3148/73.2.2012.72","ISSN":"1486-3847","issue":"2","journalAbbreviation":"Can J Diet Pract Res","language":"eng","note":"PMID: 22668840","page":"72-77","source":"PubMed","title":"Inadequate dietary intakes among pregnant women","volume":"73","author":[{"family":"Fowler","given":"Jennifer K."},{"family":"Evers","given":"Susan E."},{"family":"Campbell","given":"M. Karen"}],"issued":{"date-parts":[["2012"]]}}}],"schema":"https://github.com/citation-style-language/schema/raw/master/csl-citation.json"} </w:instrText>
      </w:r>
      <w:r w:rsidR="00DA430F">
        <w:fldChar w:fldCharType="separate"/>
      </w:r>
      <w:r w:rsidR="004520A9" w:rsidRPr="004520A9">
        <w:rPr>
          <w:vertAlign w:val="superscript"/>
        </w:rPr>
        <w:t>52,54,55</w:t>
      </w:r>
      <w:r w:rsidR="00DA430F">
        <w:fldChar w:fldCharType="end"/>
      </w:r>
      <w:r w:rsidR="009E2DEE">
        <w:t xml:space="preserve"> Indeed</w:t>
      </w:r>
      <w:r w:rsidR="009B660C" w:rsidRPr="006D48A8">
        <w:t>,</w:t>
      </w:r>
      <w:r w:rsidR="007E6B2F">
        <w:t xml:space="preserve"> the relation between pre-pregnancy BMI and prenatal diet is difficult to interpret</w:t>
      </w:r>
      <w:r w:rsidR="00143B80">
        <w:t xml:space="preserve"> because BMI could be a determinant but also a</w:t>
      </w:r>
      <w:r w:rsidR="00602AAC">
        <w:t xml:space="preserve"> consequence</w:t>
      </w:r>
      <w:r w:rsidR="00143B80">
        <w:t xml:space="preserve"> of diet</w:t>
      </w:r>
      <w:r w:rsidR="0082047C">
        <w:t>ary</w:t>
      </w:r>
      <w:r w:rsidR="00143B80">
        <w:t xml:space="preserve"> quality.</w:t>
      </w:r>
      <w:r w:rsidR="009E2DEE">
        <w:fldChar w:fldCharType="begin"/>
      </w:r>
      <w:r w:rsidR="00034C2C">
        <w:instrText xml:space="preserve"> ADDIN ZOTERO_ITEM CSL_CITATION {"citationID":"SDCPPgl1","properties":{"formattedCitation":"\\super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9E2DEE">
        <w:fldChar w:fldCharType="separate"/>
      </w:r>
      <w:r w:rsidR="009E2DEE" w:rsidRPr="009E2DEE">
        <w:rPr>
          <w:vertAlign w:val="superscript"/>
        </w:rPr>
        <w:t>10</w:t>
      </w:r>
      <w:r w:rsidR="009E2DEE">
        <w:fldChar w:fldCharType="end"/>
      </w:r>
      <w:r w:rsidR="003B6B99">
        <w:t xml:space="preserve"> In addition, </w:t>
      </w:r>
      <w:r w:rsidR="00712AB6">
        <w:t xml:space="preserve">anthropometric </w:t>
      </w:r>
      <w:r w:rsidR="003B6B99">
        <w:t>measures were assessed at different time</w:t>
      </w:r>
      <w:r w:rsidR="002C4603">
        <w:t>s</w:t>
      </w:r>
      <w:r w:rsidR="003B6B99">
        <w:t xml:space="preserve"> </w:t>
      </w:r>
      <w:r w:rsidR="002C4603">
        <w:t>depending on the cohort</w:t>
      </w:r>
      <w:r w:rsidR="003B6B99">
        <w:t xml:space="preserve"> and self-report</w:t>
      </w:r>
      <w:r w:rsidR="002C4603">
        <w:t>ed</w:t>
      </w:r>
      <w:r w:rsidR="003B6B99">
        <w:t xml:space="preserve"> weight </w:t>
      </w:r>
      <w:r w:rsidR="002C4603">
        <w:t xml:space="preserve">is known to </w:t>
      </w:r>
      <w:r w:rsidR="003B6B99">
        <w:t xml:space="preserve">be </w:t>
      </w:r>
      <w:r w:rsidR="00211446">
        <w:t>subject</w:t>
      </w:r>
      <w:r w:rsidR="002C4603">
        <w:t xml:space="preserve"> to</w:t>
      </w:r>
      <w:r w:rsidR="005D3E27">
        <w:t xml:space="preserve"> misestimation</w:t>
      </w:r>
      <w:r w:rsidR="00270878">
        <w:t>,</w:t>
      </w:r>
      <w:r w:rsidR="00442EE4">
        <w:fldChar w:fldCharType="begin"/>
      </w:r>
      <w:r w:rsidR="00034C2C">
        <w:instrText xml:space="preserve"> ADDIN ZOTERO_ITEM CSL_CITATION {"citationID":"g6dN3iTf","properties":{"formattedCitation":"\\super 56\\nosupersub{}","plainCitation":"56","noteIndex":0},"citationItems":[{"id":971,"uris":["http://zotero.org/users/4872814/items/QQBHR9FJ"],"itemData":{"id":971,"type":"article-journal","abstract":"INTRODUCTION: The use of self-report as a strategy for collecting data on women's weight and height is widespread in both clinical practice and epidemiological studies. This study aimed to compare self-reported and directly measured weight and height among women of reproductive age.\nMATERIAL AND METHODS: In July 2015 we searched MEDLINE, EMBASE, COCHRANE, CINHAL, LILACS and gray literature. We included women of reproductive age (12-49 years old) independently of their weight or height at the time of the study. Women with any condition that implies regular tracking of their weight (for example, eating disorder) were excluded. Two reviewers independently selected, extracted and assessed the risk of bias of the studies. We used REVMAN 5.3 to perform the meta-analysis. Heterogeneity was assessed using the I2 statistic.\nRESULTS: Following eligibility assessment, 21 studies of 18 749 women met the inclusion criteria. The results of the meta-analysis showed an underestimation of weight by -0.94 kg (95% CI -1.17 to -0.71 kg; p &lt; 0.0001; I2  = 0%) in the overall sample and an overestimation of height by 0.36 cm (95% CI 0.20-0.51; p &lt; 0.0001; I2  = 35%) based on self-reported vs. directly measured values.\nCONCLUSION: This review shows that self-reported weight and height of women of reproductive age differs slightly from direct measures. We consider that the magnitude at which self-reported data over- or underestimates the real value, is negligible regarding clinical and research use.","container-title":"Acta Obstetricia Et Gynecologica Scandinavica","DOI":"10.1111/aogs.13326","ISSN":"1600-0412","issue":"4","journalAbbreviation":"Acta Obstet Gynecol Scand","language":"eng","note":"PMID: 29430640","page":"429-439","source":"PubMed","title":"Comparison of self-reported and directly measured weight and height among women of reproductive age: a systematic review and meta-analysis","title-short":"Comparison of self-reported and directly measured weight and height among women of reproductive age","volume":"97","author":[{"family":"Seijo","given":"Mariana"},{"family":"Minckas","given":"Nicole"},{"family":"Cormick","given":"Gabriela"},{"family":"Comandé","given":"Daniel"},{"family":"Ciapponi","given":"Agustín"},{"family":"BelizÁn","given":"José M."}],"issued":{"date-parts":[["2018",4]]}}}],"schema":"https://github.com/citation-style-language/schema/raw/master/csl-citation.json"} </w:instrText>
      </w:r>
      <w:r w:rsidR="00442EE4">
        <w:fldChar w:fldCharType="separate"/>
      </w:r>
      <w:r w:rsidR="004520A9" w:rsidRPr="004520A9">
        <w:rPr>
          <w:vertAlign w:val="superscript"/>
        </w:rPr>
        <w:t>56</w:t>
      </w:r>
      <w:r w:rsidR="00442EE4">
        <w:fldChar w:fldCharType="end"/>
      </w:r>
      <w:r w:rsidR="005D3E27">
        <w:t xml:space="preserve"> </w:t>
      </w:r>
      <w:r w:rsidR="003B6B99">
        <w:t xml:space="preserve">which could </w:t>
      </w:r>
      <w:r w:rsidR="005D3E27">
        <w:t>affect associations.</w:t>
      </w:r>
      <w:r w:rsidR="00F83F6D">
        <w:t xml:space="preserve"> </w:t>
      </w:r>
      <w:r w:rsidR="001025C8">
        <w:t>D</w:t>
      </w:r>
      <w:r w:rsidR="00F83F6D">
        <w:t xml:space="preserve">etrimental behaviours such as smoking during pregnancy </w:t>
      </w:r>
      <w:r w:rsidR="00325410">
        <w:t>has been associate</w:t>
      </w:r>
      <w:r w:rsidR="00ED5975">
        <w:t>d</w:t>
      </w:r>
      <w:r w:rsidR="00325410">
        <w:t xml:space="preserve"> with poorer diet</w:t>
      </w:r>
      <w:r w:rsidR="0082047C">
        <w:t>ary</w:t>
      </w:r>
      <w:r w:rsidR="00325410">
        <w:t xml:space="preserve"> </w:t>
      </w:r>
      <w:r w:rsidR="00442EE4" w:rsidRPr="0008624C">
        <w:t>quality</w:t>
      </w:r>
      <w:r w:rsidR="00DA430F">
        <w:t xml:space="preserve"> in several studies</w:t>
      </w:r>
      <w:r w:rsidR="00270878" w:rsidRPr="00DA430F">
        <w:t>.</w:t>
      </w:r>
      <w:r w:rsidR="00442EE4" w:rsidRPr="0008624C">
        <w:fldChar w:fldCharType="begin"/>
      </w:r>
      <w:r w:rsidR="00034C2C">
        <w:rPr>
          <w:highlight w:val="yellow"/>
        </w:rPr>
        <w:instrText xml:space="preserve"> ADDIN ZOTERO_ITEM CSL_CITATION {"citationID":"K0uMp0Zb","properties":{"formattedCitation":"\\super 49,57,58\\nosupersub{}","plainCitation":"49,57,58","noteIndex":0},"citationItems":[{"id":1424,"uris":["http://zotero.org/users/4872814/items/RH6JPBIM"],"itemData":{"id":1424,"type":"article-journal","abstract":"OBJECTIVES: The aim of this study was to investigate food consumption during pregnancy by determining dietary patterns, associations with maternal characteristics, and possible changes in adherence to patterns throughout pregnancy.\nMETHODS: We prospectively followed two groups of pregnant women (N = 353) and collected, in each gestational trimester, two 24-h dietary recalls: one in person and another by telephone, with one of these recalls performed on a weekend or holiday. To determine the women's dietary patterns, principal component analysis was conducted using the combined data of groups and trimesters. The association between adherence to patterns and maternal characteristics was investigated using a logistic regression model, including covariates as potential confounders. Changes in adherence throughout the trimesters by the means difference test also were examined.\nRESULTS: Three dietary patterns were identified: traditional Brazilian; predominantly ultra-processed and beef; and whole grains, fruits, vegetables, low-fat milk, and dairy. Associations were found between adherence to patterns and not working outside the home, not being white, being younger, not living with a partner, drinking alcohol before pregnancy, years of formal education, and socioeconomic classification. Adherence to the traditional Brazilian pattern increased as gestational trimesters advanced, whereas the pattern that included whole grains, fruits, vegetables, low-fat milk, and milk derivatives decreased from the first to the second gestational trimester.\nCONCLUSION: We found associations between maternal sociodemographic characteristics and adherence to different dietary patterns, as well as changes in adherence during pregnancy. This knowledge is relevant to creating specific and feasible guidelines for different population strata associated with the patterns.","container-title":"Nutrition (Burbank, Los Angeles County, Calif.)","DOI":"10.1016/j.nut.2018.10.036","ISSN":"1873-1244","journalAbbreviation":"Nutrition","language":"eng","note":"PMID: 30856399","page":"85-92","source":"PubMed","title":"Adherence to dietary patterns during pregnancy and association with maternal characteristics in pregnant Brazilian women","volume":"62","author":[{"family":"Gomes","given":"Caroline Barros"},{"family":"Malta","given":"Maíra Barreto"},{"family":"Papini","given":"Sílvia Justina"},{"family":"Benício","given":"Maria Helena D'Aquino"},{"family":"Corrente","given":"José Eduardo"},{"family":"Carvalhaes","given":"Maria Antonieta Barros Leite"}],"issued":{"date-parts":[["2019",6]]}}},{"id":1421,"uris":["http://zotero.org/users/4872814/items/IPTE6Z24"],"itemData":{"id":1421,"type":"article-journal","abstract":"OBJECTIVE: To identify dietary patterns in women who are planning immediate pregnancy in preconception, weeks 6, 10, 26 and 38 of pregnancy, and 6 months postpartum, and to describe how particular lifestyles, the body mass index (BMI) and sociodemographic factors are associated to these patterns.\nDESIGN: Longitudinal study throughout the reproductive cycle of food consumption carried out in a Spanish Mediterranean city.\nSETTING: Faculty of Medicine and Health Sciences, Rovira i Virgili University.\nSUBJECTS: In total, 80 healthy female volunteers who were planning immediate pregnancy.\nINTERVENTIONS: A seven-consecutive-day dietary record was used to evaluate the dietary intake. Exploratory factor analysis was used to identify the main dietary patterns in each of the periods. Fitted multiple linear regression models were used to study the associations between the lifestyle and sociodemographic variables, and each dietary pattern.\nRESULTS: The 'sweetened beverages and sugars' pattern was identified from preconception to 6 months postpartum and the 'vegetables and meat' pattern to the end of pregnancy. The 'sweetened beverages and sugars' pattern is positively associated with smoking and negatively associated with physical activity before conception and in the first trimester of pregnancy. The 'vegetables and meat' pattern is negatively associated with the BMI during the preconception period and positively associated with age in weeks 10 and 38 of pregnancy. It is shown that the patterns do not change significantly throughout the period studied.\nCONCLUSIONS: We have identified two stable dietary patterns from preconception to postpartum. The 'sweetened beverages and sugars' pattern is associated with habits of risk for the health of the pregnant woman and her offspring.\nSPONSORSHIP: 'Comisión Interministerial de Ciencia y Tecnología' (CICYT: ALI89-0388) and 'Instituto de Salud Carlos III', RCMN (C03/08), Madrid, Spain'.","container-title":"European Journal of Clinical Nutrition","DOI":"10.1038/sj.ejcn.1602324","ISSN":"0954-3007","issue":"3","journalAbbreviation":"Eur J Clin Nutr","language":"eng","note":"PMID: 16340954","page":"364-371","source":"PubMed","title":"Dietary patterns and associated lifestyles in preconception, pregnancy and postpartum","volume":"60","author":[{"family":"Cucó","given":"G."},{"family":"Fernández-Ballart","given":"J."},{"family":"Sala","given":"J."},{"family":"Viladrich","given":"C."},{"family":"Iranzo","given":"R."},{"family":"Vila","given":"J."},{"family":"Arija","given":"V."}],"issued":{"date-parts":[["2006",3]]}}},{"id":1420,"uris":["http://zotero.org/users/4872814/items/Z55EGR3F"],"itemData":{"id":1420,"type":"article-journal","abstract":"OBJECTIVES: To identify and describe dietary patterns in a cohort of pregnant women and investigate whether the dietary patterns are associated with dietary intake and sociodemographic factors.\nDESIGN: Mothers entering the Finnish Type 1 Diabetes Prediction and Prevention (DIPP) Nutrition Study in 1997-2002 were retrospectively asked to complete a food-frequency questionnaire concerning their diet during pregnancy. Principal components analysis was used to identify dietary patterns.\nSETTING: Finland.\nSUBJECTS: Subjects were 3730 women with a newborn infant carrying increased genetic susceptibility to type 1 diabetes mellitus.\nRESULTS: Seven factors were identified and named. Energy intake correlated positively with 'Healthy', 'Fast food', 'Traditional bread', 'Traditional meat' and 'Coffee' patterns and inversely with the 'Alcohol and butter' pattern. Intake of dietary fibre correlated positively with 'Healthy', 'Traditional bread' and 'Low-fat foods' patterns and inversely with the 'Alcohol and butter' pattern. The seven dietary patterns seemed to account for relatively large proportions of the variance in energy and nutrient intakes except for the intake of vitamin D, vitamin C, carotenoids and calcium. Maternal age and higher level of education were associated with higher scores on 'Healthy', 'Low-fat foods' and 'Alcohol and butter' patterns.\nCONCLUSION: Principal components analysis produced seven dietary patterns which may be useful for further research concerning maternal diet and health outcomes among both mothers and their offspring.","container-title":"Public Health Nutrition","DOI":"10.1017/S1368980007000420","ISSN":"1368-9800","issue":"2","journalAbbreviation":"Public Health Nutr","language":"eng","note":"PMID: 17610760","page":"176-182","source":"PubMed","title":"Seven distinct dietary patterns identified among pregnant Finnish women--associations with nutrient intake and sociodemographic factors","volume":"11","author":[{"family":"Arkkola","given":"Tuula"},{"family":"Uusitalo","given":"Ulla"},{"family":"Kronberg-Kippilä","given":"Carina"},{"family":"Männistö","given":"Satu"},{"family":"Virtanen","given":"Mikko"},{"family":"Kenward","given":"Michael G."},{"family":"Veijola","given":"Riitta"},{"family":"Knip","given":"Mikael"},{"family":"Ovaskainen","given":"Marja-Leena"},{"family":"Virtanen","given":"Suvi M."}],"issued":{"date-parts":[["2008",2]]}}}],"schema":"https://github.com/citation-style-language/schema/raw/master/csl-citation.json"} </w:instrText>
      </w:r>
      <w:r w:rsidR="00442EE4" w:rsidRPr="0008624C">
        <w:fldChar w:fldCharType="separate"/>
      </w:r>
      <w:r w:rsidR="004520A9" w:rsidRPr="004520A9">
        <w:rPr>
          <w:vertAlign w:val="superscript"/>
        </w:rPr>
        <w:t>49,57,58</w:t>
      </w:r>
      <w:r w:rsidR="00442EE4" w:rsidRPr="0008624C">
        <w:fldChar w:fldCharType="end"/>
      </w:r>
      <w:r w:rsidR="00325410">
        <w:t xml:space="preserve"> We also found smok</w:t>
      </w:r>
      <w:r w:rsidR="0035316B">
        <w:t xml:space="preserve">ing during pregnancy associated with </w:t>
      </w:r>
      <w:r w:rsidR="00A13FE0">
        <w:t xml:space="preserve">poorer </w:t>
      </w:r>
      <w:r w:rsidR="0035316B">
        <w:t>diet</w:t>
      </w:r>
      <w:r w:rsidR="009906CE">
        <w:t>ary</w:t>
      </w:r>
      <w:r w:rsidR="0035316B">
        <w:t xml:space="preserve"> quality</w:t>
      </w:r>
      <w:r w:rsidR="00A13FE0">
        <w:t xml:space="preserve"> </w:t>
      </w:r>
      <w:r w:rsidR="009906CE">
        <w:t>and</w:t>
      </w:r>
      <w:r w:rsidR="006B0789">
        <w:t xml:space="preserve"> a</w:t>
      </w:r>
      <w:r w:rsidR="009906CE">
        <w:t xml:space="preserve"> </w:t>
      </w:r>
      <w:r w:rsidR="00A13FE0">
        <w:t xml:space="preserve">more </w:t>
      </w:r>
      <w:r w:rsidR="005329B5">
        <w:t>proinflammatory</w:t>
      </w:r>
      <w:r w:rsidR="00A13FE0">
        <w:t xml:space="preserve"> </w:t>
      </w:r>
      <w:r w:rsidR="006B0789">
        <w:t>score</w:t>
      </w:r>
      <w:r w:rsidR="0035316B">
        <w:t xml:space="preserve">, for </w:t>
      </w:r>
      <w:r w:rsidR="00712AB6">
        <w:t xml:space="preserve">both </w:t>
      </w:r>
      <w:r w:rsidR="0035316B">
        <w:t xml:space="preserve">periods. </w:t>
      </w:r>
      <w:r w:rsidR="00263433">
        <w:t xml:space="preserve">Less commonly </w:t>
      </w:r>
      <w:r w:rsidR="00245682">
        <w:t>examined</w:t>
      </w:r>
      <w:r w:rsidR="00263433">
        <w:t>,</w:t>
      </w:r>
      <w:r w:rsidR="00263433">
        <w:fldChar w:fldCharType="begin"/>
      </w:r>
      <w:r w:rsidR="00034C2C">
        <w:instrText xml:space="preserve"> ADDIN ZOTERO_ITEM CSL_CITATION {"citationID":"35xSDedC","properties":{"formattedCitation":"\\super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263433">
        <w:fldChar w:fldCharType="separate"/>
      </w:r>
      <w:r w:rsidR="00263433" w:rsidRPr="00263433">
        <w:rPr>
          <w:vertAlign w:val="superscript"/>
        </w:rPr>
        <w:t>10</w:t>
      </w:r>
      <w:r w:rsidR="00263433">
        <w:fldChar w:fldCharType="end"/>
      </w:r>
      <w:r w:rsidR="00263433">
        <w:t xml:space="preserve"> m</w:t>
      </w:r>
      <w:r w:rsidR="0035316B">
        <w:t xml:space="preserve">aternal alcohol consumption was associated </w:t>
      </w:r>
      <w:r w:rsidR="00712AB6">
        <w:t>with the</w:t>
      </w:r>
      <w:r w:rsidR="0035316B">
        <w:t xml:space="preserve"> E-DII</w:t>
      </w:r>
      <w:r w:rsidR="00245682">
        <w:t xml:space="preserve">, but </w:t>
      </w:r>
      <w:r w:rsidR="00673497">
        <w:t>not the DASH score</w:t>
      </w:r>
      <w:r w:rsidR="0035316B">
        <w:t>,</w:t>
      </w:r>
      <w:r w:rsidR="00245682">
        <w:t xml:space="preserve"> and in different directions depending on the period (</w:t>
      </w:r>
      <w:r w:rsidR="0035316B">
        <w:t xml:space="preserve">positively at pre-pregnancy and negatively </w:t>
      </w:r>
      <w:r w:rsidR="00712AB6">
        <w:t xml:space="preserve">during </w:t>
      </w:r>
      <w:r w:rsidR="0035316B">
        <w:t>pregnancy</w:t>
      </w:r>
      <w:r w:rsidR="00245682">
        <w:t>)</w:t>
      </w:r>
      <w:r w:rsidR="0035316B">
        <w:t xml:space="preserve">. These </w:t>
      </w:r>
      <w:r w:rsidR="005D3E7D">
        <w:t xml:space="preserve">discrepancies might be explained by the methodological variations of when/how the </w:t>
      </w:r>
      <w:r w:rsidR="00993B28">
        <w:t xml:space="preserve">behaviour </w:t>
      </w:r>
      <w:r w:rsidR="005D3E7D">
        <w:t>was assessed, the inconsistency of association between alcohol consumption during pregnancy and sociodemographic variables</w:t>
      </w:r>
      <w:r w:rsidR="00270878">
        <w:t>,</w:t>
      </w:r>
      <w:r w:rsidR="00442EE4">
        <w:fldChar w:fldCharType="begin"/>
      </w:r>
      <w:r w:rsidR="00034C2C">
        <w:instrText xml:space="preserve"> ADDIN ZOTERO_ITEM CSL_CITATION {"citationID":"vxFmvdAE","properties":{"formattedCitation":"\\super 59\\nosupersub{}","plainCitation":"59","noteIndex":0},"citationItems":[{"id":977,"uris":["http://zotero.org/users/4872814/items/5TLRKHRP"],"itemData":{"id":977,"type":"article-journal","abstract":"Background\nMany pregnant women continue to drink alcohol despite clinical recommendations and public health campaigns about the risks associated with alcohol use during pregnancy. This review examines the predictors of prenatal alcohol use, with the long-term goal of developing more effective preventive efforts.\n\nMethods\nA literature search of several databases for relevant articles was undertaken. Studies were included if they occurred in the context of antenatal care, collected data during the woman's pregnancy (between 1999 and 2009), investigated predictors of any drinking, had a population-based orientation (e.g., did not focus only on high-risk drinkers), and were published in English in a scientific peer-reviewed journal between 1999 and 2009.\n\nResults\nFourteen studies published between 2002 and 2009 fulfilled the inclusion criteria (United States, 4; Europe, 4; Australia and New Zealand, 3; Japan, 2; and Uganda, 1). The predictors of prenatal alcohol use most consistently identified were prepregnancy alcohol consumption and having been abused or exposed to violence. Less consistent predictors of drinking during pregnancy were high income/social class and positive dependence screen. Unemployment, marital status, and education level were examined in many studies but found to be predictive only infrequently.\n\nConclusions\nWomen's prepregnancy alcohol consumption (i.e., quantity and frequency of typical drinking) and exposure to abuse or violence were consistently associated with drinking during pregnancy. Antenatal care providers should assess these factors for improved detection of women at risk for alcohol-exposed pregnancies.","container-title":"Journal of Women's Health","DOI":"10.1089/jwh.2010.2216","ISSN":"1540-9996","issue":"6","journalAbbreviation":"J Womens Health (Larchmt)","note":"PMID: 21671775\nPMCID: PMC3159119","page":"901-913","source":"PubMed Central","title":"Predictors of Drinking During Pregnancy: A Systematic Review","title-short":"Predictors of Drinking During Pregnancy","volume":"20","author":[{"family":"Skagerstróm","given":"Janna"},{"family":"Chang","given":"Grace"},{"family":"Nilsen","given":"Per"}],"issued":{"date-parts":[["2011",6]]}}}],"schema":"https://github.com/citation-style-language/schema/raw/master/csl-citation.json"} </w:instrText>
      </w:r>
      <w:r w:rsidR="00442EE4">
        <w:fldChar w:fldCharType="separate"/>
      </w:r>
      <w:r w:rsidR="004520A9" w:rsidRPr="004520A9">
        <w:rPr>
          <w:vertAlign w:val="superscript"/>
        </w:rPr>
        <w:t>59</w:t>
      </w:r>
      <w:r w:rsidR="00442EE4">
        <w:fldChar w:fldCharType="end"/>
      </w:r>
      <w:r w:rsidR="005D3E7D">
        <w:t xml:space="preserve"> and the </w:t>
      </w:r>
      <w:r w:rsidR="0038050C">
        <w:t xml:space="preserve">differences of </w:t>
      </w:r>
      <w:r w:rsidR="005D3E7D">
        <w:t>consumption between countries</w:t>
      </w:r>
      <w:r w:rsidR="00FD2927">
        <w:t xml:space="preserve"> and periods</w:t>
      </w:r>
      <w:r w:rsidR="00270878">
        <w:t>.</w:t>
      </w:r>
      <w:r w:rsidR="00442EE4">
        <w:fldChar w:fldCharType="begin"/>
      </w:r>
      <w:r w:rsidR="00034C2C">
        <w:instrText xml:space="preserve"> ADDIN ZOTERO_ITEM CSL_CITATION {"citationID":"0CvpxPZw","properties":{"formattedCitation":"\\super 60\\uc0\\u8211{}62\\nosupersub{}","plainCitation":"60–62","noteIndex":0},"citationItems":[{"id":107,"uris":["http://zotero.org/users/4872814/items/QNC4UMYJ"],"itemData":{"id":107,"type":"article-journal","abstract":"OBJECTIVES: To elucidate the research possibilities when merging data on maternal diet from the Danish National Birth Cohort (DNBC) and the Norwegian Mother and Child Cohort Study (MoBa), through comparison of (i) the methodology used for dietary assessment and (ii) the estimated intake of selected food groups in the two cohorts.\nDESIGN: Qualitative and quantitative comparison of the two dietary databases.\nSETTING: Two national prospective pregnancy cohorts.\nPOPULATION: Denmark, Norway.\nMETHODS: Comparison of food intake using food frequency questionnaires (FFQs).\nRESULTS: The FFQs had overlapping time windows and a majority of the questions in the two FFQs were comparable. Calculation principles shared similar features, including the software used and use of global questions to calibrate intakes of different food groups. A total of 63 food groups were defined that could be compared across the two cohorts; these were further aggregated down to 31 broader groups. A comparison of food intakes (grams/d) showed 39, 74 and 141% lower daily intakes of fish, potatoes and rice, respectively, in DNBC vs. MoBa and 39, 54 and 65% higher daily intakes of milk, butter and potatoes in DNBC vs. MoBa. For most other food groups, differences in consumption data were below 20%.\nCONCLUSIONS: The two FFQs are to a large extent compatible and substantial differences in dietary habits were observed between the two cohorts. This may strengthen studies using pooled analysis to examine diet-disease relations. This is a conclusion of great importance given the colossal and costly task involved to establish each of these two cohorts.","container-title":"Acta Obstetricia Et Gynecologica Scandinavica","DOI":"10.1111/aogs.12513","ISSN":"1600-0412","issue":"11","journalAbbreviation":"Acta Obstet Gynecol Scand","language":"eng","note":"PMID: 25250851","page":"1131-1140","source":"PubMed","title":"Possibilities and considerations when merging dietary data from the world's two largest pregnancy cohorts: the Danish National Birth Cohort and the Norwegian Mother and Child Cohort Study","title-short":"Possibilities and considerations when merging dietary data from the world's two largest pregnancy cohorts","volume":"93","author":[{"family":"Olsen","given":"Sjurdur F."},{"family":"Birgisdottir","given":"Bryndis Eva"},{"family":"Halldorsson","given":"Thorhallur I."},{"family":"Brantsaeter","given":"Anne Lise"},{"family":"Haugen","given":"Margaretha"},{"family":"Torjusen","given":"Hanne"},{"family":"Petersen","given":"Sesilje B."},{"family":"Strøm","given":"Marin"},{"family":"Meltzer","given":"Helle Margrete"}],"issued":{"date-parts":[["2014",11]]}}},{"id":974,"uris":["http://zotero.org/users/4872814/items/2K43BRVI"],"itemData":{"id":974,"type":"article-journal","abstract":"BACKGROUND: Alcohol use during pregnancy is the direct cause of fetal alcohol syndrome (FAS). We aimed to estimate the prevalence of alcohol use during pregnancy and FAS in the general population and, by linking these two indicators, estimate the number of pregnant women that consumed alcohol during pregnancy per one case of FAS.\nMETHODS: We began by doing two independent comprehensive systematic literature searches using multiple electronic databases for original quantitative studies that reported the prevalence in the general population of the respective country of alcohol use during pregnancy published from Jan 1, 1984, to June 30, 2014, or the prevalence of FAS published from Nov 1, 1973, to June 30, 2015, in a peer-reviewed journal or scholarly report. Each study on the prevalence of alcohol use during pregnancy was critically appraised using a checklist for observational studies, and each study on the prevalence of FAS was critically appraised by use of a method specifically designed for systematic reviews addressing questions of prevalence. Studies on the prevalence of alcohol use during pregnancy and/or FAS were omitted if they used a sample population not generalisable to the general population of the respective country, reported a pooled estimate by combining several studies, or were published in iteration. Studies that excluded abstainers were also omitted for the prevalence of alcohol use during pregnancy. We then did country-specific random-effects meta-analyses to estimate the pooled prevalence of these indicators. For countries with one or no empirical studies, we predicted prevalence of alcohol use during pregnancy using fractional response regression modelling and prevalence of FAS using a quotient of the average number of women who consumed alcohol during pregnancy per one case of FAS. We used Monte Carlo simulations to derive confidence intervals for the country-specific point estimates of the prevalence of FAS. We estimated WHO regional and global averages of the prevalence of alcohol use during pregnancy and FAS, weighted by the number of livebirths per country. The review protocols for the prevalence of alcohol use during pregnancy (CRD42016033835) and FAS (CRD42016033837) are available on PROSPERO.\nFINDINGS: Of 23 470 studies identified for the prevalence of alcohol use, 328 studies were retained for systematic review and meta-analysis; the search strategy for the prevalence of FAS yielded 11 110 studies, of which 62 were used in our analysis. The global prevalence of alcohol use during pregnancy was estimated to be 9·8% (95% CI 8·9-11·1) and the estimated prevalence of FAS in the general population was 14·6 per 10 000 people (95% CI 9·4-23·3). We also estimated that one in every 67 women who consumed alcohol during pregnancy would deliver a child with FAS, which translates to about 119 000 children born with FAS in the world every year.\nINTERPRETATION: Alcohol use during pregnancy is common in many countries and as such, FAS is a relatively prevalent alcohol-related birth defect. More effective prevention strategies targeting alcohol use during pregnancy and surveillance of FAS are urgently needed.\nFUNDING: Centre for Addiction and Mental Health (no external funding was sought).","container-title":"The Lancet. Global Health","DOI":"10.1016/S2214-109X(17)30021-9","ISSN":"2214-109X","issue":"3","journalAbbreviation":"Lancet Glob Health","language":"eng","note":"PMID: 28089487","page":"e290-e299","source":"PubMed","title":"Estimation of national, regional, and global prevalence of alcohol use during pregnancy and fetal alcohol syndrome: a systematic review and meta-analysis","title-short":"Estimation of national, regional, and global prevalence of alcohol use during pregnancy and fetal alcohol syndrome","volume":"5","author":[{"family":"Popova","given":"Svetlana"},{"family":"Lange","given":"Shannon"},{"family":"Probst","given":"Charlotte"},{"family":"Gmel","given":"Gerrit"},{"family":"Rehm","given":"Jürgen"}],"issued":{"date-parts":[["2017"]]}}},{"id":960,"uris":["http://zotero.org/users/4872814/items/U7D52ASN"],"itemData":{"id":960,"type":"article-journal","abstract":"BACKGROUND: Heavy episodic drinking (HED) is a frequent pattern of alcohol use in women of childbearing age with severe consequences for both women and child, making it a major public health issue. Some states in the US have reported laws that target the use of alcohol during pregnancy. Our aim was to examine the evolution of 12-month alcohol use and 12-month HED prevalence in childbearing age, pregnant and postpartum women between 2001 and 2002 and 2012-2013.\nMETHODS: Our data were drawn from the National Epidemiologic Study of Alcohol and Related Conditions (NESARC) conducted in 2001-2002 and NESARC-III conducted in 2012-2013, two independent, representative samples of U.S.\nPOPULATION: Past-year alcohol use and HED was evaluated according face-to-face interview for all participants.\nRESULTS: Our sample consisted of 24,536 women of childbearing age, including 2846 pregnant and postpartum women. Prevalence of 12-month alcohol use increased from 2001 to 2002 to 2012-2013, in both childbearing-aged women (66.14% to 75.48%; aOR = 1.62, 95%CI = 1.46-1.80) and pregnant and postpartum women (57.81% to 66.19%; aOR = 1.56, 95%CI = 1.25-1.94). Prevalence of 12-month HED increased from 2001 to 2002 to 2012-2013, in both childbearing-aged women (22.57% to 36.34%; aOR = 1.97, 95%CI = 1.79-2.16) and pregnant and postpartum women (17.85% to 28.21%; aOR = 1.84, 95%CI = 1.47-2.30).\nCONCLUSIONS: Alcohol use and HED increased in last 10 years in both childbearing age and pregnant and postpartum US women. That questions the impact of implemented laws, policies and alcohol guidelines in this population within the last 10 years.","container-title":"Addictive Behaviors","DOI":"10.1016/j.addbeh.2020.106389","ISSN":"1873-6327","journalAbbreviation":"Addict Behav","language":"eng","note":"PMID: 32244086","page":"106389","source":"PubMed","title":"Changes in alcohol use and heavy episodic drinking in U.S. Women of childbearing-age and peripartum between 2001-2002 and 2012-2013","volume":"107","author":[{"family":"Tebeka","given":"Sarah"},{"family":"De Premorel Higgons","given":"Alix"},{"family":"Dubertret","given":"Caroline"},{"family":"Le Strat","given":"Yann"}],"issued":{"date-parts":[["2020",3,9]]}}}],"schema":"https://github.com/citation-style-language/schema/raw/master/csl-citation.json"} </w:instrText>
      </w:r>
      <w:r w:rsidR="00442EE4">
        <w:fldChar w:fldCharType="separate"/>
      </w:r>
      <w:r w:rsidR="004520A9" w:rsidRPr="004520A9">
        <w:rPr>
          <w:vertAlign w:val="superscript"/>
        </w:rPr>
        <w:t>60–62</w:t>
      </w:r>
      <w:r w:rsidR="00442EE4">
        <w:fldChar w:fldCharType="end"/>
      </w:r>
      <w:r w:rsidR="00F21DDC">
        <w:t xml:space="preserve"> </w:t>
      </w:r>
      <w:r w:rsidR="00263433">
        <w:t>Last, a</w:t>
      </w:r>
      <w:r w:rsidR="00F21DDC">
        <w:t>lcohol consumption was dichotomized and these results could be different with information on the quantity.</w:t>
      </w:r>
      <w:r w:rsidR="00263433">
        <w:t xml:space="preserve"> Physical activity during pregnancy, already found </w:t>
      </w:r>
      <w:r w:rsidR="00E9335A">
        <w:t>to be</w:t>
      </w:r>
      <w:r w:rsidR="00263433">
        <w:t xml:space="preserve"> positively associated with diverse dietary quality scores,</w:t>
      </w:r>
      <w:r w:rsidR="00263433">
        <w:fldChar w:fldCharType="begin"/>
      </w:r>
      <w:r w:rsidR="00034C2C">
        <w:instrText xml:space="preserve"> ADDIN ZOTERO_ITEM CSL_CITATION {"citationID":"qbYX8kee","properties":{"formattedCitation":"\\super 57,63\\nosupersub{}","plainCitation":"57,63","noteIndex":0},"citationItems":[{"id":1421,"uris":["http://zotero.org/users/4872814/items/IPTE6Z24"],"itemData":{"id":1421,"type":"article-journal","abstract":"OBJECTIVE: To identify dietary patterns in women who are planning immediate pregnancy in preconception, weeks 6, 10, 26 and 38 of pregnancy, and 6 months postpartum, and to describe how particular lifestyles, the body mass index (BMI) and sociodemographic factors are associated to these patterns.\nDESIGN: Longitudinal study throughout the reproductive cycle of food consumption carried out in a Spanish Mediterranean city.\nSETTING: Faculty of Medicine and Health Sciences, Rovira i Virgili University.\nSUBJECTS: In total, 80 healthy female volunteers who were planning immediate pregnancy.\nINTERVENTIONS: A seven-consecutive-day dietary record was used to evaluate the dietary intake. Exploratory factor analysis was used to identify the main dietary patterns in each of the periods. Fitted multiple linear regression models were used to study the associations between the lifestyle and sociodemographic variables, and each dietary pattern.\nRESULTS: The 'sweetened beverages and sugars' pattern was identified from preconception to 6 months postpartum and the 'vegetables and meat' pattern to the end of pregnancy. The 'sweetened beverages and sugars' pattern is positively associated with smoking and negatively associated with physical activity before conception and in the first trimester of pregnancy. The 'vegetables and meat' pattern is negatively associated with the BMI during the preconception period and positively associated with age in weeks 10 and 38 of pregnancy. It is shown that the patterns do not change significantly throughout the period studied.\nCONCLUSIONS: We have identified two stable dietary patterns from preconception to postpartum. The 'sweetened beverages and sugars' pattern is associated with habits of risk for the health of the pregnant woman and her offspring.\nSPONSORSHIP: 'Comisión Interministerial de Ciencia y Tecnología' (CICYT: ALI89-0388) and 'Instituto de Salud Carlos III', RCMN (C03/08), Madrid, Spain'.","container-title":"European Journal of Clinical Nutrition","DOI":"10.1038/sj.ejcn.1602324","ISSN":"0954-3007","issue":"3","journalAbbreviation":"Eur J Clin Nutr","language":"eng","note":"PMID: 16340954","page":"364-371","source":"PubMed","title":"Dietary patterns and associated lifestyles in preconception, pregnancy and postpartum","volume":"60","author":[{"family":"Cucó","given":"G."},{"family":"Fernández-Ballart","given":"J."},{"family":"Sala","given":"J."},{"family":"Viladrich","given":"C."},{"family":"Iranzo","given":"R."},{"family":"Vila","given":"J."},{"family":"Arija","given":"V."}],"issued":{"date-parts":[["2006",3]]}}},{"id":1417,"uris":["http://zotero.org/users/4872814/items/ZTS5KC56"],"itemData":{"id":1417,"type":"article-journal","abstract":"OBJECTIVE: To investigate the association between pregravid weight status and diet quality.\nDESIGN: Institute of Medicine body mass index (BMI) cut-off points of 26.0-29.0 kg m- 2 for overweight and &gt;29 kg m- 2 for obese were used to categorise women's weight status. Dietary information was obtained by self-report at 26-28 weeks' gestation using a modified Block food-frequency questionnaire. The Diet Quality Index for Pregnancy (DQI-P) included: servings of grains, vegetables and fruits, folate, iron and calcium intake, percentage calories from fat, and meal pattern score. Multinomial logistic regression models were used to estimate the association between weight status and tertiles of DQI-P controlling for potential individual confounders.\nSETTING: A clinical-based population recruited through four prenatal clinics in central North Carolina.\nSUBJECTS: A total of 2394 women from the Pregnancy, Infection and Nutrition study were included in this analysis.\nRESULTS: Evidence of a dose-response relationship was found between BMI and inadequate servings of grains and vegetables, and iron and folate intake. Pregravid obesity was associated with 76% increased odds of falling into the lowest diet quality tertile compared with underweight women after controlling for potential confounders.\nCONCLUSION: A modest association was found between pregravid weight status and diet quality. If corroborated, these findings suggest that overweight pregnant women should be targeted for nutrition counselling interventions aimed to improve diet quality.","container-title":"Public Health Nutrition","DOI":"10.1017/S1368980007657991","ISSN":"1368-9800","issue":"9","journalAbbreviation":"Public Health Nutr","language":"eng","note":"PMID: 17381955","page":"920-926","source":"PubMed","title":"Pregravid body mass index is negatively associated with diet quality during pregnancy","volume":"10","author":[{"family":"Laraia","given":"Barbara A."},{"family":"Bodnar","given":"Lisa M."},{"family":"Siega-Riz","given":"Anna Maria"}],"issued":{"date-parts":[["2007",9]]}}}],"schema":"https://github.com/citation-style-language/schema/raw/master/csl-citation.json"} </w:instrText>
      </w:r>
      <w:r w:rsidR="00263433">
        <w:fldChar w:fldCharType="separate"/>
      </w:r>
      <w:r w:rsidR="004520A9" w:rsidRPr="004520A9">
        <w:rPr>
          <w:vertAlign w:val="superscript"/>
        </w:rPr>
        <w:t>57,63</w:t>
      </w:r>
      <w:r w:rsidR="00263433">
        <w:fldChar w:fldCharType="end"/>
      </w:r>
      <w:r w:rsidR="00263433">
        <w:t xml:space="preserve"> was</w:t>
      </w:r>
      <w:r w:rsidR="002C1807">
        <w:t xml:space="preserve"> associated in this study with a better dietary</w:t>
      </w:r>
      <w:r w:rsidR="00263433">
        <w:t xml:space="preserve"> </w:t>
      </w:r>
      <w:r w:rsidR="002C1807">
        <w:t>quality and a higher anti-</w:t>
      </w:r>
      <w:r w:rsidR="002C1807">
        <w:lastRenderedPageBreak/>
        <w:t xml:space="preserve">inflammatory potential during pregnancy. </w:t>
      </w:r>
      <w:r w:rsidR="006308DF">
        <w:t>Indeed, associations of low (vs high) physical activity level with diet</w:t>
      </w:r>
      <w:r w:rsidR="009F03A6">
        <w:t>ary</w:t>
      </w:r>
      <w:r w:rsidR="006308DF">
        <w:t xml:space="preserve"> scores during pregnancy were found in all cohorts (excluding Generation R without this information) but REPRO_PL. </w:t>
      </w:r>
    </w:p>
    <w:p w14:paraId="7E0BA5FD" w14:textId="534F11C4" w:rsidR="00BB2E7A" w:rsidRDefault="00712AB6" w:rsidP="00E603A6">
      <w:pPr>
        <w:pStyle w:val="NoSpacing"/>
        <w:spacing w:line="480" w:lineRule="auto"/>
        <w:ind w:firstLine="708"/>
      </w:pPr>
      <w:r>
        <w:t>Our dietary score</w:t>
      </w:r>
      <w:r w:rsidR="00993B28">
        <w:t>-</w:t>
      </w:r>
      <w:r>
        <w:t>specific findings</w:t>
      </w:r>
      <w:r w:rsidR="002C2C88">
        <w:t xml:space="preserve"> (e.g.</w:t>
      </w:r>
      <w:r w:rsidR="00993B28">
        <w:t>,</w:t>
      </w:r>
      <w:r w:rsidR="002C2C88">
        <w:t xml:space="preserve"> parity, maternal alcohol consumption during pregnancy)</w:t>
      </w:r>
      <w:r>
        <w:t xml:space="preserve"> </w:t>
      </w:r>
      <w:r w:rsidR="00F80DBB">
        <w:t>highlight potential benefits of</w:t>
      </w:r>
      <w:r>
        <w:t xml:space="preserve"> using </w:t>
      </w:r>
      <w:r w:rsidR="002C2C88">
        <w:t xml:space="preserve">complementary tools to </w:t>
      </w:r>
      <w:r w:rsidR="00A13FE0">
        <w:t xml:space="preserve">characterize </w:t>
      </w:r>
      <w:r w:rsidR="002C2C88">
        <w:t xml:space="preserve">diet </w:t>
      </w:r>
      <w:r w:rsidR="00A40724">
        <w:t>in nutritional epidemiological studies</w:t>
      </w:r>
      <w:r w:rsidR="002C2C88">
        <w:t xml:space="preserve">. </w:t>
      </w:r>
      <w:r w:rsidR="00F80DBB">
        <w:t>Furthermore</w:t>
      </w:r>
      <w:r w:rsidR="00361EC7">
        <w:t>,</w:t>
      </w:r>
      <w:r w:rsidR="00F80DBB">
        <w:t xml:space="preserve"> </w:t>
      </w:r>
      <w:r w:rsidR="002C2C88">
        <w:t>differences</w:t>
      </w:r>
      <w:r w:rsidR="000C2D88">
        <w:t xml:space="preserve"> between dietary scores</w:t>
      </w:r>
      <w:r w:rsidR="002C2C88">
        <w:t xml:space="preserve"> could also explain between-study discrepancies in determinants of </w:t>
      </w:r>
      <w:r w:rsidR="00361EC7">
        <w:t xml:space="preserve">dietary patterns and </w:t>
      </w:r>
      <w:r w:rsidR="002C2C88">
        <w:t>diet</w:t>
      </w:r>
      <w:r w:rsidR="009F03A6">
        <w:t>ary</w:t>
      </w:r>
      <w:r w:rsidR="002C2C88">
        <w:t xml:space="preserve"> quality, as revealed by the systematic review of Doyle et al.</w:t>
      </w:r>
      <w:r w:rsidR="00442EE4" w:rsidRPr="000C2D88">
        <w:rPr>
          <w:highlight w:val="yellow"/>
        </w:rPr>
        <w:fldChar w:fldCharType="begin"/>
      </w:r>
      <w:r w:rsidR="00034C2C">
        <w:rPr>
          <w:highlight w:val="yellow"/>
        </w:rPr>
        <w:instrText xml:space="preserve"> ADDIN ZOTERO_ITEM CSL_CITATION {"citationID":"jO16sBJK","properties":{"formattedCitation":"\\super 10\\nosupersub{}","plainCitation":"10","noteIndex":0},"citationItems":[{"id":108,"uris":["http://zotero.org/users/4872814/items/YNCXC8B7"],"itemData":{"id":108,"type":"article-journal","abstract":"OBJECTIVE: To identify determinants of diet in pregnancy, by detecting factors in our multiple-determinants life course framework that are associated with dietary patterns, quality or guideline adherence.\nDESIGN: A systematic review of observational studies, published in English or German, was conducted. Sociodemographic, lifestyle, environmental and pregnancy-related determinants were considered. Four electronic databases were searched in January 2015 and updated in April 2016 and a total of 4368 articles identified. Risk of bias was assessed using adapted Newcastle-Ottawa Scales.\nSETTING: High- and upper-middle-income countries.\nSUBJECTS: Pregnant or postpartum women reporting their dietary intake during pregnancy.\nRESULTS: Seventeen publications of twelve studies were included and compared narratively due to heterogeneity. Diet in pregnancy was patterned along a social gradient and aligned with other health behaviours before and during pregnancy. Few studies investigated the influence of the social and built environment and their findings were inconsistent. Except for parity, pregnancy determinants were rarely assessed even though pregnancy is a physiologically and psychologically unique period. Various less well-researched factors such as the role of ethnicity, pregnancy intendedness, pregnancy ailments and macro-level environment were identified that need to be studied in more detail.\nCONCLUSIONS: The framework was supported by the literature identified, but more research of sound methodology is needed in order to conclusively disentangle the interplay of the different determinants. Practitioners should be aware that pregnant women who are young, have a low education or do not follow general health advice appear to be at higher risk of inadequate dietary intake.","container-title":"Public Health Nutrition","DOI":"10.1017/S1368980016002937","ISSN":"1475-2727","issue":"6","journalAbbreviation":"Public Health Nutr","language":"eng","note":"PMID: 27852338","page":"1009-1028","source":"PubMed","title":"Determinants of dietary patterns and diet quality during pregnancy: a systematic review with narrative synthesis","title-short":"Determinants of dietary patterns and diet quality during pregnancy","volume":"20","author":[{"family":"Doyle","given":"Ina-Merle"},{"family":"Borrmann","given":"Brigitte"},{"family":"Grosser","given":"Angelique"},{"family":"Razum","given":"Oliver"},{"family":"Spallek","given":"Jacob"}],"issued":{"date-parts":[["2017",4]]}}}],"schema":"https://github.com/citation-style-language/schema/raw/master/csl-citation.json"} </w:instrText>
      </w:r>
      <w:r w:rsidR="00442EE4" w:rsidRPr="000C2D88">
        <w:rPr>
          <w:highlight w:val="yellow"/>
        </w:rPr>
        <w:fldChar w:fldCharType="separate"/>
      </w:r>
      <w:r w:rsidR="001F4356" w:rsidRPr="001F4356">
        <w:rPr>
          <w:vertAlign w:val="superscript"/>
        </w:rPr>
        <w:t>10</w:t>
      </w:r>
      <w:r w:rsidR="00442EE4" w:rsidRPr="000C2D88">
        <w:rPr>
          <w:highlight w:val="yellow"/>
        </w:rPr>
        <w:fldChar w:fldCharType="end"/>
      </w:r>
      <w:r w:rsidR="002C2C88">
        <w:t xml:space="preserve"> Three main points could explain the high heterogeneity of some of the presented results. First, the cohorts </w:t>
      </w:r>
      <w:r w:rsidR="00993B28">
        <w:t>represent different</w:t>
      </w:r>
      <w:r w:rsidR="002C2C88">
        <w:t xml:space="preserve"> </w:t>
      </w:r>
      <w:r w:rsidR="00993B28">
        <w:t xml:space="preserve">generational cohorts because </w:t>
      </w:r>
      <w:r w:rsidR="002C2C88">
        <w:t>recruitment periods ranged from 1990 to 2011; some behaviours including smoking status and alcohol consumption have evolved importantly over decades in some countries</w:t>
      </w:r>
      <w:r w:rsidR="00BA12B2">
        <w:t>.</w:t>
      </w:r>
      <w:r w:rsidR="00442EE4">
        <w:fldChar w:fldCharType="begin"/>
      </w:r>
      <w:r w:rsidR="00034C2C">
        <w:instrText xml:space="preserve"> ADDIN ZOTERO_ITEM CSL_CITATION {"citationID":"k3v37vvL","properties":{"formattedCitation":"\\super 60,62\\nosupersub{}","plainCitation":"60,62","noteIndex":0},"citationItems":[{"id":107,"uris":["http://zotero.org/users/4872814/items/QNC4UMYJ"],"itemData":{"id":107,"type":"article-journal","abstract":"OBJECTIVES: To elucidate the research possibilities when merging data on maternal diet from the Danish National Birth Cohort (DNBC) and the Norwegian Mother and Child Cohort Study (MoBa), through comparison of (i) the methodology used for dietary assessment and (ii) the estimated intake of selected food groups in the two cohorts.\nDESIGN: Qualitative and quantitative comparison of the two dietary databases.\nSETTING: Two national prospective pregnancy cohorts.\nPOPULATION: Denmark, Norway.\nMETHODS: Comparison of food intake using food frequency questionnaires (FFQs).\nRESULTS: The FFQs had overlapping time windows and a majority of the questions in the two FFQs were comparable. Calculation principles shared similar features, including the software used and use of global questions to calibrate intakes of different food groups. A total of 63 food groups were defined that could be compared across the two cohorts; these were further aggregated down to 31 broader groups. A comparison of food intakes (grams/d) showed 39, 74 and 141% lower daily intakes of fish, potatoes and rice, respectively, in DNBC vs. MoBa and 39, 54 and 65% higher daily intakes of milk, butter and potatoes in DNBC vs. MoBa. For most other food groups, differences in consumption data were below 20%.\nCONCLUSIONS: The two FFQs are to a large extent compatible and substantial differences in dietary habits were observed between the two cohorts. This may strengthen studies using pooled analysis to examine diet-disease relations. This is a conclusion of great importance given the colossal and costly task involved to establish each of these two cohorts.","container-title":"Acta Obstetricia Et Gynecologica Scandinavica","DOI":"10.1111/aogs.12513","ISSN":"1600-0412","issue":"11","journalAbbreviation":"Acta Obstet Gynecol Scand","language":"eng","note":"PMID: 25250851","page":"1131-1140","source":"PubMed","title":"Possibilities and considerations when merging dietary data from the world's two largest pregnancy cohorts: the Danish National Birth Cohort and the Norwegian Mother and Child Cohort Study","title-short":"Possibilities and considerations when merging dietary data from the world's two largest pregnancy cohorts","volume":"93","author":[{"family":"Olsen","given":"Sjurdur F."},{"family":"Birgisdottir","given":"Bryndis Eva"},{"family":"Halldorsson","given":"Thorhallur I."},{"family":"Brantsaeter","given":"Anne Lise"},{"family":"Haugen","given":"Margaretha"},{"family":"Torjusen","given":"Hanne"},{"family":"Petersen","given":"Sesilje B."},{"family":"Strøm","given":"Marin"},{"family":"Meltzer","given":"Helle Margrete"}],"issued":{"date-parts":[["2014",11]]}}},{"id":960,"uris":["http://zotero.org/users/4872814/items/U7D52ASN"],"itemData":{"id":960,"type":"article-journal","abstract":"BACKGROUND: Heavy episodic drinking (HED) is a frequent pattern of alcohol use in women of childbearing age with severe consequences for both women and child, making it a major public health issue. Some states in the US have reported laws that target the use of alcohol during pregnancy. Our aim was to examine the evolution of 12-month alcohol use and 12-month HED prevalence in childbearing age, pregnant and postpartum women between 2001 and 2002 and 2012-2013.\nMETHODS: Our data were drawn from the National Epidemiologic Study of Alcohol and Related Conditions (NESARC) conducted in 2001-2002 and NESARC-III conducted in 2012-2013, two independent, representative samples of U.S.\nPOPULATION: Past-year alcohol use and HED was evaluated according face-to-face interview for all participants.\nRESULTS: Our sample consisted of 24,536 women of childbearing age, including 2846 pregnant and postpartum women. Prevalence of 12-month alcohol use increased from 2001 to 2002 to 2012-2013, in both childbearing-aged women (66.14% to 75.48%; aOR = 1.62, 95%CI = 1.46-1.80) and pregnant and postpartum women (57.81% to 66.19%; aOR = 1.56, 95%CI = 1.25-1.94). Prevalence of 12-month HED increased from 2001 to 2002 to 2012-2013, in both childbearing-aged women (22.57% to 36.34%; aOR = 1.97, 95%CI = 1.79-2.16) and pregnant and postpartum women (17.85% to 28.21%; aOR = 1.84, 95%CI = 1.47-2.30).\nCONCLUSIONS: Alcohol use and HED increased in last 10 years in both childbearing age and pregnant and postpartum US women. That questions the impact of implemented laws, policies and alcohol guidelines in this population within the last 10 years.","container-title":"Addictive Behaviors","DOI":"10.1016/j.addbeh.2020.106389","ISSN":"1873-6327","journalAbbreviation":"Addict Behav","language":"eng","note":"PMID: 32244086","page":"106389","source":"PubMed","title":"Changes in alcohol use and heavy episodic drinking in U.S. Women of childbearing-age and peripartum between 2001-2002 and 2012-2013","volume":"107","author":[{"family":"Tebeka","given":"Sarah"},{"family":"De Premorel Higgons","given":"Alix"},{"family":"Dubertret","given":"Caroline"},{"family":"Le Strat","given":"Yann"}],"issued":{"date-parts":[["2020",3,9]]}}}],"schema":"https://github.com/citation-style-language/schema/raw/master/csl-citation.json"} </w:instrText>
      </w:r>
      <w:r w:rsidR="00442EE4">
        <w:fldChar w:fldCharType="separate"/>
      </w:r>
      <w:r w:rsidR="004520A9" w:rsidRPr="004520A9">
        <w:rPr>
          <w:vertAlign w:val="superscript"/>
        </w:rPr>
        <w:t>60,62</w:t>
      </w:r>
      <w:r w:rsidR="00442EE4">
        <w:fldChar w:fldCharType="end"/>
      </w:r>
      <w:r w:rsidR="002C2C88">
        <w:t xml:space="preserve"> </w:t>
      </w:r>
      <w:r w:rsidR="00F80DBB">
        <w:t>Second,</w:t>
      </w:r>
      <w:r w:rsidR="00993B28">
        <w:t xml:space="preserve"> </w:t>
      </w:r>
      <w:r w:rsidR="00726E73">
        <w:t>d</w:t>
      </w:r>
      <w:r w:rsidR="00D35473">
        <w:t xml:space="preserve">ifferences </w:t>
      </w:r>
      <w:r w:rsidR="00F80DBB">
        <w:t>in maternal</w:t>
      </w:r>
      <w:r w:rsidR="002C2C88">
        <w:t xml:space="preserve"> sociodemographic characteristics </w:t>
      </w:r>
      <w:r w:rsidR="00D35473">
        <w:t>including</w:t>
      </w:r>
      <w:r w:rsidR="002C2C88">
        <w:t xml:space="preserve"> age, educational level or birthplace/ethnicity </w:t>
      </w:r>
      <w:r w:rsidR="00F80DBB">
        <w:t xml:space="preserve">between cohorts </w:t>
      </w:r>
      <w:r w:rsidR="002C2C88">
        <w:t xml:space="preserve">highlight diverse populations. </w:t>
      </w:r>
      <w:r w:rsidR="00EF72F8">
        <w:t>Finally</w:t>
      </w:r>
      <w:r w:rsidR="002C2C88">
        <w:t xml:space="preserve">, some of the variability between cohorts can be explained by the methodological recall of some covariates. </w:t>
      </w:r>
      <w:r w:rsidR="00F80DBB">
        <w:t>H</w:t>
      </w:r>
      <w:r w:rsidR="002C2C88">
        <w:t>armoni</w:t>
      </w:r>
      <w:r w:rsidR="007B6C72">
        <w:t>s</w:t>
      </w:r>
      <w:r w:rsidR="00F80DBB">
        <w:t>ation of certain variables (e.g.</w:t>
      </w:r>
      <w:r w:rsidR="00653E0C">
        <w:t>,</w:t>
      </w:r>
      <w:r w:rsidR="002C2C88">
        <w:t xml:space="preserve"> educational level</w:t>
      </w:r>
      <w:r w:rsidR="007B6C72">
        <w:t>)</w:t>
      </w:r>
      <w:r w:rsidR="00442EE4">
        <w:fldChar w:fldCharType="begin"/>
      </w:r>
      <w:r w:rsidR="003E28E4">
        <w:instrText xml:space="preserve"> ADDIN ZOTERO_ITEM CSL_CITATION {"citationID":"AKGsXqk4","properties":{"formattedCitation":"\\super 41\\nosupersub{}","plainCitation":"41","noteIndex":0},"citationItems":[{"id":1273,"uris":["http://zotero.org/users/4872814/items/UD7B3DB6"],"itemData":{"id":1273,"type":"book","event-place":"Montreal, Quebec","ISBN":"978-92-9189-123-8","language":"en","note":"OCLC: 879578739","publisher":"UNESCO Institute for Statistics","publisher-place":"Montreal, Quebec","source":"Open WorldCat","title":"International standard classification of education: ISCED 2011","title-short":"International standard classification of education","URL":"http://uis.unesco.org/sites/default/files/documents/international-standard-classification-of-education-isced-2011-en.pdf","author":[{"literal":"UNESCO Institute for Statistics"}],"issued":{"date-parts":[["2012"]]}}}],"schema":"https://github.com/citation-style-language/schema/raw/master/csl-citation.json"} </w:instrText>
      </w:r>
      <w:r w:rsidR="00442EE4">
        <w:fldChar w:fldCharType="separate"/>
      </w:r>
      <w:r w:rsidR="003E28E4" w:rsidRPr="003E28E4">
        <w:rPr>
          <w:vertAlign w:val="superscript"/>
        </w:rPr>
        <w:t>41</w:t>
      </w:r>
      <w:r w:rsidR="00442EE4">
        <w:fldChar w:fldCharType="end"/>
      </w:r>
      <w:r w:rsidR="00F80DBB">
        <w:t xml:space="preserve"> is straightforward</w:t>
      </w:r>
      <w:r w:rsidR="007B6C72">
        <w:t>,</w:t>
      </w:r>
      <w:r w:rsidR="00F80DBB">
        <w:t xml:space="preserve"> whereas other</w:t>
      </w:r>
      <w:r w:rsidR="00993B28">
        <w:t xml:space="preserve"> </w:t>
      </w:r>
      <w:r w:rsidR="002C2C88">
        <w:t>maternal health and behavioural factors may differ between cohorts</w:t>
      </w:r>
      <w:r w:rsidR="00F80DBB">
        <w:t xml:space="preserve">, </w:t>
      </w:r>
      <w:r w:rsidR="002C2C88">
        <w:t>depending on</w:t>
      </w:r>
      <w:r w:rsidR="00F80DBB">
        <w:t xml:space="preserve"> timing</w:t>
      </w:r>
      <w:r w:rsidR="002C2C88">
        <w:t xml:space="preserve"> and how the questions were worded (e.g.</w:t>
      </w:r>
      <w:r w:rsidR="00993B28">
        <w:t>,</w:t>
      </w:r>
      <w:r w:rsidR="002C2C88">
        <w:t xml:space="preserve"> smoking status asked during the 1</w:t>
      </w:r>
      <w:r w:rsidR="002C2C88" w:rsidRPr="00CF5997">
        <w:rPr>
          <w:vertAlign w:val="superscript"/>
        </w:rPr>
        <w:t>st</w:t>
      </w:r>
      <w:r w:rsidR="002C2C88">
        <w:t xml:space="preserve"> or the 2</w:t>
      </w:r>
      <w:r w:rsidR="002C2C88" w:rsidRPr="00CF5997">
        <w:rPr>
          <w:vertAlign w:val="superscript"/>
        </w:rPr>
        <w:t>nd</w:t>
      </w:r>
      <w:r w:rsidR="002C2C88">
        <w:t xml:space="preserve"> trimester of pregnancy). However, using an individual participant data meta-analysis process in two-steps permits adjustment</w:t>
      </w:r>
      <w:r w:rsidR="00993B28">
        <w:t xml:space="preserve"> for</w:t>
      </w:r>
      <w:r w:rsidR="00F80DBB">
        <w:t xml:space="preserve"> </w:t>
      </w:r>
      <w:r w:rsidR="00993B28">
        <w:t xml:space="preserve">cohort effect </w:t>
      </w:r>
      <w:r w:rsidR="00F80DBB">
        <w:t>and</w:t>
      </w:r>
      <w:r w:rsidR="002C2C88">
        <w:t xml:space="preserve"> limits the impact of </w:t>
      </w:r>
      <w:r w:rsidR="00F80DBB">
        <w:t>such</w:t>
      </w:r>
      <w:r w:rsidR="002C2C88">
        <w:t xml:space="preserve"> variability on our results.</w:t>
      </w:r>
    </w:p>
    <w:p w14:paraId="7E4BFF3C" w14:textId="26E800F4" w:rsidR="005846B3" w:rsidRPr="00E603A6" w:rsidRDefault="005846B3" w:rsidP="00E603A6">
      <w:pPr>
        <w:pStyle w:val="Heading3"/>
        <w:spacing w:before="120"/>
        <w:rPr>
          <w:b w:val="0"/>
          <w:bCs w:val="0"/>
        </w:rPr>
      </w:pPr>
      <w:r w:rsidRPr="00E603A6">
        <w:rPr>
          <w:b w:val="0"/>
          <w:bCs w:val="0"/>
        </w:rPr>
        <w:t>Strengths and limitations</w:t>
      </w:r>
    </w:p>
    <w:p w14:paraId="5A044BFE" w14:textId="1B6960A6" w:rsidR="00745DA4" w:rsidRDefault="00ED5975" w:rsidP="00E603A6">
      <w:pPr>
        <w:pStyle w:val="NoSpacing"/>
        <w:spacing w:line="480" w:lineRule="auto"/>
      </w:pPr>
      <w:r>
        <w:t xml:space="preserve">The main strengths of this study </w:t>
      </w:r>
      <w:r w:rsidR="00245682">
        <w:t xml:space="preserve">include </w:t>
      </w:r>
      <w:r>
        <w:t xml:space="preserve">its </w:t>
      </w:r>
      <w:r w:rsidR="00133BE4" w:rsidRPr="0065621B">
        <w:t xml:space="preserve">large sample size </w:t>
      </w:r>
      <w:r w:rsidR="0003690E">
        <w:t xml:space="preserve">of </w:t>
      </w:r>
      <w:r>
        <w:t>&gt;</w:t>
      </w:r>
      <w:r w:rsidR="00133BE4" w:rsidRPr="0065621B">
        <w:t>2</w:t>
      </w:r>
      <w:r w:rsidR="00AF3413">
        <w:t>6</w:t>
      </w:r>
      <w:r w:rsidR="00133BE4" w:rsidRPr="0065621B">
        <w:t xml:space="preserve">,000 </w:t>
      </w:r>
      <w:r w:rsidR="00AC582F" w:rsidRPr="009434DE">
        <w:t>pregnant</w:t>
      </w:r>
      <w:r w:rsidR="00AC582F">
        <w:t xml:space="preserve"> </w:t>
      </w:r>
      <w:r w:rsidR="00133BE4" w:rsidRPr="0065621B">
        <w:t>women</w:t>
      </w:r>
      <w:r w:rsidR="0003690E">
        <w:t xml:space="preserve"> from</w:t>
      </w:r>
      <w:r w:rsidR="0056795E" w:rsidRPr="0065621B">
        <w:t xml:space="preserve"> seven cohorts </w:t>
      </w:r>
      <w:r w:rsidR="00245682">
        <w:t xml:space="preserve">conducted </w:t>
      </w:r>
      <w:r w:rsidR="0003690E">
        <w:t xml:space="preserve">in </w:t>
      </w:r>
      <w:r w:rsidR="0056795E" w:rsidRPr="0065621B">
        <w:t>five European countries,</w:t>
      </w:r>
      <w:r w:rsidR="0065621B" w:rsidRPr="0065621B">
        <w:t xml:space="preserve"> the availability of individual data which permits to proceed to an individual participant data meta-analysis with several common covariates</w:t>
      </w:r>
      <w:r w:rsidR="0065621B">
        <w:t>, and the consistency of the main results.</w:t>
      </w:r>
      <w:r w:rsidR="0056795E">
        <w:t xml:space="preserve"> </w:t>
      </w:r>
      <w:r w:rsidR="00993B28">
        <w:t>Despite its strengths, the study</w:t>
      </w:r>
      <w:r w:rsidR="00DB1301">
        <w:t xml:space="preserve"> </w:t>
      </w:r>
      <w:r w:rsidR="00245682">
        <w:t xml:space="preserve">has </w:t>
      </w:r>
      <w:r w:rsidR="00993B28">
        <w:lastRenderedPageBreak/>
        <w:t xml:space="preserve">limitations. </w:t>
      </w:r>
      <w:r w:rsidR="00BB2E7A">
        <w:t>D</w:t>
      </w:r>
      <w:r w:rsidR="00BB2E7A" w:rsidRPr="00D92812">
        <w:t>iet</w:t>
      </w:r>
      <w:r w:rsidR="005846B3">
        <w:t>ary</w:t>
      </w:r>
      <w:r w:rsidR="00BB2E7A" w:rsidRPr="00D92812">
        <w:t xml:space="preserve"> quality has been measured based on self-reported FFQs, </w:t>
      </w:r>
      <w:r w:rsidR="00F80DBB">
        <w:t xml:space="preserve">which are </w:t>
      </w:r>
      <w:r w:rsidR="00BB2E7A" w:rsidRPr="00D92812">
        <w:t xml:space="preserve">subject to </w:t>
      </w:r>
      <w:r w:rsidR="00B4663D">
        <w:t>recall</w:t>
      </w:r>
      <w:r w:rsidR="00B4663D" w:rsidRPr="00D92812">
        <w:t xml:space="preserve"> </w:t>
      </w:r>
      <w:r w:rsidR="00BB2E7A" w:rsidRPr="00D92812">
        <w:t>bias</w:t>
      </w:r>
      <w:r w:rsidR="00993B28">
        <w:t>es</w:t>
      </w:r>
      <w:r w:rsidR="00BB2E7A" w:rsidRPr="00D92812">
        <w:t>. However, most tools were validated within each cohort and</w:t>
      </w:r>
      <w:r w:rsidR="00DB1301">
        <w:t>,</w:t>
      </w:r>
      <w:r w:rsidR="00BB2E7A" w:rsidRPr="00D92812">
        <w:t xml:space="preserve"> as highlighted by Olsen et al.</w:t>
      </w:r>
      <w:r w:rsidR="00442EE4">
        <w:fldChar w:fldCharType="begin"/>
      </w:r>
      <w:r w:rsidR="00034C2C">
        <w:instrText xml:space="preserve"> ADDIN ZOTERO_ITEM CSL_CITATION {"citationID":"zdDzahuw","properties":{"formattedCitation":"\\super 60\\nosupersub{}","plainCitation":"60","noteIndex":0},"citationItems":[{"id":107,"uris":["http://zotero.org/users/4872814/items/QNC4UMYJ"],"itemData":{"id":107,"type":"article-journal","abstract":"OBJECTIVES: To elucidate the research possibilities when merging data on maternal diet from the Danish National Birth Cohort (DNBC) and the Norwegian Mother and Child Cohort Study (MoBa), through comparison of (i) the methodology used for dietary assessment and (ii) the estimated intake of selected food groups in the two cohorts.\nDESIGN: Qualitative and quantitative comparison of the two dietary databases.\nSETTING: Two national prospective pregnancy cohorts.\nPOPULATION: Denmark, Norway.\nMETHODS: Comparison of food intake using food frequency questionnaires (FFQs).\nRESULTS: The FFQs had overlapping time windows and a majority of the questions in the two FFQs were comparable. Calculation principles shared similar features, including the software used and use of global questions to calibrate intakes of different food groups. A total of 63 food groups were defined that could be compared across the two cohorts; these were further aggregated down to 31 broader groups. A comparison of food intakes (grams/d) showed 39, 74 and 141% lower daily intakes of fish, potatoes and rice, respectively, in DNBC vs. MoBa and 39, 54 and 65% higher daily intakes of milk, butter and potatoes in DNBC vs. MoBa. For most other food groups, differences in consumption data were below 20%.\nCONCLUSIONS: The two FFQs are to a large extent compatible and substantial differences in dietary habits were observed between the two cohorts. This may strengthen studies using pooled analysis to examine diet-disease relations. This is a conclusion of great importance given the colossal and costly task involved to establish each of these two cohorts.","container-title":"Acta Obstetricia Et Gynecologica Scandinavica","DOI":"10.1111/aogs.12513","ISSN":"1600-0412","issue":"11","journalAbbreviation":"Acta Obstet Gynecol Scand","language":"eng","note":"PMID: 25250851","page":"1131-1140","source":"PubMed","title":"Possibilities and considerations when merging dietary data from the world's two largest pregnancy cohorts: the Danish National Birth Cohort and the Norwegian Mother and Child Cohort Study","title-short":"Possibilities and considerations when merging dietary data from the world's two largest pregnancy cohorts","volume":"93","author":[{"family":"Olsen","given":"Sjurdur F."},{"family":"Birgisdottir","given":"Bryndis Eva"},{"family":"Halldorsson","given":"Thorhallur I."},{"family":"Brantsaeter","given":"Anne Lise"},{"family":"Haugen","given":"Margaretha"},{"family":"Torjusen","given":"Hanne"},{"family":"Petersen","given":"Sesilje B."},{"family":"Strøm","given":"Marin"},{"family":"Meltzer","given":"Helle Margrete"}],"issued":{"date-parts":[["2014",11]]}}}],"schema":"https://github.com/citation-style-language/schema/raw/master/csl-citation.json"} </w:instrText>
      </w:r>
      <w:r w:rsidR="00442EE4">
        <w:fldChar w:fldCharType="separate"/>
      </w:r>
      <w:r w:rsidR="004520A9" w:rsidRPr="004520A9">
        <w:rPr>
          <w:vertAlign w:val="superscript"/>
        </w:rPr>
        <w:t>60</w:t>
      </w:r>
      <w:r w:rsidR="00442EE4">
        <w:fldChar w:fldCharType="end"/>
      </w:r>
      <w:r w:rsidR="00BB2E7A" w:rsidRPr="00D92812">
        <w:t xml:space="preserve"> </w:t>
      </w:r>
      <w:r w:rsidR="00BB2E7A">
        <w:t>(</w:t>
      </w:r>
      <w:r w:rsidR="00BB2E7A" w:rsidRPr="00D92812">
        <w:t>when merging dietary data from the world’s two largest pregnancy cohorts</w:t>
      </w:r>
      <w:r w:rsidR="00BB2E7A">
        <w:t>)</w:t>
      </w:r>
      <w:r w:rsidR="00BB2E7A" w:rsidRPr="00D92812">
        <w:t xml:space="preserve">, tool differences could </w:t>
      </w:r>
      <w:r w:rsidR="00BB2E7A">
        <w:t>lead to some differences in food and nutrient intake estimates</w:t>
      </w:r>
      <w:r w:rsidR="00DB1301">
        <w:t>. However</w:t>
      </w:r>
      <w:r w:rsidR="00BB2E7A">
        <w:t xml:space="preserve">, these variations </w:t>
      </w:r>
      <w:r w:rsidR="005846B3">
        <w:t>w</w:t>
      </w:r>
      <w:r w:rsidR="00BB2E7A">
        <w:t>ould be systematic</w:t>
      </w:r>
      <w:r w:rsidR="005846B3">
        <w:t xml:space="preserve"> within each cohort</w:t>
      </w:r>
      <w:r w:rsidR="00BB2E7A">
        <w:t xml:space="preserve"> and adjust</w:t>
      </w:r>
      <w:r w:rsidR="005846B3">
        <w:t>ment</w:t>
      </w:r>
      <w:r w:rsidR="00BB2E7A">
        <w:t xml:space="preserve"> for this “cohort effect” in analyses might (at least partially) offset disparities. </w:t>
      </w:r>
      <w:r w:rsidR="00DB1301">
        <w:t>In addition, o</w:t>
      </w:r>
      <w:r w:rsidR="0065621B">
        <w:t xml:space="preserve">ur </w:t>
      </w:r>
      <w:r w:rsidR="00DB1301">
        <w:t xml:space="preserve">overall </w:t>
      </w:r>
      <w:r w:rsidR="0065621B">
        <w:t xml:space="preserve">population is </w:t>
      </w:r>
      <w:r w:rsidR="00245682">
        <w:t xml:space="preserve">mainly </w:t>
      </w:r>
      <w:r w:rsidR="0065621B">
        <w:t>composed of European-born/White women</w:t>
      </w:r>
      <w:r w:rsidR="00DB1301">
        <w:t xml:space="preserve">; </w:t>
      </w:r>
      <w:r w:rsidR="0065621B">
        <w:t>so</w:t>
      </w:r>
      <w:r w:rsidR="00DB1301">
        <w:t>,</w:t>
      </w:r>
      <w:r w:rsidR="0065621B">
        <w:t xml:space="preserve"> our results may </w:t>
      </w:r>
      <w:r w:rsidR="002C13DA">
        <w:t>only partly</w:t>
      </w:r>
      <w:r w:rsidR="0065621B">
        <w:t xml:space="preserve"> be generalizable to other populations. </w:t>
      </w:r>
      <w:r w:rsidR="00B6721C">
        <w:t xml:space="preserve">A final limitation is the observational design and measurement of the different </w:t>
      </w:r>
      <w:r w:rsidR="00CF340B">
        <w:t>predictors</w:t>
      </w:r>
      <w:r w:rsidR="00B6721C">
        <w:t xml:space="preserve"> at the same time as diet</w:t>
      </w:r>
      <w:r w:rsidR="009F03A6">
        <w:t>ary</w:t>
      </w:r>
      <w:r w:rsidR="00B6721C">
        <w:t xml:space="preserve"> quality. </w:t>
      </w:r>
    </w:p>
    <w:p w14:paraId="33FA3376" w14:textId="15C42692" w:rsidR="0065621B" w:rsidRDefault="00745DA4" w:rsidP="00E603A6">
      <w:pPr>
        <w:pStyle w:val="NoSpacing"/>
        <w:spacing w:line="480" w:lineRule="auto"/>
        <w:ind w:firstLine="708"/>
      </w:pPr>
      <w:r>
        <w:t xml:space="preserve">This work </w:t>
      </w:r>
      <w:r w:rsidR="006D0358">
        <w:t>may open important perspectives for research and in public health</w:t>
      </w:r>
      <w:r w:rsidR="006D0358" w:rsidRPr="00B43B83">
        <w:t>.</w:t>
      </w:r>
      <w:r w:rsidR="006D0358">
        <w:t xml:space="preserve"> Since </w:t>
      </w:r>
      <w:r w:rsidR="00B6721C">
        <w:t xml:space="preserve">our objective was to identify </w:t>
      </w:r>
      <w:r w:rsidR="006D0358">
        <w:t>predictors of maternal diet</w:t>
      </w:r>
      <w:r w:rsidR="009F03A6">
        <w:t>ary quality</w:t>
      </w:r>
      <w:r w:rsidR="006D0358">
        <w:t xml:space="preserve">, </w:t>
      </w:r>
      <w:r w:rsidR="00B6721C">
        <w:t xml:space="preserve">and not </w:t>
      </w:r>
      <w:r w:rsidR="00DB1301">
        <w:t xml:space="preserve">to </w:t>
      </w:r>
      <w:r w:rsidR="00B6721C">
        <w:t>determine causality</w:t>
      </w:r>
      <w:r w:rsidR="006D0358">
        <w:t>,</w:t>
      </w:r>
      <w:r w:rsidR="006D0358">
        <w:fldChar w:fldCharType="begin"/>
      </w:r>
      <w:r w:rsidR="00034C2C">
        <w:instrText xml:space="preserve"> ADDIN ZOTERO_ITEM CSL_CITATION {"citationID":"dKl3Y2Lv","properties":{"formattedCitation":"\\super 23\\nosupersub{}","plainCitation":"23","noteIndex":0},"citationItems":[{"id":1069,"uris":["http://zotero.org/users/4872814/items/3Y4EEG54"],"itemData":{"id":1069,"type":"article-journal","container-title":"CHANCE","DOI":"10.1080/09332480.2019.1579578","ISSN":"0933-2480","issue":"1","note":"publisher: Taylor &amp; Francis\n_eprint: https://doi.org/10.1080/09332480.2019.1579578","page":"42-49","source":"Taylor and Francis+NEJM","title":"A Second Chance to Get Causal Inference Right: A Classification of Data Science Tasks","title-short":"A Second Chance to Get Causal Inference Right","volume":"32","author":[{"family":"Hernán","given":"Miguel A."},{"family":"Hsu","given":"John"},{"family":"Healy","given":"Brian"}],"issued":{"date-parts":[["2019",1,2]]}}}],"schema":"https://github.com/citation-style-language/schema/raw/master/csl-citation.json"} </w:instrText>
      </w:r>
      <w:r w:rsidR="006D0358">
        <w:fldChar w:fldCharType="separate"/>
      </w:r>
      <w:r w:rsidR="006D0358" w:rsidRPr="00D73447">
        <w:rPr>
          <w:vertAlign w:val="superscript"/>
        </w:rPr>
        <w:t>23</w:t>
      </w:r>
      <w:r w:rsidR="006D0358">
        <w:fldChar w:fldCharType="end"/>
      </w:r>
      <w:r w:rsidR="006D0358">
        <w:t>future observational and interventional studies are needed to better decipher whether some of the identified predictors may be causal</w:t>
      </w:r>
      <w:r w:rsidR="004E7F8D">
        <w:t>, and understand the causal cascade at play</w:t>
      </w:r>
      <w:r w:rsidR="00DF5CF4">
        <w:t>.</w:t>
      </w:r>
      <w:r w:rsidR="006D0358">
        <w:t xml:space="preserve"> </w:t>
      </w:r>
      <w:r w:rsidR="00FE1877" w:rsidRPr="00FE1877">
        <w:t xml:space="preserve">Still, the estimates reported in our study are clinically meaningful: we </w:t>
      </w:r>
      <w:r w:rsidR="00FE1877">
        <w:t>found that low (vs high) education was associated with a 2.58-point decrease (i.e., 0.61-SD) and 0.66-point increase (i.e., 0.39-SD) in maternal pregnancy DASH and E-DII scores, respectively. Taking previous results from the ALPHABET consortium as an illustration, a 1-SD increase in the DASH (4.2 points) or decrease in the E-DII (1.7 points) has been found to be associated with a 13% and 18% lower risk of small-for-gestational risk, respectively.</w:t>
      </w:r>
      <w:r w:rsidR="00FE1877">
        <w:fldChar w:fldCharType="begin"/>
      </w:r>
      <w:r w:rsidR="00FE1877">
        <w:instrText xml:space="preserve"> ADDIN ZOTERO_ITEM CSL_CITATION {"citationID":"qdr0G9Tk","properties":{"formattedCitation":"\\super 18\\nosupersub{}","plainCitation":"18","noteIndex":0},"citationItems":[{"id":1400,"uris":["http://zotero.org/users/4872814/items/RK83XQ89"],"itemData":{"id":1400,"type":"article-journal","abstract":"BACKGROUND: Adverse birth outcomes are major causes of morbidity and mortality during childhood and associate with a higher risk of noncommunicable diseases in adult life. Maternal periconception and antenatal nutrition, mostly focusing on single nutrients or foods, has been shown to influence infant birth outcomes. However, evidence on whole diet that considers complex nutrient and food interaction is rare and conflicting. We aim to elucidate the influence of whole-diet maternal dietary inflammatory potential and quality during periconceptional and antenatal periods on birth outcomes.\nMETHODS AND FINDINGS: We harmonized and pooled individual participant data (IPD) from up to 24,861 mother-child pairs in 7 European mother-offspring cohorts [cohort name, country (recruitment dates): ALSPAC, UK (1 April 1991 to 31 December 1992); EDEN, France (27 January 2003 to 6 March 2006); Generation R, the Netherlands (1 April 2002 to 31 January 2006); Lifeways, Ireland (2 October 2001 to 4 April 2003); REPRO_PL, Poland (18 September 2007 to 16 December 2011); ROLO, Ireland (1 January 2007 to 1 January 2011); SWS, United Kingdom (6 April 1998 to 17 December 2002)]. Maternal diets were assessed preconceptionally (n = 2 cohorts) and antenatally (n = 7 cohorts). Maternal dietary inflammatory potential and quality were ranked using the energy-adjusted Dietary Inflammatory Index (E-DII) and Dietary Approaches to Stop Hypertension (DASH) index, respectively. Primary outcomes were birth weight and gestational age at birth. Adverse birth outcomes, i.e., low birth weight (LBW), macrosomia, small-for-gestational-age (SGA), large-for-gestational-age (LGA), preterm and postterm births were defined according to standard clinical cutoffs. Associations of maternal E-DII and DASH scores with infant birth outcomes were assessed using cohort-specific multivariable regression analyses (adjusted for confounders including maternal education, ethnicity, prepregnancy body mass index (BMI), maternal height, parity, cigarettes smoking, and alcohol consumption), with subsequent random-effects meta-analyses. Overall, the study mothers had a mean ± SD age of 29.5 ± 4.9 y at delivery and a mean BMI of 23.3 ± 4.2 kg/m2. Higher pregnancy DASH score (higher dietary quality) was associated with higher birth weight [β(95% CI) = 18.5(5.7, 31.3) g per 1-SD higher DASH score; P value = 0.005] and head circumference [0.03(0.01, 0.06) cm; P value = 0.004], longer birth length [0.05(0.01, 0.10) cm; P value = 0.010], and lower risk of delivering LBW [odds ratio (OR) (95% CI) = 0.89(0.82, 0.95); P value = 0.001] and SGA [0.87(0.82, 0.94); P value &lt; 0.001] infants. Higher maternal prepregnancy E-DII score (more pro-inflammatory diet) was associated with lower birth weight [β(95% CI) = -18.7(-34.8, -2.6) g per 1-SD higher E-DII score; P value = 0.023] and shorter birth length [-0.07(-0.14, -0.01) cm; P value = 0.031], whereas higher pregnancy E-DII score was associated with a shorter birth length [-0.06(-0.10, -0.01) cm; P value = 0.026] and higher risk of SGA [OR(95% CI) = 1.18(1.11, 1.26); P value &lt; 0.001]. In male, but not female, infants higher maternal prepregnancy E-DII was associated with lower birth weight and head circumference, shorter birth length, and higher risk of SGA (P-for-sex-interaction = 0.029, 0.059, 0.104, and 0.075, respectively). No consistent associations were observed for maternal E-DII and DASH scores with gestational age, preterm and postterm birth, or macrosomia and LGA. Limitations of this study were that self-reported dietary data might have increased nondifferential measurement error and that causality cannot be claimed definitely with observational design.\nCONCLUSIONS: In this cohort study, we observed that maternal diet that is of low quality and high inflammatory potential is associated with lower offspring birth size and higher risk of offspring being born SGA in this multicenter meta-analysis using harmonized IPD. Improving overall maternal dietary pattern based on predefined criteria may optimize fetal growth and avert substantial healthcare burden associated with adverse birth outcomes.","container-title":"PLoS medicine","DOI":"10.1371/journal.pmed.1003491","ISSN":"1549-1676","issue":"1","journalAbbreviation":"PLoS Med","language":"eng","note":"PMID: 33476335\nPMCID: PMC7819611","page":"e1003491","source":"PubMed","title":"Associations of maternal dietary inflammatory potential and quality with offspring birth outcomes: An individual participant data pooled analysis of 7 European cohorts in the ALPHABET consortium","title-short":"Associations of maternal dietary inflammatory potential and quality with offspring birth outcomes","volume":"18","author":[{"family":"Chen","given":"Ling-Wei"},{"family":"Aubert","given":"Adrien M."},{"family":"Shivappa","given":"Nitin"},{"family":"Bernard","given":"Jonathan Y."},{"family":"Mensink-Bout","given":"Sara M."},{"family":"Geraghty","given":"Aisling A."},{"family":"Mehegan","given":"John"},{"family":"Suderman","given":"Matthew"},{"family":"Polanska","given":"Kinga"},{"family":"Hanke","given":"Wojciech"},{"family":"Trafalska","given":"Elzbieta"},{"family":"Relton","given":"Caroline L."},{"family":"Crozier","given":"Sarah R."},{"family":"Harvey","given":"Nicholas C."},{"family":"Cooper","given":"Cyrus"},{"family":"Duijts","given":"Liesbeth"},{"family":"Heude","given":"Barbara"},{"family":"Hébert","given":"James R."},{"family":"McAuliffe","given":"Fionnuala M."},{"family":"Kelleher","given":"Cecily C."},{"family":"Phillips","given":"Catherine M."}],"issued":{"date-parts":[["2021",1]]}}}],"schema":"https://github.com/citation-style-language/schema/raw/master/csl-citation.json"} </w:instrText>
      </w:r>
      <w:r w:rsidR="00FE1877">
        <w:fldChar w:fldCharType="separate"/>
      </w:r>
      <w:r w:rsidR="00FE1877" w:rsidRPr="003E28E4">
        <w:rPr>
          <w:vertAlign w:val="superscript"/>
        </w:rPr>
        <w:t>18</w:t>
      </w:r>
      <w:r w:rsidR="00FE1877">
        <w:fldChar w:fldCharType="end"/>
      </w:r>
      <w:r w:rsidR="00FE1877">
        <w:t xml:space="preserve"> </w:t>
      </w:r>
      <w:r w:rsidR="006D0358">
        <w:t xml:space="preserve">However, </w:t>
      </w:r>
      <w:r w:rsidR="004E7F8D">
        <w:t xml:space="preserve">some of </w:t>
      </w:r>
      <w:r w:rsidR="00AD2B07">
        <w:t xml:space="preserve">the </w:t>
      </w:r>
      <w:r w:rsidR="004E7F8D">
        <w:t xml:space="preserve">potential </w:t>
      </w:r>
      <w:r w:rsidR="00AD2B07">
        <w:t xml:space="preserve">causal predictors </w:t>
      </w:r>
      <w:r w:rsidR="004E7F8D">
        <w:t>may not be directly modifiable</w:t>
      </w:r>
      <w:r w:rsidR="00D53A41">
        <w:t xml:space="preserve">, reason why the most important perspective </w:t>
      </w:r>
      <w:r w:rsidR="00AD2B07">
        <w:t>derived from our study is not about determining causality. Indeed, our work identify commonly available predictors consistently associated with maternal diet</w:t>
      </w:r>
      <w:r w:rsidR="00CA799F">
        <w:t>ary</w:t>
      </w:r>
      <w:r w:rsidR="00AD2B07">
        <w:t xml:space="preserve"> quality and dietary inflammation across European countries, which paves the way for large-scale dietary interventions targeting the women the most at-risk of having poorer diet before and during pregnancy. </w:t>
      </w:r>
      <w:r w:rsidR="001C3D52">
        <w:t>Because the different cohort studies</w:t>
      </w:r>
      <w:r w:rsidR="00F62BBC">
        <w:t xml:space="preserve"> included in the ALPHABET consortium</w:t>
      </w:r>
      <w:r w:rsidR="001C3D52">
        <w:t xml:space="preserve"> have </w:t>
      </w:r>
      <w:r w:rsidR="001C3D52">
        <w:lastRenderedPageBreak/>
        <w:t xml:space="preserve">been selected </w:t>
      </w:r>
      <w:r w:rsidR="001C3D52" w:rsidRPr="000903D3">
        <w:rPr>
          <w:i/>
        </w:rPr>
        <w:t>a priori</w:t>
      </w:r>
      <w:r w:rsidR="001C3D52">
        <w:t xml:space="preserve"> to </w:t>
      </w:r>
      <w:r w:rsidR="00F62BBC">
        <w:t xml:space="preserve">specifically </w:t>
      </w:r>
      <w:r w:rsidR="001C3D52">
        <w:t>investigate maternal dietary quality and inflammatory potential, and associations with child health and development,</w:t>
      </w:r>
      <w:r w:rsidR="00034C2C">
        <w:fldChar w:fldCharType="begin"/>
      </w:r>
      <w:r w:rsidR="00034C2C">
        <w:instrText xml:space="preserve"> ADDIN ZOTERO_ITEM CSL_CITATION {"citationID":"J3XkClno","properties":{"formattedCitation":"\\super 17\\nosupersub{}","plainCitation":"17","noteIndex":0},"citationItems":[{"id":96,"uris":["http://zotero.org/users/4872814/items/NI8YEVF7"],"itemData":{"id":96,"type":"article-journal","container-title":"Nutrients","DOI":"10.3390/nu11081873","issue":"8","source":"PubMed","title":"Dietary Inflammatory Index and Non-Communicable Disease Risk: A Narrative Review.","URL":"https://www.ncbi.nlm.nih.gov/pubmed/31408965","volume":"11","author":[{"family":"Phillips","given":"C.M."},{"family":"Chen","given":"L.W."},{"family":"Heude","given":"B."},{"family":"Bernard","given":"J.Y."},{"family":"Harvey","given":"N.C."},{"family":"Duijts","given":"L."},{"family":"Mensink-Bout","given":"S.M."},{"family":"Polanska","given":"K."},{"family":"Mancano","given":"G."},{"family":"Suderman","given":"M."},{"family":"Shivappa","given":"N."},{"family":"Hébert","given":"J.R."}],"accessed":{"date-parts":[["2019",9,19]]},"issued":{"date-parts":[["2019",8]]}}}],"schema":"https://github.com/citation-style-language/schema/raw/master/csl-citation.json"} </w:instrText>
      </w:r>
      <w:r w:rsidR="00034C2C">
        <w:fldChar w:fldCharType="separate"/>
      </w:r>
      <w:r w:rsidR="00034C2C" w:rsidRPr="00034C2C">
        <w:rPr>
          <w:vertAlign w:val="superscript"/>
        </w:rPr>
        <w:t>17</w:t>
      </w:r>
      <w:r w:rsidR="00034C2C">
        <w:fldChar w:fldCharType="end"/>
      </w:r>
      <w:r w:rsidR="001C3D52">
        <w:t xml:space="preserve"> results </w:t>
      </w:r>
      <w:r w:rsidR="0054751F">
        <w:t>must not be seen as deriving</w:t>
      </w:r>
      <w:r w:rsidR="001C3D52">
        <w:t xml:space="preserve"> from a systematic review of the literature. </w:t>
      </w:r>
      <w:r w:rsidR="006D2FAC">
        <w:t xml:space="preserve">Last, the use of an individual participant data meta-analysis </w:t>
      </w:r>
      <w:r w:rsidR="00547B94">
        <w:t>based on</w:t>
      </w:r>
      <w:r w:rsidR="006D2FAC">
        <w:t xml:space="preserve"> harmonized data yield</w:t>
      </w:r>
      <w:r w:rsidR="00547B94">
        <w:t>s</w:t>
      </w:r>
      <w:r w:rsidR="006D2FAC">
        <w:t xml:space="preserve"> more reliable and robust evidence than aggregate data meta-analysis.</w:t>
      </w:r>
      <w:r w:rsidR="00AA5BF5">
        <w:fldChar w:fldCharType="begin"/>
      </w:r>
      <w:r w:rsidR="003E28E4">
        <w:instrText xml:space="preserve"> ADDIN ZOTERO_ITEM CSL_CITATION {"citationID":"lI7x8KL9","properties":{"formattedCitation":"\\super 24\\nosupersub{}","plainCitation":"24","noteIndex":0},"citationItems":[{"id":1627,"uris":["http://zotero.org/users/4872814/items/BMPPJDW8"],"itemData":{"id":1627,"type":"article-journal","container-title":"BMJ (Clinical research ed.)","DOI":"10.1136/bmj.c221","ISSN":"1756-1833","journalAbbreviation":"BMJ","language":"eng","note":"PMID: 20139215","page":"c221","source":"PubMed","title":"Meta-analysis of individual participant data: rationale, conduct, and reporting","title-short":"Meta-analysis of individual participant data","volume":"340","author":[{"family":"Riley","given":"Richard D."},{"family":"Lambert","given":"Paul C."},{"family":"Abo-Zaid","given":"Ghada"}],"issued":{"date-parts":[["2010",2,5]]}}}],"schema":"https://github.com/citation-style-language/schema/raw/master/csl-citation.json"} </w:instrText>
      </w:r>
      <w:r w:rsidR="00AA5BF5">
        <w:fldChar w:fldCharType="separate"/>
      </w:r>
      <w:r w:rsidR="003E28E4" w:rsidRPr="003E28E4">
        <w:rPr>
          <w:vertAlign w:val="superscript"/>
        </w:rPr>
        <w:t>24</w:t>
      </w:r>
      <w:r w:rsidR="00AA5BF5">
        <w:fldChar w:fldCharType="end"/>
      </w:r>
    </w:p>
    <w:p w14:paraId="105A9202" w14:textId="77777777" w:rsidR="00E341A6" w:rsidRPr="00D56B4E" w:rsidRDefault="00E341A6" w:rsidP="00E603A6">
      <w:pPr>
        <w:pStyle w:val="Heading2"/>
        <w:spacing w:before="0" w:after="0" w:line="480" w:lineRule="auto"/>
        <w:rPr>
          <w:lang w:val="en-GB"/>
        </w:rPr>
      </w:pPr>
      <w:bookmarkStart w:id="16" w:name="_Toc534640652"/>
      <w:r w:rsidRPr="00D56B4E">
        <w:rPr>
          <w:lang w:val="en-GB"/>
        </w:rPr>
        <w:t>Conclusion</w:t>
      </w:r>
      <w:bookmarkEnd w:id="16"/>
    </w:p>
    <w:p w14:paraId="7582D8D0" w14:textId="152726D7" w:rsidR="00BA5A60" w:rsidRDefault="00FA7D46" w:rsidP="00E603A6">
      <w:pPr>
        <w:pStyle w:val="NoSpacing"/>
        <w:spacing w:line="480" w:lineRule="auto"/>
      </w:pPr>
      <w:r>
        <w:t xml:space="preserve">To our knowledge, this study is the largest meta-analysis </w:t>
      </w:r>
      <w:r w:rsidR="00E44EB9">
        <w:t xml:space="preserve">of the </w:t>
      </w:r>
      <w:r w:rsidR="001C3D52">
        <w:t>predictors</w:t>
      </w:r>
      <w:r w:rsidR="00E44EB9">
        <w:t xml:space="preserve"> of diet</w:t>
      </w:r>
      <w:r w:rsidR="00CA799F">
        <w:t>ary</w:t>
      </w:r>
      <w:r w:rsidR="00E44EB9">
        <w:t xml:space="preserve"> quality conducted in pregnant women enrolled in </w:t>
      </w:r>
      <w:r>
        <w:t>European mother-child cohorts</w:t>
      </w:r>
      <w:r w:rsidRPr="009434DE">
        <w:t xml:space="preserve">. </w:t>
      </w:r>
      <w:r w:rsidR="00F0360C">
        <w:t>Our findings may</w:t>
      </w:r>
      <w:r w:rsidR="00B17B7B">
        <w:t xml:space="preserve"> help</w:t>
      </w:r>
      <w:r w:rsidR="00995F72">
        <w:t xml:space="preserve"> health professionals </w:t>
      </w:r>
      <w:r w:rsidR="002A6806" w:rsidRPr="009434DE">
        <w:t>and</w:t>
      </w:r>
      <w:r w:rsidR="00995F72">
        <w:t xml:space="preserve"> policy makers</w:t>
      </w:r>
      <w:r w:rsidR="00B17B7B">
        <w:t xml:space="preserve"> </w:t>
      </w:r>
      <w:r w:rsidR="00527829">
        <w:t>identify</w:t>
      </w:r>
      <w:r w:rsidR="00B17B7B">
        <w:t xml:space="preserve"> specific population subgroups </w:t>
      </w:r>
      <w:r w:rsidR="00F0360C">
        <w:t xml:space="preserve">who could benefit from targeted </w:t>
      </w:r>
      <w:r w:rsidR="00B17B7B">
        <w:t xml:space="preserve">public health messages and </w:t>
      </w:r>
      <w:r w:rsidR="00527829">
        <w:t xml:space="preserve">to design </w:t>
      </w:r>
      <w:r w:rsidR="00B17B7B">
        <w:t xml:space="preserve">interventions to improve </w:t>
      </w:r>
      <w:r w:rsidR="00F0360C">
        <w:t xml:space="preserve">maternal </w:t>
      </w:r>
      <w:r w:rsidR="00B17B7B">
        <w:t xml:space="preserve">nutrition quality </w:t>
      </w:r>
      <w:r w:rsidR="00F0360C">
        <w:t xml:space="preserve">before and </w:t>
      </w:r>
      <w:r w:rsidR="00B17B7B">
        <w:t>during pregnancy.</w:t>
      </w:r>
      <w:r w:rsidR="002A6806">
        <w:t xml:space="preserve"> It could subsequently translate into improved clinical outcomes for the mothers and their offspring given the importance of nutrition over the first 1,000 days of life.</w:t>
      </w:r>
    </w:p>
    <w:p w14:paraId="65618096" w14:textId="77777777" w:rsidR="002A6806" w:rsidRDefault="002A6806">
      <w:pPr>
        <w:spacing w:after="200" w:line="276" w:lineRule="auto"/>
        <w:jc w:val="left"/>
        <w:rPr>
          <w:rFonts w:eastAsiaTheme="majorEastAsia" w:cstheme="majorBidi"/>
          <w:b/>
          <w:bCs/>
          <w:sz w:val="24"/>
          <w:szCs w:val="24"/>
        </w:rPr>
      </w:pPr>
      <w:bookmarkStart w:id="17" w:name="_Toc534640653"/>
      <w:r>
        <w:br w:type="page"/>
      </w:r>
    </w:p>
    <w:p w14:paraId="013E0CD9" w14:textId="27B4FD2D" w:rsidR="00F217C6" w:rsidRDefault="00F217C6" w:rsidP="006E67F8">
      <w:pPr>
        <w:pStyle w:val="Heading2"/>
        <w:spacing w:before="120" w:after="0" w:line="480" w:lineRule="auto"/>
      </w:pPr>
      <w:r>
        <w:lastRenderedPageBreak/>
        <w:t xml:space="preserve">Supplemental tables: </w:t>
      </w:r>
    </w:p>
    <w:p w14:paraId="03FFCE2A" w14:textId="2FBF598D" w:rsidR="00556DE1" w:rsidRPr="00556DE1" w:rsidRDefault="00556DE1" w:rsidP="006E67F8">
      <w:pPr>
        <w:pStyle w:val="NoSpacing"/>
        <w:spacing w:line="480" w:lineRule="auto"/>
      </w:pPr>
      <w:r w:rsidRPr="00556DE1">
        <w:rPr>
          <w:b/>
        </w:rPr>
        <w:t xml:space="preserve">1/ </w:t>
      </w:r>
      <w:r w:rsidRPr="00556DE1">
        <w:rPr>
          <w:b/>
          <w:color w:val="0070C0"/>
        </w:rPr>
        <w:t>Supplemental table S1.</w:t>
      </w:r>
      <w:r w:rsidRPr="00556DE1">
        <w:t xml:space="preserve"> </w:t>
      </w:r>
      <w:r w:rsidR="006F7348" w:rsidRPr="00F61C07">
        <w:rPr>
          <w:rFonts w:eastAsia="Times New Roman"/>
          <w:lang w:eastAsia="en-GB"/>
        </w:rPr>
        <w:t xml:space="preserve">Descriptive summary of </w:t>
      </w:r>
      <w:r w:rsidR="006F7348" w:rsidRPr="00F61C07">
        <w:t>food frequency questionnaires and DASH and E-DII scores in the ALPHABET consortium, overall and by cohort.</w:t>
      </w:r>
    </w:p>
    <w:p w14:paraId="447F9ECC" w14:textId="0DE39948" w:rsidR="005B1ACA" w:rsidRDefault="00556DE1" w:rsidP="006E67F8">
      <w:pPr>
        <w:pStyle w:val="NoSpacing"/>
        <w:spacing w:line="480" w:lineRule="auto"/>
      </w:pPr>
      <w:r>
        <w:rPr>
          <w:b/>
        </w:rPr>
        <w:t>2</w:t>
      </w:r>
      <w:r w:rsidR="005B1ACA" w:rsidRPr="00892C52">
        <w:rPr>
          <w:b/>
        </w:rPr>
        <w:t xml:space="preserve">/ </w:t>
      </w:r>
      <w:r w:rsidR="005B1ACA" w:rsidRPr="00892C52">
        <w:rPr>
          <w:b/>
          <w:color w:val="0070C0"/>
        </w:rPr>
        <w:t xml:space="preserve">Supplemental table </w:t>
      </w:r>
      <w:r w:rsidR="005B1ACA">
        <w:rPr>
          <w:b/>
          <w:color w:val="0070C0"/>
        </w:rPr>
        <w:t>S</w:t>
      </w:r>
      <w:r>
        <w:rPr>
          <w:b/>
          <w:color w:val="0070C0"/>
        </w:rPr>
        <w:t>2.</w:t>
      </w:r>
      <w:r w:rsidR="005B1ACA">
        <w:t xml:space="preserve"> Missing/</w:t>
      </w:r>
      <w:r w:rsidR="003F76D0">
        <w:t>a</w:t>
      </w:r>
      <w:r w:rsidR="005B1ACA">
        <w:t>vailable data patterns by cohort and factor.</w:t>
      </w:r>
    </w:p>
    <w:p w14:paraId="6EFBDA44" w14:textId="6A638DDF" w:rsidR="003F76D0" w:rsidRDefault="00556DE1" w:rsidP="006E67F8">
      <w:pPr>
        <w:pStyle w:val="NoSpacing"/>
        <w:spacing w:line="480" w:lineRule="auto"/>
      </w:pPr>
      <w:r>
        <w:rPr>
          <w:b/>
        </w:rPr>
        <w:t>3</w:t>
      </w:r>
      <w:r w:rsidR="003F76D0" w:rsidRPr="00892C52">
        <w:rPr>
          <w:b/>
        </w:rPr>
        <w:t xml:space="preserve">/ </w:t>
      </w:r>
      <w:r w:rsidR="003F76D0" w:rsidRPr="00892C52">
        <w:rPr>
          <w:b/>
          <w:color w:val="0070C0"/>
        </w:rPr>
        <w:t xml:space="preserve">Supplemental table </w:t>
      </w:r>
      <w:r w:rsidR="003F76D0">
        <w:rPr>
          <w:b/>
          <w:color w:val="0070C0"/>
        </w:rPr>
        <w:t>S</w:t>
      </w:r>
      <w:r>
        <w:rPr>
          <w:b/>
          <w:color w:val="0070C0"/>
        </w:rPr>
        <w:t>3.</w:t>
      </w:r>
      <w:r w:rsidR="003F76D0">
        <w:t xml:space="preserve"> Comparison of the results between the main analysis (MA) adjusted </w:t>
      </w:r>
      <w:r w:rsidR="006C324E">
        <w:t xml:space="preserve">for </w:t>
      </w:r>
      <w:r w:rsidR="003F76D0">
        <w:t xml:space="preserve">the seven </w:t>
      </w:r>
      <w:r w:rsidR="0078392C">
        <w:t>predictors</w:t>
      </w:r>
      <w:r w:rsidR="003F76D0">
        <w:t xml:space="preserve">, and the sensitivity analysis (SA) adjusted </w:t>
      </w:r>
      <w:r w:rsidR="006C324E">
        <w:t xml:space="preserve">for </w:t>
      </w:r>
      <w:r w:rsidR="003F76D0">
        <w:t xml:space="preserve">the nine </w:t>
      </w:r>
      <w:r w:rsidR="0078392C">
        <w:t>predictors</w:t>
      </w:r>
      <w:r w:rsidR="003F76D0">
        <w:t xml:space="preserve"> available for three cohorts – </w:t>
      </w:r>
      <w:r w:rsidR="00811D7E">
        <w:t>a</w:t>
      </w:r>
      <w:r w:rsidR="00DD6A42">
        <w:t>ssociation</w:t>
      </w:r>
      <w:r w:rsidR="00811D7E">
        <w:t>s between predictors and</w:t>
      </w:r>
      <w:r w:rsidR="003F76D0">
        <w:t xml:space="preserve"> DASH score during pregnancy.</w:t>
      </w:r>
    </w:p>
    <w:p w14:paraId="4EF1460F" w14:textId="25560EA1" w:rsidR="003F76D0" w:rsidRDefault="00556DE1" w:rsidP="006E67F8">
      <w:pPr>
        <w:pStyle w:val="NoSpacing"/>
        <w:spacing w:line="480" w:lineRule="auto"/>
      </w:pPr>
      <w:r>
        <w:rPr>
          <w:b/>
        </w:rPr>
        <w:t>4</w:t>
      </w:r>
      <w:r w:rsidR="003F76D0" w:rsidRPr="00892C52">
        <w:rPr>
          <w:b/>
        </w:rPr>
        <w:t xml:space="preserve">/ </w:t>
      </w:r>
      <w:r w:rsidR="003F76D0" w:rsidRPr="00892C52">
        <w:rPr>
          <w:b/>
          <w:color w:val="0070C0"/>
        </w:rPr>
        <w:t xml:space="preserve">Supplemental table </w:t>
      </w:r>
      <w:r w:rsidR="003F76D0">
        <w:rPr>
          <w:b/>
          <w:color w:val="0070C0"/>
        </w:rPr>
        <w:t>S</w:t>
      </w:r>
      <w:r>
        <w:rPr>
          <w:b/>
          <w:color w:val="0070C0"/>
        </w:rPr>
        <w:t>4.</w:t>
      </w:r>
      <w:r w:rsidR="003F76D0">
        <w:t xml:space="preserve"> Comparison of the results between the main analysis (MA) adjusted </w:t>
      </w:r>
      <w:r w:rsidR="006C324E">
        <w:t xml:space="preserve">for </w:t>
      </w:r>
      <w:r w:rsidR="003F76D0">
        <w:t xml:space="preserve">the seven </w:t>
      </w:r>
      <w:r w:rsidR="0078392C">
        <w:t>predictors</w:t>
      </w:r>
      <w:r w:rsidR="003F76D0">
        <w:t xml:space="preserve">, and the sensitivity analysis (SA) adjusted </w:t>
      </w:r>
      <w:r w:rsidR="006C324E">
        <w:t xml:space="preserve">for </w:t>
      </w:r>
      <w:r w:rsidR="003F76D0">
        <w:t xml:space="preserve">the nine </w:t>
      </w:r>
      <w:r w:rsidR="0078392C">
        <w:t>predictors</w:t>
      </w:r>
      <w:r w:rsidR="003F76D0">
        <w:t xml:space="preserve"> available for three cohorts – </w:t>
      </w:r>
      <w:r w:rsidR="00811D7E">
        <w:t>associations between predictors and</w:t>
      </w:r>
      <w:r w:rsidR="003F76D0">
        <w:t xml:space="preserve"> E-DII score during pregnancy.</w:t>
      </w:r>
    </w:p>
    <w:p w14:paraId="27A36890" w14:textId="40F82F97" w:rsidR="00A56365" w:rsidRPr="00A56365" w:rsidRDefault="00556DE1" w:rsidP="006E67F8">
      <w:pPr>
        <w:pStyle w:val="NoSpacing"/>
        <w:spacing w:line="480" w:lineRule="auto"/>
      </w:pPr>
      <w:r>
        <w:rPr>
          <w:b/>
        </w:rPr>
        <w:t>5</w:t>
      </w:r>
      <w:r w:rsidR="00054CF5" w:rsidRPr="00A56365">
        <w:rPr>
          <w:b/>
        </w:rPr>
        <w:t>/</w:t>
      </w:r>
      <w:r w:rsidR="00054CF5" w:rsidRPr="00A56365">
        <w:t xml:space="preserve"> </w:t>
      </w:r>
      <w:r>
        <w:rPr>
          <w:b/>
          <w:color w:val="0070C0"/>
        </w:rPr>
        <w:t>Supplemental table S5.</w:t>
      </w:r>
      <w:r w:rsidR="00A56365" w:rsidRPr="00A56365">
        <w:rPr>
          <w:color w:val="0070C0"/>
        </w:rPr>
        <w:t xml:space="preserve"> </w:t>
      </w:r>
      <w:r w:rsidR="00A56365" w:rsidRPr="00A56365">
        <w:t xml:space="preserve">Comparison of the results between the main analysis (MA), and the sensitivity analysis (SA) with adjustment </w:t>
      </w:r>
      <w:r w:rsidR="00527C93">
        <w:t>for</w:t>
      </w:r>
      <w:r w:rsidR="00527C93" w:rsidRPr="00A56365">
        <w:t xml:space="preserve"> </w:t>
      </w:r>
      <w:r w:rsidR="00A56365" w:rsidRPr="00A56365">
        <w:t>energy intake for the DASH models and exclusion of participants with implausible energy intake (&lt;500 or &gt;3,500 kcal/day).</w:t>
      </w:r>
    </w:p>
    <w:p w14:paraId="0298FCDF" w14:textId="3E8A0817" w:rsidR="003F76D0" w:rsidRDefault="00BB1875" w:rsidP="006E67F8">
      <w:pPr>
        <w:pStyle w:val="NoSpacing"/>
        <w:spacing w:line="480" w:lineRule="auto"/>
      </w:pPr>
      <w:r>
        <w:rPr>
          <w:b/>
        </w:rPr>
        <w:t>6</w:t>
      </w:r>
      <w:r w:rsidRPr="00A56365">
        <w:rPr>
          <w:b/>
        </w:rPr>
        <w:t>/</w:t>
      </w:r>
      <w:r w:rsidRPr="00A56365">
        <w:t xml:space="preserve"> </w:t>
      </w:r>
      <w:r>
        <w:rPr>
          <w:b/>
          <w:color w:val="0070C0"/>
        </w:rPr>
        <w:t>Supplemental table S6.</w:t>
      </w:r>
      <w:r w:rsidRPr="00A56365">
        <w:rPr>
          <w:color w:val="0070C0"/>
        </w:rPr>
        <w:t xml:space="preserve"> </w:t>
      </w:r>
      <w:r w:rsidRPr="00A56365">
        <w:t xml:space="preserve">Comparison of the results between the main analysis (MA), and the sensitivity analysis (SA) with adjustment </w:t>
      </w:r>
      <w:r w:rsidR="00527C93">
        <w:t>for</w:t>
      </w:r>
      <w:r w:rsidR="00527C93" w:rsidRPr="00A56365">
        <w:t xml:space="preserve"> </w:t>
      </w:r>
      <w:r w:rsidRPr="00A56365">
        <w:t>energy intake for the DASH models and exclusion of participants with implausible energy intake (&lt;500 or &gt;3,500 kcal/day)</w:t>
      </w:r>
      <w:r>
        <w:t xml:space="preserve"> – focus on parity and birthplace/ethnicity.</w:t>
      </w:r>
    </w:p>
    <w:bookmarkEnd w:id="17"/>
    <w:p w14:paraId="51E62173" w14:textId="77777777" w:rsidR="00255AA1" w:rsidRDefault="00255AA1" w:rsidP="006E67F8">
      <w:pPr>
        <w:pStyle w:val="NoSpacing"/>
        <w:spacing w:line="480" w:lineRule="auto"/>
      </w:pPr>
      <w:r w:rsidRPr="003160F8">
        <w:rPr>
          <w:b/>
        </w:rPr>
        <w:t>Ethical approvals:</w:t>
      </w:r>
      <w:r w:rsidRPr="003160F8">
        <w:t xml:space="preserve"> Specific cohort approvals are as follows: </w:t>
      </w:r>
      <w:r w:rsidRPr="003160F8">
        <w:rPr>
          <w:b/>
        </w:rPr>
        <w:t>ALSPAC:</w:t>
      </w:r>
      <w:r w:rsidRPr="003160F8">
        <w:t xml:space="preserve"> ALSPAC Ethics and Law Committee (IRB00003312) and Local Research Ethics Committees; </w:t>
      </w:r>
      <w:r w:rsidRPr="003160F8">
        <w:rPr>
          <w:b/>
        </w:rPr>
        <w:t>EDEN:</w:t>
      </w:r>
      <w:r w:rsidRPr="003160F8">
        <w:t xml:space="preserve"> Ethics Committee (CCPPRB) and CNIL (Commission </w:t>
      </w:r>
      <w:proofErr w:type="spellStart"/>
      <w:r w:rsidRPr="003160F8">
        <w:t>Nationale</w:t>
      </w:r>
      <w:proofErr w:type="spellEnd"/>
      <w:r w:rsidRPr="003160F8">
        <w:t xml:space="preserve"> Informatique et </w:t>
      </w:r>
      <w:proofErr w:type="spellStart"/>
      <w:r w:rsidRPr="003160F8">
        <w:t>Liberté</w:t>
      </w:r>
      <w:proofErr w:type="spellEnd"/>
      <w:r w:rsidRPr="003160F8">
        <w:t xml:space="preserve">), the French data privacy institution; </w:t>
      </w:r>
      <w:r w:rsidRPr="003160F8">
        <w:rPr>
          <w:b/>
        </w:rPr>
        <w:t>Generation R:</w:t>
      </w:r>
      <w:r w:rsidRPr="003160F8">
        <w:t xml:space="preserve"> Medical Ethical Committee of the Erasmus Medical </w:t>
      </w:r>
      <w:proofErr w:type="spellStart"/>
      <w:r w:rsidRPr="003160F8">
        <w:t>Center</w:t>
      </w:r>
      <w:proofErr w:type="spellEnd"/>
      <w:r w:rsidRPr="003160F8">
        <w:t xml:space="preserve">, Rotterdam; </w:t>
      </w:r>
      <w:r w:rsidRPr="003160F8">
        <w:rPr>
          <w:b/>
        </w:rPr>
        <w:t>Lifeways:</w:t>
      </w:r>
      <w:r w:rsidRPr="003160F8">
        <w:t xml:space="preserve"> University College Dublin Research Ethics Committee and St. Vincent’s University Hospital Research Ethics Committee; </w:t>
      </w:r>
      <w:r w:rsidRPr="003160F8">
        <w:rPr>
          <w:b/>
        </w:rPr>
        <w:t>REPRO_PL:</w:t>
      </w:r>
      <w:r w:rsidRPr="003160F8">
        <w:t xml:space="preserve"> Ethical Committee of the </w:t>
      </w:r>
      <w:proofErr w:type="spellStart"/>
      <w:r w:rsidRPr="003160F8">
        <w:t>Nofer</w:t>
      </w:r>
      <w:proofErr w:type="spellEnd"/>
      <w:r w:rsidRPr="003160F8">
        <w:t xml:space="preserve"> Institute of Occupational Medicine, </w:t>
      </w:r>
      <w:proofErr w:type="spellStart"/>
      <w:r w:rsidRPr="003160F8">
        <w:t>Łódź</w:t>
      </w:r>
      <w:proofErr w:type="spellEnd"/>
      <w:r w:rsidRPr="003160F8">
        <w:t xml:space="preserve">, Poland (Decision No. 7/2007); </w:t>
      </w:r>
      <w:r w:rsidRPr="003160F8">
        <w:rPr>
          <w:b/>
        </w:rPr>
        <w:t>ROLO:</w:t>
      </w:r>
      <w:r w:rsidRPr="003160F8">
        <w:t xml:space="preserve"> </w:t>
      </w:r>
      <w:r w:rsidRPr="003160F8">
        <w:lastRenderedPageBreak/>
        <w:t>Ethics Committee of the National Maternity Hospital, Dublin, Ireland;</w:t>
      </w:r>
      <w:r w:rsidRPr="003160F8">
        <w:rPr>
          <w:b/>
        </w:rPr>
        <w:t xml:space="preserve"> SWS:</w:t>
      </w:r>
      <w:r w:rsidRPr="003160F8">
        <w:t xml:space="preserve"> Southampton and South West Hampshire Research Ethics Committee, ALSPAC Law and Ethics Committee, and the Local Research Ethics Committees.</w:t>
      </w:r>
    </w:p>
    <w:p w14:paraId="3E54338C" w14:textId="77777777" w:rsidR="00255AA1" w:rsidRPr="00362652" w:rsidRDefault="00255AA1" w:rsidP="006E67F8">
      <w:pPr>
        <w:pStyle w:val="Heading2"/>
        <w:spacing w:before="120" w:after="0" w:line="480" w:lineRule="auto"/>
      </w:pPr>
      <w:r w:rsidRPr="00362652">
        <w:t xml:space="preserve">Author Contributions: </w:t>
      </w:r>
    </w:p>
    <w:p w14:paraId="3F4A4FC9" w14:textId="77777777" w:rsidR="00FF5E38" w:rsidRDefault="00FF5E38" w:rsidP="006E67F8">
      <w:pPr>
        <w:pStyle w:val="NoSpacing"/>
        <w:spacing w:line="480" w:lineRule="auto"/>
      </w:pPr>
      <w:r w:rsidRPr="00517C93">
        <w:rPr>
          <w:color w:val="000000" w:themeColor="text1"/>
        </w:rPr>
        <w:t xml:space="preserve">Adrien M. </w:t>
      </w:r>
      <w:r w:rsidRPr="00517C93">
        <w:t>Aubert</w:t>
      </w:r>
      <w:r>
        <w:t xml:space="preserve">: Conceptualization, Data curation, Formal analysis, Methodology, Software, </w:t>
      </w:r>
      <w:r w:rsidR="00731D49">
        <w:t xml:space="preserve">Visualization, </w:t>
      </w:r>
      <w:proofErr w:type="gramStart"/>
      <w:r>
        <w:t>Writing</w:t>
      </w:r>
      <w:proofErr w:type="gramEnd"/>
      <w:r>
        <w:t xml:space="preserve"> – original draft, Writing – review and editing.</w:t>
      </w:r>
    </w:p>
    <w:p w14:paraId="20E3A844" w14:textId="77777777" w:rsidR="00FF5E38" w:rsidRDefault="00FF5E38" w:rsidP="006E67F8">
      <w:pPr>
        <w:pStyle w:val="NoSpacing"/>
        <w:spacing w:line="480" w:lineRule="auto"/>
      </w:pPr>
      <w:r w:rsidRPr="00517C93">
        <w:t>Ling-Wei Chen</w:t>
      </w:r>
      <w:r>
        <w:t xml:space="preserve">: </w:t>
      </w:r>
      <w:r w:rsidR="00731D49">
        <w:t xml:space="preserve">Conceptualization, Software, Validation, </w:t>
      </w:r>
      <w:proofErr w:type="gramStart"/>
      <w:r w:rsidR="00731D49">
        <w:t>Writing</w:t>
      </w:r>
      <w:proofErr w:type="gramEnd"/>
      <w:r w:rsidR="00731D49">
        <w:t xml:space="preserve"> – review and editing.</w:t>
      </w:r>
    </w:p>
    <w:p w14:paraId="58BAEECD" w14:textId="77777777" w:rsidR="00FF5E38" w:rsidRDefault="00FF5E38" w:rsidP="006E67F8">
      <w:pPr>
        <w:pStyle w:val="NoSpacing"/>
        <w:spacing w:line="480" w:lineRule="auto"/>
      </w:pPr>
      <w:r w:rsidRPr="00517C93">
        <w:t>Nitin Shivappa</w:t>
      </w:r>
      <w:r w:rsidR="00731D49">
        <w:t xml:space="preserve">: Conceptualization, Validation, </w:t>
      </w:r>
      <w:proofErr w:type="gramStart"/>
      <w:r w:rsidR="00731D49">
        <w:t>Writing</w:t>
      </w:r>
      <w:proofErr w:type="gramEnd"/>
      <w:r w:rsidR="00731D49">
        <w:t xml:space="preserve"> – review and editing.</w:t>
      </w:r>
    </w:p>
    <w:p w14:paraId="16680DDC" w14:textId="77777777" w:rsidR="00FF5E38" w:rsidRDefault="00FF5E38" w:rsidP="006E67F8">
      <w:pPr>
        <w:pStyle w:val="NoSpacing"/>
        <w:spacing w:line="480" w:lineRule="auto"/>
      </w:pPr>
      <w:r w:rsidRPr="00517C93">
        <w:t>Cyrus Cooper</w:t>
      </w:r>
      <w:r w:rsidR="00731D49">
        <w:t>: Writing – review and editing.</w:t>
      </w:r>
    </w:p>
    <w:p w14:paraId="30E86D2A" w14:textId="77777777" w:rsidR="00FF5E38" w:rsidRDefault="00FF5E38" w:rsidP="006E67F8">
      <w:pPr>
        <w:pStyle w:val="NoSpacing"/>
        <w:spacing w:line="480" w:lineRule="auto"/>
      </w:pPr>
      <w:r w:rsidRPr="00517C93">
        <w:t>Sarah R. Crozier</w:t>
      </w:r>
      <w:r w:rsidR="00731D49">
        <w:t>: Writing – review and editing.</w:t>
      </w:r>
    </w:p>
    <w:p w14:paraId="5FB0BF98" w14:textId="77777777" w:rsidR="00FF5E38" w:rsidRDefault="00FF5E38" w:rsidP="006E67F8">
      <w:pPr>
        <w:pStyle w:val="NoSpacing"/>
        <w:spacing w:line="480" w:lineRule="auto"/>
      </w:pPr>
      <w:proofErr w:type="spellStart"/>
      <w:r w:rsidRPr="00517C93">
        <w:t>Liesbeth</w:t>
      </w:r>
      <w:proofErr w:type="spellEnd"/>
      <w:r w:rsidRPr="00517C93">
        <w:t xml:space="preserve"> </w:t>
      </w:r>
      <w:proofErr w:type="spellStart"/>
      <w:r w:rsidRPr="00517C93">
        <w:t>Duijts</w:t>
      </w:r>
      <w:proofErr w:type="spellEnd"/>
      <w:r w:rsidR="00731D49">
        <w:t xml:space="preserve">: Funding acquisition, Investigation, Resources, </w:t>
      </w:r>
      <w:proofErr w:type="gramStart"/>
      <w:r w:rsidR="00731D49">
        <w:t>Writing</w:t>
      </w:r>
      <w:proofErr w:type="gramEnd"/>
      <w:r w:rsidR="00731D49">
        <w:t xml:space="preserve"> – review and editing.</w:t>
      </w:r>
    </w:p>
    <w:p w14:paraId="1AB3142C" w14:textId="77777777" w:rsidR="00FF5E38" w:rsidRDefault="00FF5E38" w:rsidP="006E67F8">
      <w:pPr>
        <w:pStyle w:val="NoSpacing"/>
        <w:spacing w:line="480" w:lineRule="auto"/>
      </w:pPr>
      <w:r w:rsidRPr="00517C93">
        <w:t xml:space="preserve">Anne </w:t>
      </w:r>
      <w:proofErr w:type="spellStart"/>
      <w:r w:rsidRPr="00517C93">
        <w:t>Forhan</w:t>
      </w:r>
      <w:proofErr w:type="spellEnd"/>
      <w:r w:rsidR="00731D49">
        <w:t xml:space="preserve">: Conceptualization, Data curation, Formal analysis, Methodology, Software, </w:t>
      </w:r>
      <w:proofErr w:type="gramStart"/>
      <w:r w:rsidR="00731D49">
        <w:t>Writing</w:t>
      </w:r>
      <w:proofErr w:type="gramEnd"/>
      <w:r w:rsidR="00731D49">
        <w:t xml:space="preserve"> – review and editing.</w:t>
      </w:r>
    </w:p>
    <w:p w14:paraId="63198950" w14:textId="77777777" w:rsidR="00FF5E38" w:rsidRDefault="00FF5E38" w:rsidP="006E67F8">
      <w:pPr>
        <w:pStyle w:val="NoSpacing"/>
        <w:spacing w:line="480" w:lineRule="auto"/>
      </w:pPr>
      <w:r w:rsidRPr="00517C93">
        <w:t>Wojciech Hanke</w:t>
      </w:r>
      <w:r w:rsidR="00731D49">
        <w:t xml:space="preserve">: Data curation, Funding acquisition, Investigation, Resources, </w:t>
      </w:r>
      <w:proofErr w:type="gramStart"/>
      <w:r w:rsidR="00731D49">
        <w:t>Writing</w:t>
      </w:r>
      <w:proofErr w:type="gramEnd"/>
      <w:r w:rsidR="00731D49">
        <w:t xml:space="preserve"> – review and editing.</w:t>
      </w:r>
    </w:p>
    <w:p w14:paraId="65B5BE24" w14:textId="77777777" w:rsidR="00FF5E38" w:rsidRDefault="00FF5E38" w:rsidP="006E67F8">
      <w:pPr>
        <w:pStyle w:val="NoSpacing"/>
        <w:spacing w:line="480" w:lineRule="auto"/>
      </w:pPr>
      <w:r w:rsidRPr="00517C93">
        <w:t>Nicholas C. Harvey</w:t>
      </w:r>
      <w:r w:rsidR="00731D49">
        <w:t xml:space="preserve">: Funding acquisition, Investigation, Resources, </w:t>
      </w:r>
      <w:proofErr w:type="gramStart"/>
      <w:r w:rsidR="00731D49">
        <w:t>Writing</w:t>
      </w:r>
      <w:proofErr w:type="gramEnd"/>
      <w:r w:rsidR="00731D49">
        <w:t xml:space="preserve"> – review and editing.</w:t>
      </w:r>
    </w:p>
    <w:p w14:paraId="084C637E" w14:textId="77777777" w:rsidR="00FF5E38" w:rsidRDefault="00FF5E38" w:rsidP="006E67F8">
      <w:pPr>
        <w:pStyle w:val="NoSpacing"/>
        <w:spacing w:line="480" w:lineRule="auto"/>
      </w:pPr>
      <w:r w:rsidRPr="00517C93">
        <w:t xml:space="preserve">Agnieszka </w:t>
      </w:r>
      <w:proofErr w:type="spellStart"/>
      <w:r w:rsidRPr="00517C93">
        <w:t>Jankowska</w:t>
      </w:r>
      <w:proofErr w:type="spellEnd"/>
      <w:r w:rsidR="00731D49">
        <w:t xml:space="preserve">: Data curation, </w:t>
      </w:r>
      <w:proofErr w:type="gramStart"/>
      <w:r w:rsidR="008E686B">
        <w:t>Writing</w:t>
      </w:r>
      <w:proofErr w:type="gramEnd"/>
      <w:r w:rsidR="008E686B">
        <w:t xml:space="preserve"> – review and editing.</w:t>
      </w:r>
    </w:p>
    <w:p w14:paraId="75918846" w14:textId="77777777" w:rsidR="00FF5E38" w:rsidRDefault="00FF5E38" w:rsidP="006E67F8">
      <w:pPr>
        <w:pStyle w:val="NoSpacing"/>
        <w:spacing w:line="480" w:lineRule="auto"/>
      </w:pPr>
      <w:r w:rsidRPr="008E686B">
        <w:t>Cecily C. Kelleher</w:t>
      </w:r>
      <w:r w:rsidR="008E686B" w:rsidRPr="008E686B">
        <w:t xml:space="preserve">: </w:t>
      </w:r>
      <w:r w:rsidR="008E686B">
        <w:t>Writing – review and editing.</w:t>
      </w:r>
    </w:p>
    <w:p w14:paraId="6B25EBC6" w14:textId="77777777" w:rsidR="00FF5E38" w:rsidRPr="00546CB9" w:rsidRDefault="00FF5E38" w:rsidP="006E67F8">
      <w:pPr>
        <w:pStyle w:val="NoSpacing"/>
        <w:spacing w:line="480" w:lineRule="auto"/>
      </w:pPr>
      <w:r w:rsidRPr="00546CB9">
        <w:t>Blandine de Lauzon-Guillain</w:t>
      </w:r>
      <w:r w:rsidR="001325F7" w:rsidRPr="00546CB9">
        <w:t xml:space="preserve">: </w:t>
      </w:r>
      <w:r w:rsidR="00546CB9" w:rsidRPr="00546CB9">
        <w:t xml:space="preserve">Data curation, </w:t>
      </w:r>
      <w:proofErr w:type="gramStart"/>
      <w:r w:rsidR="00546CB9" w:rsidRPr="00546CB9">
        <w:t>Writing</w:t>
      </w:r>
      <w:proofErr w:type="gramEnd"/>
      <w:r w:rsidR="00546CB9" w:rsidRPr="00546CB9">
        <w:t xml:space="preserve"> – review an</w:t>
      </w:r>
      <w:r w:rsidR="00546CB9">
        <w:t>d editing.</w:t>
      </w:r>
    </w:p>
    <w:p w14:paraId="28D2FEFF" w14:textId="77777777" w:rsidR="00FF5E38" w:rsidRPr="00546CB9" w:rsidRDefault="00FF5E38" w:rsidP="006E67F8">
      <w:pPr>
        <w:pStyle w:val="NoSpacing"/>
        <w:spacing w:line="480" w:lineRule="auto"/>
      </w:pPr>
      <w:proofErr w:type="spellStart"/>
      <w:r w:rsidRPr="00546CB9">
        <w:t>Fionnuala</w:t>
      </w:r>
      <w:proofErr w:type="spellEnd"/>
      <w:r w:rsidRPr="00546CB9">
        <w:t xml:space="preserve"> M. McAuliffe</w:t>
      </w:r>
      <w:r w:rsidR="00546CB9">
        <w:t xml:space="preserve">: </w:t>
      </w:r>
      <w:r w:rsidR="00546CB9" w:rsidRPr="00546CB9">
        <w:t>Writing – review an</w:t>
      </w:r>
      <w:r w:rsidR="00546CB9">
        <w:t>d editing.</w:t>
      </w:r>
    </w:p>
    <w:p w14:paraId="418D3E0D" w14:textId="77777777" w:rsidR="00FF5E38" w:rsidRPr="00546CB9" w:rsidRDefault="00FF5E38" w:rsidP="006E67F8">
      <w:pPr>
        <w:pStyle w:val="NoSpacing"/>
        <w:spacing w:line="480" w:lineRule="auto"/>
      </w:pPr>
      <w:r w:rsidRPr="00546CB9">
        <w:t xml:space="preserve">Sara M. </w:t>
      </w:r>
      <w:proofErr w:type="spellStart"/>
      <w:r w:rsidRPr="00546CB9">
        <w:t>Mensink</w:t>
      </w:r>
      <w:proofErr w:type="spellEnd"/>
      <w:r w:rsidRPr="00546CB9">
        <w:t>-Bout</w:t>
      </w:r>
      <w:r w:rsidR="00546CB9" w:rsidRPr="00546CB9">
        <w:t>: Writing – review an</w:t>
      </w:r>
      <w:r w:rsidR="00546CB9">
        <w:t>d editing.</w:t>
      </w:r>
    </w:p>
    <w:p w14:paraId="62924227" w14:textId="77777777" w:rsidR="00FF5E38" w:rsidRDefault="00FF5E38" w:rsidP="006E67F8">
      <w:pPr>
        <w:pStyle w:val="NoSpacing"/>
        <w:spacing w:line="480" w:lineRule="auto"/>
      </w:pPr>
      <w:r w:rsidRPr="00517C93">
        <w:t xml:space="preserve">Kinga </w:t>
      </w:r>
      <w:proofErr w:type="spellStart"/>
      <w:r w:rsidRPr="00517C93">
        <w:t>Polanska</w:t>
      </w:r>
      <w:proofErr w:type="spellEnd"/>
      <w:r w:rsidR="00546CB9">
        <w:t xml:space="preserve">: Data curation, Funding acquisition, Investigation, Resources, </w:t>
      </w:r>
      <w:proofErr w:type="gramStart"/>
      <w:r w:rsidR="00546CB9" w:rsidRPr="00546CB9">
        <w:t>Writing</w:t>
      </w:r>
      <w:proofErr w:type="gramEnd"/>
      <w:r w:rsidR="00546CB9" w:rsidRPr="00546CB9">
        <w:t xml:space="preserve"> – review an</w:t>
      </w:r>
      <w:r w:rsidR="00546CB9">
        <w:t>d editing.</w:t>
      </w:r>
    </w:p>
    <w:p w14:paraId="2000AC4F" w14:textId="77777777" w:rsidR="00FF5E38" w:rsidRDefault="00FF5E38" w:rsidP="006E67F8">
      <w:pPr>
        <w:pStyle w:val="NoSpacing"/>
        <w:spacing w:line="480" w:lineRule="auto"/>
      </w:pPr>
      <w:r w:rsidRPr="00517C93">
        <w:lastRenderedPageBreak/>
        <w:t xml:space="preserve">Caroline L. </w:t>
      </w:r>
      <w:proofErr w:type="spellStart"/>
      <w:r w:rsidRPr="00517C93">
        <w:t>Relton</w:t>
      </w:r>
      <w:proofErr w:type="spellEnd"/>
      <w:r w:rsidR="00546CB9">
        <w:t xml:space="preserve">: Funding acquisition, Investigation, Resources, </w:t>
      </w:r>
      <w:proofErr w:type="gramStart"/>
      <w:r w:rsidR="00546CB9" w:rsidRPr="00546CB9">
        <w:t>Writing</w:t>
      </w:r>
      <w:proofErr w:type="gramEnd"/>
      <w:r w:rsidR="00546CB9" w:rsidRPr="00546CB9">
        <w:t xml:space="preserve"> – review an</w:t>
      </w:r>
      <w:r w:rsidR="00546CB9">
        <w:t>d editing.</w:t>
      </w:r>
    </w:p>
    <w:p w14:paraId="54DF19E1" w14:textId="77777777" w:rsidR="00FF5E38" w:rsidRDefault="00FF5E38" w:rsidP="006E67F8">
      <w:pPr>
        <w:pStyle w:val="NoSpacing"/>
        <w:spacing w:line="480" w:lineRule="auto"/>
      </w:pPr>
      <w:r w:rsidRPr="00517C93">
        <w:t xml:space="preserve">Matthew </w:t>
      </w:r>
      <w:proofErr w:type="spellStart"/>
      <w:r w:rsidRPr="00517C93">
        <w:t>Suderman</w:t>
      </w:r>
      <w:proofErr w:type="spellEnd"/>
      <w:r w:rsidR="00546CB9">
        <w:t xml:space="preserve">: Data curation, Funding acquisition, Investigation, Resources, </w:t>
      </w:r>
      <w:proofErr w:type="gramStart"/>
      <w:r w:rsidR="00546CB9" w:rsidRPr="00546CB9">
        <w:t>Writing</w:t>
      </w:r>
      <w:proofErr w:type="gramEnd"/>
      <w:r w:rsidR="00546CB9" w:rsidRPr="00546CB9">
        <w:t xml:space="preserve"> – review an</w:t>
      </w:r>
      <w:r w:rsidR="00546CB9">
        <w:t>d editing.</w:t>
      </w:r>
    </w:p>
    <w:p w14:paraId="0DF0BC03" w14:textId="77777777" w:rsidR="00FF5E38" w:rsidRDefault="00FF5E38" w:rsidP="006E67F8">
      <w:pPr>
        <w:pStyle w:val="NoSpacing"/>
        <w:spacing w:line="480" w:lineRule="auto"/>
      </w:pPr>
      <w:r w:rsidRPr="00517C93">
        <w:t>Catherine M. Phillips</w:t>
      </w:r>
      <w:r w:rsidR="00546CB9">
        <w:t xml:space="preserve">: Conceptualization, Funding acquisition, Investigation, Project administration, Resources, </w:t>
      </w:r>
      <w:proofErr w:type="gramStart"/>
      <w:r w:rsidR="00546CB9" w:rsidRPr="00546CB9">
        <w:t>Writing</w:t>
      </w:r>
      <w:proofErr w:type="gramEnd"/>
      <w:r w:rsidR="00546CB9" w:rsidRPr="00546CB9">
        <w:t xml:space="preserve"> – review an</w:t>
      </w:r>
      <w:r w:rsidR="00546CB9">
        <w:t>d editing.</w:t>
      </w:r>
    </w:p>
    <w:p w14:paraId="67696873" w14:textId="77777777" w:rsidR="00FF5E38" w:rsidRDefault="00FF5E38" w:rsidP="006E67F8">
      <w:pPr>
        <w:pStyle w:val="NoSpacing"/>
        <w:spacing w:line="480" w:lineRule="auto"/>
      </w:pPr>
      <w:r w:rsidRPr="00517C93">
        <w:t>James H. Hebert</w:t>
      </w:r>
      <w:r w:rsidR="00546CB9">
        <w:t xml:space="preserve">: Conceptualization, Validation, </w:t>
      </w:r>
      <w:proofErr w:type="gramStart"/>
      <w:r w:rsidR="00546CB9">
        <w:t>Writing</w:t>
      </w:r>
      <w:proofErr w:type="gramEnd"/>
      <w:r w:rsidR="00546CB9">
        <w:t xml:space="preserve"> – review and editing.</w:t>
      </w:r>
    </w:p>
    <w:p w14:paraId="51D8E7CE" w14:textId="77777777" w:rsidR="00FF5E38" w:rsidRDefault="00FF5E38" w:rsidP="006E67F8">
      <w:pPr>
        <w:pStyle w:val="NoSpacing"/>
        <w:spacing w:line="480" w:lineRule="auto"/>
        <w:rPr>
          <w:color w:val="000000" w:themeColor="text1"/>
        </w:rPr>
      </w:pPr>
      <w:r w:rsidRPr="00C22863">
        <w:rPr>
          <w:color w:val="000000" w:themeColor="text1"/>
        </w:rPr>
        <w:t>Jonathan Y. Bernard</w:t>
      </w:r>
      <w:r w:rsidR="00546CB9">
        <w:rPr>
          <w:color w:val="000000" w:themeColor="text1"/>
        </w:rPr>
        <w:t xml:space="preserve">: Conceptualization, Methodology, Project administration, Software, Supervision, Validation, </w:t>
      </w:r>
      <w:proofErr w:type="gramStart"/>
      <w:r w:rsidR="00546CB9">
        <w:rPr>
          <w:color w:val="000000" w:themeColor="text1"/>
        </w:rPr>
        <w:t>Writing</w:t>
      </w:r>
      <w:proofErr w:type="gramEnd"/>
      <w:r w:rsidR="00546CB9">
        <w:rPr>
          <w:color w:val="000000" w:themeColor="text1"/>
        </w:rPr>
        <w:t xml:space="preserve"> – original draft,</w:t>
      </w:r>
      <w:r w:rsidR="00546CB9">
        <w:t xml:space="preserve"> Writing – review and editing.</w:t>
      </w:r>
    </w:p>
    <w:p w14:paraId="0941B67C" w14:textId="77777777" w:rsidR="00546CB9" w:rsidRDefault="00FF5E38" w:rsidP="006E67F8">
      <w:pPr>
        <w:pStyle w:val="NoSpacing"/>
        <w:spacing w:line="480" w:lineRule="auto"/>
        <w:rPr>
          <w:color w:val="000000" w:themeColor="text1"/>
        </w:rPr>
      </w:pPr>
      <w:r w:rsidRPr="00C22863">
        <w:t xml:space="preserve">Barbara </w:t>
      </w:r>
      <w:proofErr w:type="spellStart"/>
      <w:r w:rsidRPr="00C22863">
        <w:rPr>
          <w:color w:val="000000" w:themeColor="text1"/>
        </w:rPr>
        <w:t>Heude</w:t>
      </w:r>
      <w:proofErr w:type="spellEnd"/>
      <w:r w:rsidR="00546CB9">
        <w:rPr>
          <w:color w:val="000000" w:themeColor="text1"/>
        </w:rPr>
        <w:t xml:space="preserve">: Conceptualization, Funding acquisition, Investigation, Methodology, Project administration, Resources, Software, Supervision, Validation, </w:t>
      </w:r>
      <w:proofErr w:type="gramStart"/>
      <w:r w:rsidR="00546CB9">
        <w:rPr>
          <w:color w:val="000000" w:themeColor="text1"/>
        </w:rPr>
        <w:t>Writing</w:t>
      </w:r>
      <w:proofErr w:type="gramEnd"/>
      <w:r w:rsidR="00546CB9">
        <w:rPr>
          <w:color w:val="000000" w:themeColor="text1"/>
        </w:rPr>
        <w:t xml:space="preserve"> – original draft,</w:t>
      </w:r>
      <w:r w:rsidR="00546CB9">
        <w:t xml:space="preserve"> Writing – review and editing.</w:t>
      </w:r>
    </w:p>
    <w:p w14:paraId="3902750F" w14:textId="6718CD2D" w:rsidR="00546CB9" w:rsidRPr="00546CB9" w:rsidRDefault="00546CB9" w:rsidP="006E67F8">
      <w:pPr>
        <w:pStyle w:val="NoSpacing"/>
        <w:spacing w:line="480" w:lineRule="auto"/>
        <w:rPr>
          <w:color w:val="000000" w:themeColor="text1"/>
        </w:rPr>
      </w:pPr>
      <w:r>
        <w:rPr>
          <w:color w:val="000000" w:themeColor="text1"/>
        </w:rPr>
        <w:t>Jonathan Y. Bernard and Barbara</w:t>
      </w:r>
      <w:r w:rsidR="006E67F8">
        <w:rPr>
          <w:color w:val="000000" w:themeColor="text1"/>
        </w:rPr>
        <w:t xml:space="preserve"> </w:t>
      </w:r>
      <w:proofErr w:type="spellStart"/>
      <w:r w:rsidR="006E67F8">
        <w:rPr>
          <w:color w:val="000000" w:themeColor="text1"/>
        </w:rPr>
        <w:t>Heude</w:t>
      </w:r>
      <w:proofErr w:type="spellEnd"/>
      <w:r>
        <w:rPr>
          <w:color w:val="000000" w:themeColor="text1"/>
        </w:rPr>
        <w:t xml:space="preserve"> contributed and supervised equally the work of this article.</w:t>
      </w:r>
    </w:p>
    <w:p w14:paraId="0BBE38E0" w14:textId="36F0E53B" w:rsidR="00255AA1" w:rsidRDefault="00255AA1" w:rsidP="006E67F8">
      <w:pPr>
        <w:pStyle w:val="NoSpacing"/>
        <w:spacing w:before="120" w:line="480" w:lineRule="auto"/>
      </w:pPr>
      <w:r w:rsidRPr="00255AA1">
        <w:rPr>
          <w:b/>
          <w:bCs/>
        </w:rPr>
        <w:t>Funding: ALPHABET:</w:t>
      </w:r>
      <w:r w:rsidRPr="00255AA1">
        <w:t xml:space="preserve"> This research was supported by an award from the European Union’s Horizon 2020 research and innovation programme under the ERA-Net </w:t>
      </w:r>
      <w:proofErr w:type="spellStart"/>
      <w:r w:rsidRPr="00255AA1">
        <w:t>Cofund</w:t>
      </w:r>
      <w:proofErr w:type="spellEnd"/>
      <w:r w:rsidRPr="00255AA1">
        <w:t xml:space="preserve"> of the Joint Programming Initiative Healthy Diet for Healthy Life (JPI-HDHL) (</w:t>
      </w:r>
      <w:hyperlink r:id="rId31" w:tgtFrame="_blank" w:history="1">
        <w:r w:rsidRPr="00255AA1">
          <w:rPr>
            <w:rStyle w:val="Hyperlink"/>
            <w:color w:val="auto"/>
            <w:u w:val="none"/>
          </w:rPr>
          <w:t>http://www.healthydietforhealthylife.eu</w:t>
        </w:r>
      </w:hyperlink>
      <w:r w:rsidRPr="00255AA1">
        <w:t xml:space="preserve">) action number 696295 (Biomarkers for Nutrition and Health). Co-funding was provided by Science Foundation Ireland, Ireland (Grant Number SFI/16/ERA-HDHL/3360), the UK Biotechnology and Biological Sciences Research Council (ERA-HDHL Biomarkers: BBSRC: BB/P028179/1 and BB/P028187/1), the National Centre for Research and Development (ERA-HDHL/01/ALPHABET/1/2017), the </w:t>
      </w:r>
      <w:proofErr w:type="spellStart"/>
      <w:r w:rsidRPr="00255AA1">
        <w:t>ZonMW</w:t>
      </w:r>
      <w:proofErr w:type="spellEnd"/>
      <w:r w:rsidRPr="00255AA1">
        <w:t xml:space="preserve"> The Netherlands (no 529051014; 2017)) ALPHABET project (no 696295; 2017), and the French National Agency of Research (reference AnrR16227KK).The APC was funded by the French National Agency of Research (reference AnrR16227KK). </w:t>
      </w:r>
      <w:r w:rsidRPr="00255AA1">
        <w:rPr>
          <w:b/>
          <w:bCs/>
          <w:color w:val="000000" w:themeColor="text1"/>
        </w:rPr>
        <w:t>ALSPAC:</w:t>
      </w:r>
      <w:r w:rsidRPr="00255AA1">
        <w:t xml:space="preserve"> The UK Medical </w:t>
      </w:r>
      <w:r w:rsidRPr="00255AA1">
        <w:lastRenderedPageBreak/>
        <w:t xml:space="preserve">Research Council and </w:t>
      </w:r>
      <w:proofErr w:type="spellStart"/>
      <w:r w:rsidRPr="00255AA1">
        <w:t>Wellcome</w:t>
      </w:r>
      <w:proofErr w:type="spellEnd"/>
      <w:r w:rsidRPr="00255AA1">
        <w:t xml:space="preserve"> (Grant ref: </w:t>
      </w:r>
      <w:r w:rsidR="00F17516">
        <w:t>217065</w:t>
      </w:r>
      <w:r w:rsidRPr="00255AA1">
        <w:t>/</w:t>
      </w:r>
      <w:r w:rsidR="00F17516">
        <w:t>Z</w:t>
      </w:r>
      <w:r w:rsidRPr="00255AA1">
        <w:t>/1</w:t>
      </w:r>
      <w:r w:rsidR="00F17516">
        <w:t>9</w:t>
      </w:r>
      <w:r w:rsidRPr="00255AA1">
        <w:t>/</w:t>
      </w:r>
      <w:r w:rsidR="00F17516">
        <w:t>Z</w:t>
      </w:r>
      <w:r w:rsidRPr="00255AA1">
        <w:t xml:space="preserve">) and the University of Bristol provide core support for ALSPAC. This publication is the work of the authors, and Matthew </w:t>
      </w:r>
      <w:proofErr w:type="spellStart"/>
      <w:r w:rsidRPr="00255AA1">
        <w:t>Suderman</w:t>
      </w:r>
      <w:proofErr w:type="spellEnd"/>
      <w:r w:rsidRPr="00255AA1">
        <w:t xml:space="preserve"> will serve as guarantor for the contents of this paper. </w:t>
      </w:r>
      <w:r w:rsidRPr="00255AA1">
        <w:rPr>
          <w:b/>
          <w:bCs/>
        </w:rPr>
        <w:t>EDEN:</w:t>
      </w:r>
      <w:r w:rsidRPr="00255AA1">
        <w:t xml:space="preserve"> The EDEN study was supported by Foundation for medical research (FRM), National Agency for Research (ANR), National Institute for Research in Public health (IRESP: TGIR </w:t>
      </w:r>
      <w:proofErr w:type="spellStart"/>
      <w:r w:rsidRPr="00255AA1">
        <w:t>cohorte</w:t>
      </w:r>
      <w:proofErr w:type="spellEnd"/>
      <w:r w:rsidRPr="00255AA1">
        <w:t xml:space="preserve"> </w:t>
      </w:r>
      <w:proofErr w:type="spellStart"/>
      <w:r w:rsidRPr="00255AA1">
        <w:t>santé</w:t>
      </w:r>
      <w:proofErr w:type="spellEnd"/>
      <w:r w:rsidRPr="00255AA1">
        <w:t xml:space="preserve"> 2008 program), French Ministry of Health (DGS), French Ministry of Research, INSERM Bone and Joint Diseases National Research (PRO-A), and Human Nutrition National Research Programs, Paris-Sud University, Nestlé, French National Institute for Population Health Surveillance (</w:t>
      </w:r>
      <w:proofErr w:type="spellStart"/>
      <w:r w:rsidRPr="00255AA1">
        <w:t>InVS</w:t>
      </w:r>
      <w:proofErr w:type="spellEnd"/>
      <w:r w:rsidRPr="00255AA1">
        <w:t xml:space="preserve">), French National Institute for Health Education (INPES), the European Union FP7 programmes (FP7/2007–2013, HELIX, ESCAPE, ENRIECO, </w:t>
      </w:r>
      <w:proofErr w:type="spellStart"/>
      <w:r w:rsidRPr="00255AA1">
        <w:t>Medall</w:t>
      </w:r>
      <w:proofErr w:type="spellEnd"/>
      <w:r w:rsidRPr="00255AA1">
        <w:t xml:space="preserve"> projects), Diabetes National Research Program (through a collaboration with the French Association of Diabetic Patients (AFD)), French Agency for Environmental Health Safety (now ANSES), </w:t>
      </w:r>
      <w:proofErr w:type="spellStart"/>
      <w:r w:rsidRPr="00255AA1">
        <w:t>Mutuelle</w:t>
      </w:r>
      <w:proofErr w:type="spellEnd"/>
      <w:r w:rsidRPr="00255AA1">
        <w:t xml:space="preserve"> Générale de </w:t>
      </w:r>
      <w:proofErr w:type="spellStart"/>
      <w:r w:rsidRPr="00255AA1">
        <w:t>l’Education</w:t>
      </w:r>
      <w:proofErr w:type="spellEnd"/>
      <w:r w:rsidRPr="00255AA1">
        <w:t xml:space="preserve"> </w:t>
      </w:r>
      <w:proofErr w:type="spellStart"/>
      <w:r w:rsidRPr="00255AA1">
        <w:t>Nationale</w:t>
      </w:r>
      <w:proofErr w:type="spellEnd"/>
      <w:r w:rsidRPr="00255AA1">
        <w:t xml:space="preserve"> a complementary health insurance (MGEN), French national agency for food security, French-speaking association for the study of diabetes and metabolism (ALFEDIAM). </w:t>
      </w:r>
      <w:r w:rsidRPr="00255AA1">
        <w:rPr>
          <w:b/>
          <w:bCs/>
        </w:rPr>
        <w:t>Generation R:</w:t>
      </w:r>
      <w:r w:rsidRPr="00255AA1">
        <w:t xml:space="preserve"> The Generation R Study is made possible by financial support from the Erasmus Medical Centre, Rotterdam, the Erasmus University Rotterdam, and The Netherlands Organization for Health Research and Development. Dr </w:t>
      </w:r>
      <w:proofErr w:type="spellStart"/>
      <w:r w:rsidRPr="00255AA1">
        <w:t>Liesbeth</w:t>
      </w:r>
      <w:proofErr w:type="spellEnd"/>
      <w:r w:rsidRPr="00255AA1">
        <w:t xml:space="preserve"> </w:t>
      </w:r>
      <w:proofErr w:type="spellStart"/>
      <w:r w:rsidRPr="00255AA1">
        <w:t>Duijts</w:t>
      </w:r>
      <w:proofErr w:type="spellEnd"/>
      <w:r w:rsidRPr="00255AA1">
        <w:t xml:space="preserve"> received funding from the European Union's Horizon 2020 co-funded programme ERA-Net on Biomarkers for Nutrition and Health (ERA HDHL) (ALPHABET project (no 696295; 2017), </w:t>
      </w:r>
      <w:proofErr w:type="spellStart"/>
      <w:r w:rsidRPr="00255AA1">
        <w:t>ZonMW</w:t>
      </w:r>
      <w:proofErr w:type="spellEnd"/>
      <w:r w:rsidRPr="00255AA1">
        <w:t xml:space="preserve"> </w:t>
      </w:r>
      <w:proofErr w:type="gramStart"/>
      <w:r w:rsidRPr="00255AA1">
        <w:t>The</w:t>
      </w:r>
      <w:proofErr w:type="gramEnd"/>
      <w:r w:rsidRPr="00255AA1">
        <w:t xml:space="preserve"> Netherlands (no 529051014; 2017)). The project received funding from the European Union's Horizon 2020 research and innovation programme (LIFECYCLE project, grant agreement no 733206; 2016). The study sponsors had no role in the study design, data analysis, interpretation of data, or writing of this report. The Generation R Study is conducted by the Erasmus Medical Centre in close collaboration with the School of Law and the Faculty of Social Sciences at the Erasmus University, Rotterdam, the Municipal Health Service, </w:t>
      </w:r>
      <w:r w:rsidRPr="00255AA1">
        <w:lastRenderedPageBreak/>
        <w:t xml:space="preserve">Rotterdam area, and the </w:t>
      </w:r>
      <w:proofErr w:type="spellStart"/>
      <w:r w:rsidRPr="00255AA1">
        <w:t>Stichting</w:t>
      </w:r>
      <w:proofErr w:type="spellEnd"/>
      <w:r w:rsidRPr="00255AA1">
        <w:t xml:space="preserve"> </w:t>
      </w:r>
      <w:proofErr w:type="spellStart"/>
      <w:r w:rsidRPr="00255AA1">
        <w:t>Trombosedienst</w:t>
      </w:r>
      <w:proofErr w:type="spellEnd"/>
      <w:r w:rsidRPr="00255AA1">
        <w:t xml:space="preserve"> and </w:t>
      </w:r>
      <w:proofErr w:type="spellStart"/>
      <w:r w:rsidRPr="00255AA1">
        <w:t>Artsenlaboratorium</w:t>
      </w:r>
      <w:proofErr w:type="spellEnd"/>
      <w:r w:rsidRPr="00255AA1">
        <w:t xml:space="preserve"> </w:t>
      </w:r>
      <w:proofErr w:type="spellStart"/>
      <w:r w:rsidRPr="00255AA1">
        <w:t>Rijnmond</w:t>
      </w:r>
      <w:proofErr w:type="spellEnd"/>
      <w:r w:rsidRPr="00255AA1">
        <w:t xml:space="preserve"> (Star-MDC), Rotterdam. </w:t>
      </w:r>
      <w:r w:rsidRPr="00255AA1">
        <w:rPr>
          <w:b/>
          <w:bCs/>
        </w:rPr>
        <w:t>Lifeways:</w:t>
      </w:r>
      <w:r w:rsidRPr="00255AA1">
        <w:t xml:space="preserve"> The Lifeways Cross-Generation Cohort Study is funded by the Irish Health Research Board (reference HRC/2007/13) and is overseen by an inter-disciplinary steering group. </w:t>
      </w:r>
      <w:r w:rsidRPr="00255AA1">
        <w:rPr>
          <w:b/>
          <w:bCs/>
        </w:rPr>
        <w:t>REPRO_PL:</w:t>
      </w:r>
      <w:r w:rsidRPr="00255AA1">
        <w:t xml:space="preserve"> The REPRO_PL cohort was mainly supported by the Ministry of Science and Higher Education, Poland (PBZ-</w:t>
      </w:r>
      <w:proofErr w:type="spellStart"/>
      <w:r w:rsidRPr="00255AA1">
        <w:t>MEiN</w:t>
      </w:r>
      <w:proofErr w:type="spellEnd"/>
      <w:r w:rsidRPr="00255AA1">
        <w:t xml:space="preserve">-/8/2/2006; contract no. K140/P01/2007/1.3.1.1); by the grant PNRF-218-AI-1/07 from Norway through the Norwegian Financial Mechanism within the Polish- Norwegian Research Fund and </w:t>
      </w:r>
      <w:r w:rsidR="003D262F" w:rsidRPr="00781EBD">
        <w:rPr>
          <w:lang w:val="en-US"/>
        </w:rPr>
        <w:t>the National Science Centre under the call JPI HDHL Nutrition and Cognitive Function (2015/17/Z/NZ7/04273)</w:t>
      </w:r>
      <w:r w:rsidRPr="00255AA1">
        <w:t xml:space="preserve">. </w:t>
      </w:r>
      <w:r w:rsidRPr="00255AA1">
        <w:rPr>
          <w:b/>
          <w:bCs/>
        </w:rPr>
        <w:t>ROLO:</w:t>
      </w:r>
      <w:r w:rsidRPr="00255AA1">
        <w:t xml:space="preserve"> ROLO study is supported by Health Research Board Health Research Centre for Diet and Health Research Ireland and The National Maternity Hospital Medical Fund, and The European Union’s Seventh Framework Programme (FP7/2007–2013). </w:t>
      </w:r>
      <w:r w:rsidRPr="00255AA1">
        <w:rPr>
          <w:b/>
          <w:bCs/>
        </w:rPr>
        <w:t>SWS:</w:t>
      </w:r>
      <w:r w:rsidRPr="00255AA1">
        <w:t xml:space="preserve"> This work was supported by grants from the Medical Research Council, British Heart Foundation, Arthritis Research UK, Food Standards Agency, and the European Union’s Seventh Framework (FP7/2007–2013), projects </w:t>
      </w:r>
      <w:proofErr w:type="spellStart"/>
      <w:r w:rsidRPr="00255AA1">
        <w:t>EarlyNutrition</w:t>
      </w:r>
      <w:proofErr w:type="spellEnd"/>
      <w:r w:rsidRPr="00255AA1">
        <w:t xml:space="preserve"> and ODIN under grant agreement numbers 289346 and 613977.</w:t>
      </w:r>
    </w:p>
    <w:p w14:paraId="4C2D21AE" w14:textId="77777777" w:rsidR="00255AA1" w:rsidRPr="00DC277B" w:rsidRDefault="00255AA1" w:rsidP="006E67F8">
      <w:pPr>
        <w:pStyle w:val="NoSpacing"/>
        <w:spacing w:before="120" w:line="480" w:lineRule="auto"/>
      </w:pPr>
      <w:r w:rsidRPr="00DC277B">
        <w:rPr>
          <w:b/>
          <w:bCs/>
        </w:rPr>
        <w:t>Acknowledgements: ALPHABET:</w:t>
      </w:r>
      <w:r w:rsidRPr="00DC277B">
        <w:t xml:space="preserve"> Authors acknowledge all investigators working on the ERA-HDHL ALPHABET Project and are grateful to all the participating families in England, France, The Netherlands, Poland, and Republic of Ireland, who take part in this ongoing cohort study. </w:t>
      </w:r>
      <w:r w:rsidRPr="00805746">
        <w:rPr>
          <w:b/>
          <w:bCs/>
        </w:rPr>
        <w:t>ALSPAC:</w:t>
      </w:r>
      <w:r w:rsidRPr="00DC277B">
        <w:t xml:space="preserve"> We are extremely grateful to all the families who took part in this study, the midwives for their help in recruiting them, and the whole ALSPAC team, which includes interviewers, computer and laboratory technicians, clerical workers, research scientists, volunteers, managers, receptionists, and nurses. Please note that the ALSPAC study website contains details of all available data is available through a fully searchable data dictionary and variable search tool (</w:t>
      </w:r>
      <w:r w:rsidRPr="00805746">
        <w:t>http://www.bristol.ac.uk/alspac/researchers/our-data/</w:t>
      </w:r>
      <w:r w:rsidRPr="00DC277B">
        <w:t xml:space="preserve">). </w:t>
      </w:r>
      <w:r w:rsidRPr="00805746">
        <w:rPr>
          <w:b/>
          <w:bCs/>
        </w:rPr>
        <w:t>EDEN:</w:t>
      </w:r>
      <w:r w:rsidRPr="00DC277B">
        <w:t xml:space="preserve"> The authors thank the EDEN mother-child cohort study group, whose members are I. </w:t>
      </w:r>
      <w:proofErr w:type="spellStart"/>
      <w:r w:rsidRPr="00DC277B">
        <w:t>Annesi-</w:t>
      </w:r>
      <w:r w:rsidRPr="00DC277B">
        <w:lastRenderedPageBreak/>
        <w:t>Maesano</w:t>
      </w:r>
      <w:proofErr w:type="spellEnd"/>
      <w:r w:rsidRPr="00DC277B">
        <w:t xml:space="preserve">, J.Y. Bernard, J. </w:t>
      </w:r>
      <w:proofErr w:type="spellStart"/>
      <w:r w:rsidRPr="00DC277B">
        <w:t>Botton</w:t>
      </w:r>
      <w:proofErr w:type="spellEnd"/>
      <w:r w:rsidRPr="00DC277B">
        <w:t xml:space="preserve">, M.A. Charles, P. </w:t>
      </w:r>
      <w:proofErr w:type="spellStart"/>
      <w:r w:rsidRPr="00DC277B">
        <w:t>Dargent</w:t>
      </w:r>
      <w:proofErr w:type="spellEnd"/>
      <w:r w:rsidRPr="00DC277B">
        <w:t xml:space="preserve">-Molina, B. de Lauzon-Guillain, P. </w:t>
      </w:r>
      <w:proofErr w:type="spellStart"/>
      <w:r w:rsidRPr="00DC277B">
        <w:t>Ducimetière</w:t>
      </w:r>
      <w:proofErr w:type="spellEnd"/>
      <w:r w:rsidRPr="00DC277B">
        <w:t xml:space="preserve">, M. de Agostini, B. </w:t>
      </w:r>
      <w:proofErr w:type="spellStart"/>
      <w:r w:rsidRPr="00DC277B">
        <w:t>Foliguet</w:t>
      </w:r>
      <w:proofErr w:type="spellEnd"/>
      <w:r w:rsidRPr="00DC277B">
        <w:t xml:space="preserve">, A. </w:t>
      </w:r>
      <w:proofErr w:type="spellStart"/>
      <w:r w:rsidRPr="00DC277B">
        <w:t>Forhan</w:t>
      </w:r>
      <w:proofErr w:type="spellEnd"/>
      <w:r w:rsidRPr="00DC277B">
        <w:t xml:space="preserve">, X. </w:t>
      </w:r>
      <w:proofErr w:type="spellStart"/>
      <w:r w:rsidRPr="00DC277B">
        <w:t>Fritel</w:t>
      </w:r>
      <w:proofErr w:type="spellEnd"/>
      <w:r w:rsidRPr="00DC277B">
        <w:t xml:space="preserve">, A. </w:t>
      </w:r>
      <w:proofErr w:type="spellStart"/>
      <w:r w:rsidRPr="00DC277B">
        <w:t>Germa</w:t>
      </w:r>
      <w:proofErr w:type="spellEnd"/>
      <w:r w:rsidRPr="00DC277B">
        <w:t xml:space="preserve">, V. </w:t>
      </w:r>
      <w:proofErr w:type="spellStart"/>
      <w:r w:rsidRPr="00DC277B">
        <w:t>Goua</w:t>
      </w:r>
      <w:proofErr w:type="spellEnd"/>
      <w:r w:rsidRPr="00DC277B">
        <w:t xml:space="preserve">, R. </w:t>
      </w:r>
      <w:proofErr w:type="spellStart"/>
      <w:r w:rsidRPr="00DC277B">
        <w:t>Hankard</w:t>
      </w:r>
      <w:proofErr w:type="spellEnd"/>
      <w:r w:rsidRPr="00DC277B">
        <w:t xml:space="preserve">, B. </w:t>
      </w:r>
      <w:proofErr w:type="spellStart"/>
      <w:r w:rsidRPr="00DC277B">
        <w:t>Heude</w:t>
      </w:r>
      <w:proofErr w:type="spellEnd"/>
      <w:r w:rsidRPr="00DC277B">
        <w:t xml:space="preserve">, M. Kaminski, B. </w:t>
      </w:r>
      <w:proofErr w:type="spellStart"/>
      <w:r w:rsidRPr="00DC277B">
        <w:t>Larroque</w:t>
      </w:r>
      <w:proofErr w:type="spellEnd"/>
      <w:r w:rsidRPr="00DC277B">
        <w:t xml:space="preserve">†, N. </w:t>
      </w:r>
      <w:proofErr w:type="spellStart"/>
      <w:r w:rsidRPr="00DC277B">
        <w:t>Lelong</w:t>
      </w:r>
      <w:proofErr w:type="spellEnd"/>
      <w:r w:rsidRPr="00DC277B">
        <w:t xml:space="preserve">, J. </w:t>
      </w:r>
      <w:proofErr w:type="spellStart"/>
      <w:r w:rsidRPr="00DC277B">
        <w:t>Lepeule</w:t>
      </w:r>
      <w:proofErr w:type="spellEnd"/>
      <w:r w:rsidRPr="00DC277B">
        <w:t xml:space="preserve">, G. </w:t>
      </w:r>
      <w:proofErr w:type="spellStart"/>
      <w:r w:rsidRPr="00DC277B">
        <w:t>Magnin</w:t>
      </w:r>
      <w:proofErr w:type="spellEnd"/>
      <w:r w:rsidRPr="00DC277B">
        <w:t xml:space="preserve">, L. Marchand, C. </w:t>
      </w:r>
      <w:proofErr w:type="spellStart"/>
      <w:r w:rsidRPr="00DC277B">
        <w:t>Nabet</w:t>
      </w:r>
      <w:proofErr w:type="spellEnd"/>
      <w:r w:rsidRPr="00DC277B">
        <w:t xml:space="preserve">, F Pierre, R. </w:t>
      </w:r>
      <w:proofErr w:type="spellStart"/>
      <w:r w:rsidRPr="00DC277B">
        <w:t>Slama</w:t>
      </w:r>
      <w:proofErr w:type="spellEnd"/>
      <w:r w:rsidRPr="00DC277B">
        <w:t xml:space="preserve">, M.J. </w:t>
      </w:r>
      <w:proofErr w:type="spellStart"/>
      <w:r w:rsidRPr="00DC277B">
        <w:t>Saurel-Cubizolles</w:t>
      </w:r>
      <w:proofErr w:type="spellEnd"/>
      <w:r w:rsidRPr="00DC277B">
        <w:t xml:space="preserve">, M. Schweitzer, and O. </w:t>
      </w:r>
      <w:proofErr w:type="spellStart"/>
      <w:r w:rsidRPr="00DC277B">
        <w:t>Thiebaugeorges</w:t>
      </w:r>
      <w:proofErr w:type="spellEnd"/>
      <w:r w:rsidRPr="00DC277B">
        <w:t xml:space="preserve">. </w:t>
      </w:r>
      <w:r w:rsidRPr="00805746">
        <w:rPr>
          <w:b/>
          <w:bCs/>
        </w:rPr>
        <w:t>Generation R:</w:t>
      </w:r>
      <w:r w:rsidRPr="00DC277B">
        <w:t xml:space="preserve"> We gratefully acknowledge the contribution of children and their parents, general practitioners, hospitals, midwives, and pharmacies in Rotterdam. </w:t>
      </w:r>
      <w:r w:rsidRPr="00805746">
        <w:rPr>
          <w:b/>
          <w:bCs/>
        </w:rPr>
        <w:t>Lifeways:</w:t>
      </w:r>
      <w:r w:rsidRPr="00DC277B">
        <w:t xml:space="preserve"> We would like to thank all members of the Lifeways cohort for their valuable contribution to the study. The participation of families is much appreciated. </w:t>
      </w:r>
      <w:r w:rsidRPr="00805746">
        <w:rPr>
          <w:b/>
          <w:bCs/>
        </w:rPr>
        <w:t>REPRO_PL:</w:t>
      </w:r>
      <w:r w:rsidRPr="00DC277B">
        <w:t xml:space="preserve"> We gratefully acknowledge the contribution of children and their parents, hospitals, physicians, and midwives. </w:t>
      </w:r>
      <w:r w:rsidRPr="00805746">
        <w:rPr>
          <w:b/>
          <w:bCs/>
        </w:rPr>
        <w:t>ROLO:</w:t>
      </w:r>
      <w:r w:rsidRPr="00DC277B">
        <w:t xml:space="preserve"> We are grateful to the participating mothers, children, and to the research and clinical staff who enabled us </w:t>
      </w:r>
      <w:proofErr w:type="gramStart"/>
      <w:r w:rsidRPr="00DC277B">
        <w:t>recruit</w:t>
      </w:r>
      <w:proofErr w:type="gramEnd"/>
      <w:r w:rsidRPr="00DC277B">
        <w:t xml:space="preserve"> this pregnancy and birth cohort. </w:t>
      </w:r>
      <w:r w:rsidRPr="00805746">
        <w:rPr>
          <w:b/>
          <w:bCs/>
        </w:rPr>
        <w:t>SWS:</w:t>
      </w:r>
      <w:r w:rsidRPr="00DC277B">
        <w:t xml:space="preserve"> We are grateful to the women of Southampton and their children, who gave their time to take part in this study, and to the research nurses and other staff who collected and processed the data. </w:t>
      </w:r>
    </w:p>
    <w:p w14:paraId="01B3894D" w14:textId="77777777" w:rsidR="009F2582" w:rsidRPr="000C5913" w:rsidRDefault="00255AA1" w:rsidP="006E67F8">
      <w:pPr>
        <w:pStyle w:val="NoSpacing"/>
        <w:spacing w:before="120" w:line="480" w:lineRule="auto"/>
      </w:pPr>
      <w:r w:rsidRPr="00DC277B">
        <w:rPr>
          <w:b/>
          <w:bCs/>
        </w:rPr>
        <w:t>Conflicts of Interest:</w:t>
      </w:r>
      <w:r w:rsidRPr="007963BA">
        <w:t xml:space="preserve"> </w:t>
      </w:r>
      <w:proofErr w:type="spellStart"/>
      <w:r w:rsidR="007963BA" w:rsidRPr="007963BA">
        <w:t>Dr.</w:t>
      </w:r>
      <w:proofErr w:type="spellEnd"/>
      <w:r w:rsidR="007963BA" w:rsidRPr="007963BA">
        <w:t xml:space="preserve"> James R. Hébert owns controlling interest in Connecting Health Innovations LLC (CHI), a company that has licensed the right to his invention of the dietary inflammatory index (DII) from the University of South Carolina </w:t>
      </w:r>
      <w:proofErr w:type="gramStart"/>
      <w:r w:rsidR="007963BA" w:rsidRPr="007963BA">
        <w:t>in order to</w:t>
      </w:r>
      <w:proofErr w:type="gramEnd"/>
      <w:r w:rsidR="007963BA" w:rsidRPr="007963BA">
        <w:t xml:space="preserve"> develop computer and smart phone applications for patient counselling and dietary intervention in clinical settings. </w:t>
      </w:r>
      <w:proofErr w:type="spellStart"/>
      <w:r w:rsidR="007963BA" w:rsidRPr="007963BA">
        <w:t>Dr.</w:t>
      </w:r>
      <w:proofErr w:type="spellEnd"/>
      <w:r w:rsidR="007963BA" w:rsidRPr="007963BA">
        <w:t xml:space="preserve"> Nitin Shivappa is an employee of CHI. All other authors declare no support from any organisation for the submitted work other than those described above; no financial relationships with any organisations that might have an interest in the submitted work in the previous three years; no other relationships or activities that could appear to have influenced the submitted work.</w:t>
      </w:r>
      <w:r w:rsidR="009F2582">
        <w:br w:type="page"/>
      </w:r>
    </w:p>
    <w:p w14:paraId="5FA6FB8E" w14:textId="77777777" w:rsidR="00BA5A60" w:rsidRDefault="00BA5A60" w:rsidP="009F2582">
      <w:pPr>
        <w:pStyle w:val="Heading2"/>
        <w:rPr>
          <w:lang w:val="en-GB"/>
        </w:rPr>
        <w:sectPr w:rsidR="00BA5A60" w:rsidSect="003C4937">
          <w:pgSz w:w="11906" w:h="16838"/>
          <w:pgMar w:top="1417" w:right="1417" w:bottom="1417" w:left="1417" w:header="708" w:footer="708" w:gutter="0"/>
          <w:cols w:space="708"/>
          <w:docGrid w:linePitch="360"/>
        </w:sectPr>
      </w:pPr>
    </w:p>
    <w:p w14:paraId="240D535A" w14:textId="77777777" w:rsidR="009F2582" w:rsidRPr="00D56B4E" w:rsidRDefault="009F2582" w:rsidP="006E67F8">
      <w:pPr>
        <w:pStyle w:val="Heading2"/>
        <w:spacing w:line="480" w:lineRule="auto"/>
        <w:rPr>
          <w:lang w:val="en-GB"/>
        </w:rPr>
      </w:pPr>
      <w:r>
        <w:rPr>
          <w:lang w:val="en-GB"/>
        </w:rPr>
        <w:lastRenderedPageBreak/>
        <w:t>References</w:t>
      </w:r>
    </w:p>
    <w:p w14:paraId="58EABE37" w14:textId="77777777" w:rsidR="00152E90" w:rsidRDefault="00442EE4" w:rsidP="000903D3">
      <w:pPr>
        <w:pStyle w:val="Bibliography"/>
        <w:jc w:val="both"/>
      </w:pPr>
      <w:r>
        <w:fldChar w:fldCharType="begin"/>
      </w:r>
      <w:r w:rsidR="00152E90">
        <w:instrText xml:space="preserve"> ADDIN ZOTERO_BIBL {"uncited":[],"omitted":[],"custom":[]} CSL_BIBLIOGRAPHY </w:instrText>
      </w:r>
      <w:r>
        <w:fldChar w:fldCharType="separate"/>
      </w:r>
      <w:r w:rsidR="00152E90">
        <w:t xml:space="preserve">1. </w:t>
      </w:r>
      <w:r w:rsidR="00152E90">
        <w:tab/>
        <w:t xml:space="preserve">Godfrey KM, Costello PM, Lillycrop KA. The developmental environment, epigenetic biomarkers and long-term health. </w:t>
      </w:r>
      <w:r w:rsidR="00152E90">
        <w:rPr>
          <w:i/>
          <w:iCs/>
        </w:rPr>
        <w:t>J Dev Orig Health Dis</w:t>
      </w:r>
      <w:r w:rsidR="00152E90">
        <w:t>. 2015;6(5):399-406. doi:10.1017/S204017441500121X</w:t>
      </w:r>
    </w:p>
    <w:p w14:paraId="4090277C" w14:textId="77777777" w:rsidR="00152E90" w:rsidRDefault="00152E90" w:rsidP="000903D3">
      <w:pPr>
        <w:pStyle w:val="Bibliography"/>
        <w:jc w:val="both"/>
      </w:pPr>
      <w:r>
        <w:t xml:space="preserve">2. </w:t>
      </w:r>
      <w:r>
        <w:tab/>
        <w:t xml:space="preserve">Haugen AC, Schug TT, Collman G, Heindel JJ. Evolution of DOHaD: the impact of environmental health sciences. </w:t>
      </w:r>
      <w:r>
        <w:rPr>
          <w:i/>
          <w:iCs/>
        </w:rPr>
        <w:t>J Dev Orig Health Dis</w:t>
      </w:r>
      <w:r>
        <w:t>. 2015;6(2):55-64. doi:10.1017/S2040174414000580</w:t>
      </w:r>
    </w:p>
    <w:p w14:paraId="7547A246" w14:textId="77777777" w:rsidR="00152E90" w:rsidRDefault="00152E90" w:rsidP="000903D3">
      <w:pPr>
        <w:pStyle w:val="Bibliography"/>
        <w:jc w:val="both"/>
      </w:pPr>
      <w:r>
        <w:t xml:space="preserve">3. </w:t>
      </w:r>
      <w:r>
        <w:tab/>
        <w:t xml:space="preserve">Procter SB, Campbell CG. Position of the Academy of Nutrition and Dietetics: nutrition and lifestyle for a healthy pregnancy outcome. </w:t>
      </w:r>
      <w:r>
        <w:rPr>
          <w:i/>
          <w:iCs/>
        </w:rPr>
        <w:t>J Acad Nutr Diet</w:t>
      </w:r>
      <w:r>
        <w:t>. 2014;114(7):1099-1103. doi:10.1016/j.jand.2014.05.005</w:t>
      </w:r>
    </w:p>
    <w:p w14:paraId="58295CA7" w14:textId="77777777" w:rsidR="00152E90" w:rsidRDefault="00152E90" w:rsidP="000903D3">
      <w:pPr>
        <w:pStyle w:val="Bibliography"/>
        <w:jc w:val="both"/>
      </w:pPr>
      <w:r>
        <w:t xml:space="preserve">4. </w:t>
      </w:r>
      <w:r>
        <w:tab/>
        <w:t xml:space="preserve">Knudsen VK, Orozova-Bekkevold IM, Mikkelsen TB, Wolff S, Olsen SF. Major dietary patterns in pregnancy and fetal growth. </w:t>
      </w:r>
      <w:r>
        <w:rPr>
          <w:i/>
          <w:iCs/>
        </w:rPr>
        <w:t>Eur J Clin Nutr</w:t>
      </w:r>
      <w:r>
        <w:t>. 2008;62(4):463-470. doi:10.1038/sj.ejcn.1602745</w:t>
      </w:r>
    </w:p>
    <w:p w14:paraId="45D44B02" w14:textId="77777777" w:rsidR="00152E90" w:rsidRPr="000903D3" w:rsidRDefault="00152E90" w:rsidP="000903D3">
      <w:pPr>
        <w:pStyle w:val="Bibliography"/>
        <w:jc w:val="both"/>
        <w:rPr>
          <w:lang w:val="fr-FR"/>
        </w:rPr>
      </w:pPr>
      <w:r>
        <w:t xml:space="preserve">5. </w:t>
      </w:r>
      <w:r>
        <w:tab/>
        <w:t xml:space="preserve">Chen X, Zhao D, Mao X, Xia Y, Baker PN, Zhang H. Maternal Dietary Patterns and Pregnancy Outcome. </w:t>
      </w:r>
      <w:r w:rsidRPr="000903D3">
        <w:rPr>
          <w:i/>
          <w:iCs/>
          <w:lang w:val="fr-FR"/>
        </w:rPr>
        <w:t>Nutrients</w:t>
      </w:r>
      <w:r w:rsidRPr="000903D3">
        <w:rPr>
          <w:lang w:val="fr-FR"/>
        </w:rPr>
        <w:t>. 2016;8(6). doi:10.3390/nu8060351</w:t>
      </w:r>
    </w:p>
    <w:p w14:paraId="7C4E6B7B" w14:textId="77777777" w:rsidR="00152E90" w:rsidRDefault="00152E90" w:rsidP="000903D3">
      <w:pPr>
        <w:pStyle w:val="Bibliography"/>
        <w:jc w:val="both"/>
      </w:pPr>
      <w:r w:rsidRPr="000903D3">
        <w:rPr>
          <w:lang w:val="fr-FR"/>
        </w:rPr>
        <w:t xml:space="preserve">6. </w:t>
      </w:r>
      <w:r w:rsidRPr="000903D3">
        <w:rPr>
          <w:lang w:val="fr-FR"/>
        </w:rPr>
        <w:tab/>
        <w:t xml:space="preserve">Shapiro ALB, Kaar JL, Crume TL, et al. </w:t>
      </w:r>
      <w:r>
        <w:t xml:space="preserve">Maternal diet quality in pregnancy and neonatal adiposity: the Healthy Start Study. </w:t>
      </w:r>
      <w:r>
        <w:rPr>
          <w:i/>
          <w:iCs/>
        </w:rPr>
        <w:t>Int J Obes</w:t>
      </w:r>
      <w:r>
        <w:t>. 2016;40(7):1056-1062. doi:10.1038/ijo.2016.79</w:t>
      </w:r>
    </w:p>
    <w:p w14:paraId="677E5321" w14:textId="77777777" w:rsidR="00152E90" w:rsidRDefault="00152E90" w:rsidP="000903D3">
      <w:pPr>
        <w:pStyle w:val="Bibliography"/>
        <w:jc w:val="both"/>
      </w:pPr>
      <w:r>
        <w:t xml:space="preserve">7. </w:t>
      </w:r>
      <w:r>
        <w:tab/>
        <w:t xml:space="preserve">Borge TC, Aase H, Brantsæter AL, Biele G. The importance of maternal diet quality during pregnancy on cognitive and behavioural outcomes in children: a systematic review and meta-analysis. </w:t>
      </w:r>
      <w:r>
        <w:rPr>
          <w:i/>
          <w:iCs/>
        </w:rPr>
        <w:t>BMJ Open</w:t>
      </w:r>
      <w:r>
        <w:t>. 2017;7(9):e016777. doi:10.1136/bmjopen-2017-016777</w:t>
      </w:r>
    </w:p>
    <w:p w14:paraId="74480628" w14:textId="77777777" w:rsidR="00152E90" w:rsidRDefault="00152E90" w:rsidP="000903D3">
      <w:pPr>
        <w:pStyle w:val="Bibliography"/>
        <w:jc w:val="both"/>
      </w:pPr>
      <w:r>
        <w:t xml:space="preserve">8. </w:t>
      </w:r>
      <w:r>
        <w:tab/>
        <w:t xml:space="preserve">Rifas-Shiman SL, Rich-Edwards JW, Kleinman KP, Oken E, Gillman MW. Dietary quality during pregnancy varies by maternal characteristics in Project Viva: a US cohort. </w:t>
      </w:r>
      <w:r>
        <w:rPr>
          <w:i/>
          <w:iCs/>
        </w:rPr>
        <w:t>J Am Diet Assoc</w:t>
      </w:r>
      <w:r>
        <w:t>. 2009;109(6):1004-1011. doi:10.1016/j.jada.2009.03.001</w:t>
      </w:r>
    </w:p>
    <w:p w14:paraId="0A211F53" w14:textId="77777777" w:rsidR="00152E90" w:rsidRDefault="00152E90" w:rsidP="000903D3">
      <w:pPr>
        <w:pStyle w:val="Bibliography"/>
        <w:jc w:val="both"/>
      </w:pPr>
      <w:r>
        <w:t xml:space="preserve">9. </w:t>
      </w:r>
      <w:r>
        <w:tab/>
        <w:t xml:space="preserve">Harrington J, Fitzgerald AP, Layte R, Lutomski J, Molcho M, Perry IJ. Sociodemographic, health and lifestyle predictors of poor diets. </w:t>
      </w:r>
      <w:r>
        <w:rPr>
          <w:i/>
          <w:iCs/>
        </w:rPr>
        <w:t>Public Health Nutr</w:t>
      </w:r>
      <w:r>
        <w:t>. 2011;14(12):2166-2175. doi:10.1017/S136898001100098X</w:t>
      </w:r>
    </w:p>
    <w:p w14:paraId="33BB711E" w14:textId="77777777" w:rsidR="00152E90" w:rsidRDefault="00152E90" w:rsidP="000903D3">
      <w:pPr>
        <w:pStyle w:val="Bibliography"/>
        <w:jc w:val="both"/>
      </w:pPr>
      <w:r>
        <w:t xml:space="preserve">10. </w:t>
      </w:r>
      <w:r>
        <w:tab/>
        <w:t xml:space="preserve">Doyle IM, Borrmann B, Grosser A, Razum O, Spallek J. Determinants of dietary patterns and diet quality during pregnancy: a systematic review with narrative synthesis. </w:t>
      </w:r>
      <w:r>
        <w:rPr>
          <w:i/>
          <w:iCs/>
        </w:rPr>
        <w:t>Public Health Nutr</w:t>
      </w:r>
      <w:r>
        <w:t>. 2017;20(6):1009-1028. doi:10.1017/S1368980016002937</w:t>
      </w:r>
    </w:p>
    <w:p w14:paraId="38EF6E0E" w14:textId="77777777" w:rsidR="00152E90" w:rsidRDefault="00152E90" w:rsidP="000903D3">
      <w:pPr>
        <w:pStyle w:val="Bibliography"/>
        <w:jc w:val="both"/>
      </w:pPr>
      <w:r>
        <w:t xml:space="preserve">11. </w:t>
      </w:r>
      <w:r>
        <w:tab/>
        <w:t xml:space="preserve">Fowles ER, Fowles SL. Healthy eating during pregnancy: determinants and supportive strategies. </w:t>
      </w:r>
      <w:r>
        <w:rPr>
          <w:i/>
          <w:iCs/>
        </w:rPr>
        <w:t>J Community Health Nurs</w:t>
      </w:r>
      <w:r>
        <w:t>. 2008;25(3):138-152. doi:10.1080/07370010802221727</w:t>
      </w:r>
    </w:p>
    <w:p w14:paraId="545DE6FA" w14:textId="77777777" w:rsidR="00152E90" w:rsidRDefault="00152E90" w:rsidP="000903D3">
      <w:pPr>
        <w:pStyle w:val="Bibliography"/>
        <w:jc w:val="both"/>
      </w:pPr>
      <w:r>
        <w:t xml:space="preserve">12. </w:t>
      </w:r>
      <w:r>
        <w:tab/>
        <w:t xml:space="preserve">Forbes LE, Graham JE, Berglund C, Bell RC. Dietary Change during Pregnancy and Women’s Reasons for Change. </w:t>
      </w:r>
      <w:r>
        <w:rPr>
          <w:i/>
          <w:iCs/>
        </w:rPr>
        <w:t>Nutrients</w:t>
      </w:r>
      <w:r>
        <w:t>. 2018;10(8). doi:10.3390/nu10081032</w:t>
      </w:r>
    </w:p>
    <w:p w14:paraId="3172E122" w14:textId="77777777" w:rsidR="00152E90" w:rsidRDefault="00152E90" w:rsidP="000903D3">
      <w:pPr>
        <w:pStyle w:val="Bibliography"/>
        <w:jc w:val="both"/>
      </w:pPr>
      <w:r>
        <w:t xml:space="preserve">13. </w:t>
      </w:r>
      <w:r>
        <w:tab/>
        <w:t xml:space="preserve">Beauchamp A, Backholer K, Magliano D, Peeters A. The effect of obesity prevention interventions according to socioeconomic position: a systematic review. </w:t>
      </w:r>
      <w:r>
        <w:rPr>
          <w:i/>
          <w:iCs/>
        </w:rPr>
        <w:t>Obes Rev Off J Int Assoc Study Obes</w:t>
      </w:r>
      <w:r>
        <w:t>. 2014;15(7):541-554. doi:10.1111/obr.12161</w:t>
      </w:r>
    </w:p>
    <w:p w14:paraId="1F33A6CD" w14:textId="77777777" w:rsidR="00152E90" w:rsidRDefault="00152E90" w:rsidP="000903D3">
      <w:pPr>
        <w:pStyle w:val="Bibliography"/>
        <w:jc w:val="both"/>
      </w:pPr>
      <w:r>
        <w:t xml:space="preserve">14. </w:t>
      </w:r>
      <w:r>
        <w:tab/>
        <w:t xml:space="preserve">Aubert AM, Forhan A, de Lauzon-Guillain B, et al. Deriving the Dietary Approaches to Stop Hypertension (DASH) Score in Women from Seven Pregnancy Cohorts from the European ALPHABET Consortium. </w:t>
      </w:r>
      <w:r>
        <w:rPr>
          <w:i/>
          <w:iCs/>
        </w:rPr>
        <w:t>Nutrients</w:t>
      </w:r>
      <w:r>
        <w:t>. 2019;11(11). doi:10.3390/nu11112706</w:t>
      </w:r>
    </w:p>
    <w:p w14:paraId="1B92CAF6" w14:textId="77777777" w:rsidR="00152E90" w:rsidRDefault="00152E90" w:rsidP="000903D3">
      <w:pPr>
        <w:pStyle w:val="Bibliography"/>
        <w:jc w:val="both"/>
      </w:pPr>
      <w:r>
        <w:lastRenderedPageBreak/>
        <w:t xml:space="preserve">15. </w:t>
      </w:r>
      <w:r>
        <w:tab/>
        <w:t xml:space="preserve">Shivappa N, Steck SE, Hurley TG, Hussey JR, Hébert JR. Designing and developing a literature-derived, population-based dietary inflammatory index. </w:t>
      </w:r>
      <w:r>
        <w:rPr>
          <w:i/>
          <w:iCs/>
        </w:rPr>
        <w:t>Public Health Nutr</w:t>
      </w:r>
      <w:r>
        <w:t>. 2014;17(8):1689-1696. doi:10.1017/S1368980013002115</w:t>
      </w:r>
    </w:p>
    <w:p w14:paraId="6980F397" w14:textId="77777777" w:rsidR="00152E90" w:rsidRDefault="00152E90" w:rsidP="000903D3">
      <w:pPr>
        <w:pStyle w:val="Bibliography"/>
        <w:jc w:val="both"/>
      </w:pPr>
      <w:r>
        <w:t xml:space="preserve">16. </w:t>
      </w:r>
      <w:r>
        <w:tab/>
        <w:t xml:space="preserve">Siervo M, Lara J, Chowdhury S, Ashor A, Oggioni C, Mathers JC. Effects of the Dietary Approach to Stop Hypertension (DASH) diet on cardiovascular risk factors: a systematic review and meta-analysis. </w:t>
      </w:r>
      <w:r>
        <w:rPr>
          <w:i/>
          <w:iCs/>
        </w:rPr>
        <w:t>Br J Nutr</w:t>
      </w:r>
      <w:r>
        <w:t>. 2015;113(1):1-15. doi:10.1017/S0007114514003341</w:t>
      </w:r>
    </w:p>
    <w:p w14:paraId="130DD8DA" w14:textId="77777777" w:rsidR="00152E90" w:rsidRPr="000903D3" w:rsidRDefault="00152E90" w:rsidP="000903D3">
      <w:pPr>
        <w:pStyle w:val="Bibliography"/>
        <w:jc w:val="both"/>
        <w:rPr>
          <w:lang w:val="fr-FR"/>
        </w:rPr>
      </w:pPr>
      <w:r>
        <w:t xml:space="preserve">17. </w:t>
      </w:r>
      <w:r>
        <w:tab/>
        <w:t xml:space="preserve">Phillips CM, Chen LW, Heude B, et al. Dietary Inflammatory Index and Non-Communicable Disease Risk: A Narrative Review. </w:t>
      </w:r>
      <w:r w:rsidRPr="000903D3">
        <w:rPr>
          <w:i/>
          <w:iCs/>
          <w:lang w:val="fr-FR"/>
        </w:rPr>
        <w:t>Nutrients</w:t>
      </w:r>
      <w:r w:rsidRPr="000903D3">
        <w:rPr>
          <w:lang w:val="fr-FR"/>
        </w:rPr>
        <w:t>. 2019;11(8). doi:10.3390/nu11081873</w:t>
      </w:r>
    </w:p>
    <w:p w14:paraId="1544D361" w14:textId="77777777" w:rsidR="00152E90" w:rsidRDefault="00152E90" w:rsidP="000903D3">
      <w:pPr>
        <w:pStyle w:val="Bibliography"/>
        <w:jc w:val="both"/>
      </w:pPr>
      <w:r w:rsidRPr="000903D3">
        <w:rPr>
          <w:lang w:val="fr-FR"/>
        </w:rPr>
        <w:t xml:space="preserve">18. </w:t>
      </w:r>
      <w:r w:rsidRPr="000903D3">
        <w:rPr>
          <w:lang w:val="fr-FR"/>
        </w:rPr>
        <w:tab/>
        <w:t xml:space="preserve">Chen LW, Aubert AM, Shivappa N, et al. </w:t>
      </w:r>
      <w:r>
        <w:t xml:space="preserve">Associations of maternal dietary inflammatory potential and quality with offspring birth outcomes: An individual participant data pooled analysis of 7 European cohorts in the ALPHABET consortium. </w:t>
      </w:r>
      <w:r>
        <w:rPr>
          <w:i/>
          <w:iCs/>
        </w:rPr>
        <w:t>PLoS Med</w:t>
      </w:r>
      <w:r>
        <w:t>. 2021;18(1):e1003491. doi:10.1371/journal.pmed.1003491</w:t>
      </w:r>
    </w:p>
    <w:p w14:paraId="0C6DDBDA" w14:textId="77777777" w:rsidR="00152E90" w:rsidRDefault="00152E90" w:rsidP="000903D3">
      <w:pPr>
        <w:pStyle w:val="Bibliography"/>
        <w:jc w:val="both"/>
      </w:pPr>
      <w:r>
        <w:t xml:space="preserve">19. </w:t>
      </w:r>
      <w:r>
        <w:tab/>
        <w:t xml:space="preserve">Chen LW, Aubert AM, Shivappa N, et al. Maternal dietary quality, inflammatory potential and childhood adiposity: an individual participant data pooled analysis of seven European cohorts in the ALPHABET consortium. </w:t>
      </w:r>
      <w:r>
        <w:rPr>
          <w:i/>
          <w:iCs/>
        </w:rPr>
        <w:t>BMC Med</w:t>
      </w:r>
      <w:r>
        <w:t>. 2021;19(1):33. doi:10.1186/s12916-021-01908-7</w:t>
      </w:r>
    </w:p>
    <w:p w14:paraId="6D97E2BB" w14:textId="77777777" w:rsidR="00152E90" w:rsidRPr="000903D3" w:rsidRDefault="00152E90" w:rsidP="000903D3">
      <w:pPr>
        <w:pStyle w:val="Bibliography"/>
        <w:jc w:val="both"/>
        <w:rPr>
          <w:lang w:val="fr-FR"/>
        </w:rPr>
      </w:pPr>
      <w:r>
        <w:t xml:space="preserve">20. </w:t>
      </w:r>
      <w:r>
        <w:tab/>
        <w:t xml:space="preserve">Polanska K, Kaluzny P, Aubert AM, et al. Dietary Quality and Dietary Inflammatory Potential During Pregnancy and Offspring Emotional and Behavioral Symptoms in Childhood: An Individual Participant Data Meta-analysis of Four European Cohorts. </w:t>
      </w:r>
      <w:r w:rsidRPr="000903D3">
        <w:rPr>
          <w:i/>
          <w:iCs/>
          <w:lang w:val="fr-FR"/>
        </w:rPr>
        <w:t>Biol Psychiatry</w:t>
      </w:r>
      <w:r w:rsidRPr="000903D3">
        <w:rPr>
          <w:lang w:val="fr-FR"/>
        </w:rPr>
        <w:t>. 2021;89(6):550-559. doi:10.1016/j.biopsych.2020.10.008</w:t>
      </w:r>
    </w:p>
    <w:p w14:paraId="76E20409" w14:textId="77777777" w:rsidR="00152E90" w:rsidRDefault="00152E90" w:rsidP="000903D3">
      <w:pPr>
        <w:pStyle w:val="Bibliography"/>
        <w:jc w:val="both"/>
      </w:pPr>
      <w:r w:rsidRPr="000903D3">
        <w:rPr>
          <w:lang w:val="fr-FR"/>
        </w:rPr>
        <w:t xml:space="preserve">21. </w:t>
      </w:r>
      <w:r w:rsidRPr="000903D3">
        <w:rPr>
          <w:lang w:val="fr-FR"/>
        </w:rPr>
        <w:tab/>
        <w:t xml:space="preserve">Mensink-Bout SM, van Meel ER, de Jongste JC, et al. </w:t>
      </w:r>
      <w:r>
        <w:t xml:space="preserve">Maternal diet in pregnancy and child’s respiratory outcomes: an individual participant data meta-analysis of 18 000 children. </w:t>
      </w:r>
      <w:r>
        <w:rPr>
          <w:i/>
          <w:iCs/>
        </w:rPr>
        <w:t>Eur Respir J</w:t>
      </w:r>
      <w:r>
        <w:t>. Published online September 9, 2021:2101315. doi:10.1183/13993003.01315-2021</w:t>
      </w:r>
    </w:p>
    <w:p w14:paraId="57C1C0E2" w14:textId="77777777" w:rsidR="00152E90" w:rsidRDefault="00152E90" w:rsidP="000903D3">
      <w:pPr>
        <w:pStyle w:val="Bibliography"/>
        <w:jc w:val="both"/>
      </w:pPr>
      <w:r>
        <w:t xml:space="preserve">22. </w:t>
      </w:r>
      <w:r>
        <w:tab/>
        <w:t xml:space="preserve">Schooling CM, Jones HE. Clarifying questions about “risk factors”: predictors versus explanation. </w:t>
      </w:r>
      <w:r>
        <w:rPr>
          <w:i/>
          <w:iCs/>
        </w:rPr>
        <w:t>Emerg Themes Epidemiol</w:t>
      </w:r>
      <w:r>
        <w:t>. 2018;15:10. doi:10.1186/s12982-018-0080-z</w:t>
      </w:r>
    </w:p>
    <w:p w14:paraId="3F11826E" w14:textId="77777777" w:rsidR="00152E90" w:rsidRDefault="00152E90" w:rsidP="000903D3">
      <w:pPr>
        <w:pStyle w:val="Bibliography"/>
        <w:jc w:val="both"/>
      </w:pPr>
      <w:r>
        <w:t xml:space="preserve">23. </w:t>
      </w:r>
      <w:r>
        <w:tab/>
        <w:t xml:space="preserve">Hernán MA, Hsu J, Healy B. A Second Chance to Get Causal Inference Right: A Classification of Data Science Tasks. </w:t>
      </w:r>
      <w:r>
        <w:rPr>
          <w:i/>
          <w:iCs/>
        </w:rPr>
        <w:t>CHANCE</w:t>
      </w:r>
      <w:r>
        <w:t>. 2019;32(1):42-49. doi:10.1080/09332480.2019.1579578</w:t>
      </w:r>
    </w:p>
    <w:p w14:paraId="1DC5981F" w14:textId="77777777" w:rsidR="00152E90" w:rsidRDefault="00152E90" w:rsidP="000903D3">
      <w:pPr>
        <w:pStyle w:val="Bibliography"/>
        <w:jc w:val="both"/>
      </w:pPr>
      <w:r>
        <w:t xml:space="preserve">24. </w:t>
      </w:r>
      <w:r>
        <w:tab/>
        <w:t xml:space="preserve">Riley RD, Lambert PC, Abo-Zaid G. Meta-analysis of individual participant data: rationale, conduct, and reporting. </w:t>
      </w:r>
      <w:r>
        <w:rPr>
          <w:i/>
          <w:iCs/>
        </w:rPr>
        <w:t>BMJ</w:t>
      </w:r>
      <w:r>
        <w:t>. 2010;340:c221. doi:10.1136/bmj.c221</w:t>
      </w:r>
    </w:p>
    <w:p w14:paraId="40698ECA" w14:textId="77777777" w:rsidR="00152E90" w:rsidRDefault="00152E90" w:rsidP="000903D3">
      <w:pPr>
        <w:pStyle w:val="Bibliography"/>
        <w:jc w:val="both"/>
      </w:pPr>
      <w:r>
        <w:t xml:space="preserve">25. </w:t>
      </w:r>
      <w:r>
        <w:tab/>
        <w:t xml:space="preserve">Boyd A, Golding J, Macleod J, et al. Cohort Profile: The ‘Children of the 90s’—the index offspring of the Avon Longitudinal Study of Parents and Children. </w:t>
      </w:r>
      <w:r>
        <w:rPr>
          <w:i/>
          <w:iCs/>
        </w:rPr>
        <w:t>Int J Epidemiol</w:t>
      </w:r>
      <w:r>
        <w:t>. 2013;42(1):111-127. doi:10.1093/ije/dys064</w:t>
      </w:r>
    </w:p>
    <w:p w14:paraId="2C97B7B2" w14:textId="77777777" w:rsidR="00152E90" w:rsidRPr="000903D3" w:rsidRDefault="00152E90" w:rsidP="000903D3">
      <w:pPr>
        <w:pStyle w:val="Bibliography"/>
        <w:jc w:val="both"/>
        <w:rPr>
          <w:lang w:val="fr-FR"/>
        </w:rPr>
      </w:pPr>
      <w:r>
        <w:t xml:space="preserve">26. </w:t>
      </w:r>
      <w:r>
        <w:tab/>
        <w:t xml:space="preserve">Fraser A, Macdonald-Wallis C, Tilling K, et al. Cohort Profile: the Avon Longitudinal Study of Parents and Children: ALSPAC mothers cohort. </w:t>
      </w:r>
      <w:r w:rsidRPr="000903D3">
        <w:rPr>
          <w:i/>
          <w:iCs/>
          <w:lang w:val="fr-FR"/>
        </w:rPr>
        <w:t>Int J Epidemiol</w:t>
      </w:r>
      <w:r w:rsidRPr="000903D3">
        <w:rPr>
          <w:lang w:val="fr-FR"/>
        </w:rPr>
        <w:t>. 2013;42(1):97-110. doi:10.1093/ije/dys066</w:t>
      </w:r>
    </w:p>
    <w:p w14:paraId="536EF91C" w14:textId="77777777" w:rsidR="00152E90" w:rsidRDefault="00152E90" w:rsidP="000903D3">
      <w:pPr>
        <w:pStyle w:val="Bibliography"/>
        <w:jc w:val="both"/>
      </w:pPr>
      <w:r w:rsidRPr="000903D3">
        <w:rPr>
          <w:lang w:val="fr-FR"/>
        </w:rPr>
        <w:t xml:space="preserve">27. </w:t>
      </w:r>
      <w:r w:rsidRPr="000903D3">
        <w:rPr>
          <w:lang w:val="fr-FR"/>
        </w:rPr>
        <w:tab/>
        <w:t xml:space="preserve">Heude B, Forhan A, Slama R, et al. </w:t>
      </w:r>
      <w:r>
        <w:t xml:space="preserve">Cohort Profile: The EDEN mother-child cohort on the prenatal and early postnatal determinants of child health and development. </w:t>
      </w:r>
      <w:r>
        <w:rPr>
          <w:i/>
          <w:iCs/>
        </w:rPr>
        <w:t>Int J Epidemiol</w:t>
      </w:r>
      <w:r>
        <w:t>. 2016;45(2):353-363. doi:10.1093/ije/dyv151</w:t>
      </w:r>
    </w:p>
    <w:p w14:paraId="63579205" w14:textId="77777777" w:rsidR="00152E90" w:rsidRPr="000903D3" w:rsidRDefault="00152E90" w:rsidP="000903D3">
      <w:pPr>
        <w:pStyle w:val="Bibliography"/>
        <w:jc w:val="both"/>
        <w:rPr>
          <w:lang w:val="fr-FR"/>
        </w:rPr>
      </w:pPr>
      <w:r>
        <w:t xml:space="preserve">28. </w:t>
      </w:r>
      <w:r>
        <w:tab/>
        <w:t xml:space="preserve">Kooijman MN, Kruithof CJ, van Duijn CM, et al. The Generation R Study: design and cohort update 2017. </w:t>
      </w:r>
      <w:r w:rsidRPr="000903D3">
        <w:rPr>
          <w:i/>
          <w:iCs/>
          <w:lang w:val="fr-FR"/>
        </w:rPr>
        <w:t>Eur J Epidemiol</w:t>
      </w:r>
      <w:r w:rsidRPr="000903D3">
        <w:rPr>
          <w:lang w:val="fr-FR"/>
        </w:rPr>
        <w:t>. 2016;31(12):1243-1264. doi:10.1007/s10654-016-0224-9</w:t>
      </w:r>
    </w:p>
    <w:p w14:paraId="3189A468" w14:textId="77777777" w:rsidR="00152E90" w:rsidRDefault="00152E90" w:rsidP="000903D3">
      <w:pPr>
        <w:pStyle w:val="Bibliography"/>
        <w:jc w:val="both"/>
      </w:pPr>
      <w:r w:rsidRPr="000903D3">
        <w:rPr>
          <w:lang w:val="fr-FR"/>
        </w:rPr>
        <w:t xml:space="preserve">29. </w:t>
      </w:r>
      <w:r w:rsidRPr="000903D3">
        <w:rPr>
          <w:lang w:val="fr-FR"/>
        </w:rPr>
        <w:tab/>
        <w:t xml:space="preserve">O’Mahony D, Fallon UB, Hannon F, et al. </w:t>
      </w:r>
      <w:r>
        <w:t xml:space="preserve">The Lifeways Cross-Generation Study: design, recruitment and data management considerations. </w:t>
      </w:r>
      <w:r>
        <w:rPr>
          <w:i/>
          <w:iCs/>
        </w:rPr>
        <w:t>Ir Med J</w:t>
      </w:r>
      <w:r>
        <w:t>. 2007;100(8):suppl 3-6.</w:t>
      </w:r>
    </w:p>
    <w:p w14:paraId="0874F46A" w14:textId="77777777" w:rsidR="00152E90" w:rsidRDefault="00152E90" w:rsidP="000903D3">
      <w:pPr>
        <w:pStyle w:val="Bibliography"/>
        <w:jc w:val="both"/>
      </w:pPr>
      <w:r>
        <w:lastRenderedPageBreak/>
        <w:t xml:space="preserve">30. </w:t>
      </w:r>
      <w:r>
        <w:tab/>
        <w:t xml:space="preserve">Polańska K, Hanke W, Gromadzińska J, et al. Polish mother and child cohort study--defining the problem, the aim of the study and methodological assumption. </w:t>
      </w:r>
      <w:r>
        <w:rPr>
          <w:i/>
          <w:iCs/>
        </w:rPr>
        <w:t>Int J Occup Med Environ Health</w:t>
      </w:r>
      <w:r>
        <w:t>. 2009;22(4):383-391. doi:10.2478/v10001-009-0037-0</w:t>
      </w:r>
    </w:p>
    <w:p w14:paraId="09D136B1" w14:textId="77777777" w:rsidR="00152E90" w:rsidRDefault="00152E90" w:rsidP="000903D3">
      <w:pPr>
        <w:pStyle w:val="Bibliography"/>
        <w:jc w:val="both"/>
      </w:pPr>
      <w:r>
        <w:t xml:space="preserve">31. </w:t>
      </w:r>
      <w:r>
        <w:tab/>
        <w:t xml:space="preserve">Walsh JM, McGowan CA, Mahony R, Foley ME, McAuliffe FM. Low glycaemic index diet in pregnancy to prevent macrosomia (ROLO study): randomised control trial. </w:t>
      </w:r>
      <w:r>
        <w:rPr>
          <w:i/>
          <w:iCs/>
        </w:rPr>
        <w:t>The BMJ</w:t>
      </w:r>
      <w:r>
        <w:t>. 2012;345. doi:10.1136/bmj.e5605</w:t>
      </w:r>
    </w:p>
    <w:p w14:paraId="3A2BCFE9" w14:textId="77777777" w:rsidR="00152E90" w:rsidRDefault="00152E90" w:rsidP="000903D3">
      <w:pPr>
        <w:pStyle w:val="Bibliography"/>
        <w:jc w:val="both"/>
      </w:pPr>
      <w:r>
        <w:t xml:space="preserve">32. </w:t>
      </w:r>
      <w:r>
        <w:tab/>
        <w:t xml:space="preserve">Inskip HM, Godfrey KM, Robinson SM, Law CM, Barker DJ, Cooper C. Cohort Profile: The Southampton Women’s Survey. </w:t>
      </w:r>
      <w:r>
        <w:rPr>
          <w:i/>
          <w:iCs/>
        </w:rPr>
        <w:t>Int J Epidemiol</w:t>
      </w:r>
      <w:r>
        <w:t>. 2006;35(1):42-48. doi:10.1093/ije/dyi202</w:t>
      </w:r>
    </w:p>
    <w:p w14:paraId="3DD3EC8B" w14:textId="77777777" w:rsidR="00152E90" w:rsidRDefault="00152E90" w:rsidP="000903D3">
      <w:pPr>
        <w:pStyle w:val="Bibliography"/>
        <w:jc w:val="both"/>
      </w:pPr>
      <w:r>
        <w:t xml:space="preserve">33. </w:t>
      </w:r>
      <w:r>
        <w:tab/>
        <w:t xml:space="preserve">Deschamps V, de Lauzon-Guillain B, Lafay L, Borys JM, Charles MA, Romon M. Reproducibility and relative validity of a food-frequency questionnaire among French adults and adolescents. </w:t>
      </w:r>
      <w:r>
        <w:rPr>
          <w:i/>
          <w:iCs/>
        </w:rPr>
        <w:t>Eur J Clin Nutr</w:t>
      </w:r>
      <w:r>
        <w:t>. 2009;63(2):282-291. doi:10.1038/sj.ejcn.1602914</w:t>
      </w:r>
    </w:p>
    <w:p w14:paraId="0626749B" w14:textId="77777777" w:rsidR="00152E90" w:rsidRDefault="00152E90" w:rsidP="000903D3">
      <w:pPr>
        <w:pStyle w:val="Bibliography"/>
        <w:jc w:val="both"/>
      </w:pPr>
      <w:r>
        <w:t xml:space="preserve">34. </w:t>
      </w:r>
      <w:r>
        <w:tab/>
        <w:t xml:space="preserve">Klipstein-Grobusch K, den Breeijen JH, Goldbohm RA, et al. Dietary assessment in the elderly: validation of a semiquantitative food frequency questionnaire. </w:t>
      </w:r>
      <w:r>
        <w:rPr>
          <w:i/>
          <w:iCs/>
        </w:rPr>
        <w:t>Eur J Clin Nutr</w:t>
      </w:r>
      <w:r>
        <w:t>. 1998;52(8):588-596.</w:t>
      </w:r>
    </w:p>
    <w:p w14:paraId="0C540533" w14:textId="77777777" w:rsidR="00152E90" w:rsidRDefault="00152E90" w:rsidP="000903D3">
      <w:pPr>
        <w:pStyle w:val="Bibliography"/>
        <w:jc w:val="both"/>
      </w:pPr>
      <w:r>
        <w:t xml:space="preserve">35. </w:t>
      </w:r>
      <w:r>
        <w:tab/>
        <w:t xml:space="preserve">Murrin C, Shrivastava A, Kelleher CC, Lifeways Cross-generation Cohort Study Steering Group. Maternal macronutrient intake during pregnancy and 5 years postpartum and associations with child weight status aged five. </w:t>
      </w:r>
      <w:r>
        <w:rPr>
          <w:i/>
          <w:iCs/>
        </w:rPr>
        <w:t>Eur J Clin Nutr</w:t>
      </w:r>
      <w:r>
        <w:t>. 2013;67(6):670-679. doi:10.1038/ejcn.2013.76</w:t>
      </w:r>
    </w:p>
    <w:p w14:paraId="0E58336C" w14:textId="77777777" w:rsidR="00152E90" w:rsidRDefault="00152E90" w:rsidP="000903D3">
      <w:pPr>
        <w:pStyle w:val="Bibliography"/>
        <w:jc w:val="both"/>
      </w:pPr>
      <w:r>
        <w:t xml:space="preserve">36. </w:t>
      </w:r>
      <w:r>
        <w:tab/>
        <w:t xml:space="preserve">Horan MK, McGowan CA, Doyle O, McAuliffe FM. Well-being in pregnancy: an examination of the effect of socioeconomic, dietary and lifestyle factors including impact of a low glycaemic index dietary intervention. </w:t>
      </w:r>
      <w:r>
        <w:rPr>
          <w:i/>
          <w:iCs/>
        </w:rPr>
        <w:t>Eur J Clin Nutr</w:t>
      </w:r>
      <w:r>
        <w:t>. 2014;68(1):19-24. doi:10.1038/ejcn.2013.212</w:t>
      </w:r>
    </w:p>
    <w:p w14:paraId="68B96B0F" w14:textId="77777777" w:rsidR="00152E90" w:rsidRDefault="00152E90" w:rsidP="000903D3">
      <w:pPr>
        <w:pStyle w:val="Bibliography"/>
        <w:jc w:val="both"/>
      </w:pPr>
      <w:r>
        <w:t xml:space="preserve">37. </w:t>
      </w:r>
      <w:r>
        <w:tab/>
        <w:t xml:space="preserve">Rogers I, Emmett P. Diet during pregnancy in a population of pregnant women in South West England. ALSPAC Study Team. Avon Longitudinal Study of Pregnancy and Childhood. </w:t>
      </w:r>
      <w:r>
        <w:rPr>
          <w:i/>
          <w:iCs/>
        </w:rPr>
        <w:t>Eur J Clin Nutr</w:t>
      </w:r>
      <w:r>
        <w:t>. 1998;52(4):246-250.</w:t>
      </w:r>
    </w:p>
    <w:p w14:paraId="2C4CFA76" w14:textId="77777777" w:rsidR="00152E90" w:rsidRDefault="00152E90" w:rsidP="000903D3">
      <w:pPr>
        <w:pStyle w:val="Bibliography"/>
        <w:jc w:val="both"/>
      </w:pPr>
      <w:r>
        <w:t xml:space="preserve">38. </w:t>
      </w:r>
      <w:r>
        <w:tab/>
        <w:t xml:space="preserve">Robinson S, Godfrey K, Osmond C, Cox V, Barker D. Evaluation of a food frequency questionnaire used to assess nutrient intakes in pregnant women. </w:t>
      </w:r>
      <w:r>
        <w:rPr>
          <w:i/>
          <w:iCs/>
        </w:rPr>
        <w:t>Eur J Clin Nutr</w:t>
      </w:r>
      <w:r>
        <w:t>. 1996;50(5):302-308.</w:t>
      </w:r>
    </w:p>
    <w:p w14:paraId="20315CCE" w14:textId="77777777" w:rsidR="00152E90" w:rsidRDefault="00152E90" w:rsidP="000903D3">
      <w:pPr>
        <w:pStyle w:val="Bibliography"/>
        <w:jc w:val="both"/>
      </w:pPr>
      <w:r>
        <w:t xml:space="preserve">39. </w:t>
      </w:r>
      <w:r>
        <w:tab/>
        <w:t xml:space="preserve">Fung TT, Chiuve SE, McCullough ML, Rexrode KM, Logroscino G, Hu FB. Adherence to a DASH-style diet and risk of coronary heart disease and stroke in women. </w:t>
      </w:r>
      <w:r>
        <w:rPr>
          <w:i/>
          <w:iCs/>
        </w:rPr>
        <w:t>Arch Intern Med</w:t>
      </w:r>
      <w:r>
        <w:t>. 2008;168(7):713-720. doi:10.1001/archinte.168.7.713</w:t>
      </w:r>
    </w:p>
    <w:p w14:paraId="20C21FCF" w14:textId="77777777" w:rsidR="00152E90" w:rsidRDefault="00152E90" w:rsidP="000903D3">
      <w:pPr>
        <w:pStyle w:val="Bibliography"/>
        <w:jc w:val="both"/>
      </w:pPr>
      <w:r>
        <w:t xml:space="preserve">40. </w:t>
      </w:r>
      <w:r>
        <w:tab/>
        <w:t xml:space="preserve">Hébert JR, Shivappa N, Wirth MD, Hussey JR, Hurley TG. Perspective: The Dietary Inflammatory Index (DII)-Lessons Learned, Improvements Made, and Future Directions. </w:t>
      </w:r>
      <w:r>
        <w:rPr>
          <w:i/>
          <w:iCs/>
        </w:rPr>
        <w:t>Adv Nutr Bethesda Md</w:t>
      </w:r>
      <w:r>
        <w:t>. 2019;10(2):185-195. doi:10.1093/advances/nmy071</w:t>
      </w:r>
    </w:p>
    <w:p w14:paraId="524AFAED" w14:textId="77777777" w:rsidR="00152E90" w:rsidRDefault="00152E90" w:rsidP="000903D3">
      <w:pPr>
        <w:pStyle w:val="Bibliography"/>
        <w:jc w:val="both"/>
      </w:pPr>
      <w:r>
        <w:t xml:space="preserve">41. </w:t>
      </w:r>
      <w:r>
        <w:tab/>
        <w:t xml:space="preserve">UNESCO Institute for Statistics. </w:t>
      </w:r>
      <w:r>
        <w:rPr>
          <w:i/>
          <w:iCs/>
        </w:rPr>
        <w:t>International Standard Classification of Education: ISCED 2011</w:t>
      </w:r>
      <w:r>
        <w:t>. UNESCO Institute for Statistics; 2012. http://uis.unesco.org/sites/default/files/documents/international-standard-classification-of-education-isced-2011-en.pdf</w:t>
      </w:r>
    </w:p>
    <w:p w14:paraId="21892ED1" w14:textId="77777777" w:rsidR="00152E90" w:rsidRDefault="00152E90" w:rsidP="000903D3">
      <w:pPr>
        <w:pStyle w:val="Bibliography"/>
        <w:jc w:val="both"/>
      </w:pPr>
      <w:r>
        <w:t xml:space="preserve">42. </w:t>
      </w:r>
      <w:r>
        <w:tab/>
        <w:t>WHO. Global Database on Body Mass Index. World Health Organization. Published 2006. Accessed April 22, 2018. http://apps.who.int/bmi/index.jsp?introPage=intro_3.html</w:t>
      </w:r>
    </w:p>
    <w:p w14:paraId="26D5BDCD" w14:textId="77777777" w:rsidR="00152E90" w:rsidRDefault="00152E90" w:rsidP="000903D3">
      <w:pPr>
        <w:pStyle w:val="Bibliography"/>
        <w:jc w:val="both"/>
      </w:pPr>
      <w:r>
        <w:t xml:space="preserve">43. </w:t>
      </w:r>
      <w:r>
        <w:tab/>
        <w:t xml:space="preserve">Fisher DJ. Two-stage Individual Participant Data Meta-analysis and Generalized Forest Plots. </w:t>
      </w:r>
      <w:r>
        <w:rPr>
          <w:i/>
          <w:iCs/>
        </w:rPr>
        <w:t>Stata J</w:t>
      </w:r>
      <w:r>
        <w:t>. 2015;15(2):369-396. doi:10.1177/1536867X1501500203</w:t>
      </w:r>
    </w:p>
    <w:p w14:paraId="70DF2BF3" w14:textId="77777777" w:rsidR="00152E90" w:rsidRDefault="00152E90" w:rsidP="000903D3">
      <w:pPr>
        <w:pStyle w:val="Bibliography"/>
        <w:jc w:val="both"/>
      </w:pPr>
      <w:r>
        <w:lastRenderedPageBreak/>
        <w:t xml:space="preserve">44. </w:t>
      </w:r>
      <w:r>
        <w:tab/>
        <w:t xml:space="preserve">Tobias DK, Hu FB, Chavarro J, Rosner B, Mozaffarian D, Zhang C. Healthful dietary patterns and type 2 diabetes mellitus risk among women with a history of gestational diabetes mellitus. </w:t>
      </w:r>
      <w:r>
        <w:rPr>
          <w:i/>
          <w:iCs/>
        </w:rPr>
        <w:t>Arch Intern Med</w:t>
      </w:r>
      <w:r>
        <w:t>. 2012;172(20):1566-1572. doi:10.1001/archinternmed.2012.3747</w:t>
      </w:r>
    </w:p>
    <w:p w14:paraId="3CA5F83F" w14:textId="77777777" w:rsidR="00152E90" w:rsidRDefault="00152E90" w:rsidP="000903D3">
      <w:pPr>
        <w:pStyle w:val="Bibliography"/>
        <w:jc w:val="both"/>
      </w:pPr>
      <w:r>
        <w:t xml:space="preserve">45. </w:t>
      </w:r>
      <w:r>
        <w:tab/>
        <w:t xml:space="preserve">Qiu C, Zhang C, Gelaye B, Enquobahrie DA, Frederick IO, Williams MA. Gestational Diabetes Mellitus in Relation to Maternal Dietary Heme Iron and Nonheme Iron Intake. </w:t>
      </w:r>
      <w:r>
        <w:rPr>
          <w:i/>
          <w:iCs/>
        </w:rPr>
        <w:t>Diabetes Care</w:t>
      </w:r>
      <w:r>
        <w:t>. 2011;34(7):1564-1569. doi:10.2337/dc11-0135</w:t>
      </w:r>
    </w:p>
    <w:p w14:paraId="4631632D" w14:textId="77777777" w:rsidR="00152E90" w:rsidRDefault="00152E90" w:rsidP="000903D3">
      <w:pPr>
        <w:pStyle w:val="Bibliography"/>
        <w:jc w:val="both"/>
      </w:pPr>
      <w:r>
        <w:t xml:space="preserve">46. </w:t>
      </w:r>
      <w:r>
        <w:tab/>
        <w:t xml:space="preserve">Higgins JPT, Thompson SG, Deeks JJ, Altman DG. Measuring inconsistency in meta-analyses. </w:t>
      </w:r>
      <w:r>
        <w:rPr>
          <w:i/>
          <w:iCs/>
        </w:rPr>
        <w:t>BMJ</w:t>
      </w:r>
      <w:r>
        <w:t>. 2003;327(7414):557-560. doi:10.1136/bmj.327.7414.557</w:t>
      </w:r>
    </w:p>
    <w:p w14:paraId="6FB68A77" w14:textId="77777777" w:rsidR="00152E90" w:rsidRDefault="00152E90" w:rsidP="000903D3">
      <w:pPr>
        <w:pStyle w:val="Bibliography"/>
        <w:jc w:val="both"/>
      </w:pPr>
      <w:r>
        <w:t xml:space="preserve">47. </w:t>
      </w:r>
      <w:r>
        <w:tab/>
        <w:t xml:space="preserve">Higgins JPT, Thompson SG. Quantifying heterogeneity in a meta-analysis. </w:t>
      </w:r>
      <w:r>
        <w:rPr>
          <w:i/>
          <w:iCs/>
        </w:rPr>
        <w:t>Stat Med</w:t>
      </w:r>
      <w:r>
        <w:t>. 2002;21(11):1539-1558. doi:10.1002/sim.1186</w:t>
      </w:r>
    </w:p>
    <w:p w14:paraId="48EADE42" w14:textId="77777777" w:rsidR="00152E90" w:rsidRPr="000903D3" w:rsidRDefault="00152E90" w:rsidP="000903D3">
      <w:pPr>
        <w:pStyle w:val="Bibliography"/>
        <w:jc w:val="both"/>
        <w:rPr>
          <w:lang w:val="fr-FR"/>
        </w:rPr>
      </w:pPr>
      <w:r>
        <w:t xml:space="preserve">48. </w:t>
      </w:r>
      <w:r>
        <w:tab/>
        <w:t xml:space="preserve">Wirth MD, Hébert JR, Shivappa N, et al. Anti-inflammatory Dietary Inflammatory Index scores are associated with healthier scores on other dietary indices. </w:t>
      </w:r>
      <w:r w:rsidRPr="000903D3">
        <w:rPr>
          <w:i/>
          <w:iCs/>
          <w:lang w:val="fr-FR"/>
        </w:rPr>
        <w:t>Nutr Res N Y N</w:t>
      </w:r>
      <w:r w:rsidRPr="000903D3">
        <w:rPr>
          <w:lang w:val="fr-FR"/>
        </w:rPr>
        <w:t>. 2016;36(3):214-219. doi:10.1016/j.nutres.2015.11.009</w:t>
      </w:r>
    </w:p>
    <w:p w14:paraId="755D5A86" w14:textId="77777777" w:rsidR="00152E90" w:rsidRDefault="00152E90" w:rsidP="000903D3">
      <w:pPr>
        <w:pStyle w:val="Bibliography"/>
        <w:jc w:val="both"/>
      </w:pPr>
      <w:r w:rsidRPr="000903D3">
        <w:rPr>
          <w:lang w:val="fr-FR"/>
        </w:rPr>
        <w:t xml:space="preserve">49. </w:t>
      </w:r>
      <w:r w:rsidRPr="000903D3">
        <w:rPr>
          <w:lang w:val="fr-FR"/>
        </w:rPr>
        <w:tab/>
        <w:t xml:space="preserve">Gomes CB, Malta MB, Papini SJ, Benício MHD, Corrente JE, Carvalhaes MABL. </w:t>
      </w:r>
      <w:r>
        <w:t xml:space="preserve">Adherence to dietary patterns during pregnancy and association with maternal characteristics in pregnant Brazilian women. </w:t>
      </w:r>
      <w:r>
        <w:rPr>
          <w:i/>
          <w:iCs/>
        </w:rPr>
        <w:t>Nutr Burbank Los Angel Cty Calif</w:t>
      </w:r>
      <w:r>
        <w:t>. 2019;62:85-92. doi:10.1016/j.nut.2018.10.036</w:t>
      </w:r>
    </w:p>
    <w:p w14:paraId="1966AAA3" w14:textId="77777777" w:rsidR="00152E90" w:rsidRDefault="00152E90" w:rsidP="000903D3">
      <w:pPr>
        <w:pStyle w:val="Bibliography"/>
        <w:jc w:val="both"/>
      </w:pPr>
      <w:r>
        <w:t xml:space="preserve">50. </w:t>
      </w:r>
      <w:r>
        <w:tab/>
        <w:t xml:space="preserve">Martin JC, Zhou SJ, Flynn AC, Malek L, Greco R, Moran L. The Assessment of Diet Quality and Its Effects on Health Outcomes Pre-pregnancy and during Pregnancy. </w:t>
      </w:r>
      <w:r>
        <w:rPr>
          <w:i/>
          <w:iCs/>
        </w:rPr>
        <w:t>Semin Reprod Med</w:t>
      </w:r>
      <w:r>
        <w:t>. 2016;34(2):83-92. doi:10.1055/s-0036-1571353</w:t>
      </w:r>
    </w:p>
    <w:p w14:paraId="12ACEEAF" w14:textId="77777777" w:rsidR="00152E90" w:rsidRDefault="00152E90" w:rsidP="000903D3">
      <w:pPr>
        <w:pStyle w:val="Bibliography"/>
        <w:jc w:val="both"/>
      </w:pPr>
      <w:r>
        <w:t xml:space="preserve">51. </w:t>
      </w:r>
      <w:r>
        <w:tab/>
        <w:t xml:space="preserve">Wesołowska E, Jankowska A, Trafalska E, et al. Sociodemographic, Lifestyle, Environmental and Pregnancy-Related Determinants of Dietary Patterns during Pregnancy. </w:t>
      </w:r>
      <w:r>
        <w:rPr>
          <w:i/>
          <w:iCs/>
        </w:rPr>
        <w:t>Int J Environ Res Public Health</w:t>
      </w:r>
      <w:r>
        <w:t>. 2019;16(5). doi:10.3390/ijerph16050754</w:t>
      </w:r>
    </w:p>
    <w:p w14:paraId="0F4D5D49" w14:textId="77777777" w:rsidR="00152E90" w:rsidRPr="000903D3" w:rsidRDefault="00152E90" w:rsidP="000903D3">
      <w:pPr>
        <w:pStyle w:val="Bibliography"/>
        <w:jc w:val="both"/>
        <w:rPr>
          <w:lang w:val="fr-FR"/>
        </w:rPr>
      </w:pPr>
      <w:r>
        <w:t xml:space="preserve">52. </w:t>
      </w:r>
      <w:r>
        <w:tab/>
        <w:t xml:space="preserve">Völgyi E, Carroll KN, Hare ME, et al. Dietary patterns in pregnancy and effects on nutrient intake in the Mid-South: the Conditions Affecting Neurocognitive Development and Learning in Early Childhood (CANDLE) study. </w:t>
      </w:r>
      <w:r w:rsidRPr="000903D3">
        <w:rPr>
          <w:i/>
          <w:iCs/>
          <w:lang w:val="fr-FR"/>
        </w:rPr>
        <w:t>Nutrients</w:t>
      </w:r>
      <w:r w:rsidRPr="000903D3">
        <w:rPr>
          <w:lang w:val="fr-FR"/>
        </w:rPr>
        <w:t>. 2013;5(5):1511-1530. doi:10.3390/nu5051511</w:t>
      </w:r>
    </w:p>
    <w:p w14:paraId="2600655B" w14:textId="77777777" w:rsidR="00152E90" w:rsidRDefault="00152E90" w:rsidP="000903D3">
      <w:pPr>
        <w:pStyle w:val="Bibliography"/>
        <w:jc w:val="both"/>
      </w:pPr>
      <w:r w:rsidRPr="000903D3">
        <w:rPr>
          <w:lang w:val="fr-FR"/>
        </w:rPr>
        <w:t xml:space="preserve">53. </w:t>
      </w:r>
      <w:r w:rsidRPr="000903D3">
        <w:rPr>
          <w:lang w:val="fr-FR"/>
        </w:rPr>
        <w:tab/>
        <w:t xml:space="preserve">Kritsotakis G, Chatzi L, Vassilaki M, et al. </w:t>
      </w:r>
      <w:r>
        <w:t xml:space="preserve">Social capital, tolerance of diversity and adherence to Mediterranean diet: the Rhea Mother-Child Cohort in Crete, Greece. </w:t>
      </w:r>
      <w:r>
        <w:rPr>
          <w:i/>
          <w:iCs/>
        </w:rPr>
        <w:t>Public Health Nutr</w:t>
      </w:r>
      <w:r>
        <w:t>. 2015;18(7):1300-1307. doi:10.1017/S136898001400144X</w:t>
      </w:r>
    </w:p>
    <w:p w14:paraId="783D117F" w14:textId="77777777" w:rsidR="00152E90" w:rsidRDefault="00152E90" w:rsidP="000903D3">
      <w:pPr>
        <w:pStyle w:val="Bibliography"/>
        <w:jc w:val="both"/>
      </w:pPr>
      <w:r>
        <w:t xml:space="preserve">54. </w:t>
      </w:r>
      <w:r>
        <w:tab/>
        <w:t xml:space="preserve">Tsigga M, Filis V, Hatzopoulou K, Kotzamanidis C, Grammatikopoulou MG. Healthy Eating Index during pregnancy according to pre-gravid and gravid weight status. </w:t>
      </w:r>
      <w:r>
        <w:rPr>
          <w:i/>
          <w:iCs/>
        </w:rPr>
        <w:t>Public Health Nutr</w:t>
      </w:r>
      <w:r>
        <w:t>. 2011;14(2):290-296. doi:10.1017/S1368980010001989</w:t>
      </w:r>
    </w:p>
    <w:p w14:paraId="59D5333D" w14:textId="77777777" w:rsidR="00152E90" w:rsidRDefault="00152E90" w:rsidP="000903D3">
      <w:pPr>
        <w:pStyle w:val="Bibliography"/>
        <w:jc w:val="both"/>
      </w:pPr>
      <w:r>
        <w:t xml:space="preserve">55. </w:t>
      </w:r>
      <w:r>
        <w:tab/>
        <w:t xml:space="preserve">Fowler JK, Evers SE, Campbell MK. Inadequate dietary intakes among pregnant women. </w:t>
      </w:r>
      <w:r>
        <w:rPr>
          <w:i/>
          <w:iCs/>
        </w:rPr>
        <w:t>Can J Diet Pract Res Publ Dietit Can Rev Can Prat Rech En Diet Une Publ Diet Can</w:t>
      </w:r>
      <w:r>
        <w:t>. 2012;73(2):72-77. doi:10.3148/73.2.2012.72</w:t>
      </w:r>
    </w:p>
    <w:p w14:paraId="631B9FF9" w14:textId="77777777" w:rsidR="00152E90" w:rsidRPr="000903D3" w:rsidRDefault="00152E90" w:rsidP="000903D3">
      <w:pPr>
        <w:pStyle w:val="Bibliography"/>
        <w:jc w:val="both"/>
        <w:rPr>
          <w:lang w:val="fr-FR"/>
        </w:rPr>
      </w:pPr>
      <w:r>
        <w:t xml:space="preserve">56. </w:t>
      </w:r>
      <w:r>
        <w:tab/>
        <w:t xml:space="preserve">Seijo M, Minckas N, Cormick G, Comandé D, Ciapponi A, BelizÁn JM. Comparison of self-reported and directly measured weight and height among women of reproductive age: a systematic review and meta-analysis. </w:t>
      </w:r>
      <w:r w:rsidRPr="000903D3">
        <w:rPr>
          <w:i/>
          <w:iCs/>
          <w:lang w:val="fr-FR"/>
        </w:rPr>
        <w:t>Acta Obstet Gynecol Scand</w:t>
      </w:r>
      <w:r w:rsidRPr="000903D3">
        <w:rPr>
          <w:lang w:val="fr-FR"/>
        </w:rPr>
        <w:t>. 2018;97(4):429-439. doi:10.1111/aogs.13326</w:t>
      </w:r>
    </w:p>
    <w:p w14:paraId="35D4F41E" w14:textId="77777777" w:rsidR="00152E90" w:rsidRPr="000903D3" w:rsidRDefault="00152E90" w:rsidP="000903D3">
      <w:pPr>
        <w:pStyle w:val="Bibliography"/>
        <w:jc w:val="both"/>
        <w:rPr>
          <w:lang w:val="fr-FR"/>
        </w:rPr>
      </w:pPr>
      <w:r w:rsidRPr="000903D3">
        <w:rPr>
          <w:lang w:val="fr-FR"/>
        </w:rPr>
        <w:t xml:space="preserve">57. </w:t>
      </w:r>
      <w:r w:rsidRPr="000903D3">
        <w:rPr>
          <w:lang w:val="fr-FR"/>
        </w:rPr>
        <w:tab/>
        <w:t xml:space="preserve">Cucó G, Fernández-Ballart J, Sala J, et al. </w:t>
      </w:r>
      <w:r>
        <w:t xml:space="preserve">Dietary patterns and associated lifestyles in preconception, pregnancy and postpartum. </w:t>
      </w:r>
      <w:r w:rsidRPr="000903D3">
        <w:rPr>
          <w:i/>
          <w:iCs/>
          <w:lang w:val="fr-FR"/>
        </w:rPr>
        <w:t>Eur J Clin Nutr</w:t>
      </w:r>
      <w:r w:rsidRPr="000903D3">
        <w:rPr>
          <w:lang w:val="fr-FR"/>
        </w:rPr>
        <w:t>. 2006;60(3):364-371. doi:10.1038/sj.ejcn.1602324</w:t>
      </w:r>
    </w:p>
    <w:p w14:paraId="45A5E283" w14:textId="77777777" w:rsidR="00152E90" w:rsidRDefault="00152E90" w:rsidP="000903D3">
      <w:pPr>
        <w:pStyle w:val="Bibliography"/>
        <w:jc w:val="both"/>
      </w:pPr>
      <w:r w:rsidRPr="000903D3">
        <w:rPr>
          <w:lang w:val="fr-FR"/>
        </w:rPr>
        <w:lastRenderedPageBreak/>
        <w:t xml:space="preserve">58. </w:t>
      </w:r>
      <w:r w:rsidRPr="000903D3">
        <w:rPr>
          <w:lang w:val="fr-FR"/>
        </w:rPr>
        <w:tab/>
        <w:t xml:space="preserve">Arkkola T, Uusitalo U, Kronberg-Kippilä C, et al. </w:t>
      </w:r>
      <w:r>
        <w:t xml:space="preserve">Seven distinct dietary patterns identified among pregnant Finnish women--associations with nutrient intake and sociodemographic factors. </w:t>
      </w:r>
      <w:r>
        <w:rPr>
          <w:i/>
          <w:iCs/>
        </w:rPr>
        <w:t>Public Health Nutr</w:t>
      </w:r>
      <w:r>
        <w:t>. 2008;11(2):176-182. doi:10.1017/S1368980007000420</w:t>
      </w:r>
    </w:p>
    <w:p w14:paraId="07EF9D9A" w14:textId="77777777" w:rsidR="00152E90" w:rsidRDefault="00152E90" w:rsidP="000903D3">
      <w:pPr>
        <w:pStyle w:val="Bibliography"/>
        <w:jc w:val="both"/>
      </w:pPr>
      <w:r>
        <w:t xml:space="preserve">59. </w:t>
      </w:r>
      <w:r>
        <w:tab/>
        <w:t xml:space="preserve">Skagerstróm J, Chang G, Nilsen P. Predictors of Drinking During Pregnancy: A Systematic Review. </w:t>
      </w:r>
      <w:r>
        <w:rPr>
          <w:i/>
          <w:iCs/>
        </w:rPr>
        <w:t>J Womens Health</w:t>
      </w:r>
      <w:r>
        <w:t>. 2011;20(6):901-913. doi:10.1089/jwh.2010.2216</w:t>
      </w:r>
    </w:p>
    <w:p w14:paraId="0E7DC08A" w14:textId="77777777" w:rsidR="00152E90" w:rsidRDefault="00152E90" w:rsidP="000903D3">
      <w:pPr>
        <w:pStyle w:val="Bibliography"/>
        <w:jc w:val="both"/>
      </w:pPr>
      <w:r>
        <w:t xml:space="preserve">60. </w:t>
      </w:r>
      <w:r>
        <w:tab/>
        <w:t xml:space="preserve">Olsen SF, Birgisdottir BE, Halldorsson TI, et al. Possibilities and considerations when merging dietary data from the world’s two largest pregnancy cohorts: the Danish National Birth Cohort and the Norwegian Mother and Child Cohort Study. </w:t>
      </w:r>
      <w:r>
        <w:rPr>
          <w:i/>
          <w:iCs/>
        </w:rPr>
        <w:t>Acta Obstet Gynecol Scand</w:t>
      </w:r>
      <w:r>
        <w:t>. 2014;93(11):1131-1140. doi:10.1111/aogs.12513</w:t>
      </w:r>
    </w:p>
    <w:p w14:paraId="09502C54" w14:textId="77777777" w:rsidR="00152E90" w:rsidRDefault="00152E90" w:rsidP="000903D3">
      <w:pPr>
        <w:pStyle w:val="Bibliography"/>
        <w:jc w:val="both"/>
      </w:pPr>
      <w:r>
        <w:t xml:space="preserve">61. </w:t>
      </w:r>
      <w:r>
        <w:tab/>
        <w:t xml:space="preserve">Popova S, Lange S, Probst C, Gmel G, Rehm J. Estimation of national, regional, and global prevalence of alcohol use during pregnancy and fetal alcohol syndrome: a systematic review and meta-analysis. </w:t>
      </w:r>
      <w:r>
        <w:rPr>
          <w:i/>
          <w:iCs/>
        </w:rPr>
        <w:t>Lancet Glob Health</w:t>
      </w:r>
      <w:r>
        <w:t>. 2017;5(3):e290-e299. doi:10.1016/S2214-109X(17)30021-9</w:t>
      </w:r>
    </w:p>
    <w:p w14:paraId="63C13CD9" w14:textId="77777777" w:rsidR="00152E90" w:rsidRDefault="00152E90" w:rsidP="000903D3">
      <w:pPr>
        <w:pStyle w:val="Bibliography"/>
        <w:jc w:val="both"/>
      </w:pPr>
      <w:r>
        <w:t xml:space="preserve">62. </w:t>
      </w:r>
      <w:r>
        <w:tab/>
        <w:t xml:space="preserve">Tebeka S, De Premorel Higgons A, Dubertret C, Le Strat Y. Changes in alcohol use and heavy episodic drinking in U.S. Women of childbearing-age and peripartum between 2001-2002 and 2012-2013. </w:t>
      </w:r>
      <w:r>
        <w:rPr>
          <w:i/>
          <w:iCs/>
        </w:rPr>
        <w:t>Addict Behav</w:t>
      </w:r>
      <w:r>
        <w:t>. 2020;107:106389. doi:10.1016/j.addbeh.2020.106389</w:t>
      </w:r>
    </w:p>
    <w:p w14:paraId="074842BA" w14:textId="77777777" w:rsidR="00152E90" w:rsidRDefault="00152E90" w:rsidP="000903D3">
      <w:pPr>
        <w:pStyle w:val="Bibliography"/>
        <w:jc w:val="both"/>
      </w:pPr>
      <w:r>
        <w:t xml:space="preserve">63. </w:t>
      </w:r>
      <w:r>
        <w:tab/>
        <w:t xml:space="preserve">Laraia BA, Bodnar LM, Siega-Riz AM. Pregravid body mass index is negatively associated with diet quality during pregnancy. </w:t>
      </w:r>
      <w:r>
        <w:rPr>
          <w:i/>
          <w:iCs/>
        </w:rPr>
        <w:t>Public Health Nutr</w:t>
      </w:r>
      <w:r>
        <w:t>. 2007;10(9):920-926. doi:10.1017/S1368980007657991</w:t>
      </w:r>
    </w:p>
    <w:p w14:paraId="2DC9FBF3" w14:textId="7A3490A4" w:rsidR="00F021B0" w:rsidRDefault="00442EE4" w:rsidP="000903D3">
      <w:pPr>
        <w:pStyle w:val="NoSpacing"/>
        <w:spacing w:line="276" w:lineRule="auto"/>
        <w:sectPr w:rsidR="00F021B0" w:rsidSect="003C4937">
          <w:type w:val="continuous"/>
          <w:pgSz w:w="11906" w:h="16838"/>
          <w:pgMar w:top="1417" w:right="1417" w:bottom="1417" w:left="1417" w:header="708" w:footer="708" w:gutter="0"/>
          <w:cols w:space="708"/>
          <w:docGrid w:linePitch="360"/>
        </w:sectPr>
      </w:pPr>
      <w:r>
        <w:fldChar w:fldCharType="end"/>
      </w:r>
    </w:p>
    <w:p w14:paraId="79B1B20A" w14:textId="77777777" w:rsidR="008F6A02" w:rsidRDefault="008F6A02" w:rsidP="008F6A02">
      <w:pPr>
        <w:pStyle w:val="NoSpacing"/>
        <w:spacing w:line="276" w:lineRule="auto"/>
        <w:rPr>
          <w:sz w:val="22"/>
          <w:szCs w:val="22"/>
          <w:lang w:val="en-CA"/>
        </w:rPr>
      </w:pPr>
      <w:r>
        <w:rPr>
          <w:b/>
          <w:bCs/>
          <w:color w:val="0070C0"/>
          <w:sz w:val="22"/>
          <w:szCs w:val="22"/>
          <w:lang w:val="en-CA"/>
        </w:rPr>
        <w:lastRenderedPageBreak/>
        <w:t>Table 1.</w:t>
      </w:r>
      <w:r>
        <w:rPr>
          <w:color w:val="0070C0"/>
          <w:sz w:val="22"/>
          <w:szCs w:val="22"/>
          <w:lang w:val="en-CA"/>
        </w:rPr>
        <w:t xml:space="preserve"> </w:t>
      </w:r>
      <w:r>
        <w:rPr>
          <w:sz w:val="22"/>
          <w:szCs w:val="22"/>
          <w:lang w:val="en-CA"/>
        </w:rPr>
        <w:t xml:space="preserve">Characteristics of the </w:t>
      </w:r>
      <w:proofErr w:type="gramStart"/>
      <w:r>
        <w:rPr>
          <w:sz w:val="22"/>
          <w:szCs w:val="22"/>
          <w:lang w:val="en-CA"/>
        </w:rPr>
        <w:t>cohorts</w:t>
      </w:r>
      <w:proofErr w:type="gramEnd"/>
      <w:r>
        <w:rPr>
          <w:sz w:val="22"/>
          <w:szCs w:val="22"/>
          <w:lang w:val="en-CA"/>
        </w:rPr>
        <w:t xml:space="preserve"> part of the ALPHABET consortium.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370"/>
        <w:gridCol w:w="2995"/>
        <w:gridCol w:w="1362"/>
        <w:gridCol w:w="1590"/>
        <w:gridCol w:w="2176"/>
        <w:gridCol w:w="2409"/>
        <w:gridCol w:w="1276"/>
      </w:tblGrid>
      <w:tr w:rsidR="008F6A02" w14:paraId="46A2275B" w14:textId="77777777" w:rsidTr="00AC582F">
        <w:tc>
          <w:tcPr>
            <w:tcW w:w="1370" w:type="dxa"/>
            <w:tcBorders>
              <w:bottom w:val="single" w:sz="4" w:space="0" w:color="auto"/>
            </w:tcBorders>
            <w:vAlign w:val="center"/>
          </w:tcPr>
          <w:p w14:paraId="3108166E" w14:textId="77777777" w:rsidR="008F6A02" w:rsidRPr="00141A6D" w:rsidRDefault="008F6A02" w:rsidP="00AC582F">
            <w:pPr>
              <w:pStyle w:val="NoSpacing"/>
              <w:jc w:val="center"/>
              <w:rPr>
                <w:rFonts w:asciiTheme="minorHAnsi" w:hAnsiTheme="minorHAnsi" w:cstheme="minorHAnsi"/>
                <w:b/>
                <w:bCs/>
                <w:sz w:val="22"/>
                <w:szCs w:val="22"/>
              </w:rPr>
            </w:pPr>
          </w:p>
        </w:tc>
        <w:tc>
          <w:tcPr>
            <w:tcW w:w="2995" w:type="dxa"/>
            <w:tcBorders>
              <w:bottom w:val="single" w:sz="4" w:space="0" w:color="auto"/>
            </w:tcBorders>
            <w:vAlign w:val="center"/>
          </w:tcPr>
          <w:p w14:paraId="1E5149E9" w14:textId="77777777" w:rsidR="008F6A02" w:rsidRPr="00141A6D" w:rsidRDefault="008F6A02" w:rsidP="00AC582F">
            <w:pPr>
              <w:pStyle w:val="NoSpacing"/>
              <w:jc w:val="center"/>
              <w:rPr>
                <w:rFonts w:asciiTheme="minorHAnsi" w:hAnsiTheme="minorHAnsi" w:cstheme="minorHAnsi"/>
                <w:b/>
                <w:bCs/>
                <w:sz w:val="22"/>
                <w:szCs w:val="22"/>
              </w:rPr>
            </w:pPr>
          </w:p>
        </w:tc>
        <w:tc>
          <w:tcPr>
            <w:tcW w:w="1362" w:type="dxa"/>
            <w:tcBorders>
              <w:bottom w:val="single" w:sz="4" w:space="0" w:color="auto"/>
            </w:tcBorders>
            <w:vAlign w:val="center"/>
          </w:tcPr>
          <w:p w14:paraId="2F8D4238" w14:textId="77777777" w:rsidR="008F6A02" w:rsidRPr="00141A6D" w:rsidRDefault="008F6A02" w:rsidP="00AC582F">
            <w:pPr>
              <w:pStyle w:val="NoSpacing"/>
              <w:jc w:val="center"/>
              <w:rPr>
                <w:rFonts w:asciiTheme="minorHAnsi" w:hAnsiTheme="minorHAnsi" w:cstheme="minorHAnsi"/>
                <w:b/>
                <w:bCs/>
                <w:sz w:val="22"/>
                <w:szCs w:val="22"/>
              </w:rPr>
            </w:pPr>
          </w:p>
        </w:tc>
        <w:tc>
          <w:tcPr>
            <w:tcW w:w="1590" w:type="dxa"/>
            <w:tcBorders>
              <w:bottom w:val="single" w:sz="4" w:space="0" w:color="auto"/>
            </w:tcBorders>
            <w:vAlign w:val="center"/>
          </w:tcPr>
          <w:p w14:paraId="59321843" w14:textId="77777777" w:rsidR="008F6A02" w:rsidRDefault="008F6A02" w:rsidP="00AC582F">
            <w:pPr>
              <w:pStyle w:val="NoSpacing"/>
              <w:jc w:val="center"/>
              <w:rPr>
                <w:rFonts w:asciiTheme="minorHAnsi" w:hAnsiTheme="minorHAnsi" w:cstheme="minorHAnsi"/>
                <w:b/>
                <w:bCs/>
                <w:sz w:val="22"/>
                <w:szCs w:val="22"/>
              </w:rPr>
            </w:pPr>
          </w:p>
        </w:tc>
        <w:tc>
          <w:tcPr>
            <w:tcW w:w="5861" w:type="dxa"/>
            <w:gridSpan w:val="3"/>
            <w:tcBorders>
              <w:bottom w:val="single" w:sz="4" w:space="0" w:color="auto"/>
            </w:tcBorders>
            <w:vAlign w:val="center"/>
          </w:tcPr>
          <w:p w14:paraId="71D9ABD6" w14:textId="77777777" w:rsidR="008F6A02" w:rsidRDefault="008F6A02" w:rsidP="00AC582F">
            <w:pPr>
              <w:pStyle w:val="NoSpacing"/>
              <w:jc w:val="center"/>
              <w:rPr>
                <w:rFonts w:asciiTheme="minorHAnsi" w:hAnsiTheme="minorHAnsi" w:cstheme="minorHAnsi"/>
                <w:b/>
                <w:bCs/>
                <w:sz w:val="22"/>
                <w:szCs w:val="22"/>
              </w:rPr>
            </w:pPr>
          </w:p>
        </w:tc>
      </w:tr>
      <w:tr w:rsidR="008F6A02" w14:paraId="5D2E9F03" w14:textId="77777777" w:rsidTr="00AC582F">
        <w:tc>
          <w:tcPr>
            <w:tcW w:w="1370" w:type="dxa"/>
            <w:vMerge w:val="restart"/>
            <w:vAlign w:val="center"/>
          </w:tcPr>
          <w:p w14:paraId="55CC9637" w14:textId="77777777" w:rsidR="008F6A02" w:rsidRPr="00141A6D" w:rsidRDefault="008F6A02" w:rsidP="00AC582F">
            <w:pPr>
              <w:pStyle w:val="NoSpacing"/>
              <w:jc w:val="center"/>
              <w:rPr>
                <w:rFonts w:asciiTheme="minorHAnsi" w:hAnsiTheme="minorHAnsi" w:cstheme="minorHAnsi"/>
                <w:b/>
                <w:bCs/>
                <w:sz w:val="22"/>
                <w:szCs w:val="22"/>
              </w:rPr>
            </w:pPr>
            <w:r w:rsidRPr="00141A6D">
              <w:rPr>
                <w:rFonts w:asciiTheme="minorHAnsi" w:hAnsiTheme="minorHAnsi" w:cstheme="minorHAnsi"/>
                <w:b/>
                <w:bCs/>
                <w:sz w:val="22"/>
                <w:szCs w:val="22"/>
              </w:rPr>
              <w:t>Cohort</w:t>
            </w:r>
          </w:p>
        </w:tc>
        <w:tc>
          <w:tcPr>
            <w:tcW w:w="2995" w:type="dxa"/>
            <w:vMerge w:val="restart"/>
            <w:vAlign w:val="center"/>
          </w:tcPr>
          <w:p w14:paraId="24AB92C0" w14:textId="77777777" w:rsidR="008F6A02" w:rsidRPr="00141A6D" w:rsidRDefault="008F6A02" w:rsidP="00AC582F">
            <w:pPr>
              <w:pStyle w:val="NoSpacing"/>
              <w:jc w:val="center"/>
              <w:rPr>
                <w:rFonts w:asciiTheme="minorHAnsi" w:hAnsiTheme="minorHAnsi" w:cstheme="minorHAnsi"/>
                <w:b/>
                <w:bCs/>
                <w:sz w:val="22"/>
                <w:szCs w:val="22"/>
              </w:rPr>
            </w:pPr>
            <w:r w:rsidRPr="00141A6D">
              <w:rPr>
                <w:rFonts w:asciiTheme="minorHAnsi" w:hAnsiTheme="minorHAnsi" w:cstheme="minorHAnsi"/>
                <w:b/>
                <w:bCs/>
                <w:sz w:val="22"/>
                <w:szCs w:val="22"/>
              </w:rPr>
              <w:t>Location, Country</w:t>
            </w:r>
          </w:p>
        </w:tc>
        <w:tc>
          <w:tcPr>
            <w:tcW w:w="1362" w:type="dxa"/>
            <w:vMerge w:val="restart"/>
            <w:vAlign w:val="center"/>
          </w:tcPr>
          <w:p w14:paraId="65299043" w14:textId="77777777" w:rsidR="008F6A02" w:rsidRPr="00141A6D" w:rsidRDefault="008F6A02" w:rsidP="00AC582F">
            <w:pPr>
              <w:pStyle w:val="NoSpacing"/>
              <w:jc w:val="center"/>
              <w:rPr>
                <w:rFonts w:asciiTheme="minorHAnsi" w:hAnsiTheme="minorHAnsi" w:cstheme="minorHAnsi"/>
                <w:b/>
                <w:bCs/>
                <w:sz w:val="22"/>
                <w:szCs w:val="22"/>
              </w:rPr>
            </w:pPr>
            <w:r w:rsidRPr="00141A6D">
              <w:rPr>
                <w:rFonts w:asciiTheme="minorHAnsi" w:hAnsiTheme="minorHAnsi" w:cstheme="minorHAnsi"/>
                <w:b/>
                <w:bCs/>
                <w:sz w:val="22"/>
                <w:szCs w:val="22"/>
              </w:rPr>
              <w:t>Enrolment period</w:t>
            </w:r>
          </w:p>
        </w:tc>
        <w:tc>
          <w:tcPr>
            <w:tcW w:w="1590" w:type="dxa"/>
            <w:vMerge w:val="restart"/>
            <w:vAlign w:val="center"/>
          </w:tcPr>
          <w:p w14:paraId="0690433E" w14:textId="77777777" w:rsidR="008F6A02" w:rsidRPr="00141A6D" w:rsidRDefault="008F6A02" w:rsidP="00AC582F">
            <w:pPr>
              <w:pStyle w:val="NoSpacing"/>
              <w:jc w:val="center"/>
              <w:rPr>
                <w:rFonts w:asciiTheme="minorHAnsi" w:hAnsiTheme="minorHAnsi" w:cstheme="minorHAnsi"/>
                <w:b/>
                <w:bCs/>
                <w:sz w:val="22"/>
                <w:szCs w:val="22"/>
              </w:rPr>
            </w:pPr>
            <w:r>
              <w:rPr>
                <w:rFonts w:asciiTheme="minorHAnsi" w:hAnsiTheme="minorHAnsi" w:cstheme="minorHAnsi"/>
                <w:b/>
                <w:bCs/>
                <w:sz w:val="22"/>
                <w:szCs w:val="22"/>
              </w:rPr>
              <w:t>N</w:t>
            </w:r>
            <w:r w:rsidRPr="00141A6D">
              <w:rPr>
                <w:rFonts w:asciiTheme="minorHAnsi" w:hAnsiTheme="minorHAnsi" w:cstheme="minorHAnsi"/>
                <w:b/>
                <w:bCs/>
                <w:sz w:val="22"/>
                <w:szCs w:val="22"/>
              </w:rPr>
              <w:t>umber of recruited women</w:t>
            </w:r>
          </w:p>
        </w:tc>
        <w:tc>
          <w:tcPr>
            <w:tcW w:w="5861" w:type="dxa"/>
            <w:gridSpan w:val="3"/>
            <w:tcBorders>
              <w:bottom w:val="single" w:sz="4" w:space="0" w:color="auto"/>
            </w:tcBorders>
            <w:vAlign w:val="bottom"/>
          </w:tcPr>
          <w:p w14:paraId="67706063" w14:textId="77777777" w:rsidR="008F6A02" w:rsidRPr="00885899" w:rsidRDefault="008F6A02" w:rsidP="00AC582F">
            <w:pPr>
              <w:pStyle w:val="NoSpacing"/>
              <w:spacing w:line="276" w:lineRule="auto"/>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Food Frequency Questionnaires</w:t>
            </w:r>
          </w:p>
        </w:tc>
      </w:tr>
      <w:tr w:rsidR="008F6A02" w14:paraId="13F13DF1" w14:textId="77777777" w:rsidTr="00AC582F">
        <w:trPr>
          <w:trHeight w:val="567"/>
        </w:trPr>
        <w:tc>
          <w:tcPr>
            <w:tcW w:w="1370" w:type="dxa"/>
            <w:vMerge/>
            <w:vAlign w:val="center"/>
          </w:tcPr>
          <w:p w14:paraId="60972941" w14:textId="77777777" w:rsidR="008F6A02" w:rsidRPr="00141A6D" w:rsidRDefault="008F6A02" w:rsidP="00AC582F">
            <w:pPr>
              <w:pStyle w:val="NoSpacing"/>
              <w:jc w:val="center"/>
              <w:rPr>
                <w:rFonts w:asciiTheme="minorHAnsi" w:hAnsiTheme="minorHAnsi" w:cstheme="minorHAnsi"/>
                <w:b/>
                <w:bCs/>
                <w:sz w:val="22"/>
                <w:szCs w:val="22"/>
              </w:rPr>
            </w:pPr>
          </w:p>
        </w:tc>
        <w:tc>
          <w:tcPr>
            <w:tcW w:w="2995" w:type="dxa"/>
            <w:vMerge/>
            <w:vAlign w:val="center"/>
          </w:tcPr>
          <w:p w14:paraId="2216836C" w14:textId="77777777" w:rsidR="008F6A02" w:rsidRPr="00141A6D" w:rsidRDefault="008F6A02" w:rsidP="00AC582F">
            <w:pPr>
              <w:pStyle w:val="NoSpacing"/>
              <w:jc w:val="center"/>
              <w:rPr>
                <w:rFonts w:asciiTheme="minorHAnsi" w:hAnsiTheme="minorHAnsi" w:cstheme="minorHAnsi"/>
                <w:b/>
                <w:bCs/>
                <w:sz w:val="22"/>
                <w:szCs w:val="22"/>
              </w:rPr>
            </w:pPr>
          </w:p>
        </w:tc>
        <w:tc>
          <w:tcPr>
            <w:tcW w:w="1362" w:type="dxa"/>
            <w:vMerge/>
            <w:vAlign w:val="center"/>
          </w:tcPr>
          <w:p w14:paraId="54BC93C9" w14:textId="77777777" w:rsidR="008F6A02" w:rsidRPr="00141A6D" w:rsidRDefault="008F6A02" w:rsidP="00AC582F">
            <w:pPr>
              <w:pStyle w:val="NoSpacing"/>
              <w:jc w:val="center"/>
              <w:rPr>
                <w:rFonts w:asciiTheme="minorHAnsi" w:hAnsiTheme="minorHAnsi" w:cstheme="minorHAnsi"/>
                <w:b/>
                <w:bCs/>
                <w:sz w:val="22"/>
                <w:szCs w:val="22"/>
              </w:rPr>
            </w:pPr>
          </w:p>
        </w:tc>
        <w:tc>
          <w:tcPr>
            <w:tcW w:w="1590" w:type="dxa"/>
            <w:vMerge/>
            <w:vAlign w:val="center"/>
          </w:tcPr>
          <w:p w14:paraId="617E5FC8" w14:textId="77777777" w:rsidR="008F6A02" w:rsidRPr="00141A6D" w:rsidRDefault="008F6A02" w:rsidP="00AC582F">
            <w:pPr>
              <w:pStyle w:val="NoSpacing"/>
              <w:jc w:val="center"/>
              <w:rPr>
                <w:rFonts w:asciiTheme="minorHAnsi" w:hAnsiTheme="minorHAnsi" w:cstheme="minorHAnsi"/>
                <w:b/>
                <w:bCs/>
                <w:sz w:val="22"/>
                <w:szCs w:val="22"/>
              </w:rPr>
            </w:pPr>
          </w:p>
        </w:tc>
        <w:tc>
          <w:tcPr>
            <w:tcW w:w="2176" w:type="dxa"/>
            <w:tcBorders>
              <w:top w:val="single" w:sz="4" w:space="0" w:color="auto"/>
              <w:bottom w:val="single" w:sz="4" w:space="0" w:color="auto"/>
            </w:tcBorders>
            <w:vAlign w:val="center"/>
          </w:tcPr>
          <w:p w14:paraId="482D6CB9" w14:textId="77777777" w:rsidR="008F6A02" w:rsidRPr="00885899" w:rsidRDefault="008F6A02" w:rsidP="00AC582F">
            <w:pPr>
              <w:pStyle w:val="NoSpacing"/>
              <w:jc w:val="center"/>
              <w:rPr>
                <w:rFonts w:asciiTheme="minorHAnsi" w:hAnsiTheme="minorHAnsi" w:cstheme="minorHAnsi"/>
                <w:b/>
                <w:bCs/>
                <w:color w:val="FF0000"/>
                <w:sz w:val="22"/>
                <w:szCs w:val="22"/>
              </w:rPr>
            </w:pPr>
            <w:r w:rsidRPr="00885899">
              <w:rPr>
                <w:rFonts w:asciiTheme="minorHAnsi" w:hAnsiTheme="minorHAnsi" w:cstheme="minorHAnsi"/>
                <w:b/>
                <w:bCs/>
                <w:color w:val="FF0000"/>
                <w:sz w:val="22"/>
                <w:szCs w:val="22"/>
              </w:rPr>
              <w:t>Period of assessment</w:t>
            </w:r>
          </w:p>
        </w:tc>
        <w:tc>
          <w:tcPr>
            <w:tcW w:w="2409" w:type="dxa"/>
            <w:tcBorders>
              <w:top w:val="single" w:sz="4" w:space="0" w:color="auto"/>
              <w:bottom w:val="single" w:sz="4" w:space="0" w:color="auto"/>
            </w:tcBorders>
            <w:vAlign w:val="center"/>
          </w:tcPr>
          <w:p w14:paraId="11B0D2B8" w14:textId="77777777" w:rsidR="008F6A02" w:rsidRPr="00885899" w:rsidRDefault="008F6A02" w:rsidP="00AC582F">
            <w:pPr>
              <w:pStyle w:val="NoSpacing"/>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Target p</w:t>
            </w:r>
            <w:r w:rsidRPr="00885899">
              <w:rPr>
                <w:rFonts w:asciiTheme="minorHAnsi" w:hAnsiTheme="minorHAnsi" w:cstheme="minorHAnsi"/>
                <w:b/>
                <w:bCs/>
                <w:color w:val="FF0000"/>
                <w:sz w:val="22"/>
                <w:szCs w:val="22"/>
              </w:rPr>
              <w:t>eriod</w:t>
            </w:r>
          </w:p>
        </w:tc>
        <w:tc>
          <w:tcPr>
            <w:tcW w:w="1276" w:type="dxa"/>
            <w:tcBorders>
              <w:top w:val="single" w:sz="4" w:space="0" w:color="auto"/>
            </w:tcBorders>
            <w:vAlign w:val="center"/>
          </w:tcPr>
          <w:p w14:paraId="4790AAB2" w14:textId="77777777" w:rsidR="008F6A02" w:rsidRPr="00885899" w:rsidRDefault="008F6A02" w:rsidP="00AC582F">
            <w:pPr>
              <w:pStyle w:val="NoSpacing"/>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n</w:t>
            </w:r>
          </w:p>
        </w:tc>
      </w:tr>
      <w:tr w:rsidR="008F6A02" w14:paraId="6F409314" w14:textId="77777777" w:rsidTr="00AC582F">
        <w:trPr>
          <w:trHeight w:val="567"/>
        </w:trPr>
        <w:tc>
          <w:tcPr>
            <w:tcW w:w="1370" w:type="dxa"/>
            <w:tcBorders>
              <w:top w:val="single" w:sz="4" w:space="0" w:color="auto"/>
            </w:tcBorders>
            <w:vAlign w:val="center"/>
            <w:hideMark/>
          </w:tcPr>
          <w:p w14:paraId="28E200C6" w14:textId="77777777" w:rsidR="008F6A02" w:rsidRPr="00141A6D" w:rsidRDefault="008F6A02" w:rsidP="00AC582F">
            <w:pPr>
              <w:pStyle w:val="NoSpacing"/>
              <w:spacing w:line="240" w:lineRule="auto"/>
              <w:jc w:val="left"/>
              <w:rPr>
                <w:rFonts w:asciiTheme="minorHAnsi" w:hAnsiTheme="minorHAnsi" w:cstheme="minorHAnsi"/>
                <w:sz w:val="22"/>
                <w:szCs w:val="22"/>
                <w:vertAlign w:val="superscript"/>
              </w:rPr>
            </w:pPr>
            <w:r w:rsidRPr="00141A6D">
              <w:rPr>
                <w:rFonts w:asciiTheme="minorHAnsi" w:hAnsiTheme="minorHAnsi" w:cstheme="minorHAnsi"/>
                <w:sz w:val="22"/>
                <w:szCs w:val="22"/>
              </w:rPr>
              <w:t>ALSPAC</w:t>
            </w:r>
          </w:p>
        </w:tc>
        <w:tc>
          <w:tcPr>
            <w:tcW w:w="2995" w:type="dxa"/>
            <w:tcBorders>
              <w:top w:val="single" w:sz="4" w:space="0" w:color="auto"/>
            </w:tcBorders>
            <w:vAlign w:val="center"/>
            <w:hideMark/>
          </w:tcPr>
          <w:p w14:paraId="01446494"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Bristol, The United Kingdom</w:t>
            </w:r>
          </w:p>
        </w:tc>
        <w:tc>
          <w:tcPr>
            <w:tcW w:w="1362" w:type="dxa"/>
            <w:tcBorders>
              <w:top w:val="single" w:sz="4" w:space="0" w:color="auto"/>
            </w:tcBorders>
            <w:vAlign w:val="center"/>
            <w:hideMark/>
          </w:tcPr>
          <w:p w14:paraId="37D34188"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1990-1992</w:t>
            </w:r>
          </w:p>
        </w:tc>
        <w:tc>
          <w:tcPr>
            <w:tcW w:w="1590" w:type="dxa"/>
            <w:tcBorders>
              <w:top w:val="single" w:sz="4" w:space="0" w:color="auto"/>
            </w:tcBorders>
            <w:vAlign w:val="center"/>
            <w:hideMark/>
          </w:tcPr>
          <w:p w14:paraId="3E85C7FD"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14,541</w:t>
            </w:r>
          </w:p>
        </w:tc>
        <w:tc>
          <w:tcPr>
            <w:tcW w:w="2176" w:type="dxa"/>
            <w:tcBorders>
              <w:top w:val="single" w:sz="4" w:space="0" w:color="auto"/>
              <w:bottom w:val="single" w:sz="4" w:space="0" w:color="auto"/>
            </w:tcBorders>
            <w:vAlign w:val="center"/>
          </w:tcPr>
          <w:p w14:paraId="2D560216"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rPr>
            </w:pPr>
            <w:r>
              <w:rPr>
                <w:rFonts w:asciiTheme="minorHAnsi" w:hAnsiTheme="minorHAnsi" w:cstheme="minorHAnsi"/>
                <w:color w:val="FF0000"/>
                <w:sz w:val="22"/>
                <w:szCs w:val="22"/>
              </w:rPr>
              <w:t>a</w:t>
            </w:r>
            <w:r w:rsidRPr="00036793">
              <w:rPr>
                <w:rFonts w:asciiTheme="minorHAnsi" w:hAnsiTheme="minorHAnsi" w:cstheme="minorHAnsi"/>
                <w:color w:val="FF0000"/>
                <w:sz w:val="22"/>
                <w:szCs w:val="22"/>
              </w:rPr>
              <w:t>round 32 WG</w:t>
            </w:r>
          </w:p>
        </w:tc>
        <w:tc>
          <w:tcPr>
            <w:tcW w:w="2409" w:type="dxa"/>
            <w:tcBorders>
              <w:top w:val="single" w:sz="4" w:space="0" w:color="auto"/>
              <w:bottom w:val="single" w:sz="4" w:space="0" w:color="auto"/>
            </w:tcBorders>
            <w:vAlign w:val="center"/>
            <w:hideMark/>
          </w:tcPr>
          <w:p w14:paraId="579AE347"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late pregnancy</w:t>
            </w:r>
          </w:p>
        </w:tc>
        <w:tc>
          <w:tcPr>
            <w:tcW w:w="1276" w:type="dxa"/>
            <w:tcBorders>
              <w:top w:val="single" w:sz="4" w:space="0" w:color="auto"/>
            </w:tcBorders>
            <w:vAlign w:val="center"/>
            <w:hideMark/>
          </w:tcPr>
          <w:p w14:paraId="6C0DFA19"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11,964</w:t>
            </w:r>
          </w:p>
        </w:tc>
      </w:tr>
      <w:tr w:rsidR="008F6A02" w14:paraId="4876B3B6" w14:textId="77777777" w:rsidTr="00AC582F">
        <w:trPr>
          <w:trHeight w:val="413"/>
        </w:trPr>
        <w:tc>
          <w:tcPr>
            <w:tcW w:w="1370" w:type="dxa"/>
            <w:vMerge w:val="restart"/>
            <w:vAlign w:val="center"/>
            <w:hideMark/>
          </w:tcPr>
          <w:p w14:paraId="1B576C2A" w14:textId="77777777" w:rsidR="008F6A02" w:rsidRPr="00141A6D" w:rsidRDefault="008F6A02" w:rsidP="00AC582F">
            <w:pPr>
              <w:pStyle w:val="NoSpacing"/>
              <w:spacing w:line="240" w:lineRule="auto"/>
              <w:jc w:val="left"/>
              <w:rPr>
                <w:rFonts w:asciiTheme="minorHAnsi" w:eastAsiaTheme="majorEastAsia" w:hAnsiTheme="minorHAnsi" w:cstheme="minorHAnsi"/>
                <w:b/>
                <w:bCs/>
                <w:color w:val="365F91" w:themeColor="accent1" w:themeShade="BF"/>
                <w:sz w:val="22"/>
                <w:szCs w:val="22"/>
              </w:rPr>
            </w:pPr>
            <w:r w:rsidRPr="00141A6D">
              <w:rPr>
                <w:rFonts w:asciiTheme="minorHAnsi" w:hAnsiTheme="minorHAnsi" w:cstheme="minorHAnsi"/>
                <w:sz w:val="22"/>
                <w:szCs w:val="22"/>
              </w:rPr>
              <w:t>EDEN</w:t>
            </w:r>
          </w:p>
        </w:tc>
        <w:tc>
          <w:tcPr>
            <w:tcW w:w="2995" w:type="dxa"/>
            <w:vMerge w:val="restart"/>
            <w:vAlign w:val="center"/>
            <w:hideMark/>
          </w:tcPr>
          <w:p w14:paraId="03DD5184"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Nancy and Poitiers, France</w:t>
            </w:r>
          </w:p>
        </w:tc>
        <w:tc>
          <w:tcPr>
            <w:tcW w:w="1362" w:type="dxa"/>
            <w:vMerge w:val="restart"/>
            <w:vAlign w:val="center"/>
            <w:hideMark/>
          </w:tcPr>
          <w:p w14:paraId="5C8CE8A7"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2003-2006</w:t>
            </w:r>
          </w:p>
        </w:tc>
        <w:tc>
          <w:tcPr>
            <w:tcW w:w="1590" w:type="dxa"/>
            <w:vMerge w:val="restart"/>
            <w:vAlign w:val="center"/>
            <w:hideMark/>
          </w:tcPr>
          <w:p w14:paraId="24C6353F"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2,002</w:t>
            </w:r>
          </w:p>
        </w:tc>
        <w:tc>
          <w:tcPr>
            <w:tcW w:w="2176" w:type="dxa"/>
            <w:tcBorders>
              <w:top w:val="single" w:sz="4" w:space="0" w:color="auto"/>
            </w:tcBorders>
            <w:vAlign w:val="center"/>
          </w:tcPr>
          <w:p w14:paraId="62F57EE9"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24-28 WG</w:t>
            </w:r>
          </w:p>
        </w:tc>
        <w:tc>
          <w:tcPr>
            <w:tcW w:w="2409" w:type="dxa"/>
            <w:tcBorders>
              <w:top w:val="single" w:sz="4" w:space="0" w:color="auto"/>
            </w:tcBorders>
            <w:vAlign w:val="center"/>
            <w:hideMark/>
          </w:tcPr>
          <w:p w14:paraId="7F12A65A"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pre-pregnancy</w:t>
            </w:r>
          </w:p>
        </w:tc>
        <w:tc>
          <w:tcPr>
            <w:tcW w:w="1276" w:type="dxa"/>
            <w:vAlign w:val="center"/>
            <w:hideMark/>
          </w:tcPr>
          <w:p w14:paraId="0984D89D"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1,964</w:t>
            </w:r>
          </w:p>
        </w:tc>
      </w:tr>
      <w:tr w:rsidR="008F6A02" w14:paraId="1CF53DC8" w14:textId="77777777" w:rsidTr="00AC582F">
        <w:trPr>
          <w:trHeight w:val="412"/>
        </w:trPr>
        <w:tc>
          <w:tcPr>
            <w:tcW w:w="1370" w:type="dxa"/>
            <w:vMerge/>
            <w:vAlign w:val="center"/>
            <w:hideMark/>
          </w:tcPr>
          <w:p w14:paraId="0CD91B32" w14:textId="77777777" w:rsidR="008F6A02" w:rsidRPr="00141A6D" w:rsidRDefault="008F6A02" w:rsidP="00AC582F">
            <w:pPr>
              <w:jc w:val="left"/>
              <w:rPr>
                <w:rFonts w:asciiTheme="minorHAnsi" w:hAnsiTheme="minorHAnsi" w:cstheme="minorHAnsi"/>
                <w:lang w:val="en-GB"/>
              </w:rPr>
            </w:pPr>
          </w:p>
        </w:tc>
        <w:tc>
          <w:tcPr>
            <w:tcW w:w="2995" w:type="dxa"/>
            <w:vMerge/>
            <w:vAlign w:val="center"/>
            <w:hideMark/>
          </w:tcPr>
          <w:p w14:paraId="7FF50AFA" w14:textId="77777777" w:rsidR="008F6A02" w:rsidRPr="00141A6D" w:rsidRDefault="008F6A02" w:rsidP="00AC582F">
            <w:pPr>
              <w:jc w:val="left"/>
              <w:rPr>
                <w:rFonts w:asciiTheme="minorHAnsi" w:hAnsiTheme="minorHAnsi" w:cstheme="minorHAnsi"/>
                <w:lang w:val="en-GB"/>
              </w:rPr>
            </w:pPr>
          </w:p>
        </w:tc>
        <w:tc>
          <w:tcPr>
            <w:tcW w:w="1362" w:type="dxa"/>
            <w:vMerge/>
            <w:vAlign w:val="center"/>
            <w:hideMark/>
          </w:tcPr>
          <w:p w14:paraId="76B31366" w14:textId="77777777" w:rsidR="008F6A02" w:rsidRPr="00141A6D" w:rsidRDefault="008F6A02" w:rsidP="00AC582F">
            <w:pPr>
              <w:rPr>
                <w:rFonts w:asciiTheme="minorHAnsi" w:hAnsiTheme="minorHAnsi" w:cstheme="minorHAnsi"/>
                <w:lang w:val="en-GB"/>
              </w:rPr>
            </w:pPr>
          </w:p>
        </w:tc>
        <w:tc>
          <w:tcPr>
            <w:tcW w:w="1590" w:type="dxa"/>
            <w:vMerge/>
            <w:vAlign w:val="center"/>
            <w:hideMark/>
          </w:tcPr>
          <w:p w14:paraId="4EFC368D" w14:textId="77777777" w:rsidR="008F6A02" w:rsidRPr="00141A6D" w:rsidRDefault="008F6A02" w:rsidP="00AC582F">
            <w:pPr>
              <w:rPr>
                <w:rFonts w:asciiTheme="minorHAnsi" w:hAnsiTheme="minorHAnsi" w:cstheme="minorHAnsi"/>
                <w:lang w:val="en-GB"/>
              </w:rPr>
            </w:pPr>
          </w:p>
        </w:tc>
        <w:tc>
          <w:tcPr>
            <w:tcW w:w="2176" w:type="dxa"/>
            <w:tcBorders>
              <w:bottom w:val="single" w:sz="4" w:space="0" w:color="auto"/>
            </w:tcBorders>
            <w:vAlign w:val="center"/>
          </w:tcPr>
          <w:p w14:paraId="3CC59ADC"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rPr>
            </w:pPr>
            <w:r>
              <w:rPr>
                <w:rFonts w:asciiTheme="minorHAnsi" w:hAnsiTheme="minorHAnsi" w:cstheme="minorHAnsi"/>
                <w:color w:val="FF0000"/>
                <w:sz w:val="22"/>
                <w:szCs w:val="22"/>
              </w:rPr>
              <w:t>b</w:t>
            </w:r>
            <w:r w:rsidRPr="00036793">
              <w:rPr>
                <w:rFonts w:asciiTheme="minorHAnsi" w:hAnsiTheme="minorHAnsi" w:cstheme="minorHAnsi"/>
                <w:color w:val="FF0000"/>
                <w:sz w:val="22"/>
                <w:szCs w:val="22"/>
              </w:rPr>
              <w:t>irth</w:t>
            </w:r>
          </w:p>
        </w:tc>
        <w:tc>
          <w:tcPr>
            <w:tcW w:w="2409" w:type="dxa"/>
            <w:tcBorders>
              <w:bottom w:val="single" w:sz="4" w:space="0" w:color="auto"/>
            </w:tcBorders>
            <w:vAlign w:val="center"/>
            <w:hideMark/>
          </w:tcPr>
          <w:p w14:paraId="03D2C962"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rPr>
              <w:t>late pregnancy</w:t>
            </w:r>
          </w:p>
        </w:tc>
        <w:tc>
          <w:tcPr>
            <w:tcW w:w="1276" w:type="dxa"/>
            <w:vAlign w:val="center"/>
            <w:hideMark/>
          </w:tcPr>
          <w:p w14:paraId="488477D0"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rPr>
              <w:t>1,849</w:t>
            </w:r>
          </w:p>
        </w:tc>
      </w:tr>
      <w:tr w:rsidR="008F6A02" w14:paraId="09012C52" w14:textId="77777777" w:rsidTr="00AC582F">
        <w:trPr>
          <w:trHeight w:val="567"/>
        </w:trPr>
        <w:tc>
          <w:tcPr>
            <w:tcW w:w="1370" w:type="dxa"/>
            <w:vAlign w:val="center"/>
            <w:hideMark/>
          </w:tcPr>
          <w:p w14:paraId="074FE59F"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Generation R</w:t>
            </w:r>
          </w:p>
        </w:tc>
        <w:tc>
          <w:tcPr>
            <w:tcW w:w="2995" w:type="dxa"/>
            <w:vAlign w:val="center"/>
            <w:hideMark/>
          </w:tcPr>
          <w:p w14:paraId="1F28AE93"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Rotterdam, The Netherlands</w:t>
            </w:r>
          </w:p>
        </w:tc>
        <w:tc>
          <w:tcPr>
            <w:tcW w:w="1362" w:type="dxa"/>
            <w:vAlign w:val="center"/>
            <w:hideMark/>
          </w:tcPr>
          <w:p w14:paraId="76BDFE83"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2002-2006</w:t>
            </w:r>
          </w:p>
        </w:tc>
        <w:tc>
          <w:tcPr>
            <w:tcW w:w="1590" w:type="dxa"/>
            <w:vAlign w:val="center"/>
            <w:hideMark/>
          </w:tcPr>
          <w:p w14:paraId="71D9E1DF"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9,778</w:t>
            </w:r>
          </w:p>
        </w:tc>
        <w:tc>
          <w:tcPr>
            <w:tcW w:w="2176" w:type="dxa"/>
            <w:tcBorders>
              <w:top w:val="single" w:sz="4" w:space="0" w:color="auto"/>
              <w:bottom w:val="single" w:sz="4" w:space="0" w:color="auto"/>
            </w:tcBorders>
            <w:vAlign w:val="center"/>
          </w:tcPr>
          <w:p w14:paraId="4EBB12A2"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&lt;24 WG</w:t>
            </w:r>
          </w:p>
        </w:tc>
        <w:tc>
          <w:tcPr>
            <w:tcW w:w="2409" w:type="dxa"/>
            <w:tcBorders>
              <w:top w:val="single" w:sz="4" w:space="0" w:color="auto"/>
              <w:bottom w:val="single" w:sz="4" w:space="0" w:color="auto"/>
            </w:tcBorders>
            <w:vAlign w:val="center"/>
            <w:hideMark/>
          </w:tcPr>
          <w:p w14:paraId="79C6BCF8"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early pregnancy</w:t>
            </w:r>
          </w:p>
        </w:tc>
        <w:tc>
          <w:tcPr>
            <w:tcW w:w="1276" w:type="dxa"/>
            <w:vAlign w:val="center"/>
            <w:hideMark/>
          </w:tcPr>
          <w:p w14:paraId="584C7A6A"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6,246</w:t>
            </w:r>
          </w:p>
        </w:tc>
      </w:tr>
      <w:tr w:rsidR="008F6A02" w14:paraId="543A0179" w14:textId="77777777" w:rsidTr="00AC582F">
        <w:trPr>
          <w:trHeight w:val="567"/>
        </w:trPr>
        <w:tc>
          <w:tcPr>
            <w:tcW w:w="1370" w:type="dxa"/>
            <w:vAlign w:val="center"/>
            <w:hideMark/>
          </w:tcPr>
          <w:p w14:paraId="0D0E0A47"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Lifeways</w:t>
            </w:r>
          </w:p>
        </w:tc>
        <w:tc>
          <w:tcPr>
            <w:tcW w:w="2995" w:type="dxa"/>
            <w:vAlign w:val="center"/>
            <w:hideMark/>
          </w:tcPr>
          <w:p w14:paraId="6EACFA04"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Multicentric, Republic of Ireland</w:t>
            </w:r>
          </w:p>
        </w:tc>
        <w:tc>
          <w:tcPr>
            <w:tcW w:w="1362" w:type="dxa"/>
            <w:vAlign w:val="center"/>
            <w:hideMark/>
          </w:tcPr>
          <w:p w14:paraId="7D005C71"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2001-2003</w:t>
            </w:r>
          </w:p>
        </w:tc>
        <w:tc>
          <w:tcPr>
            <w:tcW w:w="1590" w:type="dxa"/>
            <w:vAlign w:val="center"/>
            <w:hideMark/>
          </w:tcPr>
          <w:p w14:paraId="11E757F6"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1,132</w:t>
            </w:r>
          </w:p>
        </w:tc>
        <w:tc>
          <w:tcPr>
            <w:tcW w:w="2176" w:type="dxa"/>
            <w:tcBorders>
              <w:top w:val="single" w:sz="4" w:space="0" w:color="auto"/>
              <w:bottom w:val="single" w:sz="4" w:space="0" w:color="auto"/>
            </w:tcBorders>
            <w:vAlign w:val="center"/>
          </w:tcPr>
          <w:p w14:paraId="7326240C"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12-16 WG</w:t>
            </w:r>
          </w:p>
        </w:tc>
        <w:tc>
          <w:tcPr>
            <w:tcW w:w="2409" w:type="dxa"/>
            <w:tcBorders>
              <w:top w:val="single" w:sz="4" w:space="0" w:color="auto"/>
              <w:bottom w:val="single" w:sz="4" w:space="0" w:color="auto"/>
            </w:tcBorders>
            <w:vAlign w:val="center"/>
            <w:hideMark/>
          </w:tcPr>
          <w:p w14:paraId="1941DC98"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early pregnancy</w:t>
            </w:r>
          </w:p>
        </w:tc>
        <w:tc>
          <w:tcPr>
            <w:tcW w:w="1276" w:type="dxa"/>
            <w:vAlign w:val="center"/>
            <w:hideMark/>
          </w:tcPr>
          <w:p w14:paraId="0EB86CFE"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1,121</w:t>
            </w:r>
          </w:p>
        </w:tc>
      </w:tr>
      <w:tr w:rsidR="008F6A02" w14:paraId="3067419A" w14:textId="77777777" w:rsidTr="00AC582F">
        <w:trPr>
          <w:trHeight w:val="567"/>
        </w:trPr>
        <w:tc>
          <w:tcPr>
            <w:tcW w:w="1370" w:type="dxa"/>
            <w:vAlign w:val="center"/>
            <w:hideMark/>
          </w:tcPr>
          <w:p w14:paraId="50575772"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REPRO_PL</w:t>
            </w:r>
          </w:p>
        </w:tc>
        <w:tc>
          <w:tcPr>
            <w:tcW w:w="2995" w:type="dxa"/>
            <w:vAlign w:val="center"/>
            <w:hideMark/>
          </w:tcPr>
          <w:p w14:paraId="41C29E1C"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Multicentric, Poland</w:t>
            </w:r>
          </w:p>
        </w:tc>
        <w:tc>
          <w:tcPr>
            <w:tcW w:w="1362" w:type="dxa"/>
            <w:vAlign w:val="center"/>
            <w:hideMark/>
          </w:tcPr>
          <w:p w14:paraId="62386F03"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2007-2011</w:t>
            </w:r>
          </w:p>
        </w:tc>
        <w:tc>
          <w:tcPr>
            <w:tcW w:w="1590" w:type="dxa"/>
            <w:vAlign w:val="center"/>
            <w:hideMark/>
          </w:tcPr>
          <w:p w14:paraId="2A07B3F0"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1,451</w:t>
            </w:r>
          </w:p>
        </w:tc>
        <w:tc>
          <w:tcPr>
            <w:tcW w:w="2176" w:type="dxa"/>
            <w:tcBorders>
              <w:top w:val="single" w:sz="4" w:space="0" w:color="auto"/>
              <w:bottom w:val="single" w:sz="4" w:space="0" w:color="auto"/>
            </w:tcBorders>
            <w:vAlign w:val="center"/>
          </w:tcPr>
          <w:p w14:paraId="048EBC9B"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20-24 WG</w:t>
            </w:r>
          </w:p>
        </w:tc>
        <w:tc>
          <w:tcPr>
            <w:tcW w:w="2409" w:type="dxa"/>
            <w:tcBorders>
              <w:top w:val="single" w:sz="4" w:space="0" w:color="auto"/>
              <w:bottom w:val="single" w:sz="4" w:space="0" w:color="auto"/>
            </w:tcBorders>
            <w:vAlign w:val="center"/>
            <w:hideMark/>
          </w:tcPr>
          <w:p w14:paraId="72E6458C"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early pregnancy</w:t>
            </w:r>
          </w:p>
        </w:tc>
        <w:tc>
          <w:tcPr>
            <w:tcW w:w="1276" w:type="dxa"/>
            <w:vAlign w:val="center"/>
            <w:hideMark/>
          </w:tcPr>
          <w:p w14:paraId="0706F164"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1,314</w:t>
            </w:r>
          </w:p>
        </w:tc>
      </w:tr>
      <w:tr w:rsidR="008F6A02" w14:paraId="271D450B" w14:textId="77777777" w:rsidTr="00AC582F">
        <w:trPr>
          <w:trHeight w:val="567"/>
        </w:trPr>
        <w:tc>
          <w:tcPr>
            <w:tcW w:w="1370" w:type="dxa"/>
            <w:vAlign w:val="center"/>
            <w:hideMark/>
          </w:tcPr>
          <w:p w14:paraId="044C743C"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ROLO</w:t>
            </w:r>
          </w:p>
        </w:tc>
        <w:tc>
          <w:tcPr>
            <w:tcW w:w="2995" w:type="dxa"/>
            <w:vAlign w:val="center"/>
            <w:hideMark/>
          </w:tcPr>
          <w:p w14:paraId="0413D99F"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Dublin, Republic of Ireland</w:t>
            </w:r>
          </w:p>
        </w:tc>
        <w:tc>
          <w:tcPr>
            <w:tcW w:w="1362" w:type="dxa"/>
            <w:vAlign w:val="center"/>
            <w:hideMark/>
          </w:tcPr>
          <w:p w14:paraId="0890689B"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2007-2011</w:t>
            </w:r>
          </w:p>
        </w:tc>
        <w:tc>
          <w:tcPr>
            <w:tcW w:w="1590" w:type="dxa"/>
            <w:vAlign w:val="center"/>
            <w:hideMark/>
          </w:tcPr>
          <w:p w14:paraId="2709AC7F"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759</w:t>
            </w:r>
          </w:p>
        </w:tc>
        <w:tc>
          <w:tcPr>
            <w:tcW w:w="2176" w:type="dxa"/>
            <w:tcBorders>
              <w:top w:val="single" w:sz="4" w:space="0" w:color="auto"/>
              <w:bottom w:val="single" w:sz="4" w:space="0" w:color="auto"/>
            </w:tcBorders>
            <w:vAlign w:val="center"/>
          </w:tcPr>
          <w:p w14:paraId="392B41BB"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≤28 WG</w:t>
            </w:r>
          </w:p>
        </w:tc>
        <w:tc>
          <w:tcPr>
            <w:tcW w:w="2409" w:type="dxa"/>
            <w:tcBorders>
              <w:top w:val="single" w:sz="4" w:space="0" w:color="auto"/>
              <w:bottom w:val="single" w:sz="4" w:space="0" w:color="auto"/>
            </w:tcBorders>
            <w:vAlign w:val="center"/>
            <w:hideMark/>
          </w:tcPr>
          <w:p w14:paraId="4B85623F"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early pregnancy</w:t>
            </w:r>
          </w:p>
        </w:tc>
        <w:tc>
          <w:tcPr>
            <w:tcW w:w="1276" w:type="dxa"/>
            <w:vAlign w:val="center"/>
            <w:hideMark/>
          </w:tcPr>
          <w:p w14:paraId="5716F762"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631</w:t>
            </w:r>
          </w:p>
        </w:tc>
      </w:tr>
      <w:tr w:rsidR="008F6A02" w14:paraId="766255DF" w14:textId="77777777" w:rsidTr="00AC582F">
        <w:trPr>
          <w:trHeight w:val="415"/>
        </w:trPr>
        <w:tc>
          <w:tcPr>
            <w:tcW w:w="1370" w:type="dxa"/>
            <w:vMerge w:val="restart"/>
            <w:vAlign w:val="center"/>
            <w:hideMark/>
          </w:tcPr>
          <w:p w14:paraId="28EE73B1"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SWS</w:t>
            </w:r>
          </w:p>
        </w:tc>
        <w:tc>
          <w:tcPr>
            <w:tcW w:w="2995" w:type="dxa"/>
            <w:vMerge w:val="restart"/>
            <w:vAlign w:val="center"/>
            <w:hideMark/>
          </w:tcPr>
          <w:p w14:paraId="5ED905B8" w14:textId="77777777" w:rsidR="008F6A02" w:rsidRPr="00141A6D" w:rsidRDefault="008F6A02" w:rsidP="00AC582F">
            <w:pPr>
              <w:pStyle w:val="NoSpacing"/>
              <w:spacing w:line="240" w:lineRule="auto"/>
              <w:jc w:val="left"/>
              <w:rPr>
                <w:rFonts w:asciiTheme="minorHAnsi" w:hAnsiTheme="minorHAnsi" w:cstheme="minorHAnsi"/>
                <w:sz w:val="22"/>
                <w:szCs w:val="22"/>
              </w:rPr>
            </w:pPr>
            <w:r w:rsidRPr="00141A6D">
              <w:rPr>
                <w:rFonts w:asciiTheme="minorHAnsi" w:hAnsiTheme="minorHAnsi" w:cstheme="minorHAnsi"/>
                <w:sz w:val="22"/>
                <w:szCs w:val="22"/>
              </w:rPr>
              <w:t>Southampton, The United Kingdom</w:t>
            </w:r>
          </w:p>
        </w:tc>
        <w:tc>
          <w:tcPr>
            <w:tcW w:w="1362" w:type="dxa"/>
            <w:vMerge w:val="restart"/>
            <w:vAlign w:val="center"/>
            <w:hideMark/>
          </w:tcPr>
          <w:p w14:paraId="46BD5B6E"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1998-2002</w:t>
            </w:r>
          </w:p>
        </w:tc>
        <w:tc>
          <w:tcPr>
            <w:tcW w:w="1590" w:type="dxa"/>
            <w:vMerge w:val="restart"/>
            <w:vAlign w:val="center"/>
            <w:hideMark/>
          </w:tcPr>
          <w:p w14:paraId="696960E7"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rPr>
              <w:t>12,583</w:t>
            </w:r>
          </w:p>
        </w:tc>
        <w:tc>
          <w:tcPr>
            <w:tcW w:w="2176" w:type="dxa"/>
            <w:tcBorders>
              <w:top w:val="single" w:sz="4" w:space="0" w:color="auto"/>
            </w:tcBorders>
            <w:vAlign w:val="center"/>
          </w:tcPr>
          <w:p w14:paraId="0AB764DF"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Pr>
                <w:rFonts w:asciiTheme="minorHAnsi" w:hAnsiTheme="minorHAnsi" w:cstheme="minorHAnsi"/>
                <w:color w:val="FF0000"/>
                <w:sz w:val="22"/>
                <w:szCs w:val="22"/>
                <w:lang w:eastAsia="fr-FR"/>
              </w:rPr>
              <w:t>pre-pregnancy</w:t>
            </w:r>
          </w:p>
        </w:tc>
        <w:tc>
          <w:tcPr>
            <w:tcW w:w="2409" w:type="dxa"/>
            <w:tcBorders>
              <w:top w:val="single" w:sz="4" w:space="0" w:color="auto"/>
            </w:tcBorders>
            <w:vAlign w:val="center"/>
            <w:hideMark/>
          </w:tcPr>
          <w:p w14:paraId="38A58884"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pre-pregnancy</w:t>
            </w:r>
          </w:p>
        </w:tc>
        <w:tc>
          <w:tcPr>
            <w:tcW w:w="1276" w:type="dxa"/>
            <w:vAlign w:val="center"/>
            <w:hideMark/>
          </w:tcPr>
          <w:p w14:paraId="4173110F" w14:textId="77777777" w:rsidR="008F6A02" w:rsidRPr="00141A6D" w:rsidRDefault="008F6A02" w:rsidP="00AC582F">
            <w:pPr>
              <w:pStyle w:val="NoSpacing"/>
              <w:spacing w:line="240" w:lineRule="auto"/>
              <w:jc w:val="center"/>
              <w:rPr>
                <w:rFonts w:asciiTheme="minorHAnsi" w:hAnsiTheme="minorHAnsi" w:cstheme="minorHAnsi"/>
                <w:sz w:val="22"/>
                <w:szCs w:val="22"/>
              </w:rPr>
            </w:pPr>
            <w:r w:rsidRPr="00141A6D">
              <w:rPr>
                <w:rFonts w:asciiTheme="minorHAnsi" w:hAnsiTheme="minorHAnsi" w:cstheme="minorHAnsi"/>
                <w:sz w:val="22"/>
                <w:szCs w:val="22"/>
                <w:lang w:eastAsia="fr-FR"/>
              </w:rPr>
              <w:t>3,156</w:t>
            </w:r>
            <w:r w:rsidRPr="00141A6D">
              <w:rPr>
                <w:rFonts w:asciiTheme="minorHAnsi" w:hAnsiTheme="minorHAnsi" w:cstheme="minorHAnsi"/>
                <w:sz w:val="22"/>
                <w:szCs w:val="22"/>
                <w:vertAlign w:val="superscript"/>
                <w:lang w:eastAsia="fr-FR"/>
              </w:rPr>
              <w:t>b</w:t>
            </w:r>
          </w:p>
        </w:tc>
      </w:tr>
      <w:tr w:rsidR="008F6A02" w14:paraId="213D058C" w14:textId="77777777" w:rsidTr="00AC582F">
        <w:trPr>
          <w:trHeight w:val="415"/>
        </w:trPr>
        <w:tc>
          <w:tcPr>
            <w:tcW w:w="1370" w:type="dxa"/>
            <w:vMerge/>
            <w:vAlign w:val="center"/>
            <w:hideMark/>
          </w:tcPr>
          <w:p w14:paraId="35853BA8" w14:textId="77777777" w:rsidR="008F6A02" w:rsidRPr="00141A6D" w:rsidRDefault="008F6A02" w:rsidP="00AC582F">
            <w:pPr>
              <w:jc w:val="left"/>
              <w:rPr>
                <w:rFonts w:asciiTheme="minorHAnsi" w:hAnsiTheme="minorHAnsi" w:cstheme="minorHAnsi"/>
                <w:lang w:val="en-GB"/>
              </w:rPr>
            </w:pPr>
          </w:p>
        </w:tc>
        <w:tc>
          <w:tcPr>
            <w:tcW w:w="2995" w:type="dxa"/>
            <w:vMerge/>
            <w:vAlign w:val="center"/>
            <w:hideMark/>
          </w:tcPr>
          <w:p w14:paraId="534E6862" w14:textId="77777777" w:rsidR="008F6A02" w:rsidRPr="00141A6D" w:rsidRDefault="008F6A02" w:rsidP="00AC582F">
            <w:pPr>
              <w:jc w:val="left"/>
              <w:rPr>
                <w:rFonts w:asciiTheme="minorHAnsi" w:hAnsiTheme="minorHAnsi" w:cstheme="minorHAnsi"/>
                <w:lang w:val="en-GB"/>
              </w:rPr>
            </w:pPr>
          </w:p>
        </w:tc>
        <w:tc>
          <w:tcPr>
            <w:tcW w:w="1362" w:type="dxa"/>
            <w:vMerge/>
            <w:vAlign w:val="center"/>
            <w:hideMark/>
          </w:tcPr>
          <w:p w14:paraId="020754F7" w14:textId="77777777" w:rsidR="008F6A02" w:rsidRPr="00141A6D" w:rsidRDefault="008F6A02" w:rsidP="00AC582F">
            <w:pPr>
              <w:jc w:val="left"/>
              <w:rPr>
                <w:rFonts w:asciiTheme="minorHAnsi" w:hAnsiTheme="minorHAnsi" w:cstheme="minorHAnsi"/>
                <w:lang w:val="en-GB"/>
              </w:rPr>
            </w:pPr>
          </w:p>
        </w:tc>
        <w:tc>
          <w:tcPr>
            <w:tcW w:w="1590" w:type="dxa"/>
            <w:vMerge/>
            <w:vAlign w:val="center"/>
            <w:hideMark/>
          </w:tcPr>
          <w:p w14:paraId="6E5347A4" w14:textId="77777777" w:rsidR="008F6A02" w:rsidRPr="00141A6D" w:rsidRDefault="008F6A02" w:rsidP="00AC582F">
            <w:pPr>
              <w:jc w:val="left"/>
              <w:rPr>
                <w:rFonts w:asciiTheme="minorHAnsi" w:hAnsiTheme="minorHAnsi" w:cstheme="minorHAnsi"/>
                <w:lang w:val="en-GB"/>
              </w:rPr>
            </w:pPr>
          </w:p>
        </w:tc>
        <w:tc>
          <w:tcPr>
            <w:tcW w:w="2176" w:type="dxa"/>
            <w:vAlign w:val="center"/>
          </w:tcPr>
          <w:p w14:paraId="0BF05C77"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11 WG</w:t>
            </w:r>
          </w:p>
        </w:tc>
        <w:tc>
          <w:tcPr>
            <w:tcW w:w="2409" w:type="dxa"/>
            <w:vAlign w:val="center"/>
            <w:hideMark/>
          </w:tcPr>
          <w:p w14:paraId="1F17EB6B"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early pregnancy</w:t>
            </w:r>
          </w:p>
        </w:tc>
        <w:tc>
          <w:tcPr>
            <w:tcW w:w="1276" w:type="dxa"/>
            <w:vAlign w:val="center"/>
            <w:hideMark/>
          </w:tcPr>
          <w:p w14:paraId="73AF2576"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2,222</w:t>
            </w:r>
          </w:p>
        </w:tc>
      </w:tr>
      <w:tr w:rsidR="008F6A02" w14:paraId="45AD7221" w14:textId="77777777" w:rsidTr="00AC582F">
        <w:trPr>
          <w:trHeight w:val="415"/>
        </w:trPr>
        <w:tc>
          <w:tcPr>
            <w:tcW w:w="1370" w:type="dxa"/>
            <w:vMerge/>
            <w:tcBorders>
              <w:bottom w:val="single" w:sz="4" w:space="0" w:color="auto"/>
            </w:tcBorders>
            <w:vAlign w:val="center"/>
            <w:hideMark/>
          </w:tcPr>
          <w:p w14:paraId="3D0A9211" w14:textId="77777777" w:rsidR="008F6A02" w:rsidRPr="00141A6D" w:rsidRDefault="008F6A02" w:rsidP="00AC582F">
            <w:pPr>
              <w:jc w:val="left"/>
              <w:rPr>
                <w:rFonts w:asciiTheme="minorHAnsi" w:hAnsiTheme="minorHAnsi" w:cstheme="minorHAnsi"/>
                <w:lang w:val="en-GB"/>
              </w:rPr>
            </w:pPr>
          </w:p>
        </w:tc>
        <w:tc>
          <w:tcPr>
            <w:tcW w:w="2995" w:type="dxa"/>
            <w:vMerge/>
            <w:tcBorders>
              <w:bottom w:val="single" w:sz="4" w:space="0" w:color="auto"/>
            </w:tcBorders>
            <w:vAlign w:val="center"/>
            <w:hideMark/>
          </w:tcPr>
          <w:p w14:paraId="59927795" w14:textId="77777777" w:rsidR="008F6A02" w:rsidRPr="00141A6D" w:rsidRDefault="008F6A02" w:rsidP="00AC582F">
            <w:pPr>
              <w:jc w:val="left"/>
              <w:rPr>
                <w:rFonts w:asciiTheme="minorHAnsi" w:hAnsiTheme="minorHAnsi" w:cstheme="minorHAnsi"/>
                <w:lang w:val="en-GB"/>
              </w:rPr>
            </w:pPr>
          </w:p>
        </w:tc>
        <w:tc>
          <w:tcPr>
            <w:tcW w:w="1362" w:type="dxa"/>
            <w:vMerge/>
            <w:tcBorders>
              <w:bottom w:val="single" w:sz="4" w:space="0" w:color="auto"/>
            </w:tcBorders>
            <w:vAlign w:val="center"/>
            <w:hideMark/>
          </w:tcPr>
          <w:p w14:paraId="63026E10" w14:textId="77777777" w:rsidR="008F6A02" w:rsidRPr="00141A6D" w:rsidRDefault="008F6A02" w:rsidP="00AC582F">
            <w:pPr>
              <w:jc w:val="left"/>
              <w:rPr>
                <w:rFonts w:asciiTheme="minorHAnsi" w:hAnsiTheme="minorHAnsi" w:cstheme="minorHAnsi"/>
                <w:lang w:val="en-GB"/>
              </w:rPr>
            </w:pPr>
          </w:p>
        </w:tc>
        <w:tc>
          <w:tcPr>
            <w:tcW w:w="1590" w:type="dxa"/>
            <w:vMerge/>
            <w:tcBorders>
              <w:bottom w:val="single" w:sz="4" w:space="0" w:color="auto"/>
            </w:tcBorders>
            <w:vAlign w:val="center"/>
            <w:hideMark/>
          </w:tcPr>
          <w:p w14:paraId="6F453AF8" w14:textId="77777777" w:rsidR="008F6A02" w:rsidRPr="00141A6D" w:rsidRDefault="008F6A02" w:rsidP="00AC582F">
            <w:pPr>
              <w:jc w:val="left"/>
              <w:rPr>
                <w:rFonts w:asciiTheme="minorHAnsi" w:hAnsiTheme="minorHAnsi" w:cstheme="minorHAnsi"/>
                <w:lang w:val="en-GB"/>
              </w:rPr>
            </w:pPr>
          </w:p>
        </w:tc>
        <w:tc>
          <w:tcPr>
            <w:tcW w:w="2176" w:type="dxa"/>
            <w:tcBorders>
              <w:bottom w:val="single" w:sz="4" w:space="0" w:color="auto"/>
            </w:tcBorders>
            <w:vAlign w:val="center"/>
          </w:tcPr>
          <w:p w14:paraId="4DF43028" w14:textId="77777777" w:rsidR="008F6A02" w:rsidRPr="00036793" w:rsidRDefault="008F6A02" w:rsidP="00AC582F">
            <w:pPr>
              <w:pStyle w:val="NoSpacing"/>
              <w:spacing w:line="240" w:lineRule="auto"/>
              <w:jc w:val="center"/>
              <w:rPr>
                <w:rFonts w:asciiTheme="minorHAnsi" w:hAnsiTheme="minorHAnsi" w:cstheme="minorHAnsi"/>
                <w:color w:val="FF0000"/>
                <w:sz w:val="22"/>
                <w:szCs w:val="22"/>
                <w:lang w:eastAsia="fr-FR"/>
              </w:rPr>
            </w:pPr>
            <w:r w:rsidRPr="00036793">
              <w:rPr>
                <w:rFonts w:asciiTheme="minorHAnsi" w:hAnsiTheme="minorHAnsi" w:cstheme="minorHAnsi"/>
                <w:color w:val="FF0000"/>
                <w:sz w:val="22"/>
                <w:szCs w:val="22"/>
                <w:lang w:eastAsia="fr-FR"/>
              </w:rPr>
              <w:t>34 WG</w:t>
            </w:r>
          </w:p>
        </w:tc>
        <w:tc>
          <w:tcPr>
            <w:tcW w:w="2409" w:type="dxa"/>
            <w:tcBorders>
              <w:bottom w:val="single" w:sz="4" w:space="0" w:color="auto"/>
            </w:tcBorders>
            <w:vAlign w:val="center"/>
            <w:hideMark/>
          </w:tcPr>
          <w:p w14:paraId="2BE8564F"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late pregnancy</w:t>
            </w:r>
          </w:p>
        </w:tc>
        <w:tc>
          <w:tcPr>
            <w:tcW w:w="1276" w:type="dxa"/>
            <w:tcBorders>
              <w:bottom w:val="single" w:sz="4" w:space="0" w:color="auto"/>
            </w:tcBorders>
            <w:vAlign w:val="center"/>
            <w:hideMark/>
          </w:tcPr>
          <w:p w14:paraId="0B43DE22" w14:textId="77777777" w:rsidR="008F6A02" w:rsidRPr="00141A6D" w:rsidRDefault="008F6A02" w:rsidP="00AC582F">
            <w:pPr>
              <w:pStyle w:val="NoSpacing"/>
              <w:spacing w:line="240" w:lineRule="auto"/>
              <w:jc w:val="center"/>
              <w:rPr>
                <w:rFonts w:asciiTheme="minorHAnsi" w:hAnsiTheme="minorHAnsi" w:cstheme="minorHAnsi"/>
                <w:sz w:val="22"/>
                <w:szCs w:val="22"/>
                <w:lang w:eastAsia="fr-FR"/>
              </w:rPr>
            </w:pPr>
            <w:r w:rsidRPr="00141A6D">
              <w:rPr>
                <w:rFonts w:asciiTheme="minorHAnsi" w:hAnsiTheme="minorHAnsi" w:cstheme="minorHAnsi"/>
                <w:sz w:val="22"/>
                <w:szCs w:val="22"/>
                <w:lang w:eastAsia="fr-FR"/>
              </w:rPr>
              <w:t>2,642</w:t>
            </w:r>
          </w:p>
        </w:tc>
      </w:tr>
      <w:tr w:rsidR="008F6A02" w14:paraId="6ABDE640" w14:textId="77777777" w:rsidTr="00AC582F">
        <w:trPr>
          <w:trHeight w:val="582"/>
        </w:trPr>
        <w:tc>
          <w:tcPr>
            <w:tcW w:w="13178" w:type="dxa"/>
            <w:gridSpan w:val="7"/>
            <w:tcBorders>
              <w:top w:val="single" w:sz="4" w:space="0" w:color="auto"/>
            </w:tcBorders>
          </w:tcPr>
          <w:p w14:paraId="2A00232C" w14:textId="77777777" w:rsidR="008F6A02" w:rsidRPr="00885899" w:rsidRDefault="008F6A02" w:rsidP="00AC582F">
            <w:pPr>
              <w:pStyle w:val="NoSpacing"/>
              <w:spacing w:line="240" w:lineRule="auto"/>
              <w:rPr>
                <w:color w:val="FF0000"/>
                <w:sz w:val="16"/>
                <w:szCs w:val="16"/>
              </w:rPr>
            </w:pPr>
            <w:r w:rsidRPr="00885899">
              <w:rPr>
                <w:color w:val="FF0000"/>
                <w:sz w:val="16"/>
                <w:szCs w:val="16"/>
              </w:rPr>
              <w:t>Abbreviations: WG, Weeks of Gestation.</w:t>
            </w:r>
          </w:p>
          <w:p w14:paraId="625217E3" w14:textId="77777777" w:rsidR="008F6A02" w:rsidRDefault="008F6A02" w:rsidP="00AC582F">
            <w:pPr>
              <w:pStyle w:val="NoSpacing"/>
              <w:spacing w:line="240" w:lineRule="auto"/>
              <w:rPr>
                <w:sz w:val="16"/>
                <w:szCs w:val="16"/>
              </w:rPr>
            </w:pPr>
            <w:proofErr w:type="spellStart"/>
            <w:r>
              <w:rPr>
                <w:sz w:val="16"/>
                <w:szCs w:val="16"/>
                <w:vertAlign w:val="superscript"/>
              </w:rPr>
              <w:t>a</w:t>
            </w:r>
            <w:r>
              <w:rPr>
                <w:sz w:val="16"/>
                <w:szCs w:val="16"/>
              </w:rPr>
              <w:t>Women</w:t>
            </w:r>
            <w:proofErr w:type="spellEnd"/>
            <w:r>
              <w:rPr>
                <w:sz w:val="16"/>
                <w:szCs w:val="16"/>
              </w:rPr>
              <w:t xml:space="preserve"> included in these analyses.</w:t>
            </w:r>
          </w:p>
          <w:p w14:paraId="026B558E" w14:textId="77777777" w:rsidR="008F6A02" w:rsidRDefault="008F6A02" w:rsidP="00AC582F">
            <w:pPr>
              <w:pStyle w:val="NoSpacing"/>
              <w:spacing w:line="240" w:lineRule="auto"/>
              <w:rPr>
                <w:sz w:val="18"/>
                <w:szCs w:val="18"/>
              </w:rPr>
            </w:pPr>
            <w:r>
              <w:rPr>
                <w:sz w:val="16"/>
                <w:szCs w:val="16"/>
                <w:vertAlign w:val="superscript"/>
              </w:rPr>
              <w:t>b</w:t>
            </w:r>
            <w:r>
              <w:rPr>
                <w:sz w:val="16"/>
                <w:szCs w:val="16"/>
              </w:rPr>
              <w:t>12,572 women had available dietary information in pre-pregnancy but only 3,158 pregnant women delivered a live singleton baby and were included in the present study.</w:t>
            </w:r>
          </w:p>
        </w:tc>
      </w:tr>
    </w:tbl>
    <w:p w14:paraId="5C23068A" w14:textId="77777777" w:rsidR="00F021B0" w:rsidRPr="000903D3" w:rsidRDefault="00F021B0" w:rsidP="00F021B0">
      <w:pPr>
        <w:pStyle w:val="NoSpacing"/>
        <w:rPr>
          <w:u w:val="single"/>
          <w:lang w:val="en-CA"/>
        </w:rPr>
      </w:pPr>
    </w:p>
    <w:p w14:paraId="06D829D6" w14:textId="380F114A" w:rsidR="00F021B0" w:rsidRDefault="00F021B0" w:rsidP="00F021B0">
      <w:pPr>
        <w:pStyle w:val="NoSpacing"/>
        <w:spacing w:line="276" w:lineRule="auto"/>
        <w:rPr>
          <w:sz w:val="22"/>
          <w:szCs w:val="22"/>
        </w:rPr>
      </w:pPr>
      <w:r>
        <w:rPr>
          <w:u w:val="single"/>
        </w:rPr>
        <w:br w:type="page"/>
      </w:r>
      <w:r>
        <w:rPr>
          <w:b/>
          <w:bCs/>
          <w:color w:val="0070C0"/>
          <w:sz w:val="22"/>
          <w:szCs w:val="22"/>
          <w:lang w:val="en-CA"/>
        </w:rPr>
        <w:lastRenderedPageBreak/>
        <w:t>Table 2.</w:t>
      </w:r>
      <w:r>
        <w:rPr>
          <w:color w:val="0070C0"/>
          <w:sz w:val="22"/>
          <w:szCs w:val="22"/>
          <w:lang w:val="en-CA"/>
        </w:rPr>
        <w:t xml:space="preserve"> </w:t>
      </w:r>
      <w:r>
        <w:rPr>
          <w:sz w:val="22"/>
          <w:szCs w:val="22"/>
        </w:rPr>
        <w:t xml:space="preserve">Characteristics of participants of the ALPHABET cohort studies </w:t>
      </w:r>
      <w:r w:rsidR="006C324E">
        <w:rPr>
          <w:sz w:val="22"/>
          <w:szCs w:val="22"/>
        </w:rPr>
        <w:t xml:space="preserve">overall and by cohort </w:t>
      </w:r>
      <w:r>
        <w:rPr>
          <w:sz w:val="22"/>
          <w:szCs w:val="22"/>
        </w:rPr>
        <w:t>(n=26,410).</w:t>
      </w:r>
    </w:p>
    <w:tbl>
      <w:tblPr>
        <w:tblW w:w="14485" w:type="dxa"/>
        <w:tblLook w:val="04A0" w:firstRow="1" w:lastRow="0" w:firstColumn="1" w:lastColumn="0" w:noHBand="0" w:noVBand="1"/>
      </w:tblPr>
      <w:tblGrid>
        <w:gridCol w:w="2295"/>
        <w:gridCol w:w="737"/>
        <w:gridCol w:w="895"/>
        <w:gridCol w:w="680"/>
        <w:gridCol w:w="895"/>
        <w:gridCol w:w="680"/>
        <w:gridCol w:w="822"/>
        <w:gridCol w:w="680"/>
        <w:gridCol w:w="822"/>
        <w:gridCol w:w="680"/>
        <w:gridCol w:w="793"/>
        <w:gridCol w:w="680"/>
        <w:gridCol w:w="822"/>
        <w:gridCol w:w="680"/>
        <w:gridCol w:w="822"/>
        <w:gridCol w:w="680"/>
        <w:gridCol w:w="822"/>
      </w:tblGrid>
      <w:tr w:rsidR="00F021B0" w14:paraId="421C9398" w14:textId="77777777" w:rsidTr="00F021B0">
        <w:trPr>
          <w:trHeight w:val="290"/>
        </w:trPr>
        <w:tc>
          <w:tcPr>
            <w:tcW w:w="2295" w:type="dxa"/>
            <w:noWrap/>
            <w:vAlign w:val="center"/>
          </w:tcPr>
          <w:p w14:paraId="2DC9A56D" w14:textId="77777777" w:rsidR="00F021B0" w:rsidRDefault="00F021B0">
            <w:pPr>
              <w:spacing w:line="276" w:lineRule="auto"/>
              <w:jc w:val="left"/>
              <w:rPr>
                <w:rFonts w:ascii="Calibri" w:eastAsia="Times New Roman" w:hAnsi="Calibri" w:cs="Calibri"/>
                <w:b/>
                <w:color w:val="000000"/>
                <w:sz w:val="20"/>
                <w:szCs w:val="20"/>
                <w:lang w:val="en-GB" w:eastAsia="en-GB"/>
              </w:rPr>
            </w:pPr>
          </w:p>
        </w:tc>
        <w:tc>
          <w:tcPr>
            <w:tcW w:w="1632" w:type="dxa"/>
            <w:gridSpan w:val="2"/>
            <w:tcBorders>
              <w:top w:val="nil"/>
              <w:left w:val="nil"/>
              <w:bottom w:val="nil"/>
              <w:right w:val="single" w:sz="4" w:space="0" w:color="auto"/>
            </w:tcBorders>
            <w:noWrap/>
            <w:vAlign w:val="center"/>
            <w:hideMark/>
          </w:tcPr>
          <w:p w14:paraId="2BDC004B" w14:textId="77777777" w:rsidR="00F021B0" w:rsidRDefault="00F021B0">
            <w:pPr>
              <w:spacing w:line="276" w:lineRule="auto"/>
              <w:rPr>
                <w:rFonts w:ascii="Calibri" w:hAnsi="Calibri" w:cs="Calibri"/>
                <w:b/>
                <w:bCs/>
                <w:color w:val="000000"/>
              </w:rPr>
            </w:pPr>
            <w:r>
              <w:rPr>
                <w:rFonts w:ascii="Calibri" w:hAnsi="Calibri" w:cs="Calibri"/>
                <w:b/>
                <w:bCs/>
                <w:color w:val="000000"/>
              </w:rPr>
              <w:t>ALPHABET</w:t>
            </w:r>
          </w:p>
        </w:tc>
        <w:tc>
          <w:tcPr>
            <w:tcW w:w="1575" w:type="dxa"/>
            <w:gridSpan w:val="2"/>
            <w:tcBorders>
              <w:top w:val="nil"/>
              <w:left w:val="single" w:sz="4" w:space="0" w:color="auto"/>
              <w:bottom w:val="nil"/>
              <w:right w:val="nil"/>
            </w:tcBorders>
            <w:noWrap/>
            <w:vAlign w:val="center"/>
            <w:hideMark/>
          </w:tcPr>
          <w:p w14:paraId="320411D7" w14:textId="77777777" w:rsidR="00F021B0" w:rsidRDefault="00F021B0">
            <w:pPr>
              <w:spacing w:line="276" w:lineRule="auto"/>
              <w:rPr>
                <w:rFonts w:ascii="Calibri" w:hAnsi="Calibri" w:cs="Calibri"/>
                <w:b/>
                <w:color w:val="000000"/>
              </w:rPr>
            </w:pPr>
            <w:r>
              <w:rPr>
                <w:rFonts w:ascii="Calibri" w:hAnsi="Calibri" w:cs="Calibri"/>
                <w:b/>
                <w:color w:val="000000"/>
              </w:rPr>
              <w:t>ALSPAC</w:t>
            </w:r>
          </w:p>
        </w:tc>
        <w:tc>
          <w:tcPr>
            <w:tcW w:w="1502" w:type="dxa"/>
            <w:gridSpan w:val="2"/>
            <w:noWrap/>
            <w:vAlign w:val="center"/>
            <w:hideMark/>
          </w:tcPr>
          <w:p w14:paraId="612D41B7" w14:textId="77777777" w:rsidR="00F021B0" w:rsidRDefault="00F021B0">
            <w:pPr>
              <w:spacing w:line="276" w:lineRule="auto"/>
              <w:rPr>
                <w:rFonts w:ascii="Calibri" w:hAnsi="Calibri" w:cs="Calibri"/>
                <w:b/>
                <w:bCs/>
                <w:color w:val="000000"/>
              </w:rPr>
            </w:pPr>
            <w:r>
              <w:rPr>
                <w:rFonts w:ascii="Calibri" w:hAnsi="Calibri" w:cs="Calibri"/>
                <w:b/>
                <w:bCs/>
                <w:color w:val="000000"/>
              </w:rPr>
              <w:t>EDEN</w:t>
            </w:r>
          </w:p>
        </w:tc>
        <w:tc>
          <w:tcPr>
            <w:tcW w:w="1502" w:type="dxa"/>
            <w:gridSpan w:val="2"/>
            <w:noWrap/>
            <w:vAlign w:val="center"/>
            <w:hideMark/>
          </w:tcPr>
          <w:p w14:paraId="203EF6CE" w14:textId="77777777" w:rsidR="00F021B0" w:rsidRDefault="00F021B0">
            <w:pPr>
              <w:spacing w:line="276" w:lineRule="auto"/>
              <w:rPr>
                <w:rFonts w:ascii="Calibri" w:hAnsi="Calibri" w:cs="Calibri"/>
                <w:b/>
                <w:color w:val="000000"/>
              </w:rPr>
            </w:pPr>
            <w:r>
              <w:rPr>
                <w:rFonts w:ascii="Calibri" w:hAnsi="Calibri" w:cs="Calibri"/>
                <w:b/>
                <w:color w:val="000000"/>
              </w:rPr>
              <w:t>Generation R</w:t>
            </w:r>
          </w:p>
        </w:tc>
        <w:tc>
          <w:tcPr>
            <w:tcW w:w="1473" w:type="dxa"/>
            <w:gridSpan w:val="2"/>
            <w:noWrap/>
            <w:vAlign w:val="center"/>
            <w:hideMark/>
          </w:tcPr>
          <w:p w14:paraId="2A8EF0D6" w14:textId="77777777" w:rsidR="00F021B0" w:rsidRDefault="00F021B0">
            <w:pPr>
              <w:spacing w:line="276" w:lineRule="auto"/>
              <w:rPr>
                <w:rFonts w:ascii="Calibri" w:hAnsi="Calibri" w:cs="Calibri"/>
                <w:b/>
                <w:color w:val="000000"/>
              </w:rPr>
            </w:pPr>
            <w:r>
              <w:rPr>
                <w:rFonts w:ascii="Calibri" w:hAnsi="Calibri" w:cs="Calibri"/>
                <w:b/>
                <w:color w:val="000000"/>
              </w:rPr>
              <w:t>Lifeways</w:t>
            </w:r>
          </w:p>
        </w:tc>
        <w:tc>
          <w:tcPr>
            <w:tcW w:w="1502" w:type="dxa"/>
            <w:gridSpan w:val="2"/>
            <w:noWrap/>
            <w:vAlign w:val="center"/>
            <w:hideMark/>
          </w:tcPr>
          <w:p w14:paraId="48BA1DD4" w14:textId="77777777" w:rsidR="00F021B0" w:rsidRDefault="00F021B0">
            <w:pPr>
              <w:spacing w:line="276" w:lineRule="auto"/>
              <w:rPr>
                <w:rFonts w:ascii="Calibri" w:hAnsi="Calibri" w:cs="Calibri"/>
                <w:b/>
                <w:color w:val="000000"/>
              </w:rPr>
            </w:pPr>
            <w:r>
              <w:rPr>
                <w:rFonts w:ascii="Calibri" w:hAnsi="Calibri" w:cs="Calibri"/>
                <w:b/>
                <w:color w:val="000000"/>
              </w:rPr>
              <w:t>REPRO_PL</w:t>
            </w:r>
          </w:p>
        </w:tc>
        <w:tc>
          <w:tcPr>
            <w:tcW w:w="1502" w:type="dxa"/>
            <w:gridSpan w:val="2"/>
            <w:noWrap/>
            <w:vAlign w:val="center"/>
            <w:hideMark/>
          </w:tcPr>
          <w:p w14:paraId="271730EC" w14:textId="77777777" w:rsidR="00F021B0" w:rsidRDefault="00F021B0">
            <w:pPr>
              <w:spacing w:line="276" w:lineRule="auto"/>
              <w:rPr>
                <w:rFonts w:ascii="Calibri" w:hAnsi="Calibri" w:cs="Calibri"/>
                <w:b/>
                <w:color w:val="000000"/>
              </w:rPr>
            </w:pPr>
            <w:r>
              <w:rPr>
                <w:rFonts w:ascii="Calibri" w:hAnsi="Calibri" w:cs="Calibri"/>
                <w:b/>
                <w:color w:val="000000"/>
              </w:rPr>
              <w:t>ROLO</w:t>
            </w:r>
          </w:p>
        </w:tc>
        <w:tc>
          <w:tcPr>
            <w:tcW w:w="1502" w:type="dxa"/>
            <w:gridSpan w:val="2"/>
            <w:noWrap/>
            <w:vAlign w:val="center"/>
            <w:hideMark/>
          </w:tcPr>
          <w:p w14:paraId="3FBC9E95" w14:textId="77777777" w:rsidR="00F021B0" w:rsidRDefault="00F021B0">
            <w:pPr>
              <w:spacing w:line="276" w:lineRule="auto"/>
              <w:rPr>
                <w:rFonts w:ascii="Calibri" w:hAnsi="Calibri" w:cs="Calibri"/>
                <w:b/>
                <w:bCs/>
                <w:color w:val="000000"/>
              </w:rPr>
            </w:pPr>
            <w:r>
              <w:rPr>
                <w:rFonts w:ascii="Calibri" w:hAnsi="Calibri" w:cs="Calibri"/>
                <w:b/>
                <w:bCs/>
                <w:color w:val="000000"/>
              </w:rPr>
              <w:t>SWS</w:t>
            </w:r>
          </w:p>
        </w:tc>
      </w:tr>
      <w:tr w:rsidR="00F021B0" w14:paraId="3D8AA996" w14:textId="77777777" w:rsidTr="00F021B0">
        <w:trPr>
          <w:trHeight w:val="290"/>
        </w:trPr>
        <w:tc>
          <w:tcPr>
            <w:tcW w:w="2295" w:type="dxa"/>
            <w:tcBorders>
              <w:top w:val="nil"/>
              <w:left w:val="nil"/>
              <w:bottom w:val="single" w:sz="4" w:space="0" w:color="auto"/>
              <w:right w:val="nil"/>
            </w:tcBorders>
            <w:noWrap/>
            <w:vAlign w:val="center"/>
          </w:tcPr>
          <w:p w14:paraId="5D570369" w14:textId="77777777" w:rsidR="00F021B0" w:rsidRDefault="00F021B0">
            <w:pPr>
              <w:spacing w:line="276" w:lineRule="auto"/>
              <w:jc w:val="left"/>
              <w:rPr>
                <w:rFonts w:ascii="Calibri" w:eastAsia="Times New Roman" w:hAnsi="Calibri" w:cs="Calibri"/>
                <w:b/>
                <w:color w:val="000000"/>
                <w:sz w:val="20"/>
                <w:szCs w:val="20"/>
                <w:lang w:val="en-GB" w:eastAsia="en-GB"/>
              </w:rPr>
            </w:pPr>
          </w:p>
        </w:tc>
        <w:tc>
          <w:tcPr>
            <w:tcW w:w="1632" w:type="dxa"/>
            <w:gridSpan w:val="2"/>
            <w:tcBorders>
              <w:top w:val="nil"/>
              <w:left w:val="nil"/>
              <w:bottom w:val="single" w:sz="4" w:space="0" w:color="auto"/>
              <w:right w:val="single" w:sz="4" w:space="0" w:color="auto"/>
            </w:tcBorders>
            <w:noWrap/>
            <w:vAlign w:val="center"/>
            <w:hideMark/>
          </w:tcPr>
          <w:p w14:paraId="6E2AC123" w14:textId="77777777" w:rsidR="00F021B0" w:rsidRDefault="00F021B0">
            <w:pPr>
              <w:spacing w:line="276" w:lineRule="auto"/>
              <w:rPr>
                <w:rFonts w:ascii="Calibri" w:hAnsi="Calibri" w:cs="Calibri"/>
                <w:bCs/>
                <w:color w:val="000000"/>
              </w:rPr>
            </w:pPr>
            <w:r>
              <w:rPr>
                <w:rFonts w:ascii="Calibri" w:hAnsi="Calibri" w:cs="Calibri"/>
                <w:bCs/>
                <w:color w:val="000000"/>
              </w:rPr>
              <w:t>26,410</w:t>
            </w:r>
          </w:p>
        </w:tc>
        <w:tc>
          <w:tcPr>
            <w:tcW w:w="1575" w:type="dxa"/>
            <w:gridSpan w:val="2"/>
            <w:tcBorders>
              <w:top w:val="nil"/>
              <w:left w:val="single" w:sz="4" w:space="0" w:color="auto"/>
              <w:bottom w:val="single" w:sz="4" w:space="0" w:color="auto"/>
              <w:right w:val="nil"/>
            </w:tcBorders>
            <w:noWrap/>
            <w:vAlign w:val="center"/>
            <w:hideMark/>
          </w:tcPr>
          <w:p w14:paraId="79404E6D" w14:textId="77777777" w:rsidR="00F021B0" w:rsidRDefault="00F021B0">
            <w:pPr>
              <w:spacing w:line="276" w:lineRule="auto"/>
              <w:rPr>
                <w:rFonts w:ascii="Calibri" w:hAnsi="Calibri" w:cs="Calibri"/>
                <w:color w:val="000000"/>
              </w:rPr>
            </w:pPr>
            <w:r>
              <w:rPr>
                <w:rFonts w:ascii="Calibri" w:hAnsi="Calibri" w:cs="Calibri"/>
                <w:color w:val="000000"/>
              </w:rPr>
              <w:t>11,964</w:t>
            </w:r>
          </w:p>
        </w:tc>
        <w:tc>
          <w:tcPr>
            <w:tcW w:w="1502" w:type="dxa"/>
            <w:gridSpan w:val="2"/>
            <w:tcBorders>
              <w:top w:val="nil"/>
              <w:left w:val="nil"/>
              <w:bottom w:val="single" w:sz="4" w:space="0" w:color="auto"/>
              <w:right w:val="nil"/>
            </w:tcBorders>
            <w:noWrap/>
            <w:vAlign w:val="center"/>
            <w:hideMark/>
          </w:tcPr>
          <w:p w14:paraId="330DAF66" w14:textId="77777777" w:rsidR="00F021B0" w:rsidRDefault="00F021B0">
            <w:pPr>
              <w:spacing w:line="276" w:lineRule="auto"/>
              <w:rPr>
                <w:rFonts w:ascii="Calibri" w:hAnsi="Calibri" w:cs="Calibri"/>
                <w:bCs/>
                <w:color w:val="000000"/>
              </w:rPr>
            </w:pPr>
            <w:r>
              <w:rPr>
                <w:rFonts w:ascii="Calibri" w:hAnsi="Calibri" w:cs="Calibri"/>
                <w:bCs/>
                <w:color w:val="000000"/>
              </w:rPr>
              <w:t>1,978</w:t>
            </w:r>
          </w:p>
        </w:tc>
        <w:tc>
          <w:tcPr>
            <w:tcW w:w="1502" w:type="dxa"/>
            <w:gridSpan w:val="2"/>
            <w:tcBorders>
              <w:top w:val="nil"/>
              <w:left w:val="nil"/>
              <w:bottom w:val="single" w:sz="4" w:space="0" w:color="auto"/>
              <w:right w:val="nil"/>
            </w:tcBorders>
            <w:noWrap/>
            <w:vAlign w:val="center"/>
            <w:hideMark/>
          </w:tcPr>
          <w:p w14:paraId="2F0EA303" w14:textId="77777777" w:rsidR="00F021B0" w:rsidRDefault="00F021B0">
            <w:pPr>
              <w:spacing w:line="276" w:lineRule="auto"/>
              <w:rPr>
                <w:rFonts w:ascii="Calibri" w:hAnsi="Calibri" w:cs="Calibri"/>
                <w:color w:val="000000"/>
              </w:rPr>
            </w:pPr>
            <w:r>
              <w:rPr>
                <w:rFonts w:ascii="Calibri" w:hAnsi="Calibri" w:cs="Calibri"/>
                <w:color w:val="000000"/>
              </w:rPr>
              <w:t>6,246</w:t>
            </w:r>
          </w:p>
        </w:tc>
        <w:tc>
          <w:tcPr>
            <w:tcW w:w="1473" w:type="dxa"/>
            <w:gridSpan w:val="2"/>
            <w:tcBorders>
              <w:top w:val="nil"/>
              <w:left w:val="nil"/>
              <w:bottom w:val="single" w:sz="4" w:space="0" w:color="auto"/>
              <w:right w:val="nil"/>
            </w:tcBorders>
            <w:noWrap/>
            <w:vAlign w:val="center"/>
            <w:hideMark/>
          </w:tcPr>
          <w:p w14:paraId="5F908474" w14:textId="77777777" w:rsidR="00F021B0" w:rsidRDefault="00F021B0">
            <w:pPr>
              <w:spacing w:line="276" w:lineRule="auto"/>
              <w:rPr>
                <w:rFonts w:ascii="Calibri" w:hAnsi="Calibri" w:cs="Calibri"/>
                <w:color w:val="000000"/>
              </w:rPr>
            </w:pPr>
            <w:r>
              <w:rPr>
                <w:rFonts w:ascii="Calibri" w:hAnsi="Calibri" w:cs="Calibri"/>
                <w:color w:val="000000"/>
              </w:rPr>
              <w:t>1,121</w:t>
            </w:r>
          </w:p>
        </w:tc>
        <w:tc>
          <w:tcPr>
            <w:tcW w:w="1502" w:type="dxa"/>
            <w:gridSpan w:val="2"/>
            <w:tcBorders>
              <w:top w:val="nil"/>
              <w:left w:val="nil"/>
              <w:bottom w:val="single" w:sz="4" w:space="0" w:color="auto"/>
              <w:right w:val="nil"/>
            </w:tcBorders>
            <w:noWrap/>
            <w:vAlign w:val="center"/>
            <w:hideMark/>
          </w:tcPr>
          <w:p w14:paraId="4636323A" w14:textId="77777777" w:rsidR="00F021B0" w:rsidRDefault="00F021B0">
            <w:pPr>
              <w:spacing w:line="276" w:lineRule="auto"/>
              <w:rPr>
                <w:rFonts w:ascii="Calibri" w:hAnsi="Calibri" w:cs="Calibri"/>
                <w:color w:val="000000"/>
              </w:rPr>
            </w:pPr>
            <w:r>
              <w:rPr>
                <w:rFonts w:ascii="Calibri" w:hAnsi="Calibri" w:cs="Calibri"/>
                <w:color w:val="000000"/>
              </w:rPr>
              <w:t>1,314</w:t>
            </w:r>
          </w:p>
        </w:tc>
        <w:tc>
          <w:tcPr>
            <w:tcW w:w="1502" w:type="dxa"/>
            <w:gridSpan w:val="2"/>
            <w:tcBorders>
              <w:top w:val="nil"/>
              <w:left w:val="nil"/>
              <w:bottom w:val="single" w:sz="4" w:space="0" w:color="auto"/>
              <w:right w:val="nil"/>
            </w:tcBorders>
            <w:noWrap/>
            <w:vAlign w:val="center"/>
            <w:hideMark/>
          </w:tcPr>
          <w:p w14:paraId="2831BDFA" w14:textId="77777777" w:rsidR="00F021B0" w:rsidRDefault="00F021B0">
            <w:pPr>
              <w:spacing w:line="276" w:lineRule="auto"/>
              <w:rPr>
                <w:rFonts w:ascii="Calibri" w:hAnsi="Calibri" w:cs="Calibri"/>
                <w:color w:val="000000"/>
              </w:rPr>
            </w:pPr>
            <w:r>
              <w:rPr>
                <w:rFonts w:ascii="Calibri" w:hAnsi="Calibri" w:cs="Calibri"/>
                <w:color w:val="000000"/>
              </w:rPr>
              <w:t>631</w:t>
            </w:r>
          </w:p>
        </w:tc>
        <w:tc>
          <w:tcPr>
            <w:tcW w:w="1502" w:type="dxa"/>
            <w:gridSpan w:val="2"/>
            <w:tcBorders>
              <w:top w:val="nil"/>
              <w:left w:val="nil"/>
              <w:bottom w:val="single" w:sz="4" w:space="0" w:color="auto"/>
              <w:right w:val="nil"/>
            </w:tcBorders>
            <w:noWrap/>
            <w:vAlign w:val="center"/>
            <w:hideMark/>
          </w:tcPr>
          <w:p w14:paraId="1751F0AC" w14:textId="77777777" w:rsidR="00F021B0" w:rsidRDefault="00F021B0">
            <w:pPr>
              <w:spacing w:line="276" w:lineRule="auto"/>
              <w:rPr>
                <w:rFonts w:ascii="Calibri" w:hAnsi="Calibri" w:cs="Calibri"/>
                <w:bCs/>
                <w:color w:val="000000"/>
              </w:rPr>
            </w:pPr>
            <w:r>
              <w:rPr>
                <w:rFonts w:ascii="Calibri" w:hAnsi="Calibri" w:cs="Calibri"/>
                <w:bCs/>
                <w:color w:val="000000"/>
              </w:rPr>
              <w:t>3,156</w:t>
            </w:r>
          </w:p>
        </w:tc>
      </w:tr>
      <w:tr w:rsidR="00F021B0" w14:paraId="2CBA035C" w14:textId="77777777" w:rsidTr="00F021B0">
        <w:trPr>
          <w:trHeight w:val="290"/>
        </w:trPr>
        <w:tc>
          <w:tcPr>
            <w:tcW w:w="3927"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0B98B4B0" w14:textId="77777777" w:rsidR="00F021B0" w:rsidRDefault="00F021B0">
            <w:pPr>
              <w:spacing w:line="276" w:lineRule="auto"/>
              <w:jc w:val="left"/>
              <w:rPr>
                <w:rFonts w:ascii="Calibri" w:hAnsi="Calibri" w:cs="Calibri"/>
                <w:bCs/>
                <w:color w:val="000000"/>
                <w:sz w:val="20"/>
                <w:szCs w:val="20"/>
              </w:rPr>
            </w:pPr>
            <w:r>
              <w:rPr>
                <w:rFonts w:ascii="Calibri" w:eastAsia="Times New Roman" w:hAnsi="Calibri" w:cs="Calibri"/>
                <w:b/>
                <w:color w:val="000000"/>
                <w:lang w:val="en-GB" w:eastAsia="en-GB"/>
              </w:rPr>
              <w:t>Maternal dietary indices</w:t>
            </w:r>
          </w:p>
        </w:tc>
        <w:tc>
          <w:tcPr>
            <w:tcW w:w="680" w:type="dxa"/>
            <w:shd w:val="clear" w:color="auto" w:fill="D9D9D9" w:themeFill="background1" w:themeFillShade="D9"/>
            <w:noWrap/>
            <w:vAlign w:val="center"/>
          </w:tcPr>
          <w:p w14:paraId="7C588B91" w14:textId="77777777" w:rsidR="00F021B0" w:rsidRDefault="00F021B0">
            <w:pPr>
              <w:spacing w:line="276" w:lineRule="auto"/>
              <w:rPr>
                <w:rFonts w:ascii="Calibri" w:hAnsi="Calibri" w:cs="Calibri"/>
                <w:color w:val="000000"/>
                <w:sz w:val="16"/>
                <w:szCs w:val="16"/>
              </w:rPr>
            </w:pPr>
          </w:p>
        </w:tc>
        <w:tc>
          <w:tcPr>
            <w:tcW w:w="895" w:type="dxa"/>
            <w:tcBorders>
              <w:top w:val="single" w:sz="4" w:space="0" w:color="auto"/>
              <w:left w:val="nil"/>
              <w:bottom w:val="single" w:sz="4" w:space="0" w:color="auto"/>
              <w:right w:val="nil"/>
            </w:tcBorders>
            <w:shd w:val="clear" w:color="auto" w:fill="D9D9D9" w:themeFill="background1" w:themeFillShade="D9"/>
            <w:vAlign w:val="center"/>
          </w:tcPr>
          <w:p w14:paraId="6BEF2C63" w14:textId="77777777" w:rsidR="00F021B0" w:rsidRDefault="00F021B0">
            <w:pPr>
              <w:spacing w:line="276" w:lineRule="auto"/>
              <w:rPr>
                <w:rFonts w:ascii="Calibri" w:hAnsi="Calibri" w:cs="Calibri"/>
                <w:color w:val="000000"/>
                <w:sz w:val="16"/>
                <w:szCs w:val="16"/>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5186D5C3" w14:textId="77777777" w:rsidR="00F021B0" w:rsidRDefault="00F021B0">
            <w:pPr>
              <w:spacing w:line="276" w:lineRule="auto"/>
              <w:rPr>
                <w:rFonts w:ascii="Calibri" w:hAnsi="Calibri" w:cs="Calibri"/>
                <w:bCs/>
                <w:color w:val="000000"/>
                <w:sz w:val="20"/>
                <w:szCs w:val="20"/>
              </w:rPr>
            </w:pPr>
          </w:p>
        </w:tc>
        <w:tc>
          <w:tcPr>
            <w:tcW w:w="822" w:type="dxa"/>
            <w:tcBorders>
              <w:top w:val="single" w:sz="4" w:space="0" w:color="auto"/>
              <w:left w:val="nil"/>
              <w:bottom w:val="single" w:sz="4" w:space="0" w:color="auto"/>
              <w:right w:val="nil"/>
            </w:tcBorders>
            <w:shd w:val="clear" w:color="auto" w:fill="D9D9D9" w:themeFill="background1" w:themeFillShade="D9"/>
            <w:vAlign w:val="center"/>
          </w:tcPr>
          <w:p w14:paraId="3CC38729" w14:textId="77777777" w:rsidR="00F021B0" w:rsidRDefault="00F021B0">
            <w:pPr>
              <w:spacing w:line="276" w:lineRule="auto"/>
              <w:rPr>
                <w:rFonts w:ascii="Calibri" w:hAnsi="Calibri" w:cs="Calibri"/>
                <w:bCs/>
                <w:color w:val="000000"/>
                <w:sz w:val="20"/>
                <w:szCs w:val="2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34250A42" w14:textId="77777777" w:rsidR="00F021B0" w:rsidRDefault="00F021B0">
            <w:pPr>
              <w:spacing w:line="276" w:lineRule="auto"/>
              <w:rPr>
                <w:rFonts w:ascii="Calibri" w:hAnsi="Calibri" w:cs="Calibri"/>
                <w:color w:val="000000"/>
                <w:sz w:val="16"/>
                <w:szCs w:val="16"/>
              </w:rPr>
            </w:pPr>
          </w:p>
        </w:tc>
        <w:tc>
          <w:tcPr>
            <w:tcW w:w="822" w:type="dxa"/>
            <w:tcBorders>
              <w:top w:val="single" w:sz="4" w:space="0" w:color="auto"/>
              <w:left w:val="nil"/>
              <w:bottom w:val="single" w:sz="4" w:space="0" w:color="auto"/>
              <w:right w:val="nil"/>
            </w:tcBorders>
            <w:shd w:val="clear" w:color="auto" w:fill="D9D9D9" w:themeFill="background1" w:themeFillShade="D9"/>
            <w:vAlign w:val="center"/>
          </w:tcPr>
          <w:p w14:paraId="0C076211" w14:textId="77777777" w:rsidR="00F021B0" w:rsidRDefault="00F021B0">
            <w:pPr>
              <w:spacing w:line="276" w:lineRule="auto"/>
              <w:rPr>
                <w:rFonts w:ascii="Calibri" w:hAnsi="Calibri" w:cs="Calibri"/>
                <w:color w:val="000000"/>
                <w:sz w:val="16"/>
                <w:szCs w:val="16"/>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249E2B9" w14:textId="77777777" w:rsidR="00F021B0" w:rsidRDefault="00F021B0">
            <w:pPr>
              <w:spacing w:line="276" w:lineRule="auto"/>
              <w:rPr>
                <w:rFonts w:ascii="Calibri" w:hAnsi="Calibri" w:cs="Calibri"/>
                <w:color w:val="000000"/>
                <w:sz w:val="16"/>
                <w:szCs w:val="16"/>
              </w:rPr>
            </w:pPr>
          </w:p>
        </w:tc>
        <w:tc>
          <w:tcPr>
            <w:tcW w:w="793" w:type="dxa"/>
            <w:tcBorders>
              <w:top w:val="single" w:sz="4" w:space="0" w:color="auto"/>
              <w:left w:val="nil"/>
              <w:bottom w:val="single" w:sz="4" w:space="0" w:color="auto"/>
              <w:right w:val="nil"/>
            </w:tcBorders>
            <w:shd w:val="clear" w:color="auto" w:fill="D9D9D9" w:themeFill="background1" w:themeFillShade="D9"/>
            <w:vAlign w:val="center"/>
          </w:tcPr>
          <w:p w14:paraId="378B7DB1" w14:textId="77777777" w:rsidR="00F021B0" w:rsidRDefault="00F021B0">
            <w:pPr>
              <w:spacing w:line="276" w:lineRule="auto"/>
              <w:rPr>
                <w:rFonts w:ascii="Calibri" w:hAnsi="Calibri" w:cs="Calibri"/>
                <w:color w:val="000000"/>
                <w:sz w:val="16"/>
                <w:szCs w:val="16"/>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7D61C8C3" w14:textId="77777777" w:rsidR="00F021B0" w:rsidRDefault="00F021B0">
            <w:pPr>
              <w:spacing w:line="276" w:lineRule="auto"/>
              <w:rPr>
                <w:rFonts w:ascii="Calibri" w:hAnsi="Calibri" w:cs="Calibri"/>
                <w:color w:val="000000"/>
                <w:sz w:val="16"/>
                <w:szCs w:val="16"/>
              </w:rPr>
            </w:pPr>
          </w:p>
        </w:tc>
        <w:tc>
          <w:tcPr>
            <w:tcW w:w="822" w:type="dxa"/>
            <w:tcBorders>
              <w:top w:val="single" w:sz="4" w:space="0" w:color="auto"/>
              <w:left w:val="nil"/>
              <w:bottom w:val="single" w:sz="4" w:space="0" w:color="auto"/>
              <w:right w:val="nil"/>
            </w:tcBorders>
            <w:shd w:val="clear" w:color="auto" w:fill="D9D9D9" w:themeFill="background1" w:themeFillShade="D9"/>
            <w:vAlign w:val="center"/>
          </w:tcPr>
          <w:p w14:paraId="2B5FDC66" w14:textId="77777777" w:rsidR="00F021B0" w:rsidRDefault="00F021B0">
            <w:pPr>
              <w:spacing w:line="276" w:lineRule="auto"/>
              <w:rPr>
                <w:rFonts w:ascii="Calibri" w:hAnsi="Calibri" w:cs="Calibri"/>
                <w:color w:val="000000"/>
                <w:sz w:val="16"/>
                <w:szCs w:val="16"/>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796FCC4" w14:textId="77777777" w:rsidR="00F021B0" w:rsidRDefault="00F021B0">
            <w:pPr>
              <w:spacing w:line="276" w:lineRule="auto"/>
              <w:rPr>
                <w:rFonts w:ascii="Calibri" w:hAnsi="Calibri" w:cs="Calibri"/>
                <w:color w:val="000000"/>
                <w:sz w:val="16"/>
                <w:szCs w:val="16"/>
              </w:rPr>
            </w:pPr>
          </w:p>
        </w:tc>
        <w:tc>
          <w:tcPr>
            <w:tcW w:w="822" w:type="dxa"/>
            <w:tcBorders>
              <w:top w:val="single" w:sz="4" w:space="0" w:color="auto"/>
              <w:left w:val="nil"/>
              <w:bottom w:val="single" w:sz="4" w:space="0" w:color="auto"/>
              <w:right w:val="nil"/>
            </w:tcBorders>
            <w:shd w:val="clear" w:color="auto" w:fill="D9D9D9" w:themeFill="background1" w:themeFillShade="D9"/>
            <w:vAlign w:val="center"/>
          </w:tcPr>
          <w:p w14:paraId="166B982A" w14:textId="77777777" w:rsidR="00F021B0" w:rsidRDefault="00F021B0">
            <w:pPr>
              <w:spacing w:line="276" w:lineRule="auto"/>
              <w:rPr>
                <w:rFonts w:ascii="Calibri" w:hAnsi="Calibri" w:cs="Calibri"/>
                <w:color w:val="000000"/>
                <w:sz w:val="16"/>
                <w:szCs w:val="16"/>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38B93623" w14:textId="77777777" w:rsidR="00F021B0" w:rsidRDefault="00F021B0">
            <w:pPr>
              <w:spacing w:line="276" w:lineRule="auto"/>
              <w:rPr>
                <w:rFonts w:ascii="Calibri" w:hAnsi="Calibri" w:cs="Calibri"/>
                <w:bCs/>
                <w:color w:val="000000"/>
                <w:sz w:val="20"/>
                <w:szCs w:val="20"/>
              </w:rPr>
            </w:pPr>
          </w:p>
        </w:tc>
        <w:tc>
          <w:tcPr>
            <w:tcW w:w="822" w:type="dxa"/>
            <w:tcBorders>
              <w:top w:val="single" w:sz="4" w:space="0" w:color="auto"/>
              <w:left w:val="nil"/>
              <w:bottom w:val="single" w:sz="4" w:space="0" w:color="auto"/>
              <w:right w:val="nil"/>
            </w:tcBorders>
            <w:shd w:val="clear" w:color="auto" w:fill="D9D9D9" w:themeFill="background1" w:themeFillShade="D9"/>
            <w:vAlign w:val="center"/>
          </w:tcPr>
          <w:p w14:paraId="345E9D01" w14:textId="77777777" w:rsidR="00F021B0" w:rsidRDefault="00F021B0">
            <w:pPr>
              <w:spacing w:line="276" w:lineRule="auto"/>
              <w:rPr>
                <w:rFonts w:ascii="Calibri" w:hAnsi="Calibri" w:cs="Calibri"/>
                <w:bCs/>
                <w:color w:val="000000"/>
                <w:sz w:val="20"/>
                <w:szCs w:val="20"/>
              </w:rPr>
            </w:pPr>
          </w:p>
        </w:tc>
      </w:tr>
      <w:tr w:rsidR="00F021B0" w14:paraId="0057F843" w14:textId="77777777" w:rsidTr="00F021B0">
        <w:trPr>
          <w:trHeight w:val="290"/>
        </w:trPr>
        <w:tc>
          <w:tcPr>
            <w:tcW w:w="2295" w:type="dxa"/>
            <w:tcBorders>
              <w:top w:val="single" w:sz="4" w:space="0" w:color="auto"/>
              <w:left w:val="nil"/>
              <w:bottom w:val="nil"/>
              <w:right w:val="nil"/>
            </w:tcBorders>
            <w:noWrap/>
            <w:vAlign w:val="center"/>
            <w:hideMark/>
          </w:tcPr>
          <w:p w14:paraId="771FABA6" w14:textId="77777777" w:rsidR="00F021B0" w:rsidRDefault="00F021B0">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Pre-pregnancy DASH</w:t>
            </w:r>
          </w:p>
        </w:tc>
        <w:tc>
          <w:tcPr>
            <w:tcW w:w="737" w:type="dxa"/>
            <w:tcBorders>
              <w:top w:val="single" w:sz="4" w:space="0" w:color="auto"/>
              <w:left w:val="nil"/>
              <w:bottom w:val="nil"/>
              <w:right w:val="nil"/>
            </w:tcBorders>
            <w:noWrap/>
            <w:vAlign w:val="center"/>
            <w:hideMark/>
          </w:tcPr>
          <w:p w14:paraId="1508E73C"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95" w:type="dxa"/>
            <w:tcBorders>
              <w:top w:val="single" w:sz="4" w:space="0" w:color="auto"/>
              <w:left w:val="nil"/>
              <w:bottom w:val="nil"/>
              <w:right w:val="single" w:sz="4" w:space="0" w:color="auto"/>
            </w:tcBorders>
            <w:vAlign w:val="center"/>
            <w:hideMark/>
          </w:tcPr>
          <w:p w14:paraId="119B99E1" w14:textId="06B84635"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4.4</w:t>
            </w:r>
            <w:r>
              <w:rPr>
                <w:rFonts w:ascii="Calibri" w:hAnsi="Calibri" w:cs="Calibri"/>
                <w:color w:val="000000"/>
                <w:sz w:val="20"/>
                <w:szCs w:val="20"/>
              </w:rPr>
              <w:t>)</w:t>
            </w:r>
          </w:p>
        </w:tc>
        <w:tc>
          <w:tcPr>
            <w:tcW w:w="1575" w:type="dxa"/>
            <w:gridSpan w:val="2"/>
            <w:tcBorders>
              <w:top w:val="single" w:sz="4" w:space="0" w:color="auto"/>
              <w:left w:val="single" w:sz="4" w:space="0" w:color="auto"/>
              <w:bottom w:val="nil"/>
              <w:right w:val="nil"/>
            </w:tcBorders>
            <w:noWrap/>
            <w:vAlign w:val="center"/>
            <w:hideMark/>
          </w:tcPr>
          <w:p w14:paraId="196AFF3E" w14:textId="77777777" w:rsidR="00F021B0" w:rsidRDefault="00F021B0">
            <w:pPr>
              <w:spacing w:line="276" w:lineRule="auto"/>
              <w:rPr>
                <w:rFonts w:ascii="Calibri" w:eastAsia="Times New Roman" w:hAnsi="Calibri" w:cs="Calibri"/>
                <w:bCs/>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tcBorders>
              <w:top w:val="single" w:sz="4" w:space="0" w:color="auto"/>
              <w:left w:val="nil"/>
              <w:bottom w:val="nil"/>
              <w:right w:val="nil"/>
            </w:tcBorders>
            <w:noWrap/>
            <w:vAlign w:val="center"/>
            <w:hideMark/>
          </w:tcPr>
          <w:p w14:paraId="38CEB156"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22" w:type="dxa"/>
            <w:tcBorders>
              <w:top w:val="single" w:sz="4" w:space="0" w:color="auto"/>
              <w:left w:val="nil"/>
              <w:bottom w:val="nil"/>
              <w:right w:val="nil"/>
            </w:tcBorders>
            <w:vAlign w:val="center"/>
            <w:hideMark/>
          </w:tcPr>
          <w:p w14:paraId="6C75F27A" w14:textId="3E08AB5A"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4.3</w:t>
            </w:r>
            <w:r>
              <w:rPr>
                <w:rFonts w:ascii="Calibri" w:hAnsi="Calibri" w:cs="Calibri"/>
                <w:color w:val="000000"/>
                <w:sz w:val="20"/>
                <w:szCs w:val="20"/>
              </w:rPr>
              <w:t>)</w:t>
            </w:r>
          </w:p>
        </w:tc>
        <w:tc>
          <w:tcPr>
            <w:tcW w:w="1502" w:type="dxa"/>
            <w:gridSpan w:val="2"/>
            <w:tcBorders>
              <w:top w:val="single" w:sz="4" w:space="0" w:color="auto"/>
              <w:left w:val="nil"/>
              <w:bottom w:val="nil"/>
              <w:right w:val="nil"/>
            </w:tcBorders>
            <w:noWrap/>
            <w:vAlign w:val="center"/>
            <w:hideMark/>
          </w:tcPr>
          <w:p w14:paraId="03E4220B"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1473" w:type="dxa"/>
            <w:gridSpan w:val="2"/>
            <w:tcBorders>
              <w:top w:val="single" w:sz="4" w:space="0" w:color="auto"/>
              <w:left w:val="nil"/>
              <w:bottom w:val="nil"/>
              <w:right w:val="nil"/>
            </w:tcBorders>
            <w:noWrap/>
            <w:vAlign w:val="center"/>
            <w:hideMark/>
          </w:tcPr>
          <w:p w14:paraId="61FAACE0" w14:textId="77777777" w:rsidR="00F021B0" w:rsidRDefault="00F021B0">
            <w:pPr>
              <w:spacing w:line="276" w:lineRule="auto"/>
              <w:rPr>
                <w:rFonts w:ascii="Calibri" w:eastAsia="Times New Roman" w:hAnsi="Calibri" w:cs="Calibri"/>
                <w:bCs/>
                <w:color w:val="000000"/>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tcBorders>
              <w:top w:val="single" w:sz="4" w:space="0" w:color="auto"/>
              <w:left w:val="nil"/>
              <w:bottom w:val="nil"/>
              <w:right w:val="nil"/>
            </w:tcBorders>
            <w:noWrap/>
            <w:vAlign w:val="center"/>
            <w:hideMark/>
          </w:tcPr>
          <w:p w14:paraId="68C70602"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tcBorders>
              <w:top w:val="single" w:sz="4" w:space="0" w:color="auto"/>
              <w:left w:val="nil"/>
              <w:bottom w:val="nil"/>
              <w:right w:val="nil"/>
            </w:tcBorders>
            <w:noWrap/>
            <w:vAlign w:val="center"/>
            <w:hideMark/>
          </w:tcPr>
          <w:p w14:paraId="363E6580"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tcBorders>
              <w:top w:val="single" w:sz="4" w:space="0" w:color="auto"/>
              <w:left w:val="nil"/>
              <w:bottom w:val="nil"/>
              <w:right w:val="nil"/>
            </w:tcBorders>
            <w:noWrap/>
            <w:vAlign w:val="center"/>
            <w:hideMark/>
          </w:tcPr>
          <w:p w14:paraId="12C8B320"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24.1</w:t>
            </w:r>
          </w:p>
        </w:tc>
        <w:tc>
          <w:tcPr>
            <w:tcW w:w="822" w:type="dxa"/>
            <w:tcBorders>
              <w:top w:val="single" w:sz="4" w:space="0" w:color="auto"/>
              <w:left w:val="nil"/>
              <w:bottom w:val="nil"/>
              <w:right w:val="nil"/>
            </w:tcBorders>
            <w:vAlign w:val="center"/>
            <w:hideMark/>
          </w:tcPr>
          <w:p w14:paraId="388C7B03" w14:textId="6E46DFD2"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4.4</w:t>
            </w:r>
            <w:r>
              <w:rPr>
                <w:rFonts w:ascii="Calibri" w:hAnsi="Calibri" w:cs="Calibri"/>
                <w:color w:val="000000"/>
                <w:sz w:val="20"/>
                <w:szCs w:val="20"/>
              </w:rPr>
              <w:t>)</w:t>
            </w:r>
          </w:p>
        </w:tc>
      </w:tr>
      <w:tr w:rsidR="00F021B0" w14:paraId="7A1515C5" w14:textId="77777777" w:rsidTr="00F021B0">
        <w:trPr>
          <w:trHeight w:val="290"/>
        </w:trPr>
        <w:tc>
          <w:tcPr>
            <w:tcW w:w="2295" w:type="dxa"/>
            <w:noWrap/>
            <w:vAlign w:val="center"/>
            <w:hideMark/>
          </w:tcPr>
          <w:p w14:paraId="49DBD178" w14:textId="77777777" w:rsidR="00F021B0" w:rsidRDefault="00F021B0">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Pregnancy DASH</w:t>
            </w:r>
          </w:p>
        </w:tc>
        <w:tc>
          <w:tcPr>
            <w:tcW w:w="737" w:type="dxa"/>
            <w:noWrap/>
            <w:vAlign w:val="center"/>
            <w:hideMark/>
          </w:tcPr>
          <w:p w14:paraId="10FFCC1A"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95" w:type="dxa"/>
            <w:tcBorders>
              <w:top w:val="nil"/>
              <w:left w:val="nil"/>
              <w:bottom w:val="nil"/>
              <w:right w:val="single" w:sz="4" w:space="0" w:color="auto"/>
            </w:tcBorders>
            <w:vAlign w:val="center"/>
            <w:hideMark/>
          </w:tcPr>
          <w:p w14:paraId="4045CBB3" w14:textId="2C2274FB"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4.2</w:t>
            </w:r>
            <w:r>
              <w:rPr>
                <w:rFonts w:ascii="Calibri" w:hAnsi="Calibri" w:cs="Calibri"/>
                <w:color w:val="000000"/>
                <w:sz w:val="20"/>
                <w:szCs w:val="20"/>
              </w:rPr>
              <w:t>)</w:t>
            </w:r>
          </w:p>
        </w:tc>
        <w:tc>
          <w:tcPr>
            <w:tcW w:w="680" w:type="dxa"/>
            <w:tcBorders>
              <w:top w:val="nil"/>
              <w:left w:val="single" w:sz="4" w:space="0" w:color="auto"/>
              <w:bottom w:val="nil"/>
              <w:right w:val="nil"/>
            </w:tcBorders>
            <w:noWrap/>
            <w:vAlign w:val="center"/>
            <w:hideMark/>
          </w:tcPr>
          <w:p w14:paraId="50A46C17"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95" w:type="dxa"/>
            <w:vAlign w:val="center"/>
            <w:hideMark/>
          </w:tcPr>
          <w:p w14:paraId="4ED394EF" w14:textId="64A97E59"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4.0</w:t>
            </w:r>
            <w:r>
              <w:rPr>
                <w:rFonts w:ascii="Calibri" w:hAnsi="Calibri" w:cs="Calibri"/>
                <w:color w:val="000000"/>
                <w:sz w:val="20"/>
                <w:szCs w:val="20"/>
              </w:rPr>
              <w:t>)</w:t>
            </w:r>
          </w:p>
        </w:tc>
        <w:tc>
          <w:tcPr>
            <w:tcW w:w="680" w:type="dxa"/>
            <w:noWrap/>
            <w:vAlign w:val="center"/>
            <w:hideMark/>
          </w:tcPr>
          <w:p w14:paraId="260561DA"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23.9</w:t>
            </w:r>
          </w:p>
        </w:tc>
        <w:tc>
          <w:tcPr>
            <w:tcW w:w="822" w:type="dxa"/>
            <w:vAlign w:val="center"/>
            <w:hideMark/>
          </w:tcPr>
          <w:p w14:paraId="3787B78C" w14:textId="1957DF17"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4.3</w:t>
            </w:r>
            <w:r>
              <w:rPr>
                <w:rFonts w:ascii="Calibri" w:hAnsi="Calibri" w:cs="Calibri"/>
                <w:color w:val="000000"/>
                <w:sz w:val="20"/>
                <w:szCs w:val="20"/>
              </w:rPr>
              <w:t>)</w:t>
            </w:r>
          </w:p>
        </w:tc>
        <w:tc>
          <w:tcPr>
            <w:tcW w:w="680" w:type="dxa"/>
            <w:noWrap/>
            <w:vAlign w:val="center"/>
            <w:hideMark/>
          </w:tcPr>
          <w:p w14:paraId="6C99370B"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22" w:type="dxa"/>
            <w:vAlign w:val="center"/>
            <w:hideMark/>
          </w:tcPr>
          <w:p w14:paraId="4CE1A23F" w14:textId="64A4327D"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4.5</w:t>
            </w:r>
            <w:r>
              <w:rPr>
                <w:rFonts w:ascii="Calibri" w:hAnsi="Calibri" w:cs="Calibri"/>
                <w:color w:val="000000"/>
                <w:sz w:val="20"/>
                <w:szCs w:val="20"/>
              </w:rPr>
              <w:t>)</w:t>
            </w:r>
          </w:p>
        </w:tc>
        <w:tc>
          <w:tcPr>
            <w:tcW w:w="680" w:type="dxa"/>
            <w:noWrap/>
            <w:vAlign w:val="center"/>
            <w:hideMark/>
          </w:tcPr>
          <w:p w14:paraId="071A317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23.7</w:t>
            </w:r>
          </w:p>
        </w:tc>
        <w:tc>
          <w:tcPr>
            <w:tcW w:w="793" w:type="dxa"/>
            <w:vAlign w:val="center"/>
            <w:hideMark/>
          </w:tcPr>
          <w:p w14:paraId="12E86F43" w14:textId="505F62D8" w:rsidR="00F021B0" w:rsidRDefault="0014138C" w:rsidP="0014138C">
            <w:pPr>
              <w:spacing w:line="276" w:lineRule="auto"/>
              <w:jc w:val="left"/>
              <w:rPr>
                <w:rFonts w:ascii="Calibri" w:eastAsia="Times New Roman" w:hAnsi="Calibri" w:cs="Calibri"/>
                <w:bCs/>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4.6</w:t>
            </w:r>
            <w:r>
              <w:rPr>
                <w:rFonts w:ascii="Calibri" w:hAnsi="Calibri" w:cs="Calibri"/>
                <w:color w:val="000000"/>
                <w:sz w:val="20"/>
                <w:szCs w:val="20"/>
              </w:rPr>
              <w:t>)</w:t>
            </w:r>
          </w:p>
        </w:tc>
        <w:tc>
          <w:tcPr>
            <w:tcW w:w="680" w:type="dxa"/>
            <w:noWrap/>
            <w:vAlign w:val="center"/>
            <w:hideMark/>
          </w:tcPr>
          <w:p w14:paraId="7A010653"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24.1</w:t>
            </w:r>
          </w:p>
        </w:tc>
        <w:tc>
          <w:tcPr>
            <w:tcW w:w="822" w:type="dxa"/>
            <w:vAlign w:val="center"/>
            <w:hideMark/>
          </w:tcPr>
          <w:p w14:paraId="145C85B5" w14:textId="7130D6B8"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4.4</w:t>
            </w:r>
            <w:r>
              <w:rPr>
                <w:rFonts w:ascii="Calibri" w:hAnsi="Calibri" w:cs="Calibri"/>
                <w:color w:val="000000"/>
                <w:sz w:val="20"/>
                <w:szCs w:val="20"/>
              </w:rPr>
              <w:t>)</w:t>
            </w:r>
          </w:p>
        </w:tc>
        <w:tc>
          <w:tcPr>
            <w:tcW w:w="680" w:type="dxa"/>
            <w:noWrap/>
            <w:vAlign w:val="center"/>
            <w:hideMark/>
          </w:tcPr>
          <w:p w14:paraId="3C82256E"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24.0</w:t>
            </w:r>
          </w:p>
        </w:tc>
        <w:tc>
          <w:tcPr>
            <w:tcW w:w="822" w:type="dxa"/>
            <w:vAlign w:val="center"/>
            <w:hideMark/>
          </w:tcPr>
          <w:p w14:paraId="67E2BB09" w14:textId="0A1B1973"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4.1</w:t>
            </w:r>
            <w:r>
              <w:rPr>
                <w:rFonts w:ascii="Calibri" w:hAnsi="Calibri" w:cs="Calibri"/>
                <w:color w:val="000000"/>
                <w:sz w:val="20"/>
                <w:szCs w:val="20"/>
              </w:rPr>
              <w:t>)</w:t>
            </w:r>
          </w:p>
        </w:tc>
        <w:tc>
          <w:tcPr>
            <w:tcW w:w="680" w:type="dxa"/>
            <w:noWrap/>
            <w:vAlign w:val="center"/>
            <w:hideMark/>
          </w:tcPr>
          <w:p w14:paraId="002E2C74"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24.1</w:t>
            </w:r>
          </w:p>
        </w:tc>
        <w:tc>
          <w:tcPr>
            <w:tcW w:w="822" w:type="dxa"/>
            <w:vAlign w:val="center"/>
            <w:hideMark/>
          </w:tcPr>
          <w:p w14:paraId="066C0C00" w14:textId="5E290190"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4.1</w:t>
            </w:r>
            <w:r>
              <w:rPr>
                <w:rFonts w:ascii="Calibri" w:hAnsi="Calibri" w:cs="Calibri"/>
                <w:color w:val="000000"/>
                <w:sz w:val="20"/>
                <w:szCs w:val="20"/>
              </w:rPr>
              <w:t>)</w:t>
            </w:r>
          </w:p>
        </w:tc>
      </w:tr>
      <w:tr w:rsidR="00F021B0" w14:paraId="5B4A4307" w14:textId="77777777" w:rsidTr="00F021B0">
        <w:trPr>
          <w:trHeight w:val="290"/>
        </w:trPr>
        <w:tc>
          <w:tcPr>
            <w:tcW w:w="2295" w:type="dxa"/>
            <w:noWrap/>
            <w:vAlign w:val="center"/>
            <w:hideMark/>
          </w:tcPr>
          <w:p w14:paraId="15F11081" w14:textId="77777777" w:rsidR="00F021B0" w:rsidRDefault="00F021B0">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Pre-pregnancy E-DII</w:t>
            </w:r>
          </w:p>
        </w:tc>
        <w:tc>
          <w:tcPr>
            <w:tcW w:w="737" w:type="dxa"/>
            <w:noWrap/>
            <w:vAlign w:val="center"/>
            <w:hideMark/>
          </w:tcPr>
          <w:p w14:paraId="5C12E1C7"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0.2</w:t>
            </w:r>
          </w:p>
        </w:tc>
        <w:tc>
          <w:tcPr>
            <w:tcW w:w="895" w:type="dxa"/>
            <w:tcBorders>
              <w:top w:val="nil"/>
              <w:left w:val="nil"/>
              <w:bottom w:val="nil"/>
              <w:right w:val="single" w:sz="4" w:space="0" w:color="auto"/>
            </w:tcBorders>
            <w:vAlign w:val="center"/>
            <w:hideMark/>
          </w:tcPr>
          <w:p w14:paraId="5B6C82FB" w14:textId="14DEF9F0"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c>
          <w:tcPr>
            <w:tcW w:w="1575" w:type="dxa"/>
            <w:gridSpan w:val="2"/>
            <w:tcBorders>
              <w:top w:val="nil"/>
              <w:left w:val="single" w:sz="4" w:space="0" w:color="auto"/>
              <w:bottom w:val="nil"/>
              <w:right w:val="nil"/>
            </w:tcBorders>
            <w:noWrap/>
            <w:vAlign w:val="center"/>
            <w:hideMark/>
          </w:tcPr>
          <w:p w14:paraId="6CE9C267" w14:textId="77777777" w:rsidR="00F021B0" w:rsidRDefault="00F021B0">
            <w:pPr>
              <w:spacing w:line="276" w:lineRule="auto"/>
              <w:rPr>
                <w:rFonts w:ascii="Calibri" w:eastAsia="Times New Roman" w:hAnsi="Calibri" w:cs="Calibri"/>
                <w:bCs/>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noWrap/>
            <w:vAlign w:val="center"/>
            <w:hideMark/>
          </w:tcPr>
          <w:p w14:paraId="5ED3E6D9"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0.5</w:t>
            </w:r>
          </w:p>
        </w:tc>
        <w:tc>
          <w:tcPr>
            <w:tcW w:w="822" w:type="dxa"/>
            <w:vAlign w:val="center"/>
            <w:hideMark/>
          </w:tcPr>
          <w:p w14:paraId="024BEF5F" w14:textId="4AD13C43"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c>
          <w:tcPr>
            <w:tcW w:w="1502" w:type="dxa"/>
            <w:gridSpan w:val="2"/>
            <w:noWrap/>
            <w:vAlign w:val="center"/>
            <w:hideMark/>
          </w:tcPr>
          <w:p w14:paraId="362ACF80"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1473" w:type="dxa"/>
            <w:gridSpan w:val="2"/>
            <w:noWrap/>
            <w:vAlign w:val="center"/>
            <w:hideMark/>
          </w:tcPr>
          <w:p w14:paraId="23673FFD" w14:textId="77777777" w:rsidR="00F021B0" w:rsidRDefault="00F021B0">
            <w:pPr>
              <w:spacing w:line="276" w:lineRule="auto"/>
              <w:rPr>
                <w:rFonts w:ascii="Calibri" w:eastAsia="Times New Roman" w:hAnsi="Calibri" w:cs="Calibri"/>
                <w:bCs/>
                <w:color w:val="000000"/>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4B0E9943"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0A1A7CB4" w14:textId="77777777" w:rsidR="00F021B0" w:rsidRDefault="00F021B0">
            <w:pPr>
              <w:spacing w:line="276" w:lineRule="auto"/>
              <w:rPr>
                <w:rFonts w:ascii="Calibri" w:eastAsia="Times New Roman" w:hAnsi="Calibri" w:cs="Calibri"/>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noWrap/>
            <w:vAlign w:val="center"/>
            <w:hideMark/>
          </w:tcPr>
          <w:p w14:paraId="352EC54E"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0.0</w:t>
            </w:r>
          </w:p>
        </w:tc>
        <w:tc>
          <w:tcPr>
            <w:tcW w:w="822" w:type="dxa"/>
            <w:vAlign w:val="center"/>
            <w:hideMark/>
          </w:tcPr>
          <w:p w14:paraId="5E5418DA" w14:textId="3928E00E"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r>
      <w:tr w:rsidR="00F021B0" w14:paraId="3F82B7CD" w14:textId="77777777" w:rsidTr="00F021B0">
        <w:trPr>
          <w:trHeight w:val="290"/>
        </w:trPr>
        <w:tc>
          <w:tcPr>
            <w:tcW w:w="2295" w:type="dxa"/>
            <w:noWrap/>
            <w:vAlign w:val="center"/>
            <w:hideMark/>
          </w:tcPr>
          <w:p w14:paraId="4AFA4998" w14:textId="77777777" w:rsidR="00F021B0" w:rsidRDefault="00F021B0">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Pregnancy E-DII</w:t>
            </w:r>
          </w:p>
        </w:tc>
        <w:tc>
          <w:tcPr>
            <w:tcW w:w="737" w:type="dxa"/>
            <w:noWrap/>
            <w:vAlign w:val="center"/>
            <w:hideMark/>
          </w:tcPr>
          <w:p w14:paraId="7EE63531"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0.3</w:t>
            </w:r>
          </w:p>
        </w:tc>
        <w:tc>
          <w:tcPr>
            <w:tcW w:w="895" w:type="dxa"/>
            <w:tcBorders>
              <w:top w:val="nil"/>
              <w:left w:val="nil"/>
              <w:bottom w:val="nil"/>
              <w:right w:val="single" w:sz="4" w:space="0" w:color="auto"/>
            </w:tcBorders>
            <w:vAlign w:val="center"/>
            <w:hideMark/>
          </w:tcPr>
          <w:p w14:paraId="609384FF" w14:textId="305D8E5F" w:rsidR="00F021B0" w:rsidRDefault="0014138C" w:rsidP="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c>
          <w:tcPr>
            <w:tcW w:w="680" w:type="dxa"/>
            <w:tcBorders>
              <w:top w:val="nil"/>
              <w:left w:val="single" w:sz="4" w:space="0" w:color="auto"/>
              <w:bottom w:val="nil"/>
              <w:right w:val="nil"/>
            </w:tcBorders>
            <w:noWrap/>
            <w:vAlign w:val="center"/>
            <w:hideMark/>
          </w:tcPr>
          <w:p w14:paraId="16620F91"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0.6</w:t>
            </w:r>
          </w:p>
        </w:tc>
        <w:tc>
          <w:tcPr>
            <w:tcW w:w="895" w:type="dxa"/>
            <w:vAlign w:val="center"/>
            <w:hideMark/>
          </w:tcPr>
          <w:p w14:paraId="4AFBFADA" w14:textId="1EBD6949"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1.8</w:t>
            </w:r>
            <w:r>
              <w:rPr>
                <w:rFonts w:ascii="Calibri" w:hAnsi="Calibri" w:cs="Calibri"/>
                <w:color w:val="000000"/>
                <w:sz w:val="20"/>
                <w:szCs w:val="20"/>
              </w:rPr>
              <w:t>)</w:t>
            </w:r>
          </w:p>
        </w:tc>
        <w:tc>
          <w:tcPr>
            <w:tcW w:w="680" w:type="dxa"/>
            <w:noWrap/>
            <w:vAlign w:val="center"/>
            <w:hideMark/>
          </w:tcPr>
          <w:p w14:paraId="3FD35A7B"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0.9</w:t>
            </w:r>
          </w:p>
        </w:tc>
        <w:tc>
          <w:tcPr>
            <w:tcW w:w="822" w:type="dxa"/>
            <w:vAlign w:val="center"/>
            <w:hideMark/>
          </w:tcPr>
          <w:p w14:paraId="2A42FFFE" w14:textId="54766B9B" w:rsidR="00F021B0" w:rsidRDefault="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c>
          <w:tcPr>
            <w:tcW w:w="680" w:type="dxa"/>
            <w:noWrap/>
            <w:vAlign w:val="center"/>
            <w:hideMark/>
          </w:tcPr>
          <w:p w14:paraId="67638EE9"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-0.3</w:t>
            </w:r>
          </w:p>
        </w:tc>
        <w:tc>
          <w:tcPr>
            <w:tcW w:w="822" w:type="dxa"/>
            <w:vAlign w:val="center"/>
            <w:hideMark/>
          </w:tcPr>
          <w:p w14:paraId="716E601A" w14:textId="2690E560" w:rsidR="00F021B0" w:rsidRDefault="0014138C" w:rsidP="0014138C">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1.1</w:t>
            </w:r>
            <w:r>
              <w:rPr>
                <w:rFonts w:ascii="Calibri" w:hAnsi="Calibri" w:cs="Calibri"/>
                <w:color w:val="000000"/>
                <w:sz w:val="20"/>
                <w:szCs w:val="20"/>
              </w:rPr>
              <w:t>)</w:t>
            </w:r>
          </w:p>
        </w:tc>
        <w:tc>
          <w:tcPr>
            <w:tcW w:w="680" w:type="dxa"/>
            <w:noWrap/>
            <w:vAlign w:val="center"/>
            <w:hideMark/>
          </w:tcPr>
          <w:p w14:paraId="3269AF0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0.4</w:t>
            </w:r>
          </w:p>
        </w:tc>
        <w:tc>
          <w:tcPr>
            <w:tcW w:w="793" w:type="dxa"/>
            <w:vAlign w:val="center"/>
            <w:hideMark/>
          </w:tcPr>
          <w:p w14:paraId="1B6C2A1C" w14:textId="6F8A00F7" w:rsidR="00F021B0" w:rsidRDefault="0014138C">
            <w:pPr>
              <w:spacing w:line="276" w:lineRule="auto"/>
              <w:jc w:val="left"/>
              <w:rPr>
                <w:rFonts w:ascii="Calibri" w:eastAsia="Times New Roman" w:hAnsi="Calibri" w:cs="Calibri"/>
                <w:bCs/>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1.8</w:t>
            </w:r>
            <w:r>
              <w:rPr>
                <w:rFonts w:ascii="Calibri" w:hAnsi="Calibri" w:cs="Calibri"/>
                <w:color w:val="000000"/>
                <w:sz w:val="20"/>
                <w:szCs w:val="20"/>
              </w:rPr>
              <w:t>)</w:t>
            </w:r>
          </w:p>
        </w:tc>
        <w:tc>
          <w:tcPr>
            <w:tcW w:w="680" w:type="dxa"/>
            <w:noWrap/>
            <w:vAlign w:val="center"/>
            <w:hideMark/>
          </w:tcPr>
          <w:p w14:paraId="1F983F1A"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-1.1</w:t>
            </w:r>
          </w:p>
        </w:tc>
        <w:tc>
          <w:tcPr>
            <w:tcW w:w="822" w:type="dxa"/>
            <w:vAlign w:val="center"/>
            <w:hideMark/>
          </w:tcPr>
          <w:p w14:paraId="2EB99480" w14:textId="50C84CE1"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1.5</w:t>
            </w:r>
            <w:r>
              <w:rPr>
                <w:rFonts w:ascii="Calibri" w:hAnsi="Calibri" w:cs="Calibri"/>
                <w:color w:val="000000"/>
                <w:sz w:val="20"/>
                <w:szCs w:val="20"/>
              </w:rPr>
              <w:t>)</w:t>
            </w:r>
          </w:p>
        </w:tc>
        <w:tc>
          <w:tcPr>
            <w:tcW w:w="680" w:type="dxa"/>
            <w:noWrap/>
            <w:vAlign w:val="center"/>
            <w:hideMark/>
          </w:tcPr>
          <w:p w14:paraId="2082B3FD"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0.2</w:t>
            </w:r>
          </w:p>
        </w:tc>
        <w:tc>
          <w:tcPr>
            <w:tcW w:w="822" w:type="dxa"/>
            <w:vAlign w:val="center"/>
            <w:hideMark/>
          </w:tcPr>
          <w:p w14:paraId="513FC14F" w14:textId="58B53822"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1.7</w:t>
            </w:r>
            <w:r>
              <w:rPr>
                <w:rFonts w:ascii="Calibri" w:hAnsi="Calibri" w:cs="Calibri"/>
                <w:color w:val="000000"/>
                <w:sz w:val="20"/>
                <w:szCs w:val="20"/>
              </w:rPr>
              <w:t>)</w:t>
            </w:r>
          </w:p>
        </w:tc>
        <w:tc>
          <w:tcPr>
            <w:tcW w:w="680" w:type="dxa"/>
            <w:noWrap/>
            <w:vAlign w:val="center"/>
            <w:hideMark/>
          </w:tcPr>
          <w:p w14:paraId="15E7C9B8" w14:textId="77777777" w:rsidR="00F021B0" w:rsidRDefault="00F021B0">
            <w:pPr>
              <w:spacing w:line="276" w:lineRule="auto"/>
              <w:jc w:val="right"/>
              <w:rPr>
                <w:rFonts w:ascii="Calibri" w:eastAsia="Times New Roman" w:hAnsi="Calibri" w:cs="Calibri"/>
                <w:b/>
                <w:color w:val="000000"/>
                <w:sz w:val="20"/>
                <w:szCs w:val="20"/>
                <w:lang w:val="en-GB" w:eastAsia="en-GB"/>
              </w:rPr>
            </w:pPr>
            <w:r>
              <w:rPr>
                <w:rFonts w:ascii="Calibri" w:hAnsi="Calibri" w:cs="Calibri"/>
                <w:b/>
                <w:bCs/>
                <w:color w:val="000000"/>
                <w:sz w:val="20"/>
                <w:szCs w:val="20"/>
              </w:rPr>
              <w:t>0.5</w:t>
            </w:r>
          </w:p>
        </w:tc>
        <w:tc>
          <w:tcPr>
            <w:tcW w:w="822" w:type="dxa"/>
            <w:vAlign w:val="center"/>
            <w:hideMark/>
          </w:tcPr>
          <w:p w14:paraId="78325F66" w14:textId="58C47B0E"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1.4</w:t>
            </w:r>
            <w:r>
              <w:rPr>
                <w:rFonts w:ascii="Calibri" w:hAnsi="Calibri" w:cs="Calibri"/>
                <w:color w:val="000000"/>
                <w:sz w:val="20"/>
                <w:szCs w:val="20"/>
              </w:rPr>
              <w:t>)</w:t>
            </w:r>
          </w:p>
        </w:tc>
      </w:tr>
      <w:tr w:rsidR="00F021B0" w14:paraId="069E3EAD" w14:textId="77777777" w:rsidTr="00F021B0">
        <w:trPr>
          <w:trHeight w:val="170"/>
        </w:trPr>
        <w:tc>
          <w:tcPr>
            <w:tcW w:w="2295" w:type="dxa"/>
            <w:tcBorders>
              <w:top w:val="nil"/>
              <w:left w:val="nil"/>
              <w:bottom w:val="single" w:sz="4" w:space="0" w:color="auto"/>
              <w:right w:val="nil"/>
            </w:tcBorders>
            <w:noWrap/>
            <w:vAlign w:val="bottom"/>
            <w:hideMark/>
          </w:tcPr>
          <w:p w14:paraId="14D2151B" w14:textId="77777777" w:rsidR="00F021B0" w:rsidRDefault="00F021B0">
            <w:pPr>
              <w:rPr>
                <w:rFonts w:ascii="Calibri" w:eastAsia="Times New Roman" w:hAnsi="Calibri" w:cs="Calibri"/>
                <w:color w:val="000000"/>
                <w:sz w:val="20"/>
                <w:szCs w:val="20"/>
                <w:lang w:val="en-GB" w:eastAsia="en-GB"/>
              </w:rPr>
            </w:pPr>
          </w:p>
        </w:tc>
        <w:tc>
          <w:tcPr>
            <w:tcW w:w="737" w:type="dxa"/>
            <w:tcBorders>
              <w:top w:val="nil"/>
              <w:left w:val="nil"/>
              <w:bottom w:val="single" w:sz="4" w:space="0" w:color="auto"/>
              <w:right w:val="nil"/>
            </w:tcBorders>
            <w:noWrap/>
            <w:vAlign w:val="center"/>
            <w:hideMark/>
          </w:tcPr>
          <w:p w14:paraId="5A807A48"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tcBorders>
              <w:top w:val="nil"/>
              <w:left w:val="nil"/>
              <w:bottom w:val="single" w:sz="4" w:space="0" w:color="auto"/>
              <w:right w:val="single" w:sz="4" w:space="0" w:color="auto"/>
            </w:tcBorders>
            <w:noWrap/>
            <w:vAlign w:val="center"/>
            <w:hideMark/>
          </w:tcPr>
          <w:p w14:paraId="0DE01552"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single" w:sz="4" w:space="0" w:color="auto"/>
              <w:bottom w:val="single" w:sz="4" w:space="0" w:color="auto"/>
              <w:right w:val="nil"/>
            </w:tcBorders>
            <w:noWrap/>
            <w:vAlign w:val="center"/>
            <w:hideMark/>
          </w:tcPr>
          <w:p w14:paraId="689E9340"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tcBorders>
              <w:top w:val="nil"/>
              <w:left w:val="nil"/>
              <w:bottom w:val="single" w:sz="4" w:space="0" w:color="auto"/>
              <w:right w:val="nil"/>
            </w:tcBorders>
            <w:noWrap/>
            <w:vAlign w:val="center"/>
            <w:hideMark/>
          </w:tcPr>
          <w:p w14:paraId="2683DB63"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2B843657"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0A256520"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57A534F8"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77EDFEB5"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0051662F" w14:textId="77777777" w:rsidR="00F021B0" w:rsidRDefault="00F021B0">
            <w:pPr>
              <w:spacing w:line="276" w:lineRule="auto"/>
              <w:jc w:val="left"/>
              <w:rPr>
                <w:rFonts w:asciiTheme="minorHAnsi" w:hAnsiTheme="minorHAnsi" w:cstheme="minorBidi"/>
                <w:sz w:val="20"/>
                <w:szCs w:val="20"/>
                <w:lang w:val="en-GB" w:eastAsia="en-GB"/>
              </w:rPr>
            </w:pPr>
          </w:p>
        </w:tc>
        <w:tc>
          <w:tcPr>
            <w:tcW w:w="793" w:type="dxa"/>
            <w:tcBorders>
              <w:top w:val="nil"/>
              <w:left w:val="nil"/>
              <w:bottom w:val="single" w:sz="4" w:space="0" w:color="auto"/>
              <w:right w:val="nil"/>
            </w:tcBorders>
            <w:noWrap/>
            <w:vAlign w:val="center"/>
            <w:hideMark/>
          </w:tcPr>
          <w:p w14:paraId="4DC9D970"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53A778A7"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5ACC7429"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70912C66"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0C61274A"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062CFA75"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0691134E" w14:textId="77777777" w:rsidR="00F021B0" w:rsidRDefault="00F021B0">
            <w:pPr>
              <w:spacing w:line="276" w:lineRule="auto"/>
              <w:jc w:val="left"/>
              <w:rPr>
                <w:rFonts w:asciiTheme="minorHAnsi" w:hAnsiTheme="minorHAnsi" w:cstheme="minorBidi"/>
                <w:sz w:val="20"/>
                <w:szCs w:val="20"/>
                <w:lang w:val="en-GB" w:eastAsia="en-GB"/>
              </w:rPr>
            </w:pPr>
          </w:p>
        </w:tc>
      </w:tr>
      <w:tr w:rsidR="00F021B0" w14:paraId="348DF851" w14:textId="77777777" w:rsidTr="00F021B0">
        <w:trPr>
          <w:trHeight w:val="290"/>
        </w:trPr>
        <w:tc>
          <w:tcPr>
            <w:tcW w:w="3927"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7FD7342E" w14:textId="77777777" w:rsidR="00F021B0" w:rsidRDefault="00F021B0">
            <w:pPr>
              <w:spacing w:line="276" w:lineRule="auto"/>
              <w:jc w:val="left"/>
              <w:rPr>
                <w:rFonts w:ascii="Calibri" w:hAnsi="Calibri" w:cs="Calibri"/>
                <w:b/>
                <w:color w:val="000000"/>
              </w:rPr>
            </w:pPr>
            <w:r>
              <w:rPr>
                <w:rFonts w:ascii="Calibri" w:eastAsia="Times New Roman" w:hAnsi="Calibri" w:cs="Calibri"/>
                <w:b/>
                <w:color w:val="000000"/>
                <w:lang w:val="en-GB" w:eastAsia="en-GB"/>
              </w:rPr>
              <w:t>Maternal sociodemographic factors</w:t>
            </w: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7DF9D7E5" w14:textId="77777777" w:rsidR="00F021B0" w:rsidRDefault="00F021B0">
            <w:pPr>
              <w:spacing w:line="276" w:lineRule="auto"/>
              <w:rPr>
                <w:rFonts w:ascii="Calibri" w:hAnsi="Calibri" w:cs="Calibri"/>
                <w:b/>
                <w:bCs/>
                <w:color w:val="000000"/>
              </w:rPr>
            </w:pPr>
          </w:p>
        </w:tc>
        <w:tc>
          <w:tcPr>
            <w:tcW w:w="895" w:type="dxa"/>
            <w:tcBorders>
              <w:top w:val="single" w:sz="4" w:space="0" w:color="auto"/>
              <w:left w:val="nil"/>
              <w:bottom w:val="single" w:sz="4" w:space="0" w:color="auto"/>
              <w:right w:val="nil"/>
            </w:tcBorders>
            <w:shd w:val="clear" w:color="auto" w:fill="D9D9D9" w:themeFill="background1" w:themeFillShade="D9"/>
            <w:noWrap/>
            <w:vAlign w:val="bottom"/>
          </w:tcPr>
          <w:p w14:paraId="74DC70E3"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47E3A8AE" w14:textId="77777777" w:rsidR="00F021B0" w:rsidRDefault="00F021B0">
            <w:pPr>
              <w:spacing w:line="276" w:lineRule="auto"/>
              <w:rPr>
                <w:rFonts w:ascii="Calibri" w:hAnsi="Calibri" w:cs="Calibri"/>
                <w:b/>
                <w:bCs/>
                <w:color w:val="000000"/>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bottom"/>
          </w:tcPr>
          <w:p w14:paraId="03CAEA90"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1A955781" w14:textId="77777777" w:rsidR="00F021B0" w:rsidRDefault="00F021B0">
            <w:pPr>
              <w:spacing w:line="276" w:lineRule="auto"/>
              <w:rPr>
                <w:rFonts w:ascii="Calibri" w:hAnsi="Calibri" w:cs="Calibri"/>
                <w:b/>
                <w:bCs/>
                <w:color w:val="000000"/>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bottom"/>
          </w:tcPr>
          <w:p w14:paraId="6E4AA463"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40915078" w14:textId="77777777" w:rsidR="00F021B0" w:rsidRDefault="00F021B0">
            <w:pPr>
              <w:spacing w:line="276" w:lineRule="auto"/>
              <w:rPr>
                <w:rFonts w:ascii="Calibri" w:hAnsi="Calibri" w:cs="Calibri"/>
                <w:b/>
                <w:bCs/>
                <w:color w:val="000000"/>
              </w:rPr>
            </w:pPr>
          </w:p>
        </w:tc>
        <w:tc>
          <w:tcPr>
            <w:tcW w:w="793" w:type="dxa"/>
            <w:tcBorders>
              <w:top w:val="single" w:sz="4" w:space="0" w:color="auto"/>
              <w:left w:val="nil"/>
              <w:bottom w:val="single" w:sz="4" w:space="0" w:color="auto"/>
              <w:right w:val="nil"/>
            </w:tcBorders>
            <w:shd w:val="clear" w:color="auto" w:fill="D9D9D9" w:themeFill="background1" w:themeFillShade="D9"/>
            <w:noWrap/>
            <w:vAlign w:val="bottom"/>
          </w:tcPr>
          <w:p w14:paraId="21C8D1A7"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301FC724" w14:textId="77777777" w:rsidR="00F021B0" w:rsidRDefault="00F021B0">
            <w:pPr>
              <w:spacing w:line="276" w:lineRule="auto"/>
              <w:rPr>
                <w:rFonts w:ascii="Calibri" w:hAnsi="Calibri" w:cs="Calibri"/>
                <w:b/>
                <w:bCs/>
                <w:color w:val="000000"/>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bottom"/>
          </w:tcPr>
          <w:p w14:paraId="4E2770E4"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5A22B93D" w14:textId="77777777" w:rsidR="00F021B0" w:rsidRDefault="00F021B0">
            <w:pPr>
              <w:spacing w:line="276" w:lineRule="auto"/>
              <w:rPr>
                <w:rFonts w:ascii="Calibri" w:hAnsi="Calibri" w:cs="Calibri"/>
                <w:b/>
                <w:bCs/>
                <w:color w:val="000000"/>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bottom"/>
          </w:tcPr>
          <w:p w14:paraId="01292DE9" w14:textId="77777777" w:rsidR="00F021B0" w:rsidRDefault="00F021B0">
            <w:pPr>
              <w:spacing w:line="276" w:lineRule="auto"/>
              <w:rPr>
                <w:rFonts w:ascii="Calibri" w:hAnsi="Calibri" w:cs="Calibri"/>
                <w:color w:val="000000"/>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bottom"/>
          </w:tcPr>
          <w:p w14:paraId="23D2E178" w14:textId="77777777" w:rsidR="00F021B0" w:rsidRDefault="00F021B0">
            <w:pPr>
              <w:spacing w:line="276" w:lineRule="auto"/>
              <w:rPr>
                <w:rFonts w:ascii="Calibri" w:hAnsi="Calibri" w:cs="Calibri"/>
                <w:b/>
                <w:bCs/>
                <w:color w:val="000000"/>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bottom"/>
          </w:tcPr>
          <w:p w14:paraId="6C20774F" w14:textId="77777777" w:rsidR="00F021B0" w:rsidRDefault="00F021B0">
            <w:pPr>
              <w:spacing w:line="276" w:lineRule="auto"/>
              <w:rPr>
                <w:rFonts w:ascii="Calibri" w:hAnsi="Calibri" w:cs="Calibri"/>
                <w:color w:val="000000"/>
              </w:rPr>
            </w:pPr>
          </w:p>
        </w:tc>
      </w:tr>
      <w:tr w:rsidR="00F021B0" w14:paraId="0F4D7056" w14:textId="77777777" w:rsidTr="00F021B0">
        <w:trPr>
          <w:trHeight w:val="290"/>
        </w:trPr>
        <w:tc>
          <w:tcPr>
            <w:tcW w:w="2295" w:type="dxa"/>
            <w:tcBorders>
              <w:top w:val="single" w:sz="4" w:space="0" w:color="auto"/>
              <w:left w:val="nil"/>
              <w:bottom w:val="nil"/>
              <w:right w:val="nil"/>
            </w:tcBorders>
            <w:noWrap/>
            <w:vAlign w:val="center"/>
            <w:hideMark/>
          </w:tcPr>
          <w:p w14:paraId="457BF8CB" w14:textId="07DACE0F" w:rsidR="00F021B0" w:rsidRDefault="00F021B0">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 xml:space="preserve">Age </w:t>
            </w:r>
            <w:r w:rsidR="0058330D">
              <w:rPr>
                <w:rFonts w:ascii="Calibri" w:eastAsia="Times New Roman" w:hAnsi="Calibri" w:cs="Calibri"/>
                <w:b/>
                <w:color w:val="000000"/>
                <w:sz w:val="20"/>
                <w:szCs w:val="20"/>
                <w:lang w:val="en-GB" w:eastAsia="en-GB"/>
              </w:rPr>
              <w:t>(years)</w:t>
            </w:r>
          </w:p>
        </w:tc>
        <w:tc>
          <w:tcPr>
            <w:tcW w:w="737" w:type="dxa"/>
            <w:tcBorders>
              <w:top w:val="single" w:sz="4" w:space="0" w:color="auto"/>
              <w:left w:val="nil"/>
              <w:bottom w:val="nil"/>
              <w:right w:val="nil"/>
            </w:tcBorders>
            <w:noWrap/>
            <w:vAlign w:val="center"/>
            <w:hideMark/>
          </w:tcPr>
          <w:p w14:paraId="4004548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29.2</w:t>
            </w:r>
          </w:p>
        </w:tc>
        <w:tc>
          <w:tcPr>
            <w:tcW w:w="895" w:type="dxa"/>
            <w:tcBorders>
              <w:top w:val="single" w:sz="4" w:space="0" w:color="auto"/>
              <w:left w:val="nil"/>
              <w:bottom w:val="nil"/>
              <w:right w:val="single" w:sz="4" w:space="0" w:color="auto"/>
            </w:tcBorders>
            <w:noWrap/>
            <w:vAlign w:val="center"/>
            <w:hideMark/>
          </w:tcPr>
          <w:p w14:paraId="012B44D1" w14:textId="37E2B3F8" w:rsidR="00F021B0" w:rsidRDefault="003D1922" w:rsidP="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4.9</w:t>
            </w:r>
            <w:r>
              <w:rPr>
                <w:rFonts w:ascii="Calibri" w:hAnsi="Calibri" w:cs="Calibri"/>
                <w:color w:val="000000"/>
                <w:sz w:val="20"/>
                <w:szCs w:val="20"/>
              </w:rPr>
              <w:t>)</w:t>
            </w:r>
          </w:p>
        </w:tc>
        <w:tc>
          <w:tcPr>
            <w:tcW w:w="680" w:type="dxa"/>
            <w:tcBorders>
              <w:top w:val="single" w:sz="4" w:space="0" w:color="auto"/>
              <w:left w:val="single" w:sz="4" w:space="0" w:color="auto"/>
              <w:bottom w:val="nil"/>
              <w:right w:val="nil"/>
            </w:tcBorders>
            <w:noWrap/>
            <w:vAlign w:val="center"/>
            <w:hideMark/>
          </w:tcPr>
          <w:p w14:paraId="73FBB8E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28.3</w:t>
            </w:r>
          </w:p>
        </w:tc>
        <w:tc>
          <w:tcPr>
            <w:tcW w:w="895" w:type="dxa"/>
            <w:tcBorders>
              <w:top w:val="single" w:sz="4" w:space="0" w:color="auto"/>
              <w:left w:val="nil"/>
              <w:bottom w:val="nil"/>
              <w:right w:val="nil"/>
            </w:tcBorders>
            <w:noWrap/>
            <w:vAlign w:val="center"/>
            <w:hideMark/>
          </w:tcPr>
          <w:p w14:paraId="1AF05700" w14:textId="6BA4E83E"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4.9</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1146502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29.5</w:t>
            </w:r>
          </w:p>
        </w:tc>
        <w:tc>
          <w:tcPr>
            <w:tcW w:w="822" w:type="dxa"/>
            <w:tcBorders>
              <w:top w:val="single" w:sz="4" w:space="0" w:color="auto"/>
              <w:left w:val="nil"/>
              <w:bottom w:val="nil"/>
              <w:right w:val="nil"/>
            </w:tcBorders>
            <w:noWrap/>
            <w:vAlign w:val="center"/>
            <w:hideMark/>
          </w:tcPr>
          <w:p w14:paraId="517CAD25" w14:textId="436E0503"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4.9</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370B564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30.1</w:t>
            </w:r>
          </w:p>
        </w:tc>
        <w:tc>
          <w:tcPr>
            <w:tcW w:w="822" w:type="dxa"/>
            <w:tcBorders>
              <w:top w:val="single" w:sz="4" w:space="0" w:color="auto"/>
              <w:left w:val="nil"/>
              <w:bottom w:val="nil"/>
              <w:right w:val="nil"/>
            </w:tcBorders>
            <w:noWrap/>
            <w:vAlign w:val="center"/>
            <w:hideMark/>
          </w:tcPr>
          <w:p w14:paraId="48F8F872" w14:textId="0EEB8C95"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5.1</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125FF86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29.8</w:t>
            </w:r>
          </w:p>
        </w:tc>
        <w:tc>
          <w:tcPr>
            <w:tcW w:w="793" w:type="dxa"/>
            <w:tcBorders>
              <w:top w:val="single" w:sz="4" w:space="0" w:color="auto"/>
              <w:left w:val="nil"/>
              <w:bottom w:val="nil"/>
              <w:right w:val="nil"/>
            </w:tcBorders>
            <w:noWrap/>
            <w:vAlign w:val="center"/>
            <w:hideMark/>
          </w:tcPr>
          <w:p w14:paraId="06C9F3E5" w14:textId="332EA863"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5.9</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0C9E559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29.0</w:t>
            </w:r>
          </w:p>
        </w:tc>
        <w:tc>
          <w:tcPr>
            <w:tcW w:w="822" w:type="dxa"/>
            <w:tcBorders>
              <w:top w:val="single" w:sz="4" w:space="0" w:color="auto"/>
              <w:left w:val="nil"/>
              <w:bottom w:val="nil"/>
              <w:right w:val="nil"/>
            </w:tcBorders>
            <w:noWrap/>
            <w:vAlign w:val="center"/>
            <w:hideMark/>
          </w:tcPr>
          <w:p w14:paraId="31451FB9" w14:textId="355E1B7F"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4.2</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43DECEB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32.2</w:t>
            </w:r>
          </w:p>
        </w:tc>
        <w:tc>
          <w:tcPr>
            <w:tcW w:w="822" w:type="dxa"/>
            <w:tcBorders>
              <w:top w:val="single" w:sz="4" w:space="0" w:color="auto"/>
              <w:left w:val="nil"/>
              <w:bottom w:val="nil"/>
              <w:right w:val="nil"/>
            </w:tcBorders>
            <w:noWrap/>
            <w:vAlign w:val="center"/>
            <w:hideMark/>
          </w:tcPr>
          <w:p w14:paraId="55ACA8B4" w14:textId="4AC07017"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4.1</w:t>
            </w:r>
            <w:r>
              <w:rPr>
                <w:rFonts w:ascii="Calibri" w:hAnsi="Calibri" w:cs="Calibri"/>
                <w:color w:val="000000"/>
                <w:sz w:val="20"/>
                <w:szCs w:val="20"/>
              </w:rPr>
              <w:t>)</w:t>
            </w:r>
          </w:p>
        </w:tc>
        <w:tc>
          <w:tcPr>
            <w:tcW w:w="680" w:type="dxa"/>
            <w:tcBorders>
              <w:top w:val="single" w:sz="4" w:space="0" w:color="auto"/>
              <w:left w:val="nil"/>
              <w:bottom w:val="nil"/>
              <w:right w:val="nil"/>
            </w:tcBorders>
            <w:noWrap/>
            <w:vAlign w:val="center"/>
            <w:hideMark/>
          </w:tcPr>
          <w:p w14:paraId="5BD0EF0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30.2</w:t>
            </w:r>
          </w:p>
        </w:tc>
        <w:tc>
          <w:tcPr>
            <w:tcW w:w="822" w:type="dxa"/>
            <w:tcBorders>
              <w:top w:val="single" w:sz="4" w:space="0" w:color="auto"/>
              <w:left w:val="nil"/>
              <w:bottom w:val="nil"/>
              <w:right w:val="nil"/>
            </w:tcBorders>
            <w:noWrap/>
            <w:vAlign w:val="center"/>
            <w:hideMark/>
          </w:tcPr>
          <w:p w14:paraId="796E15F6" w14:textId="25CC7B41" w:rsidR="00F021B0" w:rsidRDefault="003D1922">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w:t>
            </w:r>
            <w:r w:rsidR="00F021B0">
              <w:rPr>
                <w:rFonts w:ascii="Calibri" w:hAnsi="Calibri" w:cs="Calibri"/>
                <w:color w:val="000000"/>
                <w:sz w:val="20"/>
                <w:szCs w:val="20"/>
              </w:rPr>
              <w:t>3.9</w:t>
            </w:r>
            <w:r>
              <w:rPr>
                <w:rFonts w:ascii="Calibri" w:hAnsi="Calibri" w:cs="Calibri"/>
                <w:color w:val="000000"/>
                <w:sz w:val="20"/>
                <w:szCs w:val="20"/>
              </w:rPr>
              <w:t>)</w:t>
            </w:r>
          </w:p>
        </w:tc>
      </w:tr>
      <w:tr w:rsidR="00F021B0" w14:paraId="24E51DFA" w14:textId="77777777" w:rsidTr="00F021B0">
        <w:trPr>
          <w:trHeight w:val="290"/>
        </w:trPr>
        <w:tc>
          <w:tcPr>
            <w:tcW w:w="2295" w:type="dxa"/>
            <w:noWrap/>
            <w:vAlign w:val="center"/>
            <w:hideMark/>
          </w:tcPr>
          <w:p w14:paraId="28DB515C" w14:textId="77777777" w:rsidR="00F021B0" w:rsidRDefault="00F021B0">
            <w:pPr>
              <w:spacing w:line="276" w:lineRule="auto"/>
              <w:jc w:val="left"/>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Educational level</w:t>
            </w:r>
          </w:p>
        </w:tc>
        <w:tc>
          <w:tcPr>
            <w:tcW w:w="737" w:type="dxa"/>
            <w:noWrap/>
            <w:vAlign w:val="center"/>
          </w:tcPr>
          <w:p w14:paraId="00CD0028" w14:textId="77777777" w:rsidR="00F021B0" w:rsidRDefault="00F021B0">
            <w:pPr>
              <w:spacing w:line="276" w:lineRule="auto"/>
              <w:jc w:val="right"/>
              <w:rPr>
                <w:rFonts w:eastAsia="Times New Roman"/>
                <w:sz w:val="20"/>
                <w:szCs w:val="20"/>
                <w:lang w:val="en-GB" w:eastAsia="en-GB"/>
              </w:rPr>
            </w:pPr>
          </w:p>
        </w:tc>
        <w:tc>
          <w:tcPr>
            <w:tcW w:w="895" w:type="dxa"/>
            <w:tcBorders>
              <w:top w:val="nil"/>
              <w:left w:val="nil"/>
              <w:bottom w:val="nil"/>
              <w:right w:val="single" w:sz="4" w:space="0" w:color="auto"/>
            </w:tcBorders>
            <w:noWrap/>
            <w:vAlign w:val="center"/>
          </w:tcPr>
          <w:p w14:paraId="538BA7D1" w14:textId="77777777" w:rsidR="00F021B0" w:rsidRDefault="00F021B0">
            <w:pPr>
              <w:spacing w:line="276" w:lineRule="auto"/>
              <w:jc w:val="left"/>
              <w:rPr>
                <w:rFonts w:eastAsia="Times New Roman"/>
                <w:sz w:val="20"/>
                <w:szCs w:val="20"/>
                <w:lang w:val="en-GB" w:eastAsia="en-GB"/>
              </w:rPr>
            </w:pPr>
          </w:p>
        </w:tc>
        <w:tc>
          <w:tcPr>
            <w:tcW w:w="680" w:type="dxa"/>
            <w:tcBorders>
              <w:top w:val="nil"/>
              <w:left w:val="single" w:sz="4" w:space="0" w:color="auto"/>
              <w:bottom w:val="nil"/>
              <w:right w:val="nil"/>
            </w:tcBorders>
            <w:noWrap/>
            <w:vAlign w:val="center"/>
          </w:tcPr>
          <w:p w14:paraId="2FB1D9FD"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550494C7"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2BCC7647"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DE24F6B"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4E0D9C9A"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B3DACE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81E84B8"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15D62AE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438081A"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49BABC9"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6319E56E"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3839BA1"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AF65432"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708BA6F" w14:textId="77777777" w:rsidR="00F021B0" w:rsidRDefault="00F021B0">
            <w:pPr>
              <w:spacing w:line="276" w:lineRule="auto"/>
              <w:jc w:val="left"/>
              <w:rPr>
                <w:rFonts w:eastAsia="Times New Roman"/>
                <w:sz w:val="20"/>
                <w:szCs w:val="20"/>
                <w:lang w:val="en-GB" w:eastAsia="en-GB"/>
              </w:rPr>
            </w:pPr>
          </w:p>
        </w:tc>
      </w:tr>
      <w:tr w:rsidR="00F021B0" w14:paraId="3EC708A3" w14:textId="77777777" w:rsidTr="00F021B0">
        <w:trPr>
          <w:trHeight w:val="290"/>
        </w:trPr>
        <w:tc>
          <w:tcPr>
            <w:tcW w:w="2295" w:type="dxa"/>
            <w:noWrap/>
            <w:vAlign w:val="center"/>
            <w:hideMark/>
          </w:tcPr>
          <w:p w14:paraId="04BBB7CC"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Low</w:t>
            </w:r>
          </w:p>
        </w:tc>
        <w:tc>
          <w:tcPr>
            <w:tcW w:w="737" w:type="dxa"/>
            <w:noWrap/>
            <w:vAlign w:val="center"/>
            <w:hideMark/>
          </w:tcPr>
          <w:p w14:paraId="3086B48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22.3</w:t>
            </w:r>
          </w:p>
        </w:tc>
        <w:tc>
          <w:tcPr>
            <w:tcW w:w="895" w:type="dxa"/>
            <w:tcBorders>
              <w:top w:val="nil"/>
              <w:left w:val="nil"/>
              <w:bottom w:val="nil"/>
              <w:right w:val="single" w:sz="4" w:space="0" w:color="auto"/>
            </w:tcBorders>
            <w:noWrap/>
            <w:vAlign w:val="center"/>
            <w:hideMark/>
          </w:tcPr>
          <w:p w14:paraId="3AC840F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(5,779)</w:t>
            </w:r>
          </w:p>
        </w:tc>
        <w:tc>
          <w:tcPr>
            <w:tcW w:w="680" w:type="dxa"/>
            <w:tcBorders>
              <w:top w:val="nil"/>
              <w:left w:val="single" w:sz="4" w:space="0" w:color="auto"/>
              <w:bottom w:val="nil"/>
              <w:right w:val="nil"/>
            </w:tcBorders>
            <w:noWrap/>
            <w:vAlign w:val="center"/>
            <w:hideMark/>
          </w:tcPr>
          <w:p w14:paraId="2F71E84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29.8</w:t>
            </w:r>
          </w:p>
        </w:tc>
        <w:tc>
          <w:tcPr>
            <w:tcW w:w="895" w:type="dxa"/>
            <w:noWrap/>
            <w:vAlign w:val="center"/>
            <w:hideMark/>
          </w:tcPr>
          <w:p w14:paraId="3FE7BDE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(3,543)</w:t>
            </w:r>
          </w:p>
        </w:tc>
        <w:tc>
          <w:tcPr>
            <w:tcW w:w="680" w:type="dxa"/>
            <w:noWrap/>
            <w:vAlign w:val="center"/>
            <w:hideMark/>
          </w:tcPr>
          <w:p w14:paraId="386C70C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7.6</w:t>
            </w:r>
          </w:p>
        </w:tc>
        <w:tc>
          <w:tcPr>
            <w:tcW w:w="822" w:type="dxa"/>
            <w:noWrap/>
            <w:vAlign w:val="center"/>
            <w:hideMark/>
          </w:tcPr>
          <w:p w14:paraId="332E53F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(144)</w:t>
            </w:r>
          </w:p>
        </w:tc>
        <w:tc>
          <w:tcPr>
            <w:tcW w:w="680" w:type="dxa"/>
            <w:noWrap/>
            <w:vAlign w:val="center"/>
            <w:hideMark/>
          </w:tcPr>
          <w:p w14:paraId="1356DE0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22.7</w:t>
            </w:r>
          </w:p>
        </w:tc>
        <w:tc>
          <w:tcPr>
            <w:tcW w:w="822" w:type="dxa"/>
            <w:noWrap/>
            <w:vAlign w:val="center"/>
            <w:hideMark/>
          </w:tcPr>
          <w:p w14:paraId="06908318"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(1,355)</w:t>
            </w:r>
          </w:p>
        </w:tc>
        <w:tc>
          <w:tcPr>
            <w:tcW w:w="680" w:type="dxa"/>
            <w:noWrap/>
            <w:vAlign w:val="center"/>
            <w:hideMark/>
          </w:tcPr>
          <w:p w14:paraId="7101ED4F"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18.3</w:t>
            </w:r>
          </w:p>
        </w:tc>
        <w:tc>
          <w:tcPr>
            <w:tcW w:w="793" w:type="dxa"/>
            <w:noWrap/>
            <w:vAlign w:val="center"/>
            <w:hideMark/>
          </w:tcPr>
          <w:p w14:paraId="71F9D56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(200)</w:t>
            </w:r>
          </w:p>
        </w:tc>
        <w:tc>
          <w:tcPr>
            <w:tcW w:w="680" w:type="dxa"/>
            <w:noWrap/>
            <w:vAlign w:val="center"/>
            <w:hideMark/>
          </w:tcPr>
          <w:p w14:paraId="187BB073"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8.4</w:t>
            </w:r>
          </w:p>
        </w:tc>
        <w:tc>
          <w:tcPr>
            <w:tcW w:w="822" w:type="dxa"/>
            <w:noWrap/>
            <w:vAlign w:val="center"/>
            <w:hideMark/>
          </w:tcPr>
          <w:p w14:paraId="5C2CE6E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(110)</w:t>
            </w:r>
          </w:p>
        </w:tc>
        <w:tc>
          <w:tcPr>
            <w:tcW w:w="680" w:type="dxa"/>
            <w:noWrap/>
            <w:vAlign w:val="center"/>
            <w:hideMark/>
          </w:tcPr>
          <w:p w14:paraId="41A2C51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5.3</w:t>
            </w:r>
          </w:p>
        </w:tc>
        <w:tc>
          <w:tcPr>
            <w:tcW w:w="822" w:type="dxa"/>
            <w:noWrap/>
            <w:vAlign w:val="center"/>
            <w:hideMark/>
          </w:tcPr>
          <w:p w14:paraId="1C7004C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(33)</w:t>
            </w:r>
          </w:p>
        </w:tc>
        <w:tc>
          <w:tcPr>
            <w:tcW w:w="680" w:type="dxa"/>
            <w:noWrap/>
            <w:vAlign w:val="center"/>
            <w:hideMark/>
          </w:tcPr>
          <w:p w14:paraId="1073548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12.5</w:t>
            </w:r>
          </w:p>
        </w:tc>
        <w:tc>
          <w:tcPr>
            <w:tcW w:w="822" w:type="dxa"/>
            <w:noWrap/>
            <w:vAlign w:val="center"/>
            <w:hideMark/>
          </w:tcPr>
          <w:p w14:paraId="337F896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(394)</w:t>
            </w:r>
          </w:p>
        </w:tc>
      </w:tr>
      <w:tr w:rsidR="00F021B0" w14:paraId="33C14597" w14:textId="77777777" w:rsidTr="00F021B0">
        <w:trPr>
          <w:trHeight w:val="290"/>
        </w:trPr>
        <w:tc>
          <w:tcPr>
            <w:tcW w:w="2295" w:type="dxa"/>
            <w:noWrap/>
            <w:vAlign w:val="center"/>
            <w:hideMark/>
          </w:tcPr>
          <w:p w14:paraId="74A33558"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Medium</w:t>
            </w:r>
          </w:p>
        </w:tc>
        <w:tc>
          <w:tcPr>
            <w:tcW w:w="737" w:type="dxa"/>
            <w:noWrap/>
            <w:vAlign w:val="center"/>
            <w:hideMark/>
          </w:tcPr>
          <w:p w14:paraId="344272E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51.3</w:t>
            </w:r>
          </w:p>
        </w:tc>
        <w:tc>
          <w:tcPr>
            <w:tcW w:w="895" w:type="dxa"/>
            <w:tcBorders>
              <w:top w:val="nil"/>
              <w:left w:val="nil"/>
              <w:bottom w:val="nil"/>
              <w:right w:val="single" w:sz="4" w:space="0" w:color="auto"/>
            </w:tcBorders>
            <w:noWrap/>
            <w:vAlign w:val="center"/>
            <w:hideMark/>
          </w:tcPr>
          <w:p w14:paraId="743E93D4"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(13,307)</w:t>
            </w:r>
          </w:p>
        </w:tc>
        <w:tc>
          <w:tcPr>
            <w:tcW w:w="680" w:type="dxa"/>
            <w:tcBorders>
              <w:top w:val="nil"/>
              <w:left w:val="single" w:sz="4" w:space="0" w:color="auto"/>
              <w:bottom w:val="nil"/>
              <w:right w:val="nil"/>
            </w:tcBorders>
            <w:noWrap/>
            <w:vAlign w:val="center"/>
            <w:hideMark/>
          </w:tcPr>
          <w:p w14:paraId="1FBA27A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57.3</w:t>
            </w:r>
          </w:p>
        </w:tc>
        <w:tc>
          <w:tcPr>
            <w:tcW w:w="895" w:type="dxa"/>
            <w:noWrap/>
            <w:vAlign w:val="center"/>
            <w:hideMark/>
          </w:tcPr>
          <w:p w14:paraId="438FDA0E"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(6,818)</w:t>
            </w:r>
          </w:p>
        </w:tc>
        <w:tc>
          <w:tcPr>
            <w:tcW w:w="680" w:type="dxa"/>
            <w:noWrap/>
            <w:vAlign w:val="center"/>
            <w:hideMark/>
          </w:tcPr>
          <w:p w14:paraId="00AD214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38.9</w:t>
            </w:r>
          </w:p>
        </w:tc>
        <w:tc>
          <w:tcPr>
            <w:tcW w:w="822" w:type="dxa"/>
            <w:noWrap/>
            <w:vAlign w:val="center"/>
            <w:hideMark/>
          </w:tcPr>
          <w:p w14:paraId="0CE1901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(742)</w:t>
            </w:r>
          </w:p>
        </w:tc>
        <w:tc>
          <w:tcPr>
            <w:tcW w:w="680" w:type="dxa"/>
            <w:noWrap/>
            <w:vAlign w:val="center"/>
            <w:hideMark/>
          </w:tcPr>
          <w:p w14:paraId="44623F5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51.1</w:t>
            </w:r>
          </w:p>
        </w:tc>
        <w:tc>
          <w:tcPr>
            <w:tcW w:w="822" w:type="dxa"/>
            <w:noWrap/>
            <w:vAlign w:val="center"/>
            <w:hideMark/>
          </w:tcPr>
          <w:p w14:paraId="0823CDC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(3,054)</w:t>
            </w:r>
          </w:p>
        </w:tc>
        <w:tc>
          <w:tcPr>
            <w:tcW w:w="680" w:type="dxa"/>
            <w:noWrap/>
            <w:vAlign w:val="center"/>
            <w:hideMark/>
          </w:tcPr>
          <w:p w14:paraId="609AD24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32.3</w:t>
            </w:r>
          </w:p>
        </w:tc>
        <w:tc>
          <w:tcPr>
            <w:tcW w:w="793" w:type="dxa"/>
            <w:noWrap/>
            <w:vAlign w:val="center"/>
            <w:hideMark/>
          </w:tcPr>
          <w:p w14:paraId="2E82502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(353)</w:t>
            </w:r>
          </w:p>
        </w:tc>
        <w:tc>
          <w:tcPr>
            <w:tcW w:w="680" w:type="dxa"/>
            <w:noWrap/>
            <w:vAlign w:val="center"/>
            <w:hideMark/>
          </w:tcPr>
          <w:p w14:paraId="5849B7E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28.4</w:t>
            </w:r>
          </w:p>
        </w:tc>
        <w:tc>
          <w:tcPr>
            <w:tcW w:w="822" w:type="dxa"/>
            <w:noWrap/>
            <w:vAlign w:val="center"/>
            <w:hideMark/>
          </w:tcPr>
          <w:p w14:paraId="1F2089D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(373)</w:t>
            </w:r>
          </w:p>
        </w:tc>
        <w:tc>
          <w:tcPr>
            <w:tcW w:w="680" w:type="dxa"/>
            <w:noWrap/>
            <w:vAlign w:val="center"/>
            <w:hideMark/>
          </w:tcPr>
          <w:p w14:paraId="3E55833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16.6</w:t>
            </w:r>
          </w:p>
        </w:tc>
        <w:tc>
          <w:tcPr>
            <w:tcW w:w="822" w:type="dxa"/>
            <w:noWrap/>
            <w:vAlign w:val="center"/>
            <w:hideMark/>
          </w:tcPr>
          <w:p w14:paraId="71974A4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(104)</w:t>
            </w:r>
          </w:p>
        </w:tc>
        <w:tc>
          <w:tcPr>
            <w:tcW w:w="680" w:type="dxa"/>
            <w:noWrap/>
            <w:vAlign w:val="center"/>
            <w:hideMark/>
          </w:tcPr>
          <w:p w14:paraId="5408ED8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59.2</w:t>
            </w:r>
          </w:p>
        </w:tc>
        <w:tc>
          <w:tcPr>
            <w:tcW w:w="822" w:type="dxa"/>
            <w:noWrap/>
            <w:vAlign w:val="center"/>
            <w:hideMark/>
          </w:tcPr>
          <w:p w14:paraId="758CC07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(1,863)</w:t>
            </w:r>
          </w:p>
        </w:tc>
      </w:tr>
      <w:tr w:rsidR="00F021B0" w14:paraId="7C49A762" w14:textId="77777777" w:rsidTr="00F021B0">
        <w:trPr>
          <w:trHeight w:val="290"/>
        </w:trPr>
        <w:tc>
          <w:tcPr>
            <w:tcW w:w="2295" w:type="dxa"/>
            <w:noWrap/>
            <w:vAlign w:val="center"/>
            <w:hideMark/>
          </w:tcPr>
          <w:p w14:paraId="1897851B"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High</w:t>
            </w:r>
          </w:p>
        </w:tc>
        <w:tc>
          <w:tcPr>
            <w:tcW w:w="737" w:type="dxa"/>
            <w:noWrap/>
            <w:vAlign w:val="center"/>
            <w:hideMark/>
          </w:tcPr>
          <w:p w14:paraId="07DA08B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26.5</w:t>
            </w:r>
          </w:p>
        </w:tc>
        <w:tc>
          <w:tcPr>
            <w:tcW w:w="895" w:type="dxa"/>
            <w:tcBorders>
              <w:top w:val="nil"/>
              <w:left w:val="nil"/>
              <w:bottom w:val="nil"/>
              <w:right w:val="single" w:sz="4" w:space="0" w:color="auto"/>
            </w:tcBorders>
            <w:noWrap/>
            <w:vAlign w:val="center"/>
            <w:hideMark/>
          </w:tcPr>
          <w:p w14:paraId="528D3F41"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(6,867)</w:t>
            </w:r>
          </w:p>
        </w:tc>
        <w:tc>
          <w:tcPr>
            <w:tcW w:w="680" w:type="dxa"/>
            <w:tcBorders>
              <w:top w:val="nil"/>
              <w:left w:val="single" w:sz="4" w:space="0" w:color="auto"/>
              <w:bottom w:val="nil"/>
              <w:right w:val="nil"/>
            </w:tcBorders>
            <w:noWrap/>
            <w:vAlign w:val="center"/>
            <w:hideMark/>
          </w:tcPr>
          <w:p w14:paraId="0FC0743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12.9</w:t>
            </w:r>
          </w:p>
        </w:tc>
        <w:tc>
          <w:tcPr>
            <w:tcW w:w="895" w:type="dxa"/>
            <w:noWrap/>
            <w:vAlign w:val="center"/>
            <w:hideMark/>
          </w:tcPr>
          <w:p w14:paraId="6537F08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(1,533)</w:t>
            </w:r>
          </w:p>
        </w:tc>
        <w:tc>
          <w:tcPr>
            <w:tcW w:w="680" w:type="dxa"/>
            <w:noWrap/>
            <w:vAlign w:val="center"/>
            <w:hideMark/>
          </w:tcPr>
          <w:p w14:paraId="2E14010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53.5</w:t>
            </w:r>
          </w:p>
        </w:tc>
        <w:tc>
          <w:tcPr>
            <w:tcW w:w="822" w:type="dxa"/>
            <w:noWrap/>
            <w:vAlign w:val="center"/>
            <w:hideMark/>
          </w:tcPr>
          <w:p w14:paraId="50783F0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(1,021)</w:t>
            </w:r>
          </w:p>
        </w:tc>
        <w:tc>
          <w:tcPr>
            <w:tcW w:w="680" w:type="dxa"/>
            <w:noWrap/>
            <w:vAlign w:val="center"/>
            <w:hideMark/>
          </w:tcPr>
          <w:p w14:paraId="30171FC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26.2</w:t>
            </w:r>
          </w:p>
        </w:tc>
        <w:tc>
          <w:tcPr>
            <w:tcW w:w="822" w:type="dxa"/>
            <w:noWrap/>
            <w:vAlign w:val="center"/>
            <w:hideMark/>
          </w:tcPr>
          <w:p w14:paraId="022AD12A"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(1,562)</w:t>
            </w:r>
          </w:p>
        </w:tc>
        <w:tc>
          <w:tcPr>
            <w:tcW w:w="680" w:type="dxa"/>
            <w:noWrap/>
            <w:vAlign w:val="center"/>
            <w:hideMark/>
          </w:tcPr>
          <w:p w14:paraId="3FA6F0C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49.5</w:t>
            </w:r>
          </w:p>
        </w:tc>
        <w:tc>
          <w:tcPr>
            <w:tcW w:w="793" w:type="dxa"/>
            <w:noWrap/>
            <w:vAlign w:val="center"/>
            <w:hideMark/>
          </w:tcPr>
          <w:p w14:paraId="026EF44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(541)</w:t>
            </w:r>
          </w:p>
        </w:tc>
        <w:tc>
          <w:tcPr>
            <w:tcW w:w="680" w:type="dxa"/>
            <w:noWrap/>
            <w:vAlign w:val="center"/>
            <w:hideMark/>
          </w:tcPr>
          <w:p w14:paraId="759F3D2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63.2</w:t>
            </w:r>
          </w:p>
        </w:tc>
        <w:tc>
          <w:tcPr>
            <w:tcW w:w="822" w:type="dxa"/>
            <w:noWrap/>
            <w:vAlign w:val="center"/>
            <w:hideMark/>
          </w:tcPr>
          <w:p w14:paraId="78FA2C2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(831)</w:t>
            </w:r>
          </w:p>
        </w:tc>
        <w:tc>
          <w:tcPr>
            <w:tcW w:w="680" w:type="dxa"/>
            <w:noWrap/>
            <w:vAlign w:val="center"/>
            <w:hideMark/>
          </w:tcPr>
          <w:p w14:paraId="307CD86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78.1</w:t>
            </w:r>
          </w:p>
        </w:tc>
        <w:tc>
          <w:tcPr>
            <w:tcW w:w="822" w:type="dxa"/>
            <w:noWrap/>
            <w:vAlign w:val="center"/>
            <w:hideMark/>
          </w:tcPr>
          <w:p w14:paraId="40874B4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(488)</w:t>
            </w:r>
          </w:p>
        </w:tc>
        <w:tc>
          <w:tcPr>
            <w:tcW w:w="680" w:type="dxa"/>
            <w:noWrap/>
            <w:vAlign w:val="center"/>
            <w:hideMark/>
          </w:tcPr>
          <w:p w14:paraId="215FA46F"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28.3</w:t>
            </w:r>
          </w:p>
        </w:tc>
        <w:tc>
          <w:tcPr>
            <w:tcW w:w="822" w:type="dxa"/>
            <w:noWrap/>
            <w:vAlign w:val="center"/>
            <w:hideMark/>
          </w:tcPr>
          <w:p w14:paraId="6D33EE4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(891)</w:t>
            </w:r>
          </w:p>
        </w:tc>
      </w:tr>
      <w:tr w:rsidR="00F021B0" w14:paraId="27A1CFE5" w14:textId="77777777" w:rsidTr="00F021B0">
        <w:trPr>
          <w:trHeight w:val="240"/>
        </w:trPr>
        <w:tc>
          <w:tcPr>
            <w:tcW w:w="2295" w:type="dxa"/>
            <w:noWrap/>
            <w:vAlign w:val="center"/>
            <w:hideMark/>
          </w:tcPr>
          <w:p w14:paraId="30A7496C"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1CB8809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1.7</w:t>
            </w:r>
          </w:p>
        </w:tc>
        <w:tc>
          <w:tcPr>
            <w:tcW w:w="895" w:type="dxa"/>
            <w:tcBorders>
              <w:top w:val="nil"/>
              <w:left w:val="nil"/>
              <w:bottom w:val="nil"/>
              <w:right w:val="single" w:sz="4" w:space="0" w:color="auto"/>
            </w:tcBorders>
            <w:noWrap/>
            <w:vAlign w:val="center"/>
            <w:hideMark/>
          </w:tcPr>
          <w:p w14:paraId="6D29D7DA"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(457)</w:t>
            </w:r>
          </w:p>
        </w:tc>
        <w:tc>
          <w:tcPr>
            <w:tcW w:w="680" w:type="dxa"/>
            <w:tcBorders>
              <w:top w:val="nil"/>
              <w:left w:val="single" w:sz="4" w:space="0" w:color="auto"/>
              <w:bottom w:val="nil"/>
              <w:right w:val="nil"/>
            </w:tcBorders>
            <w:noWrap/>
            <w:vAlign w:val="center"/>
            <w:hideMark/>
          </w:tcPr>
          <w:p w14:paraId="794AAC78"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0.6</w:t>
            </w:r>
          </w:p>
        </w:tc>
        <w:tc>
          <w:tcPr>
            <w:tcW w:w="895" w:type="dxa"/>
            <w:noWrap/>
            <w:vAlign w:val="center"/>
            <w:hideMark/>
          </w:tcPr>
          <w:p w14:paraId="40C7758C"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(70)</w:t>
            </w:r>
          </w:p>
        </w:tc>
        <w:tc>
          <w:tcPr>
            <w:tcW w:w="680" w:type="dxa"/>
            <w:noWrap/>
            <w:vAlign w:val="center"/>
            <w:hideMark/>
          </w:tcPr>
          <w:p w14:paraId="3EF562BC"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3.6</w:t>
            </w:r>
          </w:p>
        </w:tc>
        <w:tc>
          <w:tcPr>
            <w:tcW w:w="822" w:type="dxa"/>
            <w:noWrap/>
            <w:vAlign w:val="center"/>
            <w:hideMark/>
          </w:tcPr>
          <w:p w14:paraId="66D9AF32"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(71)</w:t>
            </w:r>
          </w:p>
        </w:tc>
        <w:tc>
          <w:tcPr>
            <w:tcW w:w="680" w:type="dxa"/>
            <w:noWrap/>
            <w:vAlign w:val="center"/>
            <w:hideMark/>
          </w:tcPr>
          <w:p w14:paraId="4822F664"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4.4</w:t>
            </w:r>
          </w:p>
        </w:tc>
        <w:tc>
          <w:tcPr>
            <w:tcW w:w="822" w:type="dxa"/>
            <w:noWrap/>
            <w:vAlign w:val="center"/>
            <w:hideMark/>
          </w:tcPr>
          <w:p w14:paraId="00534362"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(275)</w:t>
            </w:r>
          </w:p>
        </w:tc>
        <w:tc>
          <w:tcPr>
            <w:tcW w:w="680" w:type="dxa"/>
            <w:noWrap/>
            <w:vAlign w:val="center"/>
            <w:hideMark/>
          </w:tcPr>
          <w:p w14:paraId="154CAD0B"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2.4</w:t>
            </w:r>
          </w:p>
        </w:tc>
        <w:tc>
          <w:tcPr>
            <w:tcW w:w="793" w:type="dxa"/>
            <w:noWrap/>
            <w:vAlign w:val="center"/>
            <w:hideMark/>
          </w:tcPr>
          <w:p w14:paraId="39973971"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(27)</w:t>
            </w:r>
          </w:p>
        </w:tc>
        <w:tc>
          <w:tcPr>
            <w:tcW w:w="680" w:type="dxa"/>
            <w:noWrap/>
            <w:vAlign w:val="center"/>
            <w:hideMark/>
          </w:tcPr>
          <w:p w14:paraId="79837FF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0.0</w:t>
            </w:r>
          </w:p>
        </w:tc>
        <w:tc>
          <w:tcPr>
            <w:tcW w:w="822" w:type="dxa"/>
            <w:noWrap/>
            <w:vAlign w:val="center"/>
            <w:hideMark/>
          </w:tcPr>
          <w:p w14:paraId="44D129EE"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(0)</w:t>
            </w:r>
          </w:p>
        </w:tc>
        <w:tc>
          <w:tcPr>
            <w:tcW w:w="680" w:type="dxa"/>
            <w:noWrap/>
            <w:vAlign w:val="center"/>
            <w:hideMark/>
          </w:tcPr>
          <w:p w14:paraId="27426B66"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1.0</w:t>
            </w:r>
          </w:p>
        </w:tc>
        <w:tc>
          <w:tcPr>
            <w:tcW w:w="822" w:type="dxa"/>
            <w:noWrap/>
            <w:vAlign w:val="center"/>
            <w:hideMark/>
          </w:tcPr>
          <w:p w14:paraId="3A1EFD06"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(6)</w:t>
            </w:r>
          </w:p>
        </w:tc>
        <w:tc>
          <w:tcPr>
            <w:tcW w:w="680" w:type="dxa"/>
            <w:noWrap/>
            <w:vAlign w:val="center"/>
            <w:hideMark/>
          </w:tcPr>
          <w:p w14:paraId="51DDA845"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0.3</w:t>
            </w:r>
          </w:p>
        </w:tc>
        <w:tc>
          <w:tcPr>
            <w:tcW w:w="822" w:type="dxa"/>
            <w:noWrap/>
            <w:vAlign w:val="center"/>
            <w:hideMark/>
          </w:tcPr>
          <w:p w14:paraId="3F8D37C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(8)</w:t>
            </w:r>
          </w:p>
        </w:tc>
      </w:tr>
      <w:tr w:rsidR="00F021B0" w14:paraId="7B46F0E7" w14:textId="77777777" w:rsidTr="00F021B0">
        <w:trPr>
          <w:trHeight w:val="290"/>
        </w:trPr>
        <w:tc>
          <w:tcPr>
            <w:tcW w:w="2295" w:type="dxa"/>
            <w:noWrap/>
            <w:vAlign w:val="center"/>
            <w:hideMark/>
          </w:tcPr>
          <w:p w14:paraId="05B14EAD" w14:textId="77777777" w:rsidR="00F021B0" w:rsidRDefault="00F021B0">
            <w:pPr>
              <w:spacing w:line="276" w:lineRule="auto"/>
              <w:jc w:val="left"/>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Household income</w:t>
            </w:r>
          </w:p>
        </w:tc>
        <w:tc>
          <w:tcPr>
            <w:tcW w:w="737" w:type="dxa"/>
            <w:noWrap/>
            <w:vAlign w:val="center"/>
          </w:tcPr>
          <w:p w14:paraId="7E23E516" w14:textId="77777777" w:rsidR="00F021B0" w:rsidRDefault="00F021B0">
            <w:pPr>
              <w:spacing w:line="276" w:lineRule="auto"/>
              <w:jc w:val="right"/>
              <w:rPr>
                <w:rFonts w:eastAsia="Times New Roman"/>
                <w:sz w:val="20"/>
                <w:szCs w:val="20"/>
                <w:lang w:val="en-GB" w:eastAsia="en-GB"/>
              </w:rPr>
            </w:pPr>
          </w:p>
        </w:tc>
        <w:tc>
          <w:tcPr>
            <w:tcW w:w="895" w:type="dxa"/>
            <w:tcBorders>
              <w:top w:val="nil"/>
              <w:left w:val="nil"/>
              <w:bottom w:val="nil"/>
              <w:right w:val="single" w:sz="4" w:space="0" w:color="auto"/>
            </w:tcBorders>
            <w:noWrap/>
            <w:vAlign w:val="center"/>
          </w:tcPr>
          <w:p w14:paraId="42187D92" w14:textId="77777777" w:rsidR="00F021B0" w:rsidRDefault="00F021B0">
            <w:pPr>
              <w:spacing w:line="276" w:lineRule="auto"/>
              <w:jc w:val="left"/>
              <w:rPr>
                <w:rFonts w:eastAsia="Times New Roman"/>
                <w:sz w:val="20"/>
                <w:szCs w:val="20"/>
                <w:lang w:val="en-GB" w:eastAsia="en-GB"/>
              </w:rPr>
            </w:pPr>
          </w:p>
        </w:tc>
        <w:tc>
          <w:tcPr>
            <w:tcW w:w="680" w:type="dxa"/>
            <w:tcBorders>
              <w:top w:val="nil"/>
              <w:left w:val="single" w:sz="4" w:space="0" w:color="auto"/>
              <w:bottom w:val="nil"/>
              <w:right w:val="nil"/>
            </w:tcBorders>
            <w:noWrap/>
            <w:vAlign w:val="center"/>
          </w:tcPr>
          <w:p w14:paraId="40961831"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592AD495"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B2A4E97"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115D75E"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3DF3E2D4"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051A2E7"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66E34C96"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38FDFA1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26F6DBE"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7D1C667"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5B50FA0"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E252C0E"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317F5DB"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93FAFC5" w14:textId="77777777" w:rsidR="00F021B0" w:rsidRDefault="00F021B0">
            <w:pPr>
              <w:spacing w:line="276" w:lineRule="auto"/>
              <w:jc w:val="left"/>
              <w:rPr>
                <w:rFonts w:eastAsia="Times New Roman"/>
                <w:sz w:val="20"/>
                <w:szCs w:val="20"/>
                <w:lang w:val="en-GB" w:eastAsia="en-GB"/>
              </w:rPr>
            </w:pPr>
          </w:p>
        </w:tc>
      </w:tr>
      <w:tr w:rsidR="00F021B0" w14:paraId="662DB1D3" w14:textId="77777777" w:rsidTr="00F021B0">
        <w:trPr>
          <w:trHeight w:val="290"/>
        </w:trPr>
        <w:tc>
          <w:tcPr>
            <w:tcW w:w="2295" w:type="dxa"/>
            <w:noWrap/>
            <w:vAlign w:val="center"/>
            <w:hideMark/>
          </w:tcPr>
          <w:p w14:paraId="6B94D40A" w14:textId="77777777" w:rsidR="00F021B0" w:rsidRDefault="00F021B0">
            <w:pPr>
              <w:spacing w:line="276" w:lineRule="auto"/>
              <w:ind w:left="181"/>
              <w:jc w:val="left"/>
              <w:rPr>
                <w:rFonts w:asciiTheme="minorHAnsi" w:eastAsia="Times New Roman" w:hAnsiTheme="minorHAnsi" w:cstheme="minorHAnsi"/>
                <w:i/>
                <w:iCs/>
                <w:color w:val="000000"/>
                <w:sz w:val="20"/>
                <w:szCs w:val="20"/>
                <w:lang w:val="en-GB" w:eastAsia="en-GB"/>
              </w:rPr>
            </w:pPr>
            <w:r>
              <w:rPr>
                <w:rFonts w:ascii="Calibri" w:eastAsia="Times New Roman" w:hAnsi="Calibri" w:cs="Calibri"/>
                <w:color w:val="000000"/>
                <w:sz w:val="20"/>
                <w:szCs w:val="20"/>
                <w:lang w:val="en-GB" w:eastAsia="en-GB"/>
              </w:rPr>
              <w:t>Low</w:t>
            </w:r>
          </w:p>
        </w:tc>
        <w:tc>
          <w:tcPr>
            <w:tcW w:w="737" w:type="dxa"/>
            <w:noWrap/>
            <w:vAlign w:val="center"/>
            <w:hideMark/>
          </w:tcPr>
          <w:p w14:paraId="479762DE" w14:textId="77777777" w:rsidR="00F021B0" w:rsidRDefault="00F021B0">
            <w:pPr>
              <w:spacing w:line="276" w:lineRule="auto"/>
              <w:jc w:val="right"/>
              <w:rPr>
                <w:rFonts w:asciiTheme="minorHAnsi" w:eastAsia="Times New Roman" w:hAnsiTheme="minorHAnsi" w:cstheme="minorHAnsi"/>
                <w:sz w:val="20"/>
                <w:szCs w:val="20"/>
                <w:lang w:val="en-GB" w:eastAsia="en-GB"/>
              </w:rPr>
            </w:pPr>
            <w:r>
              <w:rPr>
                <w:rFonts w:asciiTheme="minorHAnsi" w:hAnsiTheme="minorHAnsi" w:cstheme="minorHAnsi"/>
                <w:b/>
                <w:bCs/>
                <w:color w:val="000000"/>
                <w:sz w:val="20"/>
                <w:szCs w:val="20"/>
              </w:rPr>
              <w:t>32.2</w:t>
            </w:r>
          </w:p>
        </w:tc>
        <w:tc>
          <w:tcPr>
            <w:tcW w:w="895" w:type="dxa"/>
            <w:tcBorders>
              <w:top w:val="nil"/>
              <w:left w:val="nil"/>
              <w:bottom w:val="nil"/>
              <w:right w:val="single" w:sz="4" w:space="0" w:color="auto"/>
            </w:tcBorders>
            <w:noWrap/>
            <w:vAlign w:val="center"/>
            <w:hideMark/>
          </w:tcPr>
          <w:p w14:paraId="15B8B365" w14:textId="77777777" w:rsidR="00F021B0" w:rsidRDefault="00F021B0">
            <w:pPr>
              <w:spacing w:line="276" w:lineRule="auto"/>
              <w:jc w:val="left"/>
              <w:rPr>
                <w:rFonts w:asciiTheme="minorHAnsi" w:eastAsia="Times New Roman" w:hAnsiTheme="minorHAnsi" w:cstheme="minorHAnsi"/>
                <w:sz w:val="20"/>
                <w:szCs w:val="20"/>
                <w:lang w:val="en-GB" w:eastAsia="en-GB"/>
              </w:rPr>
            </w:pPr>
            <w:r>
              <w:rPr>
                <w:rFonts w:asciiTheme="minorHAnsi" w:hAnsiTheme="minorHAnsi" w:cstheme="minorHAnsi"/>
                <w:color w:val="000000"/>
                <w:sz w:val="20"/>
                <w:szCs w:val="20"/>
              </w:rPr>
              <w:t>(5,563)</w:t>
            </w:r>
          </w:p>
        </w:tc>
        <w:tc>
          <w:tcPr>
            <w:tcW w:w="680" w:type="dxa"/>
            <w:tcBorders>
              <w:top w:val="nil"/>
              <w:left w:val="single" w:sz="4" w:space="0" w:color="auto"/>
              <w:bottom w:val="nil"/>
              <w:right w:val="nil"/>
            </w:tcBorders>
            <w:noWrap/>
            <w:vAlign w:val="center"/>
            <w:hideMark/>
          </w:tcPr>
          <w:p w14:paraId="69C6EDE0"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33.7</w:t>
            </w:r>
          </w:p>
        </w:tc>
        <w:tc>
          <w:tcPr>
            <w:tcW w:w="895" w:type="dxa"/>
            <w:noWrap/>
            <w:vAlign w:val="center"/>
            <w:hideMark/>
          </w:tcPr>
          <w:p w14:paraId="0FA08F75"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(3,101)</w:t>
            </w:r>
          </w:p>
        </w:tc>
        <w:tc>
          <w:tcPr>
            <w:tcW w:w="680" w:type="dxa"/>
            <w:noWrap/>
            <w:vAlign w:val="center"/>
            <w:hideMark/>
          </w:tcPr>
          <w:p w14:paraId="1DAC3041"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46.7</w:t>
            </w:r>
          </w:p>
        </w:tc>
        <w:tc>
          <w:tcPr>
            <w:tcW w:w="822" w:type="dxa"/>
            <w:noWrap/>
            <w:vAlign w:val="center"/>
            <w:hideMark/>
          </w:tcPr>
          <w:p w14:paraId="71C402A7"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(892)</w:t>
            </w:r>
          </w:p>
        </w:tc>
        <w:tc>
          <w:tcPr>
            <w:tcW w:w="680" w:type="dxa"/>
            <w:noWrap/>
            <w:vAlign w:val="center"/>
            <w:hideMark/>
          </w:tcPr>
          <w:p w14:paraId="07A6C718"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21.1</w:t>
            </w:r>
          </w:p>
        </w:tc>
        <w:tc>
          <w:tcPr>
            <w:tcW w:w="822" w:type="dxa"/>
            <w:noWrap/>
            <w:vAlign w:val="center"/>
            <w:hideMark/>
          </w:tcPr>
          <w:p w14:paraId="2430921A"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(1,091)</w:t>
            </w:r>
          </w:p>
        </w:tc>
        <w:tc>
          <w:tcPr>
            <w:tcW w:w="680" w:type="dxa"/>
            <w:noWrap/>
            <w:vAlign w:val="center"/>
            <w:hideMark/>
          </w:tcPr>
          <w:p w14:paraId="7661B3A1"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47.6</w:t>
            </w:r>
          </w:p>
        </w:tc>
        <w:tc>
          <w:tcPr>
            <w:tcW w:w="793" w:type="dxa"/>
            <w:noWrap/>
            <w:vAlign w:val="center"/>
            <w:hideMark/>
          </w:tcPr>
          <w:p w14:paraId="1D350C92"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(479)</w:t>
            </w:r>
          </w:p>
        </w:tc>
        <w:tc>
          <w:tcPr>
            <w:tcW w:w="1502" w:type="dxa"/>
            <w:gridSpan w:val="2"/>
            <w:noWrap/>
            <w:vAlign w:val="center"/>
            <w:hideMark/>
          </w:tcPr>
          <w:p w14:paraId="172FF1DE"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255E874D"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36794A8C"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r>
      <w:tr w:rsidR="00F021B0" w14:paraId="7B182F83" w14:textId="77777777" w:rsidTr="00F021B0">
        <w:trPr>
          <w:trHeight w:val="290"/>
        </w:trPr>
        <w:tc>
          <w:tcPr>
            <w:tcW w:w="2295" w:type="dxa"/>
            <w:noWrap/>
            <w:vAlign w:val="center"/>
            <w:hideMark/>
          </w:tcPr>
          <w:p w14:paraId="020BEB1C" w14:textId="77777777" w:rsidR="00F021B0" w:rsidRDefault="00F021B0">
            <w:pPr>
              <w:spacing w:line="276" w:lineRule="auto"/>
              <w:ind w:left="181"/>
              <w:jc w:val="left"/>
              <w:rPr>
                <w:rFonts w:asciiTheme="minorHAnsi" w:eastAsia="Times New Roman" w:hAnsiTheme="minorHAnsi" w:cstheme="minorHAnsi"/>
                <w:i/>
                <w:iCs/>
                <w:color w:val="000000"/>
                <w:sz w:val="20"/>
                <w:szCs w:val="20"/>
                <w:lang w:val="en-GB" w:eastAsia="en-GB"/>
              </w:rPr>
            </w:pPr>
            <w:r>
              <w:rPr>
                <w:rFonts w:ascii="Calibri" w:eastAsia="Times New Roman" w:hAnsi="Calibri" w:cs="Calibri"/>
                <w:color w:val="000000"/>
                <w:sz w:val="20"/>
                <w:szCs w:val="20"/>
                <w:lang w:val="en-GB" w:eastAsia="en-GB"/>
              </w:rPr>
              <w:t>Medium</w:t>
            </w:r>
          </w:p>
        </w:tc>
        <w:tc>
          <w:tcPr>
            <w:tcW w:w="737" w:type="dxa"/>
            <w:noWrap/>
            <w:vAlign w:val="center"/>
            <w:hideMark/>
          </w:tcPr>
          <w:p w14:paraId="1E474387" w14:textId="77777777" w:rsidR="00F021B0" w:rsidRDefault="00F021B0">
            <w:pPr>
              <w:spacing w:line="276" w:lineRule="auto"/>
              <w:jc w:val="right"/>
              <w:rPr>
                <w:rFonts w:asciiTheme="minorHAnsi" w:eastAsia="Times New Roman" w:hAnsiTheme="minorHAnsi" w:cstheme="minorHAnsi"/>
                <w:sz w:val="20"/>
                <w:szCs w:val="20"/>
                <w:lang w:val="en-GB" w:eastAsia="en-GB"/>
              </w:rPr>
            </w:pPr>
            <w:r>
              <w:rPr>
                <w:rFonts w:asciiTheme="minorHAnsi" w:hAnsiTheme="minorHAnsi" w:cstheme="minorHAnsi"/>
                <w:b/>
                <w:bCs/>
                <w:color w:val="000000"/>
                <w:sz w:val="20"/>
                <w:szCs w:val="20"/>
              </w:rPr>
              <w:t>28.2</w:t>
            </w:r>
          </w:p>
        </w:tc>
        <w:tc>
          <w:tcPr>
            <w:tcW w:w="895" w:type="dxa"/>
            <w:tcBorders>
              <w:top w:val="nil"/>
              <w:left w:val="nil"/>
              <w:bottom w:val="nil"/>
              <w:right w:val="single" w:sz="4" w:space="0" w:color="auto"/>
            </w:tcBorders>
            <w:noWrap/>
            <w:vAlign w:val="center"/>
            <w:hideMark/>
          </w:tcPr>
          <w:p w14:paraId="2EF647EC" w14:textId="77777777" w:rsidR="00F021B0" w:rsidRDefault="00F021B0">
            <w:pPr>
              <w:spacing w:line="276" w:lineRule="auto"/>
              <w:jc w:val="left"/>
              <w:rPr>
                <w:rFonts w:asciiTheme="minorHAnsi" w:eastAsia="Times New Roman" w:hAnsiTheme="minorHAnsi" w:cstheme="minorHAnsi"/>
                <w:sz w:val="20"/>
                <w:szCs w:val="20"/>
                <w:lang w:val="en-GB" w:eastAsia="en-GB"/>
              </w:rPr>
            </w:pPr>
            <w:r>
              <w:rPr>
                <w:rFonts w:asciiTheme="minorHAnsi" w:hAnsiTheme="minorHAnsi" w:cstheme="minorHAnsi"/>
                <w:color w:val="000000"/>
                <w:sz w:val="20"/>
                <w:szCs w:val="20"/>
              </w:rPr>
              <w:t>(4,877)</w:t>
            </w:r>
          </w:p>
        </w:tc>
        <w:tc>
          <w:tcPr>
            <w:tcW w:w="680" w:type="dxa"/>
            <w:tcBorders>
              <w:top w:val="nil"/>
              <w:left w:val="single" w:sz="4" w:space="0" w:color="auto"/>
              <w:bottom w:val="nil"/>
              <w:right w:val="nil"/>
            </w:tcBorders>
            <w:noWrap/>
            <w:vAlign w:val="center"/>
            <w:hideMark/>
          </w:tcPr>
          <w:p w14:paraId="3931E3DB"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33.0</w:t>
            </w:r>
          </w:p>
        </w:tc>
        <w:tc>
          <w:tcPr>
            <w:tcW w:w="895" w:type="dxa"/>
            <w:noWrap/>
            <w:vAlign w:val="center"/>
            <w:hideMark/>
          </w:tcPr>
          <w:p w14:paraId="49FF0819"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(3,041)</w:t>
            </w:r>
          </w:p>
        </w:tc>
        <w:tc>
          <w:tcPr>
            <w:tcW w:w="680" w:type="dxa"/>
            <w:noWrap/>
            <w:vAlign w:val="center"/>
            <w:hideMark/>
          </w:tcPr>
          <w:p w14:paraId="57E6821E"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26.2</w:t>
            </w:r>
          </w:p>
        </w:tc>
        <w:tc>
          <w:tcPr>
            <w:tcW w:w="822" w:type="dxa"/>
            <w:noWrap/>
            <w:vAlign w:val="center"/>
            <w:hideMark/>
          </w:tcPr>
          <w:p w14:paraId="411AAD56"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(501)</w:t>
            </w:r>
          </w:p>
        </w:tc>
        <w:tc>
          <w:tcPr>
            <w:tcW w:w="680" w:type="dxa"/>
            <w:noWrap/>
            <w:vAlign w:val="center"/>
            <w:hideMark/>
          </w:tcPr>
          <w:p w14:paraId="3778A06C"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19.5</w:t>
            </w:r>
          </w:p>
        </w:tc>
        <w:tc>
          <w:tcPr>
            <w:tcW w:w="822" w:type="dxa"/>
            <w:noWrap/>
            <w:vAlign w:val="center"/>
            <w:hideMark/>
          </w:tcPr>
          <w:p w14:paraId="29AF2375"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(1,008)</w:t>
            </w:r>
          </w:p>
        </w:tc>
        <w:tc>
          <w:tcPr>
            <w:tcW w:w="680" w:type="dxa"/>
            <w:noWrap/>
            <w:vAlign w:val="center"/>
            <w:hideMark/>
          </w:tcPr>
          <w:p w14:paraId="3EEFF946"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32.5</w:t>
            </w:r>
          </w:p>
        </w:tc>
        <w:tc>
          <w:tcPr>
            <w:tcW w:w="793" w:type="dxa"/>
            <w:noWrap/>
            <w:vAlign w:val="center"/>
            <w:hideMark/>
          </w:tcPr>
          <w:p w14:paraId="173ACDFF"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(327)</w:t>
            </w:r>
          </w:p>
        </w:tc>
        <w:tc>
          <w:tcPr>
            <w:tcW w:w="1502" w:type="dxa"/>
            <w:gridSpan w:val="2"/>
            <w:noWrap/>
            <w:vAlign w:val="center"/>
            <w:hideMark/>
          </w:tcPr>
          <w:p w14:paraId="45FD61C4"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249C6389"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1EA3559D"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r>
      <w:tr w:rsidR="00F021B0" w14:paraId="4041B1CB" w14:textId="77777777" w:rsidTr="00F021B0">
        <w:trPr>
          <w:trHeight w:val="290"/>
        </w:trPr>
        <w:tc>
          <w:tcPr>
            <w:tcW w:w="2295" w:type="dxa"/>
            <w:noWrap/>
            <w:vAlign w:val="center"/>
            <w:hideMark/>
          </w:tcPr>
          <w:p w14:paraId="69E3BFBB" w14:textId="77777777" w:rsidR="00F021B0" w:rsidRDefault="00F021B0">
            <w:pPr>
              <w:spacing w:line="276" w:lineRule="auto"/>
              <w:ind w:left="181"/>
              <w:jc w:val="left"/>
              <w:rPr>
                <w:rFonts w:asciiTheme="minorHAnsi" w:eastAsia="Times New Roman" w:hAnsiTheme="minorHAnsi" w:cstheme="minorHAnsi"/>
                <w:i/>
                <w:iCs/>
                <w:color w:val="000000"/>
                <w:sz w:val="20"/>
                <w:szCs w:val="20"/>
                <w:lang w:val="en-GB" w:eastAsia="en-GB"/>
              </w:rPr>
            </w:pPr>
            <w:r>
              <w:rPr>
                <w:rFonts w:ascii="Calibri" w:eastAsia="Times New Roman" w:hAnsi="Calibri" w:cs="Calibri"/>
                <w:color w:val="000000"/>
                <w:sz w:val="20"/>
                <w:szCs w:val="20"/>
                <w:lang w:val="en-GB" w:eastAsia="en-GB"/>
              </w:rPr>
              <w:t>High</w:t>
            </w:r>
          </w:p>
        </w:tc>
        <w:tc>
          <w:tcPr>
            <w:tcW w:w="737" w:type="dxa"/>
            <w:noWrap/>
            <w:vAlign w:val="center"/>
            <w:hideMark/>
          </w:tcPr>
          <w:p w14:paraId="613F4E9C" w14:textId="77777777" w:rsidR="00F021B0" w:rsidRDefault="00F021B0">
            <w:pPr>
              <w:spacing w:line="276" w:lineRule="auto"/>
              <w:jc w:val="right"/>
              <w:rPr>
                <w:rFonts w:asciiTheme="minorHAnsi" w:eastAsia="Times New Roman" w:hAnsiTheme="minorHAnsi" w:cstheme="minorHAnsi"/>
                <w:sz w:val="20"/>
                <w:szCs w:val="20"/>
                <w:lang w:val="en-GB" w:eastAsia="en-GB"/>
              </w:rPr>
            </w:pPr>
            <w:r>
              <w:rPr>
                <w:rFonts w:asciiTheme="minorHAnsi" w:hAnsiTheme="minorHAnsi" w:cstheme="minorHAnsi"/>
                <w:b/>
                <w:bCs/>
                <w:color w:val="000000"/>
                <w:sz w:val="20"/>
                <w:szCs w:val="20"/>
              </w:rPr>
              <w:t>39.6</w:t>
            </w:r>
          </w:p>
        </w:tc>
        <w:tc>
          <w:tcPr>
            <w:tcW w:w="895" w:type="dxa"/>
            <w:tcBorders>
              <w:top w:val="nil"/>
              <w:left w:val="nil"/>
              <w:bottom w:val="nil"/>
              <w:right w:val="single" w:sz="4" w:space="0" w:color="auto"/>
            </w:tcBorders>
            <w:noWrap/>
            <w:vAlign w:val="center"/>
            <w:hideMark/>
          </w:tcPr>
          <w:p w14:paraId="54B7A32B" w14:textId="77777777" w:rsidR="00F021B0" w:rsidRDefault="00F021B0">
            <w:pPr>
              <w:spacing w:line="276" w:lineRule="auto"/>
              <w:jc w:val="left"/>
              <w:rPr>
                <w:rFonts w:asciiTheme="minorHAnsi" w:eastAsia="Times New Roman" w:hAnsiTheme="minorHAnsi" w:cstheme="minorHAnsi"/>
                <w:sz w:val="20"/>
                <w:szCs w:val="20"/>
                <w:lang w:val="en-GB" w:eastAsia="en-GB"/>
              </w:rPr>
            </w:pPr>
            <w:r>
              <w:rPr>
                <w:rFonts w:asciiTheme="minorHAnsi" w:hAnsiTheme="minorHAnsi" w:cstheme="minorHAnsi"/>
                <w:color w:val="000000"/>
                <w:sz w:val="20"/>
                <w:szCs w:val="20"/>
              </w:rPr>
              <w:t>(6,856)</w:t>
            </w:r>
          </w:p>
        </w:tc>
        <w:tc>
          <w:tcPr>
            <w:tcW w:w="680" w:type="dxa"/>
            <w:tcBorders>
              <w:top w:val="nil"/>
              <w:left w:val="single" w:sz="4" w:space="0" w:color="auto"/>
              <w:bottom w:val="nil"/>
              <w:right w:val="nil"/>
            </w:tcBorders>
            <w:noWrap/>
            <w:vAlign w:val="center"/>
            <w:hideMark/>
          </w:tcPr>
          <w:p w14:paraId="23FB8310"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33.3</w:t>
            </w:r>
          </w:p>
        </w:tc>
        <w:tc>
          <w:tcPr>
            <w:tcW w:w="895" w:type="dxa"/>
            <w:noWrap/>
            <w:vAlign w:val="center"/>
            <w:hideMark/>
          </w:tcPr>
          <w:p w14:paraId="02DFB982"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(3,062)</w:t>
            </w:r>
          </w:p>
        </w:tc>
        <w:tc>
          <w:tcPr>
            <w:tcW w:w="680" w:type="dxa"/>
            <w:noWrap/>
            <w:vAlign w:val="center"/>
            <w:hideMark/>
          </w:tcPr>
          <w:p w14:paraId="5BDC68A5"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27.1</w:t>
            </w:r>
          </w:p>
        </w:tc>
        <w:tc>
          <w:tcPr>
            <w:tcW w:w="822" w:type="dxa"/>
            <w:noWrap/>
            <w:vAlign w:val="center"/>
            <w:hideMark/>
          </w:tcPr>
          <w:p w14:paraId="31A77988"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(517)</w:t>
            </w:r>
          </w:p>
        </w:tc>
        <w:tc>
          <w:tcPr>
            <w:tcW w:w="680" w:type="dxa"/>
            <w:noWrap/>
            <w:vAlign w:val="center"/>
            <w:hideMark/>
          </w:tcPr>
          <w:p w14:paraId="00EE1CFE"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59.4</w:t>
            </w:r>
          </w:p>
        </w:tc>
        <w:tc>
          <w:tcPr>
            <w:tcW w:w="822" w:type="dxa"/>
            <w:noWrap/>
            <w:vAlign w:val="center"/>
            <w:hideMark/>
          </w:tcPr>
          <w:p w14:paraId="49DAF3CC"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(3,077)</w:t>
            </w:r>
          </w:p>
        </w:tc>
        <w:tc>
          <w:tcPr>
            <w:tcW w:w="680" w:type="dxa"/>
            <w:noWrap/>
            <w:vAlign w:val="center"/>
            <w:hideMark/>
          </w:tcPr>
          <w:p w14:paraId="6FC7A370"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19.9</w:t>
            </w:r>
          </w:p>
        </w:tc>
        <w:tc>
          <w:tcPr>
            <w:tcW w:w="793" w:type="dxa"/>
            <w:noWrap/>
            <w:vAlign w:val="center"/>
            <w:hideMark/>
          </w:tcPr>
          <w:p w14:paraId="58D5EC2F"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(200)</w:t>
            </w:r>
          </w:p>
        </w:tc>
        <w:tc>
          <w:tcPr>
            <w:tcW w:w="1502" w:type="dxa"/>
            <w:gridSpan w:val="2"/>
            <w:noWrap/>
            <w:vAlign w:val="center"/>
            <w:hideMark/>
          </w:tcPr>
          <w:p w14:paraId="21D2A184"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288B01A6"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c>
          <w:tcPr>
            <w:tcW w:w="1502" w:type="dxa"/>
            <w:gridSpan w:val="2"/>
            <w:noWrap/>
            <w:vAlign w:val="center"/>
            <w:hideMark/>
          </w:tcPr>
          <w:p w14:paraId="77CAF5B9" w14:textId="77777777" w:rsidR="00F021B0" w:rsidRDefault="00F021B0">
            <w:pPr>
              <w:spacing w:line="276" w:lineRule="auto"/>
              <w:rPr>
                <w:rFonts w:eastAsia="Times New Roman"/>
                <w:sz w:val="16"/>
                <w:szCs w:val="16"/>
                <w:lang w:val="en-GB" w:eastAsia="en-GB"/>
              </w:rPr>
            </w:pPr>
            <w:proofErr w:type="spellStart"/>
            <w:r>
              <w:rPr>
                <w:rFonts w:ascii="Calibri" w:hAnsi="Calibri" w:cs="Calibri"/>
                <w:color w:val="000000"/>
                <w:sz w:val="16"/>
                <w:szCs w:val="16"/>
              </w:rPr>
              <w:t>n.a.</w:t>
            </w:r>
            <w:proofErr w:type="spellEnd"/>
          </w:p>
        </w:tc>
      </w:tr>
      <w:tr w:rsidR="00F021B0" w14:paraId="12A74BCC" w14:textId="77777777" w:rsidTr="00F021B0">
        <w:trPr>
          <w:trHeight w:val="290"/>
        </w:trPr>
        <w:tc>
          <w:tcPr>
            <w:tcW w:w="2295" w:type="dxa"/>
            <w:noWrap/>
            <w:vAlign w:val="center"/>
            <w:hideMark/>
          </w:tcPr>
          <w:p w14:paraId="334E8EB1" w14:textId="77777777" w:rsidR="00F021B0" w:rsidRDefault="00F021B0">
            <w:pPr>
              <w:spacing w:line="276" w:lineRule="auto"/>
              <w:ind w:left="181"/>
              <w:jc w:val="left"/>
              <w:rPr>
                <w:rFonts w:asciiTheme="minorHAnsi" w:eastAsia="Times New Roman" w:hAnsiTheme="minorHAnsi" w:cstheme="minorHAns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67C4DCE3" w14:textId="77777777" w:rsidR="00F021B0" w:rsidRDefault="00F021B0">
            <w:pPr>
              <w:spacing w:line="276" w:lineRule="auto"/>
              <w:jc w:val="right"/>
              <w:rPr>
                <w:rFonts w:asciiTheme="minorHAnsi" w:eastAsia="Times New Roman" w:hAnsiTheme="minorHAnsi" w:cstheme="minorHAnsi"/>
                <w:sz w:val="18"/>
                <w:szCs w:val="18"/>
                <w:lang w:val="en-GB" w:eastAsia="en-GB"/>
              </w:rPr>
            </w:pPr>
            <w:r>
              <w:rPr>
                <w:rFonts w:asciiTheme="minorHAnsi" w:hAnsiTheme="minorHAnsi" w:cstheme="minorHAnsi"/>
                <w:b/>
                <w:bCs/>
                <w:i/>
                <w:iCs/>
                <w:color w:val="000000"/>
                <w:sz w:val="18"/>
                <w:szCs w:val="18"/>
              </w:rPr>
              <w:t>34.5</w:t>
            </w:r>
          </w:p>
        </w:tc>
        <w:tc>
          <w:tcPr>
            <w:tcW w:w="895" w:type="dxa"/>
            <w:tcBorders>
              <w:top w:val="nil"/>
              <w:left w:val="nil"/>
              <w:bottom w:val="nil"/>
              <w:right w:val="single" w:sz="4" w:space="0" w:color="auto"/>
            </w:tcBorders>
            <w:noWrap/>
            <w:vAlign w:val="center"/>
            <w:hideMark/>
          </w:tcPr>
          <w:p w14:paraId="065AE056" w14:textId="77777777" w:rsidR="00F021B0" w:rsidRDefault="00F021B0">
            <w:pPr>
              <w:spacing w:line="276" w:lineRule="auto"/>
              <w:jc w:val="left"/>
              <w:rPr>
                <w:rFonts w:asciiTheme="minorHAnsi" w:eastAsia="Times New Roman" w:hAnsiTheme="minorHAnsi" w:cstheme="minorHAnsi"/>
                <w:sz w:val="18"/>
                <w:szCs w:val="18"/>
                <w:lang w:val="en-GB" w:eastAsia="en-GB"/>
              </w:rPr>
            </w:pPr>
            <w:r>
              <w:rPr>
                <w:rFonts w:asciiTheme="minorHAnsi" w:hAnsiTheme="minorHAnsi" w:cstheme="minorHAnsi"/>
                <w:i/>
                <w:iCs/>
                <w:color w:val="000000"/>
                <w:sz w:val="18"/>
                <w:szCs w:val="18"/>
              </w:rPr>
              <w:t>(9,114)</w:t>
            </w:r>
          </w:p>
        </w:tc>
        <w:tc>
          <w:tcPr>
            <w:tcW w:w="680" w:type="dxa"/>
            <w:tcBorders>
              <w:top w:val="nil"/>
              <w:left w:val="single" w:sz="4" w:space="0" w:color="auto"/>
              <w:bottom w:val="nil"/>
              <w:right w:val="nil"/>
            </w:tcBorders>
            <w:noWrap/>
            <w:vAlign w:val="center"/>
            <w:hideMark/>
          </w:tcPr>
          <w:p w14:paraId="675CFDFC" w14:textId="77777777" w:rsidR="00F021B0" w:rsidRDefault="00F021B0">
            <w:pPr>
              <w:spacing w:line="276" w:lineRule="auto"/>
              <w:jc w:val="right"/>
              <w:rPr>
                <w:rFonts w:eastAsia="Times New Roman"/>
                <w:sz w:val="18"/>
                <w:szCs w:val="18"/>
                <w:lang w:val="en-GB" w:eastAsia="en-GB"/>
              </w:rPr>
            </w:pPr>
            <w:r>
              <w:rPr>
                <w:rFonts w:ascii="Calibri" w:hAnsi="Calibri" w:cs="Calibri"/>
                <w:b/>
                <w:bCs/>
                <w:i/>
                <w:iCs/>
                <w:color w:val="000000"/>
                <w:sz w:val="18"/>
                <w:szCs w:val="18"/>
              </w:rPr>
              <w:t>23.1</w:t>
            </w:r>
          </w:p>
        </w:tc>
        <w:tc>
          <w:tcPr>
            <w:tcW w:w="895" w:type="dxa"/>
            <w:noWrap/>
            <w:vAlign w:val="center"/>
            <w:hideMark/>
          </w:tcPr>
          <w:p w14:paraId="758895F8" w14:textId="77777777" w:rsidR="00F021B0" w:rsidRDefault="00F021B0">
            <w:pPr>
              <w:spacing w:line="276" w:lineRule="auto"/>
              <w:jc w:val="left"/>
              <w:rPr>
                <w:rFonts w:eastAsia="Times New Roman"/>
                <w:sz w:val="18"/>
                <w:szCs w:val="18"/>
                <w:lang w:val="en-GB" w:eastAsia="en-GB"/>
              </w:rPr>
            </w:pPr>
            <w:r>
              <w:rPr>
                <w:rFonts w:ascii="Calibri" w:hAnsi="Calibri" w:cs="Calibri"/>
                <w:i/>
                <w:iCs/>
                <w:color w:val="000000"/>
                <w:sz w:val="18"/>
                <w:szCs w:val="18"/>
              </w:rPr>
              <w:t>(2,760)</w:t>
            </w:r>
          </w:p>
        </w:tc>
        <w:tc>
          <w:tcPr>
            <w:tcW w:w="680" w:type="dxa"/>
            <w:noWrap/>
            <w:vAlign w:val="center"/>
            <w:hideMark/>
          </w:tcPr>
          <w:p w14:paraId="13EE3ABD" w14:textId="77777777" w:rsidR="00F021B0" w:rsidRDefault="00F021B0">
            <w:pPr>
              <w:spacing w:line="276" w:lineRule="auto"/>
              <w:jc w:val="right"/>
              <w:rPr>
                <w:rFonts w:eastAsia="Times New Roman"/>
                <w:sz w:val="18"/>
                <w:szCs w:val="18"/>
                <w:lang w:val="en-GB" w:eastAsia="en-GB"/>
              </w:rPr>
            </w:pPr>
            <w:r>
              <w:rPr>
                <w:rFonts w:ascii="Calibri" w:hAnsi="Calibri" w:cs="Calibri"/>
                <w:b/>
                <w:bCs/>
                <w:i/>
                <w:iCs/>
                <w:color w:val="000000"/>
                <w:sz w:val="18"/>
                <w:szCs w:val="18"/>
              </w:rPr>
              <w:t>3.4</w:t>
            </w:r>
          </w:p>
        </w:tc>
        <w:tc>
          <w:tcPr>
            <w:tcW w:w="822" w:type="dxa"/>
            <w:noWrap/>
            <w:vAlign w:val="center"/>
            <w:hideMark/>
          </w:tcPr>
          <w:p w14:paraId="35503103" w14:textId="77777777" w:rsidR="00F021B0" w:rsidRDefault="00F021B0">
            <w:pPr>
              <w:spacing w:line="276" w:lineRule="auto"/>
              <w:jc w:val="left"/>
              <w:rPr>
                <w:rFonts w:eastAsia="Times New Roman"/>
                <w:sz w:val="18"/>
                <w:szCs w:val="18"/>
                <w:lang w:val="en-GB" w:eastAsia="en-GB"/>
              </w:rPr>
            </w:pPr>
            <w:r>
              <w:rPr>
                <w:rFonts w:ascii="Calibri" w:hAnsi="Calibri" w:cs="Calibri"/>
                <w:i/>
                <w:iCs/>
                <w:color w:val="000000"/>
                <w:sz w:val="18"/>
                <w:szCs w:val="18"/>
              </w:rPr>
              <w:t>(68)</w:t>
            </w:r>
          </w:p>
        </w:tc>
        <w:tc>
          <w:tcPr>
            <w:tcW w:w="680" w:type="dxa"/>
            <w:noWrap/>
            <w:vAlign w:val="center"/>
            <w:hideMark/>
          </w:tcPr>
          <w:p w14:paraId="60751D73" w14:textId="77777777" w:rsidR="00F021B0" w:rsidRDefault="00F021B0">
            <w:pPr>
              <w:spacing w:line="276" w:lineRule="auto"/>
              <w:jc w:val="right"/>
              <w:rPr>
                <w:rFonts w:eastAsia="Times New Roman"/>
                <w:sz w:val="18"/>
                <w:szCs w:val="18"/>
                <w:lang w:val="en-GB" w:eastAsia="en-GB"/>
              </w:rPr>
            </w:pPr>
            <w:r>
              <w:rPr>
                <w:rFonts w:ascii="Calibri" w:hAnsi="Calibri" w:cs="Calibri"/>
                <w:b/>
                <w:bCs/>
                <w:i/>
                <w:iCs/>
                <w:color w:val="000000"/>
                <w:sz w:val="18"/>
                <w:szCs w:val="18"/>
              </w:rPr>
              <w:t>17.1</w:t>
            </w:r>
          </w:p>
        </w:tc>
        <w:tc>
          <w:tcPr>
            <w:tcW w:w="822" w:type="dxa"/>
            <w:noWrap/>
            <w:vAlign w:val="center"/>
            <w:hideMark/>
          </w:tcPr>
          <w:p w14:paraId="07F7AB0F" w14:textId="77777777" w:rsidR="00F021B0" w:rsidRDefault="00F021B0">
            <w:pPr>
              <w:spacing w:line="276" w:lineRule="auto"/>
              <w:jc w:val="left"/>
              <w:rPr>
                <w:rFonts w:eastAsia="Times New Roman"/>
                <w:sz w:val="18"/>
                <w:szCs w:val="18"/>
                <w:lang w:val="en-GB" w:eastAsia="en-GB"/>
              </w:rPr>
            </w:pPr>
            <w:r>
              <w:rPr>
                <w:rFonts w:ascii="Calibri" w:hAnsi="Calibri" w:cs="Calibri"/>
                <w:i/>
                <w:iCs/>
                <w:color w:val="000000"/>
                <w:sz w:val="18"/>
                <w:szCs w:val="18"/>
              </w:rPr>
              <w:t>(1,070)</w:t>
            </w:r>
          </w:p>
        </w:tc>
        <w:tc>
          <w:tcPr>
            <w:tcW w:w="680" w:type="dxa"/>
            <w:noWrap/>
            <w:vAlign w:val="center"/>
            <w:hideMark/>
          </w:tcPr>
          <w:p w14:paraId="436A0F9A" w14:textId="77777777" w:rsidR="00F021B0" w:rsidRDefault="00F021B0">
            <w:pPr>
              <w:spacing w:line="276" w:lineRule="auto"/>
              <w:jc w:val="right"/>
              <w:rPr>
                <w:rFonts w:eastAsia="Times New Roman"/>
                <w:sz w:val="18"/>
                <w:szCs w:val="18"/>
                <w:lang w:val="en-GB" w:eastAsia="en-GB"/>
              </w:rPr>
            </w:pPr>
            <w:r>
              <w:rPr>
                <w:rFonts w:ascii="Calibri" w:hAnsi="Calibri" w:cs="Calibri"/>
                <w:b/>
                <w:bCs/>
                <w:i/>
                <w:iCs/>
                <w:color w:val="000000"/>
                <w:sz w:val="18"/>
                <w:szCs w:val="18"/>
              </w:rPr>
              <w:t>10.3</w:t>
            </w:r>
          </w:p>
        </w:tc>
        <w:tc>
          <w:tcPr>
            <w:tcW w:w="793" w:type="dxa"/>
            <w:noWrap/>
            <w:vAlign w:val="center"/>
            <w:hideMark/>
          </w:tcPr>
          <w:p w14:paraId="56E566C7" w14:textId="77777777" w:rsidR="00F021B0" w:rsidRDefault="00F021B0">
            <w:pPr>
              <w:spacing w:line="276" w:lineRule="auto"/>
              <w:jc w:val="left"/>
              <w:rPr>
                <w:rFonts w:eastAsia="Times New Roman"/>
                <w:sz w:val="18"/>
                <w:szCs w:val="18"/>
                <w:lang w:val="en-GB" w:eastAsia="en-GB"/>
              </w:rPr>
            </w:pPr>
            <w:r>
              <w:rPr>
                <w:rFonts w:ascii="Calibri" w:hAnsi="Calibri" w:cs="Calibri"/>
                <w:i/>
                <w:iCs/>
                <w:color w:val="000000"/>
                <w:sz w:val="18"/>
                <w:szCs w:val="18"/>
              </w:rPr>
              <w:t>(115)</w:t>
            </w:r>
          </w:p>
        </w:tc>
        <w:tc>
          <w:tcPr>
            <w:tcW w:w="680" w:type="dxa"/>
            <w:noWrap/>
            <w:vAlign w:val="center"/>
          </w:tcPr>
          <w:p w14:paraId="39A4C659" w14:textId="77777777" w:rsidR="00F021B0" w:rsidRDefault="00F021B0">
            <w:pPr>
              <w:spacing w:line="276" w:lineRule="auto"/>
              <w:jc w:val="right"/>
              <w:rPr>
                <w:rFonts w:eastAsia="Times New Roman"/>
                <w:sz w:val="18"/>
                <w:szCs w:val="18"/>
                <w:lang w:val="en-GB" w:eastAsia="en-GB"/>
              </w:rPr>
            </w:pPr>
          </w:p>
        </w:tc>
        <w:tc>
          <w:tcPr>
            <w:tcW w:w="822" w:type="dxa"/>
            <w:noWrap/>
            <w:vAlign w:val="center"/>
          </w:tcPr>
          <w:p w14:paraId="015A06F3" w14:textId="77777777" w:rsidR="00F021B0" w:rsidRDefault="00F021B0">
            <w:pPr>
              <w:spacing w:line="276" w:lineRule="auto"/>
              <w:jc w:val="left"/>
              <w:rPr>
                <w:rFonts w:eastAsia="Times New Roman"/>
                <w:sz w:val="18"/>
                <w:szCs w:val="18"/>
                <w:lang w:val="en-GB" w:eastAsia="en-GB"/>
              </w:rPr>
            </w:pPr>
          </w:p>
        </w:tc>
        <w:tc>
          <w:tcPr>
            <w:tcW w:w="680" w:type="dxa"/>
            <w:noWrap/>
            <w:vAlign w:val="center"/>
          </w:tcPr>
          <w:p w14:paraId="75C937BF" w14:textId="77777777" w:rsidR="00F021B0" w:rsidRDefault="00F021B0">
            <w:pPr>
              <w:spacing w:line="276" w:lineRule="auto"/>
              <w:jc w:val="right"/>
              <w:rPr>
                <w:rFonts w:eastAsia="Times New Roman"/>
                <w:sz w:val="18"/>
                <w:szCs w:val="18"/>
                <w:lang w:val="en-GB" w:eastAsia="en-GB"/>
              </w:rPr>
            </w:pPr>
          </w:p>
        </w:tc>
        <w:tc>
          <w:tcPr>
            <w:tcW w:w="822" w:type="dxa"/>
            <w:noWrap/>
            <w:vAlign w:val="center"/>
          </w:tcPr>
          <w:p w14:paraId="436C7F51" w14:textId="77777777" w:rsidR="00F021B0" w:rsidRDefault="00F021B0">
            <w:pPr>
              <w:spacing w:line="276" w:lineRule="auto"/>
              <w:jc w:val="left"/>
              <w:rPr>
                <w:rFonts w:eastAsia="Times New Roman"/>
                <w:sz w:val="18"/>
                <w:szCs w:val="18"/>
                <w:lang w:val="en-GB" w:eastAsia="en-GB"/>
              </w:rPr>
            </w:pPr>
          </w:p>
        </w:tc>
        <w:tc>
          <w:tcPr>
            <w:tcW w:w="680" w:type="dxa"/>
            <w:noWrap/>
            <w:vAlign w:val="center"/>
          </w:tcPr>
          <w:p w14:paraId="345D1F38" w14:textId="77777777" w:rsidR="00F021B0" w:rsidRDefault="00F021B0">
            <w:pPr>
              <w:spacing w:line="276" w:lineRule="auto"/>
              <w:jc w:val="right"/>
              <w:rPr>
                <w:rFonts w:eastAsia="Times New Roman"/>
                <w:sz w:val="18"/>
                <w:szCs w:val="18"/>
                <w:lang w:val="en-GB" w:eastAsia="en-GB"/>
              </w:rPr>
            </w:pPr>
          </w:p>
        </w:tc>
        <w:tc>
          <w:tcPr>
            <w:tcW w:w="822" w:type="dxa"/>
            <w:noWrap/>
            <w:vAlign w:val="center"/>
          </w:tcPr>
          <w:p w14:paraId="7383642F" w14:textId="77777777" w:rsidR="00F021B0" w:rsidRDefault="00F021B0">
            <w:pPr>
              <w:spacing w:line="276" w:lineRule="auto"/>
              <w:jc w:val="left"/>
              <w:rPr>
                <w:rFonts w:eastAsia="Times New Roman"/>
                <w:sz w:val="18"/>
                <w:szCs w:val="18"/>
                <w:lang w:val="en-GB" w:eastAsia="en-GB"/>
              </w:rPr>
            </w:pPr>
          </w:p>
        </w:tc>
      </w:tr>
      <w:tr w:rsidR="00F021B0" w14:paraId="2CAF46E8" w14:textId="77777777" w:rsidTr="00F021B0">
        <w:trPr>
          <w:trHeight w:val="290"/>
        </w:trPr>
        <w:tc>
          <w:tcPr>
            <w:tcW w:w="2295" w:type="dxa"/>
            <w:noWrap/>
            <w:vAlign w:val="center"/>
            <w:hideMark/>
          </w:tcPr>
          <w:p w14:paraId="37139A2A" w14:textId="77777777" w:rsidR="00F021B0" w:rsidRDefault="00F021B0">
            <w:pPr>
              <w:spacing w:line="276" w:lineRule="auto"/>
              <w:jc w:val="left"/>
              <w:rPr>
                <w:rFonts w:ascii="Calibri" w:eastAsia="Times New Roman" w:hAnsi="Calibri" w:cs="Calibri"/>
                <w:b/>
                <w:iCs/>
                <w:color w:val="000000"/>
                <w:sz w:val="20"/>
                <w:szCs w:val="20"/>
                <w:vertAlign w:val="superscript"/>
                <w:lang w:val="en-GB" w:eastAsia="en-GB"/>
              </w:rPr>
            </w:pPr>
            <w:proofErr w:type="spellStart"/>
            <w:r>
              <w:rPr>
                <w:rFonts w:ascii="Calibri" w:eastAsia="Times New Roman" w:hAnsi="Calibri" w:cs="Calibri"/>
                <w:b/>
                <w:iCs/>
                <w:color w:val="000000"/>
                <w:sz w:val="20"/>
                <w:szCs w:val="20"/>
                <w:lang w:val="en-GB" w:eastAsia="en-GB"/>
              </w:rPr>
              <w:t>Parity</w:t>
            </w:r>
            <w:r>
              <w:rPr>
                <w:rFonts w:ascii="Calibri" w:eastAsia="Times New Roman" w:hAnsi="Calibri" w:cs="Calibri"/>
                <w:b/>
                <w:iCs/>
                <w:color w:val="000000"/>
                <w:sz w:val="20"/>
                <w:szCs w:val="20"/>
                <w:vertAlign w:val="superscript"/>
                <w:lang w:val="en-GB" w:eastAsia="en-GB"/>
              </w:rPr>
              <w:t>a</w:t>
            </w:r>
            <w:proofErr w:type="spellEnd"/>
          </w:p>
        </w:tc>
        <w:tc>
          <w:tcPr>
            <w:tcW w:w="737" w:type="dxa"/>
            <w:noWrap/>
            <w:vAlign w:val="center"/>
          </w:tcPr>
          <w:p w14:paraId="060E1AEC" w14:textId="77777777" w:rsidR="00F021B0" w:rsidRDefault="00F021B0">
            <w:pPr>
              <w:spacing w:line="276" w:lineRule="auto"/>
              <w:jc w:val="right"/>
              <w:rPr>
                <w:rFonts w:eastAsia="Times New Roman"/>
                <w:sz w:val="20"/>
                <w:szCs w:val="20"/>
                <w:lang w:val="en-GB" w:eastAsia="en-GB"/>
              </w:rPr>
            </w:pPr>
          </w:p>
        </w:tc>
        <w:tc>
          <w:tcPr>
            <w:tcW w:w="895" w:type="dxa"/>
            <w:tcBorders>
              <w:top w:val="nil"/>
              <w:left w:val="nil"/>
              <w:bottom w:val="nil"/>
              <w:right w:val="single" w:sz="4" w:space="0" w:color="auto"/>
            </w:tcBorders>
            <w:noWrap/>
            <w:vAlign w:val="center"/>
          </w:tcPr>
          <w:p w14:paraId="662B8528" w14:textId="77777777" w:rsidR="00F021B0" w:rsidRDefault="00F021B0">
            <w:pPr>
              <w:spacing w:line="276" w:lineRule="auto"/>
              <w:jc w:val="left"/>
              <w:rPr>
                <w:rFonts w:eastAsia="Times New Roman"/>
                <w:sz w:val="20"/>
                <w:szCs w:val="20"/>
                <w:lang w:val="en-GB" w:eastAsia="en-GB"/>
              </w:rPr>
            </w:pPr>
          </w:p>
        </w:tc>
        <w:tc>
          <w:tcPr>
            <w:tcW w:w="680" w:type="dxa"/>
            <w:tcBorders>
              <w:top w:val="nil"/>
              <w:left w:val="single" w:sz="4" w:space="0" w:color="auto"/>
              <w:bottom w:val="nil"/>
              <w:right w:val="nil"/>
            </w:tcBorders>
            <w:noWrap/>
            <w:vAlign w:val="center"/>
          </w:tcPr>
          <w:p w14:paraId="2EA03CEE"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544E316E"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6CB20ED"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49BB0761"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2716E191"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33D83C89"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9972AD7"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07533022"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D6A3A68"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F4F6826"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745B2E67"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691012E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28B176D7"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3B28F0EB" w14:textId="77777777" w:rsidR="00F021B0" w:rsidRDefault="00F021B0">
            <w:pPr>
              <w:spacing w:line="276" w:lineRule="auto"/>
              <w:jc w:val="left"/>
              <w:rPr>
                <w:rFonts w:eastAsia="Times New Roman"/>
                <w:sz w:val="20"/>
                <w:szCs w:val="20"/>
                <w:lang w:val="en-GB" w:eastAsia="en-GB"/>
              </w:rPr>
            </w:pPr>
          </w:p>
        </w:tc>
      </w:tr>
      <w:tr w:rsidR="00F021B0" w14:paraId="5B6C8425" w14:textId="77777777" w:rsidTr="00F021B0">
        <w:trPr>
          <w:trHeight w:val="290"/>
        </w:trPr>
        <w:tc>
          <w:tcPr>
            <w:tcW w:w="2295" w:type="dxa"/>
            <w:noWrap/>
            <w:vAlign w:val="center"/>
            <w:hideMark/>
          </w:tcPr>
          <w:p w14:paraId="5B3FFC75"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Primiparous</w:t>
            </w:r>
          </w:p>
        </w:tc>
        <w:tc>
          <w:tcPr>
            <w:tcW w:w="737" w:type="dxa"/>
            <w:noWrap/>
            <w:vAlign w:val="center"/>
            <w:hideMark/>
          </w:tcPr>
          <w:p w14:paraId="40C50DF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48.4</w:t>
            </w:r>
          </w:p>
        </w:tc>
        <w:tc>
          <w:tcPr>
            <w:tcW w:w="895" w:type="dxa"/>
            <w:tcBorders>
              <w:top w:val="nil"/>
              <w:left w:val="nil"/>
              <w:bottom w:val="nil"/>
              <w:right w:val="single" w:sz="4" w:space="0" w:color="auto"/>
            </w:tcBorders>
            <w:noWrap/>
            <w:vAlign w:val="center"/>
            <w:hideMark/>
          </w:tcPr>
          <w:p w14:paraId="62B5811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(12,505)</w:t>
            </w:r>
          </w:p>
        </w:tc>
        <w:tc>
          <w:tcPr>
            <w:tcW w:w="680" w:type="dxa"/>
            <w:tcBorders>
              <w:top w:val="nil"/>
              <w:left w:val="single" w:sz="4" w:space="0" w:color="auto"/>
              <w:bottom w:val="nil"/>
              <w:right w:val="nil"/>
            </w:tcBorders>
            <w:noWrap/>
            <w:vAlign w:val="center"/>
            <w:hideMark/>
          </w:tcPr>
          <w:p w14:paraId="682535D3"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44.9</w:t>
            </w:r>
          </w:p>
        </w:tc>
        <w:tc>
          <w:tcPr>
            <w:tcW w:w="895" w:type="dxa"/>
            <w:noWrap/>
            <w:vAlign w:val="center"/>
            <w:hideMark/>
          </w:tcPr>
          <w:p w14:paraId="768ED8E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(5,181)</w:t>
            </w:r>
          </w:p>
        </w:tc>
        <w:tc>
          <w:tcPr>
            <w:tcW w:w="680" w:type="dxa"/>
            <w:noWrap/>
            <w:vAlign w:val="center"/>
            <w:hideMark/>
          </w:tcPr>
          <w:p w14:paraId="6123524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44.6</w:t>
            </w:r>
          </w:p>
        </w:tc>
        <w:tc>
          <w:tcPr>
            <w:tcW w:w="822" w:type="dxa"/>
            <w:noWrap/>
            <w:vAlign w:val="center"/>
            <w:hideMark/>
          </w:tcPr>
          <w:p w14:paraId="2317871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(847)</w:t>
            </w:r>
          </w:p>
        </w:tc>
        <w:tc>
          <w:tcPr>
            <w:tcW w:w="680" w:type="dxa"/>
            <w:noWrap/>
            <w:vAlign w:val="center"/>
            <w:hideMark/>
          </w:tcPr>
          <w:p w14:paraId="58A56FE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58.0</w:t>
            </w:r>
          </w:p>
        </w:tc>
        <w:tc>
          <w:tcPr>
            <w:tcW w:w="822" w:type="dxa"/>
            <w:noWrap/>
            <w:vAlign w:val="center"/>
            <w:hideMark/>
          </w:tcPr>
          <w:p w14:paraId="5DC25A1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(3,605)</w:t>
            </w:r>
          </w:p>
        </w:tc>
        <w:tc>
          <w:tcPr>
            <w:tcW w:w="680" w:type="dxa"/>
            <w:noWrap/>
            <w:vAlign w:val="center"/>
            <w:hideMark/>
          </w:tcPr>
          <w:p w14:paraId="040608A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45.3</w:t>
            </w:r>
          </w:p>
        </w:tc>
        <w:tc>
          <w:tcPr>
            <w:tcW w:w="793" w:type="dxa"/>
            <w:noWrap/>
            <w:vAlign w:val="center"/>
            <w:hideMark/>
          </w:tcPr>
          <w:p w14:paraId="7686DDA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(489)</w:t>
            </w:r>
          </w:p>
        </w:tc>
        <w:tc>
          <w:tcPr>
            <w:tcW w:w="680" w:type="dxa"/>
            <w:noWrap/>
            <w:vAlign w:val="center"/>
            <w:hideMark/>
          </w:tcPr>
          <w:p w14:paraId="2EF1906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58.9</w:t>
            </w:r>
          </w:p>
        </w:tc>
        <w:tc>
          <w:tcPr>
            <w:tcW w:w="822" w:type="dxa"/>
            <w:noWrap/>
            <w:vAlign w:val="center"/>
            <w:hideMark/>
          </w:tcPr>
          <w:p w14:paraId="043E9A1D"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(771)</w:t>
            </w:r>
          </w:p>
        </w:tc>
        <w:tc>
          <w:tcPr>
            <w:tcW w:w="680" w:type="dxa"/>
            <w:noWrap/>
            <w:vAlign w:val="center"/>
            <w:hideMark/>
          </w:tcPr>
          <w:p w14:paraId="70AB0F5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0.0</w:t>
            </w:r>
          </w:p>
        </w:tc>
        <w:tc>
          <w:tcPr>
            <w:tcW w:w="822" w:type="dxa"/>
            <w:noWrap/>
            <w:vAlign w:val="center"/>
            <w:hideMark/>
          </w:tcPr>
          <w:p w14:paraId="6D778CE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(0)</w:t>
            </w:r>
          </w:p>
        </w:tc>
        <w:tc>
          <w:tcPr>
            <w:tcW w:w="680" w:type="dxa"/>
            <w:noWrap/>
            <w:vAlign w:val="center"/>
            <w:hideMark/>
          </w:tcPr>
          <w:p w14:paraId="1E64C10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51.1</w:t>
            </w:r>
          </w:p>
        </w:tc>
        <w:tc>
          <w:tcPr>
            <w:tcW w:w="822" w:type="dxa"/>
            <w:noWrap/>
            <w:vAlign w:val="center"/>
            <w:hideMark/>
          </w:tcPr>
          <w:p w14:paraId="1A4EC87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(1,612)</w:t>
            </w:r>
          </w:p>
        </w:tc>
      </w:tr>
      <w:tr w:rsidR="00F021B0" w14:paraId="29445243" w14:textId="77777777" w:rsidTr="00F021B0">
        <w:trPr>
          <w:trHeight w:val="290"/>
        </w:trPr>
        <w:tc>
          <w:tcPr>
            <w:tcW w:w="2295" w:type="dxa"/>
            <w:noWrap/>
            <w:vAlign w:val="center"/>
            <w:hideMark/>
          </w:tcPr>
          <w:p w14:paraId="6D166B43"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Multiparous</w:t>
            </w:r>
          </w:p>
        </w:tc>
        <w:tc>
          <w:tcPr>
            <w:tcW w:w="737" w:type="dxa"/>
            <w:noWrap/>
            <w:vAlign w:val="center"/>
            <w:hideMark/>
          </w:tcPr>
          <w:p w14:paraId="101DD1C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51.6</w:t>
            </w:r>
          </w:p>
        </w:tc>
        <w:tc>
          <w:tcPr>
            <w:tcW w:w="895" w:type="dxa"/>
            <w:tcBorders>
              <w:top w:val="nil"/>
              <w:left w:val="nil"/>
              <w:bottom w:val="nil"/>
              <w:right w:val="single" w:sz="4" w:space="0" w:color="auto"/>
            </w:tcBorders>
            <w:noWrap/>
            <w:vAlign w:val="center"/>
            <w:hideMark/>
          </w:tcPr>
          <w:p w14:paraId="6306145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(13,317)</w:t>
            </w:r>
          </w:p>
        </w:tc>
        <w:tc>
          <w:tcPr>
            <w:tcW w:w="680" w:type="dxa"/>
            <w:tcBorders>
              <w:top w:val="nil"/>
              <w:left w:val="single" w:sz="4" w:space="0" w:color="auto"/>
              <w:bottom w:val="nil"/>
              <w:right w:val="nil"/>
            </w:tcBorders>
            <w:noWrap/>
            <w:vAlign w:val="center"/>
            <w:hideMark/>
          </w:tcPr>
          <w:p w14:paraId="7B462A6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55.1</w:t>
            </w:r>
          </w:p>
        </w:tc>
        <w:tc>
          <w:tcPr>
            <w:tcW w:w="895" w:type="dxa"/>
            <w:noWrap/>
            <w:vAlign w:val="center"/>
            <w:hideMark/>
          </w:tcPr>
          <w:p w14:paraId="4DD5E6D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(6,347)</w:t>
            </w:r>
          </w:p>
        </w:tc>
        <w:tc>
          <w:tcPr>
            <w:tcW w:w="680" w:type="dxa"/>
            <w:noWrap/>
            <w:vAlign w:val="center"/>
            <w:hideMark/>
          </w:tcPr>
          <w:p w14:paraId="2204D6B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55.4</w:t>
            </w:r>
          </w:p>
        </w:tc>
        <w:tc>
          <w:tcPr>
            <w:tcW w:w="822" w:type="dxa"/>
            <w:noWrap/>
            <w:vAlign w:val="center"/>
            <w:hideMark/>
          </w:tcPr>
          <w:p w14:paraId="2EACF3F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(1,054)</w:t>
            </w:r>
          </w:p>
        </w:tc>
        <w:tc>
          <w:tcPr>
            <w:tcW w:w="680" w:type="dxa"/>
            <w:noWrap/>
            <w:vAlign w:val="center"/>
            <w:hideMark/>
          </w:tcPr>
          <w:p w14:paraId="3C17C59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42.0</w:t>
            </w:r>
          </w:p>
        </w:tc>
        <w:tc>
          <w:tcPr>
            <w:tcW w:w="822" w:type="dxa"/>
            <w:noWrap/>
            <w:vAlign w:val="center"/>
            <w:hideMark/>
          </w:tcPr>
          <w:p w14:paraId="7702EAB1"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(2,615)</w:t>
            </w:r>
          </w:p>
        </w:tc>
        <w:tc>
          <w:tcPr>
            <w:tcW w:w="680" w:type="dxa"/>
            <w:noWrap/>
            <w:vAlign w:val="center"/>
            <w:hideMark/>
          </w:tcPr>
          <w:p w14:paraId="45F2902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54.7</w:t>
            </w:r>
          </w:p>
        </w:tc>
        <w:tc>
          <w:tcPr>
            <w:tcW w:w="793" w:type="dxa"/>
            <w:noWrap/>
            <w:vAlign w:val="center"/>
            <w:hideMark/>
          </w:tcPr>
          <w:p w14:paraId="0590C16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(591)</w:t>
            </w:r>
          </w:p>
        </w:tc>
        <w:tc>
          <w:tcPr>
            <w:tcW w:w="680" w:type="dxa"/>
            <w:noWrap/>
            <w:vAlign w:val="center"/>
            <w:hideMark/>
          </w:tcPr>
          <w:p w14:paraId="1D5907E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41.1</w:t>
            </w:r>
          </w:p>
        </w:tc>
        <w:tc>
          <w:tcPr>
            <w:tcW w:w="822" w:type="dxa"/>
            <w:noWrap/>
            <w:vAlign w:val="center"/>
            <w:hideMark/>
          </w:tcPr>
          <w:p w14:paraId="7B900CB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(537)</w:t>
            </w:r>
          </w:p>
        </w:tc>
        <w:tc>
          <w:tcPr>
            <w:tcW w:w="680" w:type="dxa"/>
            <w:noWrap/>
            <w:vAlign w:val="center"/>
            <w:hideMark/>
          </w:tcPr>
          <w:p w14:paraId="6043C6D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100.0</w:t>
            </w:r>
          </w:p>
        </w:tc>
        <w:tc>
          <w:tcPr>
            <w:tcW w:w="822" w:type="dxa"/>
            <w:noWrap/>
            <w:vAlign w:val="center"/>
            <w:hideMark/>
          </w:tcPr>
          <w:p w14:paraId="2330906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(631)</w:t>
            </w:r>
          </w:p>
        </w:tc>
        <w:tc>
          <w:tcPr>
            <w:tcW w:w="680" w:type="dxa"/>
            <w:noWrap/>
            <w:vAlign w:val="center"/>
            <w:hideMark/>
          </w:tcPr>
          <w:p w14:paraId="1920BF4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48.9</w:t>
            </w:r>
          </w:p>
        </w:tc>
        <w:tc>
          <w:tcPr>
            <w:tcW w:w="822" w:type="dxa"/>
            <w:noWrap/>
            <w:vAlign w:val="center"/>
            <w:hideMark/>
          </w:tcPr>
          <w:p w14:paraId="1855A91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(1,542)</w:t>
            </w:r>
          </w:p>
        </w:tc>
      </w:tr>
      <w:tr w:rsidR="00F021B0" w14:paraId="1404832D" w14:textId="77777777" w:rsidTr="00F021B0">
        <w:trPr>
          <w:trHeight w:val="240"/>
        </w:trPr>
        <w:tc>
          <w:tcPr>
            <w:tcW w:w="2295" w:type="dxa"/>
            <w:noWrap/>
            <w:vAlign w:val="center"/>
            <w:hideMark/>
          </w:tcPr>
          <w:p w14:paraId="3D14A0B1"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5B6583A9"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2.2</w:t>
            </w:r>
          </w:p>
        </w:tc>
        <w:tc>
          <w:tcPr>
            <w:tcW w:w="895" w:type="dxa"/>
            <w:tcBorders>
              <w:top w:val="nil"/>
              <w:left w:val="nil"/>
              <w:bottom w:val="nil"/>
              <w:right w:val="single" w:sz="4" w:space="0" w:color="auto"/>
            </w:tcBorders>
            <w:noWrap/>
            <w:vAlign w:val="center"/>
            <w:hideMark/>
          </w:tcPr>
          <w:p w14:paraId="6078D0AC"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(588)</w:t>
            </w:r>
          </w:p>
        </w:tc>
        <w:tc>
          <w:tcPr>
            <w:tcW w:w="680" w:type="dxa"/>
            <w:tcBorders>
              <w:top w:val="nil"/>
              <w:left w:val="single" w:sz="4" w:space="0" w:color="auto"/>
              <w:bottom w:val="nil"/>
              <w:right w:val="nil"/>
            </w:tcBorders>
            <w:noWrap/>
            <w:vAlign w:val="center"/>
            <w:hideMark/>
          </w:tcPr>
          <w:p w14:paraId="15EA2E01"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3.6</w:t>
            </w:r>
          </w:p>
        </w:tc>
        <w:tc>
          <w:tcPr>
            <w:tcW w:w="895" w:type="dxa"/>
            <w:noWrap/>
            <w:vAlign w:val="center"/>
            <w:hideMark/>
          </w:tcPr>
          <w:p w14:paraId="53F395D5"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(436)</w:t>
            </w:r>
          </w:p>
        </w:tc>
        <w:tc>
          <w:tcPr>
            <w:tcW w:w="680" w:type="dxa"/>
            <w:noWrap/>
            <w:vAlign w:val="center"/>
            <w:hideMark/>
          </w:tcPr>
          <w:p w14:paraId="42C7F26E"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3.9</w:t>
            </w:r>
          </w:p>
        </w:tc>
        <w:tc>
          <w:tcPr>
            <w:tcW w:w="822" w:type="dxa"/>
            <w:noWrap/>
            <w:vAlign w:val="center"/>
            <w:hideMark/>
          </w:tcPr>
          <w:p w14:paraId="0BAC4EF0"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(77)</w:t>
            </w:r>
          </w:p>
        </w:tc>
        <w:tc>
          <w:tcPr>
            <w:tcW w:w="680" w:type="dxa"/>
            <w:noWrap/>
            <w:vAlign w:val="center"/>
            <w:hideMark/>
          </w:tcPr>
          <w:p w14:paraId="6C5D1305"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0.4</w:t>
            </w:r>
          </w:p>
        </w:tc>
        <w:tc>
          <w:tcPr>
            <w:tcW w:w="822" w:type="dxa"/>
            <w:noWrap/>
            <w:vAlign w:val="center"/>
            <w:hideMark/>
          </w:tcPr>
          <w:p w14:paraId="49AF8BBF"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(26)</w:t>
            </w:r>
          </w:p>
        </w:tc>
        <w:tc>
          <w:tcPr>
            <w:tcW w:w="680" w:type="dxa"/>
            <w:noWrap/>
            <w:vAlign w:val="center"/>
            <w:hideMark/>
          </w:tcPr>
          <w:p w14:paraId="6E90EBA3"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3.7</w:t>
            </w:r>
          </w:p>
        </w:tc>
        <w:tc>
          <w:tcPr>
            <w:tcW w:w="793" w:type="dxa"/>
            <w:noWrap/>
            <w:vAlign w:val="center"/>
            <w:hideMark/>
          </w:tcPr>
          <w:p w14:paraId="48ACB07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(41)</w:t>
            </w:r>
          </w:p>
        </w:tc>
        <w:tc>
          <w:tcPr>
            <w:tcW w:w="680" w:type="dxa"/>
            <w:noWrap/>
            <w:vAlign w:val="center"/>
            <w:hideMark/>
          </w:tcPr>
          <w:p w14:paraId="23FAC6EF"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0.5</w:t>
            </w:r>
          </w:p>
        </w:tc>
        <w:tc>
          <w:tcPr>
            <w:tcW w:w="822" w:type="dxa"/>
            <w:noWrap/>
            <w:vAlign w:val="center"/>
            <w:hideMark/>
          </w:tcPr>
          <w:p w14:paraId="66AE826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(6)</w:t>
            </w:r>
          </w:p>
        </w:tc>
        <w:tc>
          <w:tcPr>
            <w:tcW w:w="680" w:type="dxa"/>
            <w:noWrap/>
            <w:vAlign w:val="center"/>
            <w:hideMark/>
          </w:tcPr>
          <w:p w14:paraId="4FCDC9D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0.0</w:t>
            </w:r>
          </w:p>
        </w:tc>
        <w:tc>
          <w:tcPr>
            <w:tcW w:w="822" w:type="dxa"/>
            <w:noWrap/>
            <w:vAlign w:val="center"/>
            <w:hideMark/>
          </w:tcPr>
          <w:p w14:paraId="24C512D3"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(0)</w:t>
            </w:r>
          </w:p>
        </w:tc>
        <w:tc>
          <w:tcPr>
            <w:tcW w:w="680" w:type="dxa"/>
            <w:noWrap/>
            <w:vAlign w:val="center"/>
            <w:hideMark/>
          </w:tcPr>
          <w:p w14:paraId="376FFAB3"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0.1</w:t>
            </w:r>
          </w:p>
        </w:tc>
        <w:tc>
          <w:tcPr>
            <w:tcW w:w="822" w:type="dxa"/>
            <w:noWrap/>
            <w:vAlign w:val="center"/>
            <w:hideMark/>
          </w:tcPr>
          <w:p w14:paraId="5DF17AE5"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w:t>
            </w:r>
          </w:p>
        </w:tc>
      </w:tr>
      <w:tr w:rsidR="00F021B0" w14:paraId="4E1AD022" w14:textId="77777777" w:rsidTr="00F021B0">
        <w:trPr>
          <w:trHeight w:val="290"/>
        </w:trPr>
        <w:tc>
          <w:tcPr>
            <w:tcW w:w="2295" w:type="dxa"/>
            <w:noWrap/>
            <w:vAlign w:val="center"/>
            <w:hideMark/>
          </w:tcPr>
          <w:p w14:paraId="0C2922FA" w14:textId="77777777" w:rsidR="00F021B0" w:rsidRDefault="00F021B0">
            <w:pPr>
              <w:spacing w:line="276" w:lineRule="auto"/>
              <w:jc w:val="left"/>
              <w:rPr>
                <w:rFonts w:ascii="Calibri" w:eastAsia="Times New Roman" w:hAnsi="Calibri" w:cs="Calibri"/>
                <w:b/>
                <w:iCs/>
                <w:color w:val="000000"/>
                <w:sz w:val="20"/>
                <w:szCs w:val="20"/>
                <w:vertAlign w:val="superscript"/>
                <w:lang w:val="en-GB" w:eastAsia="en-GB"/>
              </w:rPr>
            </w:pPr>
            <w:r>
              <w:rPr>
                <w:rFonts w:ascii="Calibri" w:eastAsia="Times New Roman" w:hAnsi="Calibri" w:cs="Calibri"/>
                <w:b/>
                <w:iCs/>
                <w:color w:val="000000"/>
                <w:sz w:val="20"/>
                <w:szCs w:val="20"/>
                <w:lang w:val="en-GB" w:eastAsia="en-GB"/>
              </w:rPr>
              <w:t>Birthplace/</w:t>
            </w:r>
            <w:proofErr w:type="spellStart"/>
            <w:proofErr w:type="gramStart"/>
            <w:r>
              <w:rPr>
                <w:rFonts w:ascii="Calibri" w:eastAsia="Times New Roman" w:hAnsi="Calibri" w:cs="Calibri"/>
                <w:b/>
                <w:iCs/>
                <w:color w:val="000000"/>
                <w:sz w:val="20"/>
                <w:szCs w:val="20"/>
                <w:lang w:val="en-GB" w:eastAsia="en-GB"/>
              </w:rPr>
              <w:t>ethnicity</w:t>
            </w:r>
            <w:r>
              <w:rPr>
                <w:rFonts w:ascii="Calibri" w:eastAsia="Times New Roman" w:hAnsi="Calibri" w:cs="Calibri"/>
                <w:b/>
                <w:iCs/>
                <w:color w:val="000000"/>
                <w:sz w:val="20"/>
                <w:szCs w:val="20"/>
                <w:vertAlign w:val="superscript"/>
                <w:lang w:val="en-GB" w:eastAsia="en-GB"/>
              </w:rPr>
              <w:t>b,c</w:t>
            </w:r>
            <w:proofErr w:type="spellEnd"/>
            <w:proofErr w:type="gramEnd"/>
          </w:p>
        </w:tc>
        <w:tc>
          <w:tcPr>
            <w:tcW w:w="737" w:type="dxa"/>
            <w:noWrap/>
            <w:vAlign w:val="center"/>
          </w:tcPr>
          <w:p w14:paraId="212F8B31" w14:textId="77777777" w:rsidR="00F021B0" w:rsidRDefault="00F021B0">
            <w:pPr>
              <w:spacing w:line="276" w:lineRule="auto"/>
              <w:jc w:val="right"/>
              <w:rPr>
                <w:rFonts w:eastAsia="Times New Roman"/>
                <w:sz w:val="20"/>
                <w:szCs w:val="20"/>
                <w:lang w:val="en-GB" w:eastAsia="en-GB"/>
              </w:rPr>
            </w:pPr>
          </w:p>
        </w:tc>
        <w:tc>
          <w:tcPr>
            <w:tcW w:w="895" w:type="dxa"/>
            <w:tcBorders>
              <w:top w:val="nil"/>
              <w:left w:val="nil"/>
              <w:bottom w:val="nil"/>
              <w:right w:val="single" w:sz="4" w:space="0" w:color="auto"/>
            </w:tcBorders>
            <w:noWrap/>
            <w:vAlign w:val="center"/>
          </w:tcPr>
          <w:p w14:paraId="37FB9D62" w14:textId="77777777" w:rsidR="00F021B0" w:rsidRDefault="00F021B0">
            <w:pPr>
              <w:spacing w:line="276" w:lineRule="auto"/>
              <w:jc w:val="left"/>
              <w:rPr>
                <w:rFonts w:eastAsia="Times New Roman"/>
                <w:sz w:val="20"/>
                <w:szCs w:val="20"/>
                <w:lang w:val="en-GB" w:eastAsia="en-GB"/>
              </w:rPr>
            </w:pPr>
          </w:p>
        </w:tc>
        <w:tc>
          <w:tcPr>
            <w:tcW w:w="680" w:type="dxa"/>
            <w:tcBorders>
              <w:top w:val="nil"/>
              <w:left w:val="single" w:sz="4" w:space="0" w:color="auto"/>
              <w:bottom w:val="nil"/>
              <w:right w:val="nil"/>
            </w:tcBorders>
            <w:noWrap/>
            <w:vAlign w:val="center"/>
          </w:tcPr>
          <w:p w14:paraId="4AD1967D"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658703BD"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7A74AB2"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37E94AC2"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BE5C1E2"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84BA092"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85BAD9F"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50208986"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B48AE94"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E5E0F85"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79866483"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33CAF7E4"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C94BAE0"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40D1DD12" w14:textId="77777777" w:rsidR="00F021B0" w:rsidRDefault="00F021B0">
            <w:pPr>
              <w:spacing w:line="276" w:lineRule="auto"/>
              <w:jc w:val="left"/>
              <w:rPr>
                <w:rFonts w:eastAsia="Times New Roman"/>
                <w:sz w:val="20"/>
                <w:szCs w:val="20"/>
                <w:lang w:val="en-GB" w:eastAsia="en-GB"/>
              </w:rPr>
            </w:pPr>
          </w:p>
        </w:tc>
      </w:tr>
      <w:tr w:rsidR="00F021B0" w14:paraId="7BDF0870" w14:textId="77777777" w:rsidTr="00F021B0">
        <w:trPr>
          <w:trHeight w:val="290"/>
        </w:trPr>
        <w:tc>
          <w:tcPr>
            <w:tcW w:w="2295" w:type="dxa"/>
            <w:noWrap/>
            <w:vAlign w:val="center"/>
            <w:hideMark/>
          </w:tcPr>
          <w:p w14:paraId="75AF84F6"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European-born/White</w:t>
            </w:r>
          </w:p>
        </w:tc>
        <w:tc>
          <w:tcPr>
            <w:tcW w:w="737" w:type="dxa"/>
            <w:noWrap/>
            <w:vAlign w:val="center"/>
            <w:hideMark/>
          </w:tcPr>
          <w:p w14:paraId="698CBEAF"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88.7</w:t>
            </w:r>
          </w:p>
        </w:tc>
        <w:tc>
          <w:tcPr>
            <w:tcW w:w="895" w:type="dxa"/>
            <w:tcBorders>
              <w:top w:val="nil"/>
              <w:left w:val="nil"/>
              <w:bottom w:val="nil"/>
              <w:right w:val="single" w:sz="4" w:space="0" w:color="auto"/>
            </w:tcBorders>
            <w:noWrap/>
            <w:vAlign w:val="center"/>
            <w:hideMark/>
          </w:tcPr>
          <w:p w14:paraId="577C406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(22,818)</w:t>
            </w:r>
          </w:p>
        </w:tc>
        <w:tc>
          <w:tcPr>
            <w:tcW w:w="680" w:type="dxa"/>
            <w:tcBorders>
              <w:top w:val="nil"/>
              <w:left w:val="single" w:sz="4" w:space="0" w:color="auto"/>
              <w:bottom w:val="nil"/>
              <w:right w:val="nil"/>
            </w:tcBorders>
            <w:noWrap/>
            <w:vAlign w:val="center"/>
            <w:hideMark/>
          </w:tcPr>
          <w:p w14:paraId="54BE85E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95.1</w:t>
            </w:r>
          </w:p>
        </w:tc>
        <w:tc>
          <w:tcPr>
            <w:tcW w:w="895" w:type="dxa"/>
            <w:noWrap/>
            <w:vAlign w:val="center"/>
            <w:hideMark/>
          </w:tcPr>
          <w:p w14:paraId="2C24DA3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(11,019)</w:t>
            </w:r>
          </w:p>
        </w:tc>
        <w:tc>
          <w:tcPr>
            <w:tcW w:w="680" w:type="dxa"/>
            <w:noWrap/>
            <w:vAlign w:val="center"/>
            <w:hideMark/>
          </w:tcPr>
          <w:p w14:paraId="1CD5741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95.5</w:t>
            </w:r>
          </w:p>
        </w:tc>
        <w:tc>
          <w:tcPr>
            <w:tcW w:w="822" w:type="dxa"/>
            <w:noWrap/>
            <w:vAlign w:val="center"/>
            <w:hideMark/>
          </w:tcPr>
          <w:p w14:paraId="43D42C1D"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(1,714)</w:t>
            </w:r>
          </w:p>
        </w:tc>
        <w:tc>
          <w:tcPr>
            <w:tcW w:w="680" w:type="dxa"/>
            <w:noWrap/>
            <w:vAlign w:val="center"/>
            <w:hideMark/>
          </w:tcPr>
          <w:p w14:paraId="3DAD3B7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65.7</w:t>
            </w:r>
          </w:p>
        </w:tc>
        <w:tc>
          <w:tcPr>
            <w:tcW w:w="822" w:type="dxa"/>
            <w:noWrap/>
            <w:vAlign w:val="center"/>
            <w:hideMark/>
          </w:tcPr>
          <w:p w14:paraId="39CFF3EA"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(4,018)</w:t>
            </w:r>
          </w:p>
        </w:tc>
        <w:tc>
          <w:tcPr>
            <w:tcW w:w="680" w:type="dxa"/>
            <w:noWrap/>
            <w:vAlign w:val="center"/>
            <w:hideMark/>
          </w:tcPr>
          <w:p w14:paraId="79CD391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100.0</w:t>
            </w:r>
          </w:p>
        </w:tc>
        <w:tc>
          <w:tcPr>
            <w:tcW w:w="793" w:type="dxa"/>
            <w:noWrap/>
            <w:vAlign w:val="center"/>
            <w:hideMark/>
          </w:tcPr>
          <w:p w14:paraId="5114F6F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(1,121)</w:t>
            </w:r>
          </w:p>
        </w:tc>
        <w:tc>
          <w:tcPr>
            <w:tcW w:w="680" w:type="dxa"/>
            <w:noWrap/>
            <w:vAlign w:val="center"/>
            <w:hideMark/>
          </w:tcPr>
          <w:p w14:paraId="2C5304B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100.0</w:t>
            </w:r>
          </w:p>
        </w:tc>
        <w:tc>
          <w:tcPr>
            <w:tcW w:w="822" w:type="dxa"/>
            <w:noWrap/>
            <w:vAlign w:val="center"/>
            <w:hideMark/>
          </w:tcPr>
          <w:p w14:paraId="07E9006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(1,314)</w:t>
            </w:r>
          </w:p>
        </w:tc>
        <w:tc>
          <w:tcPr>
            <w:tcW w:w="680" w:type="dxa"/>
            <w:noWrap/>
            <w:vAlign w:val="center"/>
            <w:hideMark/>
          </w:tcPr>
          <w:p w14:paraId="10C0548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97.8</w:t>
            </w:r>
          </w:p>
        </w:tc>
        <w:tc>
          <w:tcPr>
            <w:tcW w:w="822" w:type="dxa"/>
            <w:noWrap/>
            <w:vAlign w:val="center"/>
            <w:hideMark/>
          </w:tcPr>
          <w:p w14:paraId="3D78210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(617)</w:t>
            </w:r>
          </w:p>
        </w:tc>
        <w:tc>
          <w:tcPr>
            <w:tcW w:w="680" w:type="dxa"/>
            <w:noWrap/>
            <w:vAlign w:val="center"/>
            <w:hideMark/>
          </w:tcPr>
          <w:p w14:paraId="4497DCC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95.5</w:t>
            </w:r>
          </w:p>
        </w:tc>
        <w:tc>
          <w:tcPr>
            <w:tcW w:w="822" w:type="dxa"/>
            <w:noWrap/>
            <w:vAlign w:val="center"/>
            <w:hideMark/>
          </w:tcPr>
          <w:p w14:paraId="10FE03A8"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(3,015)</w:t>
            </w:r>
          </w:p>
        </w:tc>
      </w:tr>
      <w:tr w:rsidR="00F021B0" w14:paraId="343C5B74" w14:textId="77777777" w:rsidTr="00F021B0">
        <w:trPr>
          <w:trHeight w:val="290"/>
        </w:trPr>
        <w:tc>
          <w:tcPr>
            <w:tcW w:w="2295" w:type="dxa"/>
            <w:noWrap/>
            <w:vAlign w:val="center"/>
            <w:hideMark/>
          </w:tcPr>
          <w:p w14:paraId="3653AAAC"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Non-European-born/Non-White</w:t>
            </w:r>
          </w:p>
        </w:tc>
        <w:tc>
          <w:tcPr>
            <w:tcW w:w="737" w:type="dxa"/>
            <w:noWrap/>
            <w:vAlign w:val="center"/>
            <w:hideMark/>
          </w:tcPr>
          <w:p w14:paraId="42C7573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11.3</w:t>
            </w:r>
          </w:p>
        </w:tc>
        <w:tc>
          <w:tcPr>
            <w:tcW w:w="895" w:type="dxa"/>
            <w:tcBorders>
              <w:top w:val="nil"/>
              <w:left w:val="nil"/>
              <w:bottom w:val="nil"/>
              <w:right w:val="single" w:sz="4" w:space="0" w:color="auto"/>
            </w:tcBorders>
            <w:noWrap/>
            <w:vAlign w:val="center"/>
            <w:hideMark/>
          </w:tcPr>
          <w:p w14:paraId="746A6EF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(2,909)</w:t>
            </w:r>
          </w:p>
        </w:tc>
        <w:tc>
          <w:tcPr>
            <w:tcW w:w="680" w:type="dxa"/>
            <w:tcBorders>
              <w:top w:val="nil"/>
              <w:left w:val="single" w:sz="4" w:space="0" w:color="auto"/>
              <w:bottom w:val="nil"/>
              <w:right w:val="nil"/>
            </w:tcBorders>
            <w:noWrap/>
            <w:vAlign w:val="center"/>
            <w:hideMark/>
          </w:tcPr>
          <w:p w14:paraId="322FCF3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4.9</w:t>
            </w:r>
          </w:p>
        </w:tc>
        <w:tc>
          <w:tcPr>
            <w:tcW w:w="895" w:type="dxa"/>
            <w:noWrap/>
            <w:vAlign w:val="center"/>
            <w:hideMark/>
          </w:tcPr>
          <w:p w14:paraId="6F2DA14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(573)</w:t>
            </w:r>
          </w:p>
        </w:tc>
        <w:tc>
          <w:tcPr>
            <w:tcW w:w="680" w:type="dxa"/>
            <w:noWrap/>
            <w:vAlign w:val="center"/>
            <w:hideMark/>
          </w:tcPr>
          <w:p w14:paraId="449156B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4.5</w:t>
            </w:r>
          </w:p>
        </w:tc>
        <w:tc>
          <w:tcPr>
            <w:tcW w:w="822" w:type="dxa"/>
            <w:noWrap/>
            <w:vAlign w:val="center"/>
            <w:hideMark/>
          </w:tcPr>
          <w:p w14:paraId="16B8AB9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(80)</w:t>
            </w:r>
          </w:p>
        </w:tc>
        <w:tc>
          <w:tcPr>
            <w:tcW w:w="680" w:type="dxa"/>
            <w:noWrap/>
            <w:vAlign w:val="center"/>
            <w:hideMark/>
          </w:tcPr>
          <w:p w14:paraId="459B4BB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34.3</w:t>
            </w:r>
          </w:p>
        </w:tc>
        <w:tc>
          <w:tcPr>
            <w:tcW w:w="822" w:type="dxa"/>
            <w:noWrap/>
            <w:vAlign w:val="center"/>
            <w:hideMark/>
          </w:tcPr>
          <w:p w14:paraId="71B3B9F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(2,101)</w:t>
            </w:r>
          </w:p>
        </w:tc>
        <w:tc>
          <w:tcPr>
            <w:tcW w:w="680" w:type="dxa"/>
            <w:noWrap/>
            <w:vAlign w:val="center"/>
            <w:hideMark/>
          </w:tcPr>
          <w:p w14:paraId="16F20B7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0.0</w:t>
            </w:r>
          </w:p>
        </w:tc>
        <w:tc>
          <w:tcPr>
            <w:tcW w:w="793" w:type="dxa"/>
            <w:noWrap/>
            <w:vAlign w:val="center"/>
            <w:hideMark/>
          </w:tcPr>
          <w:p w14:paraId="5EAE28F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(0)</w:t>
            </w:r>
          </w:p>
        </w:tc>
        <w:tc>
          <w:tcPr>
            <w:tcW w:w="680" w:type="dxa"/>
            <w:noWrap/>
            <w:vAlign w:val="center"/>
            <w:hideMark/>
          </w:tcPr>
          <w:p w14:paraId="5A679FE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0.0</w:t>
            </w:r>
          </w:p>
        </w:tc>
        <w:tc>
          <w:tcPr>
            <w:tcW w:w="822" w:type="dxa"/>
            <w:noWrap/>
            <w:vAlign w:val="center"/>
            <w:hideMark/>
          </w:tcPr>
          <w:p w14:paraId="546DE53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(0)</w:t>
            </w:r>
          </w:p>
        </w:tc>
        <w:tc>
          <w:tcPr>
            <w:tcW w:w="680" w:type="dxa"/>
            <w:noWrap/>
            <w:vAlign w:val="center"/>
            <w:hideMark/>
          </w:tcPr>
          <w:p w14:paraId="16FE49D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2.2</w:t>
            </w:r>
          </w:p>
        </w:tc>
        <w:tc>
          <w:tcPr>
            <w:tcW w:w="822" w:type="dxa"/>
            <w:noWrap/>
            <w:vAlign w:val="center"/>
            <w:hideMark/>
          </w:tcPr>
          <w:p w14:paraId="34638A0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(14)</w:t>
            </w:r>
          </w:p>
        </w:tc>
        <w:tc>
          <w:tcPr>
            <w:tcW w:w="680" w:type="dxa"/>
            <w:noWrap/>
            <w:vAlign w:val="center"/>
            <w:hideMark/>
          </w:tcPr>
          <w:p w14:paraId="69B429D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eastAsia="Times New Roman" w:hAnsi="Calibri" w:cs="Calibri"/>
                <w:b/>
                <w:bCs/>
                <w:color w:val="000000"/>
                <w:sz w:val="20"/>
                <w:szCs w:val="20"/>
                <w:lang w:val="en-GB" w:eastAsia="en-GB"/>
              </w:rPr>
              <w:t>4.5</w:t>
            </w:r>
          </w:p>
        </w:tc>
        <w:tc>
          <w:tcPr>
            <w:tcW w:w="822" w:type="dxa"/>
            <w:noWrap/>
            <w:vAlign w:val="center"/>
            <w:hideMark/>
          </w:tcPr>
          <w:p w14:paraId="3FB595B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(141)</w:t>
            </w:r>
          </w:p>
        </w:tc>
      </w:tr>
      <w:tr w:rsidR="00F021B0" w14:paraId="492F38E6" w14:textId="77777777" w:rsidTr="00F021B0">
        <w:trPr>
          <w:trHeight w:val="240"/>
        </w:trPr>
        <w:tc>
          <w:tcPr>
            <w:tcW w:w="2295" w:type="dxa"/>
            <w:noWrap/>
            <w:vAlign w:val="center"/>
            <w:hideMark/>
          </w:tcPr>
          <w:p w14:paraId="0A8D34CE"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662F7722"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2.6</w:t>
            </w:r>
          </w:p>
        </w:tc>
        <w:tc>
          <w:tcPr>
            <w:tcW w:w="895" w:type="dxa"/>
            <w:tcBorders>
              <w:top w:val="nil"/>
              <w:left w:val="nil"/>
              <w:bottom w:val="nil"/>
              <w:right w:val="single" w:sz="4" w:space="0" w:color="auto"/>
            </w:tcBorders>
            <w:noWrap/>
            <w:vAlign w:val="center"/>
            <w:hideMark/>
          </w:tcPr>
          <w:p w14:paraId="45FA4B50"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(683)</w:t>
            </w:r>
          </w:p>
        </w:tc>
        <w:tc>
          <w:tcPr>
            <w:tcW w:w="680" w:type="dxa"/>
            <w:tcBorders>
              <w:top w:val="nil"/>
              <w:left w:val="single" w:sz="4" w:space="0" w:color="auto"/>
              <w:bottom w:val="nil"/>
              <w:right w:val="nil"/>
            </w:tcBorders>
            <w:noWrap/>
            <w:vAlign w:val="center"/>
            <w:hideMark/>
          </w:tcPr>
          <w:p w14:paraId="2E280E7C"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3.1</w:t>
            </w:r>
          </w:p>
        </w:tc>
        <w:tc>
          <w:tcPr>
            <w:tcW w:w="895" w:type="dxa"/>
            <w:noWrap/>
            <w:vAlign w:val="center"/>
            <w:hideMark/>
          </w:tcPr>
          <w:p w14:paraId="51C07D64"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(372)</w:t>
            </w:r>
          </w:p>
        </w:tc>
        <w:tc>
          <w:tcPr>
            <w:tcW w:w="680" w:type="dxa"/>
            <w:noWrap/>
            <w:vAlign w:val="center"/>
            <w:hideMark/>
          </w:tcPr>
          <w:p w14:paraId="60975711"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9.3</w:t>
            </w:r>
          </w:p>
        </w:tc>
        <w:tc>
          <w:tcPr>
            <w:tcW w:w="822" w:type="dxa"/>
            <w:noWrap/>
            <w:vAlign w:val="center"/>
            <w:hideMark/>
          </w:tcPr>
          <w:p w14:paraId="28F41D0A"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(184)</w:t>
            </w:r>
          </w:p>
        </w:tc>
        <w:tc>
          <w:tcPr>
            <w:tcW w:w="680" w:type="dxa"/>
            <w:noWrap/>
            <w:vAlign w:val="center"/>
            <w:hideMark/>
          </w:tcPr>
          <w:p w14:paraId="380AD7C2"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2.0</w:t>
            </w:r>
          </w:p>
        </w:tc>
        <w:tc>
          <w:tcPr>
            <w:tcW w:w="822" w:type="dxa"/>
            <w:noWrap/>
            <w:vAlign w:val="center"/>
            <w:hideMark/>
          </w:tcPr>
          <w:p w14:paraId="13040020"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(127)</w:t>
            </w:r>
          </w:p>
        </w:tc>
        <w:tc>
          <w:tcPr>
            <w:tcW w:w="680" w:type="dxa"/>
            <w:noWrap/>
            <w:vAlign w:val="center"/>
            <w:hideMark/>
          </w:tcPr>
          <w:p w14:paraId="1B858C84"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0.0</w:t>
            </w:r>
          </w:p>
        </w:tc>
        <w:tc>
          <w:tcPr>
            <w:tcW w:w="793" w:type="dxa"/>
            <w:noWrap/>
            <w:vAlign w:val="center"/>
            <w:hideMark/>
          </w:tcPr>
          <w:p w14:paraId="6D6C62F7"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(0)</w:t>
            </w:r>
          </w:p>
        </w:tc>
        <w:tc>
          <w:tcPr>
            <w:tcW w:w="680" w:type="dxa"/>
            <w:noWrap/>
            <w:vAlign w:val="center"/>
            <w:hideMark/>
          </w:tcPr>
          <w:p w14:paraId="721D94B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0.0</w:t>
            </w:r>
          </w:p>
        </w:tc>
        <w:tc>
          <w:tcPr>
            <w:tcW w:w="822" w:type="dxa"/>
            <w:noWrap/>
            <w:vAlign w:val="center"/>
            <w:hideMark/>
          </w:tcPr>
          <w:p w14:paraId="73DF1B66"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(0)</w:t>
            </w:r>
          </w:p>
        </w:tc>
        <w:tc>
          <w:tcPr>
            <w:tcW w:w="680" w:type="dxa"/>
            <w:noWrap/>
            <w:vAlign w:val="center"/>
            <w:hideMark/>
          </w:tcPr>
          <w:p w14:paraId="512B200C"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0.0</w:t>
            </w:r>
          </w:p>
        </w:tc>
        <w:tc>
          <w:tcPr>
            <w:tcW w:w="822" w:type="dxa"/>
            <w:noWrap/>
            <w:vAlign w:val="center"/>
            <w:hideMark/>
          </w:tcPr>
          <w:p w14:paraId="7E796045"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(0)</w:t>
            </w:r>
          </w:p>
        </w:tc>
        <w:tc>
          <w:tcPr>
            <w:tcW w:w="680" w:type="dxa"/>
            <w:noWrap/>
            <w:vAlign w:val="center"/>
            <w:hideMark/>
          </w:tcPr>
          <w:p w14:paraId="116F3732"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val="en-GB" w:eastAsia="en-GB"/>
              </w:rPr>
              <w:t>0.0</w:t>
            </w:r>
          </w:p>
        </w:tc>
        <w:tc>
          <w:tcPr>
            <w:tcW w:w="822" w:type="dxa"/>
            <w:noWrap/>
            <w:vAlign w:val="center"/>
            <w:hideMark/>
          </w:tcPr>
          <w:p w14:paraId="72A54404"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(0)</w:t>
            </w:r>
          </w:p>
        </w:tc>
      </w:tr>
      <w:tr w:rsidR="00F021B0" w14:paraId="6B4A4640" w14:textId="77777777" w:rsidTr="00F021B0">
        <w:trPr>
          <w:trHeight w:val="170"/>
        </w:trPr>
        <w:tc>
          <w:tcPr>
            <w:tcW w:w="2295" w:type="dxa"/>
            <w:tcBorders>
              <w:top w:val="nil"/>
              <w:left w:val="nil"/>
              <w:bottom w:val="single" w:sz="4" w:space="0" w:color="auto"/>
              <w:right w:val="nil"/>
            </w:tcBorders>
            <w:noWrap/>
            <w:vAlign w:val="center"/>
            <w:hideMark/>
          </w:tcPr>
          <w:p w14:paraId="33A6BBAD" w14:textId="77777777" w:rsidR="00F021B0" w:rsidRDefault="00F021B0">
            <w:pPr>
              <w:rPr>
                <w:rFonts w:ascii="Calibri" w:eastAsia="Times New Roman" w:hAnsi="Calibri" w:cs="Calibri"/>
                <w:i/>
                <w:iCs/>
                <w:color w:val="000000"/>
                <w:sz w:val="18"/>
                <w:szCs w:val="18"/>
                <w:lang w:val="en-GB" w:eastAsia="en-GB"/>
              </w:rPr>
            </w:pPr>
          </w:p>
        </w:tc>
        <w:tc>
          <w:tcPr>
            <w:tcW w:w="737" w:type="dxa"/>
            <w:tcBorders>
              <w:top w:val="nil"/>
              <w:left w:val="nil"/>
              <w:bottom w:val="single" w:sz="4" w:space="0" w:color="auto"/>
              <w:right w:val="nil"/>
            </w:tcBorders>
            <w:noWrap/>
            <w:vAlign w:val="center"/>
            <w:hideMark/>
          </w:tcPr>
          <w:p w14:paraId="1E7AB9CF"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tcBorders>
              <w:top w:val="nil"/>
              <w:left w:val="nil"/>
              <w:bottom w:val="single" w:sz="4" w:space="0" w:color="auto"/>
              <w:right w:val="single" w:sz="4" w:space="0" w:color="auto"/>
            </w:tcBorders>
            <w:noWrap/>
            <w:vAlign w:val="center"/>
            <w:hideMark/>
          </w:tcPr>
          <w:p w14:paraId="65370B7F"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single" w:sz="4" w:space="0" w:color="auto"/>
              <w:bottom w:val="single" w:sz="4" w:space="0" w:color="auto"/>
              <w:right w:val="nil"/>
            </w:tcBorders>
            <w:noWrap/>
            <w:vAlign w:val="center"/>
            <w:hideMark/>
          </w:tcPr>
          <w:p w14:paraId="0BC0E40D"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tcBorders>
              <w:top w:val="nil"/>
              <w:left w:val="nil"/>
              <w:bottom w:val="single" w:sz="4" w:space="0" w:color="auto"/>
              <w:right w:val="nil"/>
            </w:tcBorders>
            <w:noWrap/>
            <w:vAlign w:val="center"/>
            <w:hideMark/>
          </w:tcPr>
          <w:p w14:paraId="01F98332"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5C2AB8AE"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6DFBC8CC"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6F5325EE"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63E303FC"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171CC360" w14:textId="77777777" w:rsidR="00F021B0" w:rsidRDefault="00F021B0">
            <w:pPr>
              <w:spacing w:line="276" w:lineRule="auto"/>
              <w:jc w:val="left"/>
              <w:rPr>
                <w:rFonts w:asciiTheme="minorHAnsi" w:hAnsiTheme="minorHAnsi" w:cstheme="minorBidi"/>
                <w:sz w:val="20"/>
                <w:szCs w:val="20"/>
                <w:lang w:val="en-GB" w:eastAsia="en-GB"/>
              </w:rPr>
            </w:pPr>
          </w:p>
        </w:tc>
        <w:tc>
          <w:tcPr>
            <w:tcW w:w="793" w:type="dxa"/>
            <w:tcBorders>
              <w:top w:val="nil"/>
              <w:left w:val="nil"/>
              <w:bottom w:val="single" w:sz="4" w:space="0" w:color="auto"/>
              <w:right w:val="nil"/>
            </w:tcBorders>
            <w:noWrap/>
            <w:vAlign w:val="center"/>
            <w:hideMark/>
          </w:tcPr>
          <w:p w14:paraId="457FF1C6"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586AFFBC"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1BE1C217"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3EDFAA52"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2595EDF2"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nil"/>
              <w:bottom w:val="single" w:sz="4" w:space="0" w:color="auto"/>
              <w:right w:val="nil"/>
            </w:tcBorders>
            <w:noWrap/>
            <w:vAlign w:val="center"/>
            <w:hideMark/>
          </w:tcPr>
          <w:p w14:paraId="03D634CF"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tcBorders>
              <w:top w:val="nil"/>
              <w:left w:val="nil"/>
              <w:bottom w:val="single" w:sz="4" w:space="0" w:color="auto"/>
              <w:right w:val="nil"/>
            </w:tcBorders>
            <w:noWrap/>
            <w:vAlign w:val="center"/>
            <w:hideMark/>
          </w:tcPr>
          <w:p w14:paraId="4BB49F26" w14:textId="77777777" w:rsidR="00F021B0" w:rsidRDefault="00F021B0">
            <w:pPr>
              <w:spacing w:line="276" w:lineRule="auto"/>
              <w:jc w:val="left"/>
              <w:rPr>
                <w:rFonts w:asciiTheme="minorHAnsi" w:hAnsiTheme="minorHAnsi" w:cstheme="minorBidi"/>
                <w:sz w:val="20"/>
                <w:szCs w:val="20"/>
                <w:lang w:val="en-GB" w:eastAsia="en-GB"/>
              </w:rPr>
            </w:pPr>
          </w:p>
        </w:tc>
      </w:tr>
      <w:tr w:rsidR="00F021B0" w14:paraId="06002D05" w14:textId="77777777" w:rsidTr="00F021B0">
        <w:trPr>
          <w:trHeight w:val="290"/>
        </w:trPr>
        <w:tc>
          <w:tcPr>
            <w:tcW w:w="3927"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1B75F01A" w14:textId="77777777" w:rsidR="00F021B0" w:rsidRDefault="00F021B0">
            <w:pPr>
              <w:spacing w:line="276" w:lineRule="auto"/>
              <w:jc w:val="left"/>
              <w:rPr>
                <w:rFonts w:eastAsia="Times New Roman"/>
                <w:lang w:val="en-GB" w:eastAsia="en-GB"/>
              </w:rPr>
            </w:pPr>
            <w:r>
              <w:rPr>
                <w:rFonts w:ascii="Calibri" w:eastAsia="Times New Roman" w:hAnsi="Calibri" w:cs="Calibri"/>
                <w:b/>
                <w:iCs/>
                <w:color w:val="000000"/>
                <w:lang w:val="en-GB" w:eastAsia="en-GB"/>
              </w:rPr>
              <w:t>Maternal health and behavioural factors</w:t>
            </w: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688C9D3" w14:textId="77777777" w:rsidR="00F021B0" w:rsidRDefault="00F021B0">
            <w:pPr>
              <w:spacing w:line="276" w:lineRule="auto"/>
              <w:jc w:val="right"/>
              <w:rPr>
                <w:rFonts w:eastAsia="Times New Roman"/>
                <w:lang w:val="en-GB" w:eastAsia="en-GB"/>
              </w:rPr>
            </w:pPr>
          </w:p>
        </w:tc>
        <w:tc>
          <w:tcPr>
            <w:tcW w:w="895" w:type="dxa"/>
            <w:tcBorders>
              <w:top w:val="single" w:sz="4" w:space="0" w:color="auto"/>
              <w:left w:val="nil"/>
              <w:bottom w:val="single" w:sz="4" w:space="0" w:color="auto"/>
              <w:right w:val="nil"/>
            </w:tcBorders>
            <w:shd w:val="clear" w:color="auto" w:fill="D9D9D9" w:themeFill="background1" w:themeFillShade="D9"/>
            <w:noWrap/>
            <w:vAlign w:val="center"/>
          </w:tcPr>
          <w:p w14:paraId="18B355DB"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32F180DC" w14:textId="77777777" w:rsidR="00F021B0" w:rsidRDefault="00F021B0">
            <w:pPr>
              <w:spacing w:line="276" w:lineRule="auto"/>
              <w:jc w:val="right"/>
              <w:rPr>
                <w:rFonts w:eastAsia="Times New Roman"/>
                <w:lang w:val="en-GB" w:eastAsia="en-GB"/>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center"/>
          </w:tcPr>
          <w:p w14:paraId="75E94AA4"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1E163CD" w14:textId="77777777" w:rsidR="00F021B0" w:rsidRDefault="00F021B0">
            <w:pPr>
              <w:spacing w:line="276" w:lineRule="auto"/>
              <w:jc w:val="right"/>
              <w:rPr>
                <w:rFonts w:eastAsia="Times New Roman"/>
                <w:lang w:val="en-GB" w:eastAsia="en-GB"/>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center"/>
          </w:tcPr>
          <w:p w14:paraId="0EBE6A72"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3A064904" w14:textId="77777777" w:rsidR="00F021B0" w:rsidRDefault="00F021B0">
            <w:pPr>
              <w:spacing w:line="276" w:lineRule="auto"/>
              <w:jc w:val="right"/>
              <w:rPr>
                <w:rFonts w:eastAsia="Times New Roman"/>
                <w:lang w:val="en-GB" w:eastAsia="en-GB"/>
              </w:rPr>
            </w:pPr>
          </w:p>
        </w:tc>
        <w:tc>
          <w:tcPr>
            <w:tcW w:w="793" w:type="dxa"/>
            <w:tcBorders>
              <w:top w:val="single" w:sz="4" w:space="0" w:color="auto"/>
              <w:left w:val="nil"/>
              <w:bottom w:val="single" w:sz="4" w:space="0" w:color="auto"/>
              <w:right w:val="nil"/>
            </w:tcBorders>
            <w:shd w:val="clear" w:color="auto" w:fill="D9D9D9" w:themeFill="background1" w:themeFillShade="D9"/>
            <w:noWrap/>
            <w:vAlign w:val="center"/>
          </w:tcPr>
          <w:p w14:paraId="1E2C01BC"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94B56A0" w14:textId="77777777" w:rsidR="00F021B0" w:rsidRDefault="00F021B0">
            <w:pPr>
              <w:spacing w:line="276" w:lineRule="auto"/>
              <w:jc w:val="right"/>
              <w:rPr>
                <w:rFonts w:eastAsia="Times New Roman"/>
                <w:lang w:val="en-GB" w:eastAsia="en-GB"/>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center"/>
          </w:tcPr>
          <w:p w14:paraId="7A46FCFB"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1064269E" w14:textId="77777777" w:rsidR="00F021B0" w:rsidRDefault="00F021B0">
            <w:pPr>
              <w:spacing w:line="276" w:lineRule="auto"/>
              <w:jc w:val="right"/>
              <w:rPr>
                <w:rFonts w:eastAsia="Times New Roman"/>
                <w:lang w:val="en-GB" w:eastAsia="en-GB"/>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center"/>
          </w:tcPr>
          <w:p w14:paraId="6D2A3192" w14:textId="77777777" w:rsidR="00F021B0" w:rsidRDefault="00F021B0">
            <w:pPr>
              <w:spacing w:line="276" w:lineRule="auto"/>
              <w:jc w:val="left"/>
              <w:rPr>
                <w:rFonts w:eastAsia="Times New Roman"/>
                <w:lang w:val="en-GB" w:eastAsia="en-GB"/>
              </w:rPr>
            </w:pP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06BC9465" w14:textId="77777777" w:rsidR="00F021B0" w:rsidRDefault="00F021B0">
            <w:pPr>
              <w:spacing w:line="276" w:lineRule="auto"/>
              <w:jc w:val="right"/>
              <w:rPr>
                <w:rFonts w:eastAsia="Times New Roman"/>
                <w:lang w:val="en-GB" w:eastAsia="en-GB"/>
              </w:rPr>
            </w:pPr>
          </w:p>
        </w:tc>
        <w:tc>
          <w:tcPr>
            <w:tcW w:w="822" w:type="dxa"/>
            <w:tcBorders>
              <w:top w:val="single" w:sz="4" w:space="0" w:color="auto"/>
              <w:left w:val="nil"/>
              <w:bottom w:val="single" w:sz="4" w:space="0" w:color="auto"/>
              <w:right w:val="nil"/>
            </w:tcBorders>
            <w:shd w:val="clear" w:color="auto" w:fill="D9D9D9" w:themeFill="background1" w:themeFillShade="D9"/>
            <w:noWrap/>
            <w:vAlign w:val="center"/>
          </w:tcPr>
          <w:p w14:paraId="0B959EF7" w14:textId="77777777" w:rsidR="00F021B0" w:rsidRDefault="00F021B0">
            <w:pPr>
              <w:spacing w:line="276" w:lineRule="auto"/>
              <w:jc w:val="left"/>
              <w:rPr>
                <w:rFonts w:eastAsia="Times New Roman"/>
                <w:lang w:val="en-GB" w:eastAsia="en-GB"/>
              </w:rPr>
            </w:pPr>
          </w:p>
        </w:tc>
      </w:tr>
      <w:tr w:rsidR="00F021B0" w14:paraId="0EB1CF17" w14:textId="77777777" w:rsidTr="00F021B0">
        <w:trPr>
          <w:trHeight w:val="290"/>
        </w:trPr>
        <w:tc>
          <w:tcPr>
            <w:tcW w:w="2295" w:type="dxa"/>
            <w:tcBorders>
              <w:top w:val="single" w:sz="4" w:space="0" w:color="auto"/>
              <w:left w:val="nil"/>
              <w:bottom w:val="nil"/>
              <w:right w:val="nil"/>
            </w:tcBorders>
            <w:noWrap/>
            <w:vAlign w:val="center"/>
            <w:hideMark/>
          </w:tcPr>
          <w:p w14:paraId="4FCBD0A3" w14:textId="77777777" w:rsidR="00F021B0" w:rsidRDefault="00F021B0">
            <w:pPr>
              <w:spacing w:line="276" w:lineRule="auto"/>
              <w:jc w:val="left"/>
              <w:rPr>
                <w:rFonts w:ascii="Calibri" w:eastAsia="Times New Roman" w:hAnsi="Calibri" w:cs="Calibri"/>
                <w:b/>
                <w:color w:val="000000"/>
                <w:sz w:val="20"/>
                <w:szCs w:val="20"/>
                <w:vertAlign w:val="superscript"/>
                <w:lang w:val="en-GB" w:eastAsia="en-GB"/>
              </w:rPr>
            </w:pPr>
            <w:r>
              <w:rPr>
                <w:rFonts w:ascii="Calibri" w:eastAsia="Times New Roman" w:hAnsi="Calibri" w:cs="Calibri"/>
                <w:b/>
                <w:color w:val="000000"/>
                <w:sz w:val="20"/>
                <w:szCs w:val="20"/>
                <w:lang w:val="en-GB" w:eastAsia="en-GB"/>
              </w:rPr>
              <w:lastRenderedPageBreak/>
              <w:t xml:space="preserve">Pre-pregnancy </w:t>
            </w:r>
            <w:proofErr w:type="spellStart"/>
            <w:r>
              <w:rPr>
                <w:rFonts w:ascii="Calibri" w:eastAsia="Times New Roman" w:hAnsi="Calibri" w:cs="Calibri"/>
                <w:b/>
                <w:color w:val="000000"/>
                <w:sz w:val="20"/>
                <w:szCs w:val="20"/>
                <w:lang w:val="en-GB" w:eastAsia="en-GB"/>
              </w:rPr>
              <w:t>BMI</w:t>
            </w:r>
            <w:r>
              <w:rPr>
                <w:rFonts w:ascii="Calibri" w:eastAsia="Times New Roman" w:hAnsi="Calibri" w:cs="Calibri"/>
                <w:b/>
                <w:color w:val="000000"/>
                <w:sz w:val="20"/>
                <w:szCs w:val="20"/>
                <w:vertAlign w:val="superscript"/>
                <w:lang w:val="en-GB" w:eastAsia="en-GB"/>
              </w:rPr>
              <w:t>d</w:t>
            </w:r>
            <w:proofErr w:type="spellEnd"/>
          </w:p>
        </w:tc>
        <w:tc>
          <w:tcPr>
            <w:tcW w:w="737" w:type="dxa"/>
            <w:tcBorders>
              <w:top w:val="single" w:sz="4" w:space="0" w:color="auto"/>
              <w:left w:val="nil"/>
              <w:bottom w:val="nil"/>
              <w:right w:val="nil"/>
            </w:tcBorders>
            <w:noWrap/>
            <w:vAlign w:val="center"/>
          </w:tcPr>
          <w:p w14:paraId="590FE36A" w14:textId="77777777" w:rsidR="00F021B0" w:rsidRDefault="00F021B0">
            <w:pPr>
              <w:spacing w:line="276" w:lineRule="auto"/>
              <w:rPr>
                <w:rFonts w:ascii="Calibri" w:hAnsi="Calibri" w:cs="Calibri"/>
                <w:b/>
                <w:bCs/>
                <w:color w:val="000000"/>
                <w:sz w:val="20"/>
                <w:szCs w:val="20"/>
              </w:rPr>
            </w:pPr>
          </w:p>
        </w:tc>
        <w:tc>
          <w:tcPr>
            <w:tcW w:w="895" w:type="dxa"/>
            <w:tcBorders>
              <w:top w:val="single" w:sz="4" w:space="0" w:color="auto"/>
              <w:left w:val="nil"/>
              <w:bottom w:val="nil"/>
              <w:right w:val="single" w:sz="4" w:space="0" w:color="auto"/>
            </w:tcBorders>
            <w:noWrap/>
            <w:vAlign w:val="center"/>
          </w:tcPr>
          <w:p w14:paraId="5194506B"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single" w:sz="4" w:space="0" w:color="auto"/>
              <w:bottom w:val="nil"/>
              <w:right w:val="nil"/>
            </w:tcBorders>
            <w:noWrap/>
            <w:vAlign w:val="center"/>
          </w:tcPr>
          <w:p w14:paraId="41DDFCD3" w14:textId="77777777" w:rsidR="00F021B0" w:rsidRDefault="00F021B0">
            <w:pPr>
              <w:spacing w:line="276" w:lineRule="auto"/>
              <w:jc w:val="right"/>
              <w:rPr>
                <w:rFonts w:ascii="Calibri" w:hAnsi="Calibri" w:cs="Calibri"/>
                <w:b/>
                <w:bCs/>
                <w:color w:val="000000"/>
                <w:sz w:val="20"/>
                <w:szCs w:val="20"/>
              </w:rPr>
            </w:pPr>
          </w:p>
        </w:tc>
        <w:tc>
          <w:tcPr>
            <w:tcW w:w="895" w:type="dxa"/>
            <w:tcBorders>
              <w:top w:val="single" w:sz="4" w:space="0" w:color="auto"/>
              <w:left w:val="nil"/>
              <w:bottom w:val="nil"/>
              <w:right w:val="nil"/>
            </w:tcBorders>
            <w:noWrap/>
            <w:vAlign w:val="center"/>
          </w:tcPr>
          <w:p w14:paraId="7C391054"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34345303" w14:textId="77777777" w:rsidR="00F021B0" w:rsidRDefault="00F021B0">
            <w:pPr>
              <w:spacing w:line="276" w:lineRule="auto"/>
              <w:jc w:val="right"/>
              <w:rPr>
                <w:rFonts w:ascii="Calibri" w:hAnsi="Calibri" w:cs="Calibri"/>
                <w:b/>
                <w:bCs/>
                <w:color w:val="000000"/>
                <w:sz w:val="20"/>
                <w:szCs w:val="20"/>
              </w:rPr>
            </w:pPr>
          </w:p>
        </w:tc>
        <w:tc>
          <w:tcPr>
            <w:tcW w:w="822" w:type="dxa"/>
            <w:tcBorders>
              <w:top w:val="single" w:sz="4" w:space="0" w:color="auto"/>
              <w:left w:val="nil"/>
              <w:bottom w:val="nil"/>
              <w:right w:val="nil"/>
            </w:tcBorders>
            <w:noWrap/>
            <w:vAlign w:val="center"/>
          </w:tcPr>
          <w:p w14:paraId="56617487"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73C04218" w14:textId="77777777" w:rsidR="00F021B0" w:rsidRDefault="00F021B0">
            <w:pPr>
              <w:spacing w:line="276" w:lineRule="auto"/>
              <w:jc w:val="right"/>
              <w:rPr>
                <w:rFonts w:ascii="Calibri" w:hAnsi="Calibri" w:cs="Calibri"/>
                <w:b/>
                <w:bCs/>
                <w:color w:val="000000"/>
                <w:sz w:val="20"/>
                <w:szCs w:val="20"/>
              </w:rPr>
            </w:pPr>
          </w:p>
        </w:tc>
        <w:tc>
          <w:tcPr>
            <w:tcW w:w="822" w:type="dxa"/>
            <w:tcBorders>
              <w:top w:val="single" w:sz="4" w:space="0" w:color="auto"/>
              <w:left w:val="nil"/>
              <w:bottom w:val="nil"/>
              <w:right w:val="nil"/>
            </w:tcBorders>
            <w:noWrap/>
            <w:vAlign w:val="center"/>
          </w:tcPr>
          <w:p w14:paraId="31B497DE"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7832F0F1" w14:textId="77777777" w:rsidR="00F021B0" w:rsidRDefault="00F021B0">
            <w:pPr>
              <w:spacing w:line="276" w:lineRule="auto"/>
              <w:jc w:val="right"/>
              <w:rPr>
                <w:rFonts w:ascii="Calibri" w:hAnsi="Calibri" w:cs="Calibri"/>
                <w:b/>
                <w:bCs/>
                <w:color w:val="000000"/>
                <w:sz w:val="20"/>
                <w:szCs w:val="20"/>
              </w:rPr>
            </w:pPr>
          </w:p>
        </w:tc>
        <w:tc>
          <w:tcPr>
            <w:tcW w:w="793" w:type="dxa"/>
            <w:tcBorders>
              <w:top w:val="single" w:sz="4" w:space="0" w:color="auto"/>
              <w:left w:val="nil"/>
              <w:bottom w:val="nil"/>
              <w:right w:val="nil"/>
            </w:tcBorders>
            <w:noWrap/>
            <w:vAlign w:val="center"/>
          </w:tcPr>
          <w:p w14:paraId="555250D3"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51F3917B" w14:textId="77777777" w:rsidR="00F021B0" w:rsidRDefault="00F021B0">
            <w:pPr>
              <w:spacing w:line="276" w:lineRule="auto"/>
              <w:jc w:val="right"/>
              <w:rPr>
                <w:rFonts w:ascii="Calibri" w:hAnsi="Calibri" w:cs="Calibri"/>
                <w:b/>
                <w:bCs/>
                <w:color w:val="000000"/>
                <w:sz w:val="20"/>
                <w:szCs w:val="20"/>
              </w:rPr>
            </w:pPr>
          </w:p>
        </w:tc>
        <w:tc>
          <w:tcPr>
            <w:tcW w:w="822" w:type="dxa"/>
            <w:tcBorders>
              <w:top w:val="single" w:sz="4" w:space="0" w:color="auto"/>
              <w:left w:val="nil"/>
              <w:bottom w:val="nil"/>
              <w:right w:val="nil"/>
            </w:tcBorders>
            <w:noWrap/>
            <w:vAlign w:val="center"/>
          </w:tcPr>
          <w:p w14:paraId="08210BEE"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76D360AE" w14:textId="77777777" w:rsidR="00F021B0" w:rsidRDefault="00F021B0">
            <w:pPr>
              <w:spacing w:line="276" w:lineRule="auto"/>
              <w:jc w:val="right"/>
              <w:rPr>
                <w:rFonts w:ascii="Calibri" w:hAnsi="Calibri" w:cs="Calibri"/>
                <w:b/>
                <w:bCs/>
                <w:color w:val="000000"/>
                <w:sz w:val="20"/>
                <w:szCs w:val="20"/>
              </w:rPr>
            </w:pPr>
          </w:p>
        </w:tc>
        <w:tc>
          <w:tcPr>
            <w:tcW w:w="822" w:type="dxa"/>
            <w:tcBorders>
              <w:top w:val="single" w:sz="4" w:space="0" w:color="auto"/>
              <w:left w:val="nil"/>
              <w:bottom w:val="nil"/>
              <w:right w:val="nil"/>
            </w:tcBorders>
            <w:noWrap/>
            <w:vAlign w:val="center"/>
          </w:tcPr>
          <w:p w14:paraId="2630EE65" w14:textId="77777777" w:rsidR="00F021B0" w:rsidRDefault="00F021B0">
            <w:pPr>
              <w:spacing w:line="276" w:lineRule="auto"/>
              <w:jc w:val="left"/>
              <w:rPr>
                <w:rFonts w:ascii="Calibri" w:hAnsi="Calibri" w:cs="Calibri"/>
                <w:color w:val="000000"/>
                <w:sz w:val="20"/>
                <w:szCs w:val="20"/>
              </w:rPr>
            </w:pPr>
          </w:p>
        </w:tc>
        <w:tc>
          <w:tcPr>
            <w:tcW w:w="680" w:type="dxa"/>
            <w:tcBorders>
              <w:top w:val="single" w:sz="4" w:space="0" w:color="auto"/>
              <w:left w:val="nil"/>
              <w:bottom w:val="nil"/>
              <w:right w:val="nil"/>
            </w:tcBorders>
            <w:noWrap/>
            <w:vAlign w:val="center"/>
          </w:tcPr>
          <w:p w14:paraId="3E3663D8" w14:textId="77777777" w:rsidR="00F021B0" w:rsidRDefault="00F021B0">
            <w:pPr>
              <w:spacing w:line="276" w:lineRule="auto"/>
              <w:jc w:val="right"/>
              <w:rPr>
                <w:rFonts w:ascii="Calibri" w:hAnsi="Calibri" w:cs="Calibri"/>
                <w:b/>
                <w:bCs/>
                <w:color w:val="000000"/>
                <w:sz w:val="20"/>
                <w:szCs w:val="20"/>
              </w:rPr>
            </w:pPr>
          </w:p>
        </w:tc>
        <w:tc>
          <w:tcPr>
            <w:tcW w:w="822" w:type="dxa"/>
            <w:tcBorders>
              <w:top w:val="single" w:sz="4" w:space="0" w:color="auto"/>
              <w:left w:val="nil"/>
              <w:bottom w:val="nil"/>
              <w:right w:val="nil"/>
            </w:tcBorders>
            <w:noWrap/>
            <w:vAlign w:val="center"/>
          </w:tcPr>
          <w:p w14:paraId="47A1366D" w14:textId="77777777" w:rsidR="00F021B0" w:rsidRDefault="00F021B0">
            <w:pPr>
              <w:spacing w:line="276" w:lineRule="auto"/>
              <w:jc w:val="left"/>
              <w:rPr>
                <w:rFonts w:ascii="Calibri" w:hAnsi="Calibri" w:cs="Calibri"/>
                <w:color w:val="000000"/>
                <w:sz w:val="20"/>
                <w:szCs w:val="20"/>
              </w:rPr>
            </w:pPr>
          </w:p>
        </w:tc>
      </w:tr>
      <w:tr w:rsidR="00F021B0" w14:paraId="11360062" w14:textId="77777777" w:rsidTr="00F021B0">
        <w:trPr>
          <w:trHeight w:val="290"/>
        </w:trPr>
        <w:tc>
          <w:tcPr>
            <w:tcW w:w="2295" w:type="dxa"/>
            <w:noWrap/>
            <w:vAlign w:val="center"/>
            <w:hideMark/>
          </w:tcPr>
          <w:p w14:paraId="56625083"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Underweight</w:t>
            </w:r>
          </w:p>
        </w:tc>
        <w:tc>
          <w:tcPr>
            <w:tcW w:w="737" w:type="dxa"/>
            <w:noWrap/>
            <w:vAlign w:val="center"/>
            <w:hideMark/>
          </w:tcPr>
          <w:p w14:paraId="14B7A36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7.3</w:t>
            </w:r>
          </w:p>
        </w:tc>
        <w:tc>
          <w:tcPr>
            <w:tcW w:w="895" w:type="dxa"/>
            <w:tcBorders>
              <w:top w:val="nil"/>
              <w:left w:val="nil"/>
              <w:bottom w:val="nil"/>
              <w:right w:val="single" w:sz="4" w:space="0" w:color="auto"/>
            </w:tcBorders>
            <w:noWrap/>
            <w:vAlign w:val="center"/>
            <w:hideMark/>
          </w:tcPr>
          <w:p w14:paraId="6404A33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(1,779)</w:t>
            </w:r>
          </w:p>
        </w:tc>
        <w:tc>
          <w:tcPr>
            <w:tcW w:w="680" w:type="dxa"/>
            <w:tcBorders>
              <w:top w:val="nil"/>
              <w:left w:val="single" w:sz="4" w:space="0" w:color="auto"/>
              <w:bottom w:val="nil"/>
              <w:right w:val="nil"/>
            </w:tcBorders>
            <w:noWrap/>
            <w:vAlign w:val="center"/>
            <w:hideMark/>
          </w:tcPr>
          <w:p w14:paraId="20F7994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11.5</w:t>
            </w:r>
          </w:p>
        </w:tc>
        <w:tc>
          <w:tcPr>
            <w:tcW w:w="895" w:type="dxa"/>
            <w:noWrap/>
            <w:vAlign w:val="center"/>
            <w:hideMark/>
          </w:tcPr>
          <w:p w14:paraId="55BF25A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(1,185)</w:t>
            </w:r>
          </w:p>
        </w:tc>
        <w:tc>
          <w:tcPr>
            <w:tcW w:w="680" w:type="dxa"/>
            <w:noWrap/>
            <w:vAlign w:val="center"/>
            <w:hideMark/>
          </w:tcPr>
          <w:p w14:paraId="21139B9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8.6</w:t>
            </w:r>
          </w:p>
        </w:tc>
        <w:tc>
          <w:tcPr>
            <w:tcW w:w="822" w:type="dxa"/>
            <w:noWrap/>
            <w:vAlign w:val="center"/>
            <w:hideMark/>
          </w:tcPr>
          <w:p w14:paraId="084473E8"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(163)</w:t>
            </w:r>
          </w:p>
        </w:tc>
        <w:tc>
          <w:tcPr>
            <w:tcW w:w="680" w:type="dxa"/>
            <w:noWrap/>
            <w:vAlign w:val="center"/>
            <w:hideMark/>
          </w:tcPr>
          <w:p w14:paraId="451F376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3.8</w:t>
            </w:r>
          </w:p>
        </w:tc>
        <w:tc>
          <w:tcPr>
            <w:tcW w:w="822" w:type="dxa"/>
            <w:noWrap/>
            <w:vAlign w:val="center"/>
            <w:hideMark/>
          </w:tcPr>
          <w:p w14:paraId="599DB6D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(230)</w:t>
            </w:r>
          </w:p>
        </w:tc>
        <w:tc>
          <w:tcPr>
            <w:tcW w:w="680" w:type="dxa"/>
            <w:noWrap/>
            <w:vAlign w:val="center"/>
            <w:hideMark/>
          </w:tcPr>
          <w:p w14:paraId="127B83E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3.4</w:t>
            </w:r>
          </w:p>
        </w:tc>
        <w:tc>
          <w:tcPr>
            <w:tcW w:w="793" w:type="dxa"/>
            <w:noWrap/>
            <w:vAlign w:val="center"/>
            <w:hideMark/>
          </w:tcPr>
          <w:p w14:paraId="2780518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(31)</w:t>
            </w:r>
          </w:p>
        </w:tc>
        <w:tc>
          <w:tcPr>
            <w:tcW w:w="680" w:type="dxa"/>
            <w:noWrap/>
            <w:vAlign w:val="center"/>
            <w:hideMark/>
          </w:tcPr>
          <w:p w14:paraId="00C426E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8.9</w:t>
            </w:r>
          </w:p>
        </w:tc>
        <w:tc>
          <w:tcPr>
            <w:tcW w:w="822" w:type="dxa"/>
            <w:noWrap/>
            <w:vAlign w:val="center"/>
            <w:hideMark/>
          </w:tcPr>
          <w:p w14:paraId="0015E9C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(115)</w:t>
            </w:r>
          </w:p>
        </w:tc>
        <w:tc>
          <w:tcPr>
            <w:tcW w:w="680" w:type="dxa"/>
            <w:noWrap/>
            <w:vAlign w:val="center"/>
            <w:hideMark/>
          </w:tcPr>
          <w:p w14:paraId="63B63A0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0.5</w:t>
            </w:r>
          </w:p>
        </w:tc>
        <w:tc>
          <w:tcPr>
            <w:tcW w:w="822" w:type="dxa"/>
            <w:noWrap/>
            <w:vAlign w:val="center"/>
            <w:hideMark/>
          </w:tcPr>
          <w:p w14:paraId="60DE0A5A"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w:t>
            </w:r>
          </w:p>
        </w:tc>
        <w:tc>
          <w:tcPr>
            <w:tcW w:w="680" w:type="dxa"/>
            <w:noWrap/>
            <w:vAlign w:val="center"/>
            <w:hideMark/>
          </w:tcPr>
          <w:p w14:paraId="41401B8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1.7</w:t>
            </w:r>
          </w:p>
        </w:tc>
        <w:tc>
          <w:tcPr>
            <w:tcW w:w="822" w:type="dxa"/>
            <w:noWrap/>
            <w:vAlign w:val="center"/>
            <w:hideMark/>
          </w:tcPr>
          <w:p w14:paraId="536CD50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(52)</w:t>
            </w:r>
          </w:p>
        </w:tc>
      </w:tr>
      <w:tr w:rsidR="00F021B0" w14:paraId="34E67D01" w14:textId="77777777" w:rsidTr="00F021B0">
        <w:trPr>
          <w:trHeight w:val="290"/>
        </w:trPr>
        <w:tc>
          <w:tcPr>
            <w:tcW w:w="2295" w:type="dxa"/>
            <w:noWrap/>
            <w:vAlign w:val="center"/>
            <w:hideMark/>
          </w:tcPr>
          <w:p w14:paraId="5FB96CF7"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Normal range</w:t>
            </w:r>
          </w:p>
        </w:tc>
        <w:tc>
          <w:tcPr>
            <w:tcW w:w="737" w:type="dxa"/>
            <w:noWrap/>
            <w:vAlign w:val="center"/>
            <w:hideMark/>
          </w:tcPr>
          <w:p w14:paraId="679636D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65.8</w:t>
            </w:r>
          </w:p>
        </w:tc>
        <w:tc>
          <w:tcPr>
            <w:tcW w:w="895" w:type="dxa"/>
            <w:tcBorders>
              <w:top w:val="nil"/>
              <w:left w:val="nil"/>
              <w:bottom w:val="nil"/>
              <w:right w:val="single" w:sz="4" w:space="0" w:color="auto"/>
            </w:tcBorders>
            <w:noWrap/>
            <w:vAlign w:val="center"/>
            <w:hideMark/>
          </w:tcPr>
          <w:p w14:paraId="08C3B52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(15,933)</w:t>
            </w:r>
          </w:p>
        </w:tc>
        <w:tc>
          <w:tcPr>
            <w:tcW w:w="680" w:type="dxa"/>
            <w:tcBorders>
              <w:top w:val="nil"/>
              <w:left w:val="single" w:sz="4" w:space="0" w:color="auto"/>
              <w:bottom w:val="nil"/>
              <w:right w:val="nil"/>
            </w:tcBorders>
            <w:noWrap/>
            <w:vAlign w:val="center"/>
            <w:hideMark/>
          </w:tcPr>
          <w:p w14:paraId="570925C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68.0</w:t>
            </w:r>
          </w:p>
        </w:tc>
        <w:tc>
          <w:tcPr>
            <w:tcW w:w="895" w:type="dxa"/>
            <w:noWrap/>
            <w:vAlign w:val="center"/>
            <w:hideMark/>
          </w:tcPr>
          <w:p w14:paraId="14FA4AB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(7,002)</w:t>
            </w:r>
          </w:p>
        </w:tc>
        <w:tc>
          <w:tcPr>
            <w:tcW w:w="680" w:type="dxa"/>
            <w:noWrap/>
            <w:vAlign w:val="center"/>
            <w:hideMark/>
          </w:tcPr>
          <w:p w14:paraId="6111DE2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64.8</w:t>
            </w:r>
          </w:p>
        </w:tc>
        <w:tc>
          <w:tcPr>
            <w:tcW w:w="822" w:type="dxa"/>
            <w:noWrap/>
            <w:vAlign w:val="center"/>
            <w:hideMark/>
          </w:tcPr>
          <w:p w14:paraId="0585099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(1,225)</w:t>
            </w:r>
          </w:p>
        </w:tc>
        <w:tc>
          <w:tcPr>
            <w:tcW w:w="680" w:type="dxa"/>
            <w:noWrap/>
            <w:vAlign w:val="center"/>
            <w:hideMark/>
          </w:tcPr>
          <w:p w14:paraId="5BCDA3E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67.5</w:t>
            </w:r>
          </w:p>
        </w:tc>
        <w:tc>
          <w:tcPr>
            <w:tcW w:w="822" w:type="dxa"/>
            <w:noWrap/>
            <w:vAlign w:val="center"/>
            <w:hideMark/>
          </w:tcPr>
          <w:p w14:paraId="7B15715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(4,075)</w:t>
            </w:r>
          </w:p>
        </w:tc>
        <w:tc>
          <w:tcPr>
            <w:tcW w:w="680" w:type="dxa"/>
            <w:noWrap/>
            <w:vAlign w:val="center"/>
            <w:hideMark/>
          </w:tcPr>
          <w:p w14:paraId="00A90433"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68.2</w:t>
            </w:r>
          </w:p>
        </w:tc>
        <w:tc>
          <w:tcPr>
            <w:tcW w:w="793" w:type="dxa"/>
            <w:noWrap/>
            <w:vAlign w:val="center"/>
            <w:hideMark/>
          </w:tcPr>
          <w:p w14:paraId="6F12CEF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(627)</w:t>
            </w:r>
          </w:p>
        </w:tc>
        <w:tc>
          <w:tcPr>
            <w:tcW w:w="680" w:type="dxa"/>
            <w:noWrap/>
            <w:vAlign w:val="center"/>
            <w:hideMark/>
          </w:tcPr>
          <w:p w14:paraId="3F9C0ED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72.6</w:t>
            </w:r>
          </w:p>
        </w:tc>
        <w:tc>
          <w:tcPr>
            <w:tcW w:w="822" w:type="dxa"/>
            <w:noWrap/>
            <w:vAlign w:val="center"/>
            <w:hideMark/>
          </w:tcPr>
          <w:p w14:paraId="60F30DD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(942)</w:t>
            </w:r>
          </w:p>
        </w:tc>
        <w:tc>
          <w:tcPr>
            <w:tcW w:w="680" w:type="dxa"/>
            <w:noWrap/>
            <w:vAlign w:val="center"/>
            <w:hideMark/>
          </w:tcPr>
          <w:p w14:paraId="676633D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43.4</w:t>
            </w:r>
          </w:p>
        </w:tc>
        <w:tc>
          <w:tcPr>
            <w:tcW w:w="822" w:type="dxa"/>
            <w:noWrap/>
            <w:vAlign w:val="center"/>
            <w:hideMark/>
          </w:tcPr>
          <w:p w14:paraId="56DE9C6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(273)</w:t>
            </w:r>
          </w:p>
        </w:tc>
        <w:tc>
          <w:tcPr>
            <w:tcW w:w="680" w:type="dxa"/>
            <w:noWrap/>
            <w:vAlign w:val="center"/>
            <w:hideMark/>
          </w:tcPr>
          <w:p w14:paraId="3524416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57.0</w:t>
            </w:r>
          </w:p>
        </w:tc>
        <w:tc>
          <w:tcPr>
            <w:tcW w:w="822" w:type="dxa"/>
            <w:noWrap/>
            <w:vAlign w:val="center"/>
            <w:hideMark/>
          </w:tcPr>
          <w:p w14:paraId="4AEE595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(1,789)</w:t>
            </w:r>
          </w:p>
        </w:tc>
      </w:tr>
      <w:tr w:rsidR="00F021B0" w14:paraId="7210641E" w14:textId="77777777" w:rsidTr="00F021B0">
        <w:trPr>
          <w:trHeight w:val="290"/>
        </w:trPr>
        <w:tc>
          <w:tcPr>
            <w:tcW w:w="2295" w:type="dxa"/>
            <w:noWrap/>
            <w:vAlign w:val="center"/>
            <w:hideMark/>
          </w:tcPr>
          <w:p w14:paraId="095668C2"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Overweight</w:t>
            </w:r>
          </w:p>
        </w:tc>
        <w:tc>
          <w:tcPr>
            <w:tcW w:w="737" w:type="dxa"/>
            <w:noWrap/>
            <w:vAlign w:val="center"/>
            <w:hideMark/>
          </w:tcPr>
          <w:p w14:paraId="52FD825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18.3</w:t>
            </w:r>
          </w:p>
        </w:tc>
        <w:tc>
          <w:tcPr>
            <w:tcW w:w="895" w:type="dxa"/>
            <w:tcBorders>
              <w:top w:val="nil"/>
              <w:left w:val="nil"/>
              <w:bottom w:val="nil"/>
              <w:right w:val="single" w:sz="4" w:space="0" w:color="auto"/>
            </w:tcBorders>
            <w:noWrap/>
            <w:vAlign w:val="center"/>
            <w:hideMark/>
          </w:tcPr>
          <w:p w14:paraId="627E0F5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(4,421)</w:t>
            </w:r>
          </w:p>
        </w:tc>
        <w:tc>
          <w:tcPr>
            <w:tcW w:w="680" w:type="dxa"/>
            <w:tcBorders>
              <w:top w:val="nil"/>
              <w:left w:val="single" w:sz="4" w:space="0" w:color="auto"/>
              <w:bottom w:val="nil"/>
              <w:right w:val="nil"/>
            </w:tcBorders>
            <w:noWrap/>
            <w:vAlign w:val="center"/>
            <w:hideMark/>
          </w:tcPr>
          <w:p w14:paraId="1920086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14.0</w:t>
            </w:r>
          </w:p>
        </w:tc>
        <w:tc>
          <w:tcPr>
            <w:tcW w:w="895" w:type="dxa"/>
            <w:noWrap/>
            <w:vAlign w:val="center"/>
            <w:hideMark/>
          </w:tcPr>
          <w:p w14:paraId="7CEF11E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(1,439)</w:t>
            </w:r>
          </w:p>
        </w:tc>
        <w:tc>
          <w:tcPr>
            <w:tcW w:w="680" w:type="dxa"/>
            <w:noWrap/>
            <w:vAlign w:val="center"/>
            <w:hideMark/>
          </w:tcPr>
          <w:p w14:paraId="7A8FF8B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17.7</w:t>
            </w:r>
          </w:p>
        </w:tc>
        <w:tc>
          <w:tcPr>
            <w:tcW w:w="822" w:type="dxa"/>
            <w:noWrap/>
            <w:vAlign w:val="center"/>
            <w:hideMark/>
          </w:tcPr>
          <w:p w14:paraId="00450D6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(335)</w:t>
            </w:r>
          </w:p>
        </w:tc>
        <w:tc>
          <w:tcPr>
            <w:tcW w:w="680" w:type="dxa"/>
            <w:noWrap/>
            <w:vAlign w:val="center"/>
            <w:hideMark/>
          </w:tcPr>
          <w:p w14:paraId="741FCD34"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19.6</w:t>
            </w:r>
          </w:p>
        </w:tc>
        <w:tc>
          <w:tcPr>
            <w:tcW w:w="822" w:type="dxa"/>
            <w:noWrap/>
            <w:vAlign w:val="center"/>
            <w:hideMark/>
          </w:tcPr>
          <w:p w14:paraId="03104B3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(1,183)</w:t>
            </w:r>
          </w:p>
        </w:tc>
        <w:tc>
          <w:tcPr>
            <w:tcW w:w="680" w:type="dxa"/>
            <w:noWrap/>
            <w:vAlign w:val="center"/>
            <w:hideMark/>
          </w:tcPr>
          <w:p w14:paraId="2322407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19.7</w:t>
            </w:r>
          </w:p>
        </w:tc>
        <w:tc>
          <w:tcPr>
            <w:tcW w:w="793" w:type="dxa"/>
            <w:noWrap/>
            <w:vAlign w:val="center"/>
            <w:hideMark/>
          </w:tcPr>
          <w:p w14:paraId="7410EE8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(181)</w:t>
            </w:r>
          </w:p>
        </w:tc>
        <w:tc>
          <w:tcPr>
            <w:tcW w:w="680" w:type="dxa"/>
            <w:noWrap/>
            <w:vAlign w:val="center"/>
            <w:hideMark/>
          </w:tcPr>
          <w:p w14:paraId="489A955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14.9</w:t>
            </w:r>
          </w:p>
        </w:tc>
        <w:tc>
          <w:tcPr>
            <w:tcW w:w="822" w:type="dxa"/>
            <w:noWrap/>
            <w:vAlign w:val="center"/>
            <w:hideMark/>
          </w:tcPr>
          <w:p w14:paraId="6D6019B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(193)</w:t>
            </w:r>
          </w:p>
        </w:tc>
        <w:tc>
          <w:tcPr>
            <w:tcW w:w="680" w:type="dxa"/>
            <w:noWrap/>
            <w:vAlign w:val="center"/>
            <w:hideMark/>
          </w:tcPr>
          <w:p w14:paraId="1AC7B65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37.7</w:t>
            </w:r>
          </w:p>
        </w:tc>
        <w:tc>
          <w:tcPr>
            <w:tcW w:w="822" w:type="dxa"/>
            <w:noWrap/>
            <w:vAlign w:val="center"/>
            <w:hideMark/>
          </w:tcPr>
          <w:p w14:paraId="7AABAD7A"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(237)</w:t>
            </w:r>
          </w:p>
        </w:tc>
        <w:tc>
          <w:tcPr>
            <w:tcW w:w="680" w:type="dxa"/>
            <w:noWrap/>
            <w:vAlign w:val="center"/>
            <w:hideMark/>
          </w:tcPr>
          <w:p w14:paraId="272B1B2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27.2</w:t>
            </w:r>
          </w:p>
        </w:tc>
        <w:tc>
          <w:tcPr>
            <w:tcW w:w="822" w:type="dxa"/>
            <w:noWrap/>
            <w:vAlign w:val="center"/>
            <w:hideMark/>
          </w:tcPr>
          <w:p w14:paraId="3BBD8E7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(853)</w:t>
            </w:r>
          </w:p>
        </w:tc>
      </w:tr>
      <w:tr w:rsidR="00F021B0" w14:paraId="6A9E3234" w14:textId="77777777" w:rsidTr="00F021B0">
        <w:trPr>
          <w:trHeight w:val="290"/>
        </w:trPr>
        <w:tc>
          <w:tcPr>
            <w:tcW w:w="2295" w:type="dxa"/>
            <w:noWrap/>
            <w:vAlign w:val="center"/>
            <w:hideMark/>
          </w:tcPr>
          <w:p w14:paraId="79DDC5C3"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Obesity</w:t>
            </w:r>
          </w:p>
        </w:tc>
        <w:tc>
          <w:tcPr>
            <w:tcW w:w="737" w:type="dxa"/>
            <w:noWrap/>
            <w:vAlign w:val="center"/>
            <w:hideMark/>
          </w:tcPr>
          <w:p w14:paraId="4BF8B53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8.6</w:t>
            </w:r>
          </w:p>
        </w:tc>
        <w:tc>
          <w:tcPr>
            <w:tcW w:w="895" w:type="dxa"/>
            <w:tcBorders>
              <w:top w:val="nil"/>
              <w:left w:val="nil"/>
              <w:bottom w:val="nil"/>
              <w:right w:val="single" w:sz="4" w:space="0" w:color="auto"/>
            </w:tcBorders>
            <w:noWrap/>
            <w:vAlign w:val="center"/>
            <w:hideMark/>
          </w:tcPr>
          <w:p w14:paraId="1F4CBDB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(2,078)</w:t>
            </w:r>
          </w:p>
        </w:tc>
        <w:tc>
          <w:tcPr>
            <w:tcW w:w="680" w:type="dxa"/>
            <w:tcBorders>
              <w:top w:val="nil"/>
              <w:left w:val="single" w:sz="4" w:space="0" w:color="auto"/>
              <w:bottom w:val="nil"/>
              <w:right w:val="nil"/>
            </w:tcBorders>
            <w:noWrap/>
            <w:vAlign w:val="center"/>
            <w:hideMark/>
          </w:tcPr>
          <w:p w14:paraId="5E1630C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6.5</w:t>
            </w:r>
          </w:p>
        </w:tc>
        <w:tc>
          <w:tcPr>
            <w:tcW w:w="895" w:type="dxa"/>
            <w:noWrap/>
            <w:vAlign w:val="center"/>
            <w:hideMark/>
          </w:tcPr>
          <w:p w14:paraId="145A175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(670)</w:t>
            </w:r>
          </w:p>
        </w:tc>
        <w:tc>
          <w:tcPr>
            <w:tcW w:w="680" w:type="dxa"/>
            <w:noWrap/>
            <w:vAlign w:val="center"/>
            <w:hideMark/>
          </w:tcPr>
          <w:p w14:paraId="5F3E1E4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8.8</w:t>
            </w:r>
          </w:p>
        </w:tc>
        <w:tc>
          <w:tcPr>
            <w:tcW w:w="822" w:type="dxa"/>
            <w:noWrap/>
            <w:vAlign w:val="center"/>
            <w:hideMark/>
          </w:tcPr>
          <w:p w14:paraId="6D1D449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(167)</w:t>
            </w:r>
          </w:p>
        </w:tc>
        <w:tc>
          <w:tcPr>
            <w:tcW w:w="680" w:type="dxa"/>
            <w:noWrap/>
            <w:vAlign w:val="center"/>
            <w:hideMark/>
          </w:tcPr>
          <w:p w14:paraId="16DC4B4A"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9.2</w:t>
            </w:r>
          </w:p>
        </w:tc>
        <w:tc>
          <w:tcPr>
            <w:tcW w:w="822" w:type="dxa"/>
            <w:noWrap/>
            <w:vAlign w:val="center"/>
            <w:hideMark/>
          </w:tcPr>
          <w:p w14:paraId="1C411CD8"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(553)</w:t>
            </w:r>
          </w:p>
        </w:tc>
        <w:tc>
          <w:tcPr>
            <w:tcW w:w="680" w:type="dxa"/>
            <w:noWrap/>
            <w:vAlign w:val="center"/>
            <w:hideMark/>
          </w:tcPr>
          <w:p w14:paraId="08FC3E7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8.8</w:t>
            </w:r>
          </w:p>
        </w:tc>
        <w:tc>
          <w:tcPr>
            <w:tcW w:w="793" w:type="dxa"/>
            <w:noWrap/>
            <w:vAlign w:val="center"/>
            <w:hideMark/>
          </w:tcPr>
          <w:p w14:paraId="4FF55DAE"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(81)</w:t>
            </w:r>
          </w:p>
        </w:tc>
        <w:tc>
          <w:tcPr>
            <w:tcW w:w="680" w:type="dxa"/>
            <w:noWrap/>
            <w:vAlign w:val="center"/>
            <w:hideMark/>
          </w:tcPr>
          <w:p w14:paraId="1317BF1F"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3.7</w:t>
            </w:r>
          </w:p>
        </w:tc>
        <w:tc>
          <w:tcPr>
            <w:tcW w:w="822" w:type="dxa"/>
            <w:noWrap/>
            <w:vAlign w:val="center"/>
            <w:hideMark/>
          </w:tcPr>
          <w:p w14:paraId="110BB2C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(48)</w:t>
            </w:r>
          </w:p>
        </w:tc>
        <w:tc>
          <w:tcPr>
            <w:tcW w:w="680" w:type="dxa"/>
            <w:noWrap/>
            <w:vAlign w:val="center"/>
            <w:hideMark/>
          </w:tcPr>
          <w:p w14:paraId="08D522D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18.4</w:t>
            </w:r>
          </w:p>
        </w:tc>
        <w:tc>
          <w:tcPr>
            <w:tcW w:w="822" w:type="dxa"/>
            <w:noWrap/>
            <w:vAlign w:val="center"/>
            <w:hideMark/>
          </w:tcPr>
          <w:p w14:paraId="73A6DA6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(116)</w:t>
            </w:r>
          </w:p>
        </w:tc>
        <w:tc>
          <w:tcPr>
            <w:tcW w:w="680" w:type="dxa"/>
            <w:noWrap/>
            <w:vAlign w:val="center"/>
            <w:hideMark/>
          </w:tcPr>
          <w:p w14:paraId="6314F5F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14.1</w:t>
            </w:r>
          </w:p>
        </w:tc>
        <w:tc>
          <w:tcPr>
            <w:tcW w:w="822" w:type="dxa"/>
            <w:noWrap/>
            <w:vAlign w:val="center"/>
            <w:hideMark/>
          </w:tcPr>
          <w:p w14:paraId="362CAAB8"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(443)</w:t>
            </w:r>
          </w:p>
        </w:tc>
      </w:tr>
      <w:tr w:rsidR="00F021B0" w14:paraId="5FC6FE49" w14:textId="77777777" w:rsidTr="00F021B0">
        <w:trPr>
          <w:trHeight w:val="240"/>
        </w:trPr>
        <w:tc>
          <w:tcPr>
            <w:tcW w:w="2295" w:type="dxa"/>
            <w:noWrap/>
            <w:vAlign w:val="center"/>
            <w:hideMark/>
          </w:tcPr>
          <w:p w14:paraId="51F8DB2B"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52FCD823"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8.3</w:t>
            </w:r>
          </w:p>
        </w:tc>
        <w:tc>
          <w:tcPr>
            <w:tcW w:w="895" w:type="dxa"/>
            <w:tcBorders>
              <w:top w:val="nil"/>
              <w:left w:val="nil"/>
              <w:bottom w:val="nil"/>
              <w:right w:val="single" w:sz="4" w:space="0" w:color="auto"/>
            </w:tcBorders>
            <w:noWrap/>
            <w:vAlign w:val="center"/>
            <w:hideMark/>
          </w:tcPr>
          <w:p w14:paraId="48FC968C"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(2,199)</w:t>
            </w:r>
          </w:p>
        </w:tc>
        <w:tc>
          <w:tcPr>
            <w:tcW w:w="680" w:type="dxa"/>
            <w:tcBorders>
              <w:top w:val="nil"/>
              <w:left w:val="single" w:sz="4" w:space="0" w:color="auto"/>
              <w:bottom w:val="nil"/>
              <w:right w:val="nil"/>
            </w:tcBorders>
            <w:noWrap/>
            <w:vAlign w:val="center"/>
            <w:hideMark/>
          </w:tcPr>
          <w:p w14:paraId="1D285EEA"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13.9</w:t>
            </w:r>
          </w:p>
        </w:tc>
        <w:tc>
          <w:tcPr>
            <w:tcW w:w="895" w:type="dxa"/>
            <w:noWrap/>
            <w:vAlign w:val="center"/>
            <w:hideMark/>
          </w:tcPr>
          <w:p w14:paraId="30CDF99F"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(1,668)</w:t>
            </w:r>
          </w:p>
        </w:tc>
        <w:tc>
          <w:tcPr>
            <w:tcW w:w="680" w:type="dxa"/>
            <w:noWrap/>
            <w:vAlign w:val="center"/>
            <w:hideMark/>
          </w:tcPr>
          <w:p w14:paraId="68EE0E98"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4.5</w:t>
            </w:r>
          </w:p>
        </w:tc>
        <w:tc>
          <w:tcPr>
            <w:tcW w:w="822" w:type="dxa"/>
            <w:noWrap/>
            <w:vAlign w:val="center"/>
            <w:hideMark/>
          </w:tcPr>
          <w:p w14:paraId="0FB2C227"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(88)</w:t>
            </w:r>
          </w:p>
        </w:tc>
        <w:tc>
          <w:tcPr>
            <w:tcW w:w="680" w:type="dxa"/>
            <w:noWrap/>
            <w:vAlign w:val="center"/>
            <w:hideMark/>
          </w:tcPr>
          <w:p w14:paraId="57CEF8FB"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3.3</w:t>
            </w:r>
          </w:p>
        </w:tc>
        <w:tc>
          <w:tcPr>
            <w:tcW w:w="822" w:type="dxa"/>
            <w:noWrap/>
            <w:vAlign w:val="center"/>
            <w:hideMark/>
          </w:tcPr>
          <w:p w14:paraId="3A32927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(205)</w:t>
            </w:r>
          </w:p>
        </w:tc>
        <w:tc>
          <w:tcPr>
            <w:tcW w:w="680" w:type="dxa"/>
            <w:noWrap/>
            <w:vAlign w:val="center"/>
            <w:hideMark/>
          </w:tcPr>
          <w:p w14:paraId="4129E4E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17.9</w:t>
            </w:r>
          </w:p>
        </w:tc>
        <w:tc>
          <w:tcPr>
            <w:tcW w:w="793" w:type="dxa"/>
            <w:noWrap/>
            <w:vAlign w:val="center"/>
            <w:hideMark/>
          </w:tcPr>
          <w:p w14:paraId="7F3F4D8D"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(201)</w:t>
            </w:r>
          </w:p>
        </w:tc>
        <w:tc>
          <w:tcPr>
            <w:tcW w:w="680" w:type="dxa"/>
            <w:noWrap/>
            <w:vAlign w:val="center"/>
            <w:hideMark/>
          </w:tcPr>
          <w:p w14:paraId="3A8F200C"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1.2</w:t>
            </w:r>
          </w:p>
        </w:tc>
        <w:tc>
          <w:tcPr>
            <w:tcW w:w="822" w:type="dxa"/>
            <w:noWrap/>
            <w:vAlign w:val="center"/>
            <w:hideMark/>
          </w:tcPr>
          <w:p w14:paraId="1FCD2FB9"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(16)</w:t>
            </w:r>
          </w:p>
        </w:tc>
        <w:tc>
          <w:tcPr>
            <w:tcW w:w="680" w:type="dxa"/>
            <w:noWrap/>
            <w:vAlign w:val="center"/>
            <w:hideMark/>
          </w:tcPr>
          <w:p w14:paraId="1DAC8B00"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0.3</w:t>
            </w:r>
          </w:p>
        </w:tc>
        <w:tc>
          <w:tcPr>
            <w:tcW w:w="822" w:type="dxa"/>
            <w:noWrap/>
            <w:vAlign w:val="center"/>
            <w:hideMark/>
          </w:tcPr>
          <w:p w14:paraId="7F5D3AB7"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(2)</w:t>
            </w:r>
          </w:p>
        </w:tc>
        <w:tc>
          <w:tcPr>
            <w:tcW w:w="680" w:type="dxa"/>
            <w:noWrap/>
            <w:vAlign w:val="center"/>
            <w:hideMark/>
          </w:tcPr>
          <w:p w14:paraId="36A275C4"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0.6</w:t>
            </w:r>
          </w:p>
        </w:tc>
        <w:tc>
          <w:tcPr>
            <w:tcW w:w="822" w:type="dxa"/>
            <w:noWrap/>
            <w:vAlign w:val="center"/>
            <w:hideMark/>
          </w:tcPr>
          <w:p w14:paraId="118CC0A4"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(19)</w:t>
            </w:r>
          </w:p>
        </w:tc>
      </w:tr>
      <w:tr w:rsidR="00F021B0" w14:paraId="02895041" w14:textId="77777777" w:rsidTr="00F021B0">
        <w:trPr>
          <w:trHeight w:val="290"/>
        </w:trPr>
        <w:tc>
          <w:tcPr>
            <w:tcW w:w="3927" w:type="dxa"/>
            <w:gridSpan w:val="3"/>
            <w:tcBorders>
              <w:top w:val="nil"/>
              <w:left w:val="nil"/>
              <w:bottom w:val="nil"/>
              <w:right w:val="single" w:sz="4" w:space="0" w:color="auto"/>
            </w:tcBorders>
            <w:noWrap/>
            <w:vAlign w:val="center"/>
            <w:hideMark/>
          </w:tcPr>
          <w:p w14:paraId="701624E3" w14:textId="77777777" w:rsidR="00F021B0" w:rsidRDefault="00F021B0">
            <w:pPr>
              <w:spacing w:line="276" w:lineRule="auto"/>
              <w:jc w:val="left"/>
              <w:rPr>
                <w:rFonts w:eastAsia="Times New Roman"/>
                <w:b/>
                <w:sz w:val="20"/>
                <w:szCs w:val="20"/>
                <w:lang w:val="en-GB" w:eastAsia="en-GB"/>
              </w:rPr>
            </w:pPr>
            <w:r>
              <w:rPr>
                <w:rFonts w:ascii="Calibri" w:eastAsia="Times New Roman" w:hAnsi="Calibri" w:cs="Calibri"/>
                <w:b/>
                <w:iCs/>
                <w:color w:val="000000"/>
                <w:sz w:val="20"/>
                <w:szCs w:val="20"/>
                <w:lang w:val="en-GB" w:eastAsia="en-GB"/>
              </w:rPr>
              <w:t>Smoking status during pregnancy</w:t>
            </w:r>
          </w:p>
        </w:tc>
        <w:tc>
          <w:tcPr>
            <w:tcW w:w="680" w:type="dxa"/>
            <w:tcBorders>
              <w:top w:val="nil"/>
              <w:left w:val="single" w:sz="4" w:space="0" w:color="auto"/>
              <w:bottom w:val="nil"/>
              <w:right w:val="nil"/>
            </w:tcBorders>
            <w:noWrap/>
            <w:vAlign w:val="center"/>
          </w:tcPr>
          <w:p w14:paraId="1C9207A9"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293CA727"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6E544F5"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49330E9"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4DC8468A"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17470B8E"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B92FDE3"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7122A2E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8CFCBDC"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36CC9841"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61F9CD94"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47508A0C"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77CCBBAF"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44913CD" w14:textId="77777777" w:rsidR="00F021B0" w:rsidRDefault="00F021B0">
            <w:pPr>
              <w:spacing w:line="276" w:lineRule="auto"/>
              <w:jc w:val="left"/>
              <w:rPr>
                <w:rFonts w:eastAsia="Times New Roman"/>
                <w:sz w:val="20"/>
                <w:szCs w:val="20"/>
                <w:lang w:val="en-GB" w:eastAsia="en-GB"/>
              </w:rPr>
            </w:pPr>
          </w:p>
        </w:tc>
      </w:tr>
      <w:tr w:rsidR="00F021B0" w14:paraId="16DA9E5A" w14:textId="77777777" w:rsidTr="00F021B0">
        <w:trPr>
          <w:trHeight w:val="290"/>
        </w:trPr>
        <w:tc>
          <w:tcPr>
            <w:tcW w:w="2295" w:type="dxa"/>
            <w:noWrap/>
            <w:vAlign w:val="center"/>
            <w:hideMark/>
          </w:tcPr>
          <w:p w14:paraId="68D88A9A"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Non-smoker</w:t>
            </w:r>
          </w:p>
        </w:tc>
        <w:tc>
          <w:tcPr>
            <w:tcW w:w="737" w:type="dxa"/>
            <w:noWrap/>
            <w:vAlign w:val="center"/>
            <w:hideMark/>
          </w:tcPr>
          <w:p w14:paraId="564A309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77.1</w:t>
            </w:r>
          </w:p>
        </w:tc>
        <w:tc>
          <w:tcPr>
            <w:tcW w:w="895" w:type="dxa"/>
            <w:tcBorders>
              <w:top w:val="nil"/>
              <w:left w:val="nil"/>
              <w:bottom w:val="nil"/>
              <w:right w:val="single" w:sz="4" w:space="0" w:color="auto"/>
            </w:tcBorders>
            <w:noWrap/>
            <w:vAlign w:val="center"/>
            <w:hideMark/>
          </w:tcPr>
          <w:p w14:paraId="7737820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(19,424)</w:t>
            </w:r>
          </w:p>
        </w:tc>
        <w:tc>
          <w:tcPr>
            <w:tcW w:w="680" w:type="dxa"/>
            <w:tcBorders>
              <w:top w:val="nil"/>
              <w:left w:val="single" w:sz="4" w:space="0" w:color="auto"/>
              <w:bottom w:val="nil"/>
              <w:right w:val="nil"/>
            </w:tcBorders>
            <w:noWrap/>
            <w:vAlign w:val="center"/>
            <w:hideMark/>
          </w:tcPr>
          <w:p w14:paraId="2784FB1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75.0</w:t>
            </w:r>
          </w:p>
        </w:tc>
        <w:tc>
          <w:tcPr>
            <w:tcW w:w="895" w:type="dxa"/>
            <w:noWrap/>
            <w:vAlign w:val="center"/>
            <w:hideMark/>
          </w:tcPr>
          <w:p w14:paraId="33A1C7E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(8,724)</w:t>
            </w:r>
          </w:p>
        </w:tc>
        <w:tc>
          <w:tcPr>
            <w:tcW w:w="680" w:type="dxa"/>
            <w:noWrap/>
            <w:vAlign w:val="center"/>
            <w:hideMark/>
          </w:tcPr>
          <w:p w14:paraId="607F7A6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73.1</w:t>
            </w:r>
          </w:p>
        </w:tc>
        <w:tc>
          <w:tcPr>
            <w:tcW w:w="822" w:type="dxa"/>
            <w:noWrap/>
            <w:vAlign w:val="center"/>
            <w:hideMark/>
          </w:tcPr>
          <w:p w14:paraId="1587C12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(1,400)</w:t>
            </w:r>
          </w:p>
        </w:tc>
        <w:tc>
          <w:tcPr>
            <w:tcW w:w="680" w:type="dxa"/>
            <w:noWrap/>
            <w:vAlign w:val="center"/>
            <w:hideMark/>
          </w:tcPr>
          <w:p w14:paraId="140A833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74.7</w:t>
            </w:r>
          </w:p>
        </w:tc>
        <w:tc>
          <w:tcPr>
            <w:tcW w:w="822" w:type="dxa"/>
            <w:noWrap/>
            <w:vAlign w:val="center"/>
            <w:hideMark/>
          </w:tcPr>
          <w:p w14:paraId="72587A5E"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(4,211)</w:t>
            </w:r>
          </w:p>
        </w:tc>
        <w:tc>
          <w:tcPr>
            <w:tcW w:w="680" w:type="dxa"/>
            <w:noWrap/>
            <w:vAlign w:val="center"/>
            <w:hideMark/>
          </w:tcPr>
          <w:p w14:paraId="475B5A7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78.4</w:t>
            </w:r>
          </w:p>
        </w:tc>
        <w:tc>
          <w:tcPr>
            <w:tcW w:w="793" w:type="dxa"/>
            <w:noWrap/>
            <w:vAlign w:val="center"/>
            <w:hideMark/>
          </w:tcPr>
          <w:p w14:paraId="16AB4E7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(876)</w:t>
            </w:r>
          </w:p>
        </w:tc>
        <w:tc>
          <w:tcPr>
            <w:tcW w:w="680" w:type="dxa"/>
            <w:noWrap/>
            <w:vAlign w:val="center"/>
            <w:hideMark/>
          </w:tcPr>
          <w:p w14:paraId="44ED278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86.5</w:t>
            </w:r>
          </w:p>
        </w:tc>
        <w:tc>
          <w:tcPr>
            <w:tcW w:w="822" w:type="dxa"/>
            <w:noWrap/>
            <w:vAlign w:val="center"/>
            <w:hideMark/>
          </w:tcPr>
          <w:p w14:paraId="591173A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(1,101)</w:t>
            </w:r>
          </w:p>
        </w:tc>
        <w:tc>
          <w:tcPr>
            <w:tcW w:w="680" w:type="dxa"/>
            <w:noWrap/>
            <w:vAlign w:val="center"/>
            <w:hideMark/>
          </w:tcPr>
          <w:p w14:paraId="0D8DB35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96.4</w:t>
            </w:r>
          </w:p>
        </w:tc>
        <w:tc>
          <w:tcPr>
            <w:tcW w:w="822" w:type="dxa"/>
            <w:noWrap/>
            <w:vAlign w:val="center"/>
            <w:hideMark/>
          </w:tcPr>
          <w:p w14:paraId="1024FD6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(608)</w:t>
            </w:r>
          </w:p>
        </w:tc>
        <w:tc>
          <w:tcPr>
            <w:tcW w:w="680" w:type="dxa"/>
            <w:noWrap/>
            <w:vAlign w:val="center"/>
            <w:hideMark/>
          </w:tcPr>
          <w:p w14:paraId="7619024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83.8</w:t>
            </w:r>
          </w:p>
        </w:tc>
        <w:tc>
          <w:tcPr>
            <w:tcW w:w="822" w:type="dxa"/>
            <w:noWrap/>
            <w:vAlign w:val="center"/>
            <w:hideMark/>
          </w:tcPr>
          <w:p w14:paraId="38790C53"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(2,504)</w:t>
            </w:r>
          </w:p>
        </w:tc>
      </w:tr>
      <w:tr w:rsidR="00F021B0" w14:paraId="5F924A6A" w14:textId="77777777" w:rsidTr="00F021B0">
        <w:trPr>
          <w:trHeight w:val="290"/>
        </w:trPr>
        <w:tc>
          <w:tcPr>
            <w:tcW w:w="2295" w:type="dxa"/>
            <w:noWrap/>
            <w:vAlign w:val="center"/>
            <w:hideMark/>
          </w:tcPr>
          <w:p w14:paraId="5BF9A023"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Smoker</w:t>
            </w:r>
          </w:p>
        </w:tc>
        <w:tc>
          <w:tcPr>
            <w:tcW w:w="737" w:type="dxa"/>
            <w:noWrap/>
            <w:vAlign w:val="center"/>
            <w:hideMark/>
          </w:tcPr>
          <w:p w14:paraId="1281367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22.9</w:t>
            </w:r>
          </w:p>
        </w:tc>
        <w:tc>
          <w:tcPr>
            <w:tcW w:w="895" w:type="dxa"/>
            <w:tcBorders>
              <w:top w:val="nil"/>
              <w:left w:val="nil"/>
              <w:bottom w:val="nil"/>
              <w:right w:val="single" w:sz="4" w:space="0" w:color="auto"/>
            </w:tcBorders>
            <w:noWrap/>
            <w:vAlign w:val="center"/>
            <w:hideMark/>
          </w:tcPr>
          <w:p w14:paraId="0212F4E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(5,762)</w:t>
            </w:r>
          </w:p>
        </w:tc>
        <w:tc>
          <w:tcPr>
            <w:tcW w:w="680" w:type="dxa"/>
            <w:tcBorders>
              <w:top w:val="nil"/>
              <w:left w:val="single" w:sz="4" w:space="0" w:color="auto"/>
              <w:bottom w:val="nil"/>
              <w:right w:val="nil"/>
            </w:tcBorders>
            <w:noWrap/>
            <w:vAlign w:val="center"/>
            <w:hideMark/>
          </w:tcPr>
          <w:p w14:paraId="2C49356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25.0</w:t>
            </w:r>
          </w:p>
        </w:tc>
        <w:tc>
          <w:tcPr>
            <w:tcW w:w="895" w:type="dxa"/>
            <w:noWrap/>
            <w:vAlign w:val="center"/>
            <w:hideMark/>
          </w:tcPr>
          <w:p w14:paraId="0F9380B4"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(2,903)</w:t>
            </w:r>
          </w:p>
        </w:tc>
        <w:tc>
          <w:tcPr>
            <w:tcW w:w="680" w:type="dxa"/>
            <w:noWrap/>
            <w:vAlign w:val="center"/>
            <w:hideMark/>
          </w:tcPr>
          <w:p w14:paraId="28BD254D"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26.9</w:t>
            </w:r>
          </w:p>
        </w:tc>
        <w:tc>
          <w:tcPr>
            <w:tcW w:w="822" w:type="dxa"/>
            <w:noWrap/>
            <w:vAlign w:val="center"/>
            <w:hideMark/>
          </w:tcPr>
          <w:p w14:paraId="7B4CBF61"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(515)</w:t>
            </w:r>
          </w:p>
        </w:tc>
        <w:tc>
          <w:tcPr>
            <w:tcW w:w="680" w:type="dxa"/>
            <w:noWrap/>
            <w:vAlign w:val="center"/>
            <w:hideMark/>
          </w:tcPr>
          <w:p w14:paraId="4A56E63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25.3</w:t>
            </w:r>
          </w:p>
        </w:tc>
        <w:tc>
          <w:tcPr>
            <w:tcW w:w="822" w:type="dxa"/>
            <w:noWrap/>
            <w:vAlign w:val="center"/>
            <w:hideMark/>
          </w:tcPr>
          <w:p w14:paraId="02CAE77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(1,423)</w:t>
            </w:r>
          </w:p>
        </w:tc>
        <w:tc>
          <w:tcPr>
            <w:tcW w:w="680" w:type="dxa"/>
            <w:noWrap/>
            <w:vAlign w:val="center"/>
            <w:hideMark/>
          </w:tcPr>
          <w:p w14:paraId="3D1E49A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21.6</w:t>
            </w:r>
          </w:p>
        </w:tc>
        <w:tc>
          <w:tcPr>
            <w:tcW w:w="793" w:type="dxa"/>
            <w:noWrap/>
            <w:vAlign w:val="center"/>
            <w:hideMark/>
          </w:tcPr>
          <w:p w14:paraId="4DFD20F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(242)</w:t>
            </w:r>
          </w:p>
        </w:tc>
        <w:tc>
          <w:tcPr>
            <w:tcW w:w="680" w:type="dxa"/>
            <w:noWrap/>
            <w:vAlign w:val="center"/>
            <w:hideMark/>
          </w:tcPr>
          <w:p w14:paraId="02E7115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13.5</w:t>
            </w:r>
          </w:p>
        </w:tc>
        <w:tc>
          <w:tcPr>
            <w:tcW w:w="822" w:type="dxa"/>
            <w:noWrap/>
            <w:vAlign w:val="center"/>
            <w:hideMark/>
          </w:tcPr>
          <w:p w14:paraId="75909CAD"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(172)</w:t>
            </w:r>
          </w:p>
        </w:tc>
        <w:tc>
          <w:tcPr>
            <w:tcW w:w="680" w:type="dxa"/>
            <w:noWrap/>
            <w:vAlign w:val="center"/>
            <w:hideMark/>
          </w:tcPr>
          <w:p w14:paraId="47D79EE6"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3.6</w:t>
            </w:r>
          </w:p>
        </w:tc>
        <w:tc>
          <w:tcPr>
            <w:tcW w:w="822" w:type="dxa"/>
            <w:noWrap/>
            <w:vAlign w:val="center"/>
            <w:hideMark/>
          </w:tcPr>
          <w:p w14:paraId="35F7A65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(23)</w:t>
            </w:r>
          </w:p>
        </w:tc>
        <w:tc>
          <w:tcPr>
            <w:tcW w:w="680" w:type="dxa"/>
            <w:noWrap/>
            <w:vAlign w:val="center"/>
            <w:hideMark/>
          </w:tcPr>
          <w:p w14:paraId="78B40CD9"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bCs/>
                <w:color w:val="000000"/>
                <w:sz w:val="20"/>
                <w:szCs w:val="20"/>
              </w:rPr>
              <w:t>16.2</w:t>
            </w:r>
          </w:p>
        </w:tc>
        <w:tc>
          <w:tcPr>
            <w:tcW w:w="822" w:type="dxa"/>
            <w:noWrap/>
            <w:vAlign w:val="center"/>
            <w:hideMark/>
          </w:tcPr>
          <w:p w14:paraId="2E5DCD1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(484)</w:t>
            </w:r>
          </w:p>
        </w:tc>
      </w:tr>
      <w:tr w:rsidR="00F021B0" w14:paraId="0715C680" w14:textId="77777777" w:rsidTr="00F021B0">
        <w:trPr>
          <w:trHeight w:val="240"/>
        </w:trPr>
        <w:tc>
          <w:tcPr>
            <w:tcW w:w="2295" w:type="dxa"/>
            <w:noWrap/>
            <w:vAlign w:val="center"/>
            <w:hideMark/>
          </w:tcPr>
          <w:p w14:paraId="0A3DBAE6"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7D37BCBA"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4.6</w:t>
            </w:r>
          </w:p>
        </w:tc>
        <w:tc>
          <w:tcPr>
            <w:tcW w:w="895" w:type="dxa"/>
            <w:tcBorders>
              <w:top w:val="nil"/>
              <w:left w:val="nil"/>
              <w:bottom w:val="nil"/>
              <w:right w:val="single" w:sz="4" w:space="0" w:color="auto"/>
            </w:tcBorders>
            <w:noWrap/>
            <w:vAlign w:val="center"/>
            <w:hideMark/>
          </w:tcPr>
          <w:p w14:paraId="5E502E1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(1,224)</w:t>
            </w:r>
          </w:p>
        </w:tc>
        <w:tc>
          <w:tcPr>
            <w:tcW w:w="680" w:type="dxa"/>
            <w:tcBorders>
              <w:top w:val="nil"/>
              <w:left w:val="single" w:sz="4" w:space="0" w:color="auto"/>
              <w:bottom w:val="nil"/>
              <w:right w:val="nil"/>
            </w:tcBorders>
            <w:noWrap/>
            <w:vAlign w:val="center"/>
            <w:hideMark/>
          </w:tcPr>
          <w:p w14:paraId="450538BE"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2.8</w:t>
            </w:r>
          </w:p>
        </w:tc>
        <w:tc>
          <w:tcPr>
            <w:tcW w:w="895" w:type="dxa"/>
            <w:noWrap/>
            <w:vAlign w:val="center"/>
            <w:hideMark/>
          </w:tcPr>
          <w:p w14:paraId="745EABAF"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(337)</w:t>
            </w:r>
          </w:p>
        </w:tc>
        <w:tc>
          <w:tcPr>
            <w:tcW w:w="680" w:type="dxa"/>
            <w:noWrap/>
            <w:vAlign w:val="center"/>
            <w:hideMark/>
          </w:tcPr>
          <w:p w14:paraId="6EED5088"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3.2</w:t>
            </w:r>
          </w:p>
        </w:tc>
        <w:tc>
          <w:tcPr>
            <w:tcW w:w="822" w:type="dxa"/>
            <w:noWrap/>
            <w:vAlign w:val="center"/>
            <w:hideMark/>
          </w:tcPr>
          <w:p w14:paraId="21376A45"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(63)</w:t>
            </w:r>
          </w:p>
        </w:tc>
        <w:tc>
          <w:tcPr>
            <w:tcW w:w="680" w:type="dxa"/>
            <w:noWrap/>
            <w:vAlign w:val="center"/>
            <w:hideMark/>
          </w:tcPr>
          <w:p w14:paraId="65F48C17"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9.8</w:t>
            </w:r>
          </w:p>
        </w:tc>
        <w:tc>
          <w:tcPr>
            <w:tcW w:w="822" w:type="dxa"/>
            <w:noWrap/>
            <w:vAlign w:val="center"/>
            <w:hideMark/>
          </w:tcPr>
          <w:p w14:paraId="71AF42F1"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(612)</w:t>
            </w:r>
          </w:p>
        </w:tc>
        <w:tc>
          <w:tcPr>
            <w:tcW w:w="680" w:type="dxa"/>
            <w:noWrap/>
            <w:vAlign w:val="center"/>
            <w:hideMark/>
          </w:tcPr>
          <w:p w14:paraId="6BA809AA"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0.3</w:t>
            </w:r>
          </w:p>
        </w:tc>
        <w:tc>
          <w:tcPr>
            <w:tcW w:w="793" w:type="dxa"/>
            <w:noWrap/>
            <w:vAlign w:val="center"/>
            <w:hideMark/>
          </w:tcPr>
          <w:p w14:paraId="2887B12D"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(3)</w:t>
            </w:r>
          </w:p>
        </w:tc>
        <w:tc>
          <w:tcPr>
            <w:tcW w:w="680" w:type="dxa"/>
            <w:noWrap/>
            <w:vAlign w:val="center"/>
            <w:hideMark/>
          </w:tcPr>
          <w:p w14:paraId="78A4CCE8"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3.1</w:t>
            </w:r>
          </w:p>
        </w:tc>
        <w:tc>
          <w:tcPr>
            <w:tcW w:w="822" w:type="dxa"/>
            <w:noWrap/>
            <w:vAlign w:val="center"/>
            <w:hideMark/>
          </w:tcPr>
          <w:p w14:paraId="6555DE02"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(41)</w:t>
            </w:r>
          </w:p>
        </w:tc>
        <w:tc>
          <w:tcPr>
            <w:tcW w:w="680" w:type="dxa"/>
            <w:noWrap/>
            <w:vAlign w:val="center"/>
            <w:hideMark/>
          </w:tcPr>
          <w:p w14:paraId="2A32EB23"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0.0</w:t>
            </w:r>
          </w:p>
        </w:tc>
        <w:tc>
          <w:tcPr>
            <w:tcW w:w="822" w:type="dxa"/>
            <w:noWrap/>
            <w:vAlign w:val="center"/>
            <w:hideMark/>
          </w:tcPr>
          <w:p w14:paraId="7E737394"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(0)</w:t>
            </w:r>
          </w:p>
        </w:tc>
        <w:tc>
          <w:tcPr>
            <w:tcW w:w="680" w:type="dxa"/>
            <w:noWrap/>
            <w:vAlign w:val="center"/>
            <w:hideMark/>
          </w:tcPr>
          <w:p w14:paraId="2E25FB1D"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5.3</w:t>
            </w:r>
          </w:p>
        </w:tc>
        <w:tc>
          <w:tcPr>
            <w:tcW w:w="822" w:type="dxa"/>
            <w:noWrap/>
            <w:vAlign w:val="center"/>
            <w:hideMark/>
          </w:tcPr>
          <w:p w14:paraId="021F553D"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(168)</w:t>
            </w:r>
          </w:p>
        </w:tc>
      </w:tr>
      <w:tr w:rsidR="00F021B0" w14:paraId="45FC6059" w14:textId="77777777" w:rsidTr="00F021B0">
        <w:trPr>
          <w:trHeight w:val="290"/>
        </w:trPr>
        <w:tc>
          <w:tcPr>
            <w:tcW w:w="3927" w:type="dxa"/>
            <w:gridSpan w:val="3"/>
            <w:tcBorders>
              <w:top w:val="nil"/>
              <w:left w:val="nil"/>
              <w:bottom w:val="nil"/>
              <w:right w:val="single" w:sz="4" w:space="0" w:color="auto"/>
            </w:tcBorders>
            <w:noWrap/>
            <w:vAlign w:val="center"/>
            <w:hideMark/>
          </w:tcPr>
          <w:p w14:paraId="696CDEF6" w14:textId="77777777" w:rsidR="00F021B0" w:rsidRDefault="00F021B0">
            <w:pPr>
              <w:spacing w:line="276" w:lineRule="auto"/>
              <w:jc w:val="left"/>
              <w:rPr>
                <w:rFonts w:ascii="Calibri" w:eastAsia="Times New Roman" w:hAnsi="Calibri" w:cs="Calibri"/>
                <w:b/>
                <w:iCs/>
                <w:color w:val="000000"/>
                <w:sz w:val="20"/>
                <w:szCs w:val="20"/>
                <w:lang w:val="en-GB" w:eastAsia="en-GB"/>
              </w:rPr>
            </w:pPr>
            <w:r>
              <w:rPr>
                <w:rFonts w:ascii="Calibri" w:eastAsia="Times New Roman" w:hAnsi="Calibri" w:cs="Calibri"/>
                <w:b/>
                <w:iCs/>
                <w:color w:val="000000"/>
                <w:sz w:val="20"/>
                <w:szCs w:val="20"/>
                <w:lang w:val="en-GB" w:eastAsia="en-GB"/>
              </w:rPr>
              <w:t>Alcohol consumption during pregnancy</w:t>
            </w:r>
          </w:p>
        </w:tc>
        <w:tc>
          <w:tcPr>
            <w:tcW w:w="680" w:type="dxa"/>
            <w:tcBorders>
              <w:top w:val="nil"/>
              <w:left w:val="single" w:sz="4" w:space="0" w:color="auto"/>
              <w:bottom w:val="nil"/>
              <w:right w:val="nil"/>
            </w:tcBorders>
            <w:noWrap/>
            <w:vAlign w:val="center"/>
          </w:tcPr>
          <w:p w14:paraId="10B278A0"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29CA4095"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4F1C5F48"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E802E1E"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6675EA05"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49FB9B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EA3F9D9"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43B4A9F0"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4E82732"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593455D2"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47CD3D05"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27AAB997"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5B9EA85A"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70AD5E02" w14:textId="77777777" w:rsidR="00F021B0" w:rsidRDefault="00F021B0">
            <w:pPr>
              <w:spacing w:line="276" w:lineRule="auto"/>
              <w:jc w:val="left"/>
              <w:rPr>
                <w:rFonts w:eastAsia="Times New Roman"/>
                <w:sz w:val="20"/>
                <w:szCs w:val="20"/>
                <w:lang w:val="en-GB" w:eastAsia="en-GB"/>
              </w:rPr>
            </w:pPr>
          </w:p>
        </w:tc>
      </w:tr>
      <w:tr w:rsidR="00F021B0" w14:paraId="068510B0" w14:textId="77777777" w:rsidTr="00F021B0">
        <w:trPr>
          <w:trHeight w:val="290"/>
        </w:trPr>
        <w:tc>
          <w:tcPr>
            <w:tcW w:w="2295" w:type="dxa"/>
            <w:noWrap/>
            <w:vAlign w:val="center"/>
            <w:hideMark/>
          </w:tcPr>
          <w:p w14:paraId="7E090647" w14:textId="77777777" w:rsidR="00F021B0" w:rsidRDefault="00F021B0">
            <w:pPr>
              <w:spacing w:line="276" w:lineRule="auto"/>
              <w:ind w:left="181"/>
              <w:jc w:val="left"/>
              <w:rPr>
                <w:rFonts w:ascii="Calibri" w:eastAsia="Times New Roman" w:hAnsi="Calibri" w:cs="Calibri"/>
                <w:iCs/>
                <w:color w:val="000000"/>
                <w:sz w:val="20"/>
                <w:szCs w:val="20"/>
                <w:lang w:val="en-GB" w:eastAsia="en-GB"/>
              </w:rPr>
            </w:pPr>
            <w:r>
              <w:rPr>
                <w:rFonts w:ascii="Calibri" w:eastAsia="Times New Roman" w:hAnsi="Calibri" w:cs="Calibri"/>
                <w:color w:val="000000"/>
                <w:sz w:val="20"/>
                <w:szCs w:val="20"/>
                <w:lang w:val="en-GB" w:eastAsia="en-GB"/>
              </w:rPr>
              <w:t>Non-consumer</w:t>
            </w:r>
          </w:p>
        </w:tc>
        <w:tc>
          <w:tcPr>
            <w:tcW w:w="737" w:type="dxa"/>
            <w:vAlign w:val="center"/>
            <w:hideMark/>
          </w:tcPr>
          <w:p w14:paraId="3B42CABA" w14:textId="77777777" w:rsidR="00F021B0" w:rsidRDefault="00F021B0">
            <w:pPr>
              <w:spacing w:line="276" w:lineRule="auto"/>
              <w:jc w:val="right"/>
              <w:rPr>
                <w:rFonts w:ascii="Calibri" w:eastAsia="Times New Roman" w:hAnsi="Calibri" w:cs="Calibri"/>
                <w:iCs/>
                <w:color w:val="000000"/>
                <w:sz w:val="20"/>
                <w:szCs w:val="20"/>
                <w:lang w:val="en-GB" w:eastAsia="en-GB"/>
              </w:rPr>
            </w:pPr>
            <w:r>
              <w:rPr>
                <w:rFonts w:ascii="Calibri" w:hAnsi="Calibri" w:cs="Calibri"/>
                <w:b/>
                <w:bCs/>
                <w:color w:val="000000"/>
                <w:sz w:val="20"/>
                <w:szCs w:val="20"/>
              </w:rPr>
              <w:t>51.8</w:t>
            </w:r>
          </w:p>
        </w:tc>
        <w:tc>
          <w:tcPr>
            <w:tcW w:w="895" w:type="dxa"/>
            <w:tcBorders>
              <w:top w:val="nil"/>
              <w:left w:val="nil"/>
              <w:bottom w:val="nil"/>
              <w:right w:val="single" w:sz="4" w:space="0" w:color="auto"/>
            </w:tcBorders>
            <w:vAlign w:val="center"/>
            <w:hideMark/>
          </w:tcPr>
          <w:p w14:paraId="0C682202" w14:textId="77777777" w:rsidR="00F021B0" w:rsidRDefault="00F021B0">
            <w:pPr>
              <w:spacing w:line="276" w:lineRule="auto"/>
              <w:jc w:val="left"/>
              <w:rPr>
                <w:rFonts w:ascii="Calibri" w:eastAsia="Times New Roman" w:hAnsi="Calibri" w:cs="Calibri"/>
                <w:iCs/>
                <w:color w:val="000000"/>
                <w:sz w:val="20"/>
                <w:szCs w:val="20"/>
                <w:lang w:val="en-GB" w:eastAsia="en-GB"/>
              </w:rPr>
            </w:pPr>
            <w:r>
              <w:rPr>
                <w:rFonts w:ascii="Calibri" w:hAnsi="Calibri" w:cs="Calibri"/>
                <w:color w:val="000000"/>
                <w:sz w:val="20"/>
                <w:szCs w:val="20"/>
              </w:rPr>
              <w:t>(12,770)</w:t>
            </w:r>
          </w:p>
        </w:tc>
        <w:tc>
          <w:tcPr>
            <w:tcW w:w="680" w:type="dxa"/>
            <w:tcBorders>
              <w:top w:val="nil"/>
              <w:left w:val="single" w:sz="4" w:space="0" w:color="auto"/>
              <w:bottom w:val="nil"/>
              <w:right w:val="nil"/>
            </w:tcBorders>
            <w:noWrap/>
            <w:vAlign w:val="center"/>
            <w:hideMark/>
          </w:tcPr>
          <w:p w14:paraId="11ED5170"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42.3</w:t>
            </w:r>
          </w:p>
        </w:tc>
        <w:tc>
          <w:tcPr>
            <w:tcW w:w="895" w:type="dxa"/>
            <w:noWrap/>
            <w:vAlign w:val="center"/>
            <w:hideMark/>
          </w:tcPr>
          <w:p w14:paraId="5859FDB1"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(5,059)</w:t>
            </w:r>
          </w:p>
        </w:tc>
        <w:tc>
          <w:tcPr>
            <w:tcW w:w="680" w:type="dxa"/>
            <w:noWrap/>
            <w:vAlign w:val="center"/>
            <w:hideMark/>
          </w:tcPr>
          <w:p w14:paraId="0F665E7F"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73.9</w:t>
            </w:r>
          </w:p>
        </w:tc>
        <w:tc>
          <w:tcPr>
            <w:tcW w:w="822" w:type="dxa"/>
            <w:noWrap/>
            <w:vAlign w:val="center"/>
            <w:hideMark/>
          </w:tcPr>
          <w:p w14:paraId="6543F6E4"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(1,461)</w:t>
            </w:r>
          </w:p>
        </w:tc>
        <w:tc>
          <w:tcPr>
            <w:tcW w:w="680" w:type="dxa"/>
            <w:noWrap/>
            <w:vAlign w:val="center"/>
            <w:hideMark/>
          </w:tcPr>
          <w:p w14:paraId="7B6370FA"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59.3</w:t>
            </w:r>
          </w:p>
        </w:tc>
        <w:tc>
          <w:tcPr>
            <w:tcW w:w="822" w:type="dxa"/>
            <w:noWrap/>
            <w:vAlign w:val="center"/>
            <w:hideMark/>
          </w:tcPr>
          <w:p w14:paraId="30F21318"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(3,355)</w:t>
            </w:r>
          </w:p>
        </w:tc>
        <w:tc>
          <w:tcPr>
            <w:tcW w:w="680" w:type="dxa"/>
            <w:noWrap/>
            <w:vAlign w:val="center"/>
            <w:hideMark/>
          </w:tcPr>
          <w:p w14:paraId="51D34554"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51.4</w:t>
            </w:r>
          </w:p>
        </w:tc>
        <w:tc>
          <w:tcPr>
            <w:tcW w:w="793" w:type="dxa"/>
            <w:noWrap/>
            <w:vAlign w:val="center"/>
            <w:hideMark/>
          </w:tcPr>
          <w:p w14:paraId="3117778A"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(565)</w:t>
            </w:r>
          </w:p>
        </w:tc>
        <w:tc>
          <w:tcPr>
            <w:tcW w:w="680" w:type="dxa"/>
            <w:noWrap/>
            <w:vAlign w:val="center"/>
            <w:hideMark/>
          </w:tcPr>
          <w:p w14:paraId="6C51C2AB"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93.6</w:t>
            </w:r>
          </w:p>
        </w:tc>
        <w:tc>
          <w:tcPr>
            <w:tcW w:w="822" w:type="dxa"/>
            <w:noWrap/>
            <w:vAlign w:val="center"/>
            <w:hideMark/>
          </w:tcPr>
          <w:p w14:paraId="17A61CA6"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(1,230)</w:t>
            </w:r>
          </w:p>
        </w:tc>
        <w:tc>
          <w:tcPr>
            <w:tcW w:w="680" w:type="dxa"/>
            <w:noWrap/>
            <w:vAlign w:val="center"/>
            <w:hideMark/>
          </w:tcPr>
          <w:p w14:paraId="5AA5CFF7"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31.1</w:t>
            </w:r>
          </w:p>
        </w:tc>
        <w:tc>
          <w:tcPr>
            <w:tcW w:w="822" w:type="dxa"/>
            <w:noWrap/>
            <w:vAlign w:val="center"/>
            <w:hideMark/>
          </w:tcPr>
          <w:p w14:paraId="26281165"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(189)</w:t>
            </w:r>
          </w:p>
        </w:tc>
        <w:tc>
          <w:tcPr>
            <w:tcW w:w="680" w:type="dxa"/>
            <w:noWrap/>
            <w:vAlign w:val="center"/>
            <w:hideMark/>
          </w:tcPr>
          <w:p w14:paraId="6A302149"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44.4</w:t>
            </w:r>
          </w:p>
        </w:tc>
        <w:tc>
          <w:tcPr>
            <w:tcW w:w="822" w:type="dxa"/>
            <w:noWrap/>
            <w:vAlign w:val="center"/>
            <w:hideMark/>
          </w:tcPr>
          <w:p w14:paraId="5379E64E"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(911)</w:t>
            </w:r>
          </w:p>
        </w:tc>
      </w:tr>
      <w:tr w:rsidR="00F021B0" w14:paraId="41D79DF2" w14:textId="77777777" w:rsidTr="00F021B0">
        <w:trPr>
          <w:trHeight w:val="290"/>
        </w:trPr>
        <w:tc>
          <w:tcPr>
            <w:tcW w:w="2295" w:type="dxa"/>
            <w:noWrap/>
            <w:vAlign w:val="center"/>
            <w:hideMark/>
          </w:tcPr>
          <w:p w14:paraId="39DDD4F4" w14:textId="77777777" w:rsidR="00F021B0" w:rsidRDefault="00F021B0">
            <w:pPr>
              <w:spacing w:line="276" w:lineRule="auto"/>
              <w:ind w:left="181"/>
              <w:jc w:val="left"/>
              <w:rPr>
                <w:rFonts w:ascii="Calibri" w:eastAsia="Times New Roman" w:hAnsi="Calibri" w:cs="Calibri"/>
                <w:iCs/>
                <w:color w:val="000000"/>
                <w:sz w:val="20"/>
                <w:szCs w:val="20"/>
                <w:lang w:val="en-GB" w:eastAsia="en-GB"/>
              </w:rPr>
            </w:pPr>
            <w:r>
              <w:rPr>
                <w:rFonts w:ascii="Calibri" w:eastAsia="Times New Roman" w:hAnsi="Calibri" w:cs="Calibri"/>
                <w:color w:val="000000"/>
                <w:sz w:val="20"/>
                <w:szCs w:val="20"/>
                <w:lang w:val="en-GB" w:eastAsia="en-GB"/>
              </w:rPr>
              <w:t>Consumer</w:t>
            </w:r>
          </w:p>
        </w:tc>
        <w:tc>
          <w:tcPr>
            <w:tcW w:w="737" w:type="dxa"/>
            <w:vAlign w:val="center"/>
            <w:hideMark/>
          </w:tcPr>
          <w:p w14:paraId="0E3F6425" w14:textId="77777777" w:rsidR="00F021B0" w:rsidRDefault="00F021B0">
            <w:pPr>
              <w:spacing w:line="276" w:lineRule="auto"/>
              <w:jc w:val="right"/>
              <w:rPr>
                <w:rFonts w:ascii="Calibri" w:eastAsia="Times New Roman" w:hAnsi="Calibri" w:cs="Calibri"/>
                <w:iCs/>
                <w:color w:val="000000"/>
                <w:sz w:val="20"/>
                <w:szCs w:val="20"/>
                <w:lang w:val="en-GB" w:eastAsia="en-GB"/>
              </w:rPr>
            </w:pPr>
            <w:r>
              <w:rPr>
                <w:rFonts w:ascii="Calibri" w:hAnsi="Calibri" w:cs="Calibri"/>
                <w:b/>
                <w:bCs/>
                <w:color w:val="000000"/>
                <w:sz w:val="20"/>
                <w:szCs w:val="20"/>
              </w:rPr>
              <w:t>48.3</w:t>
            </w:r>
          </w:p>
        </w:tc>
        <w:tc>
          <w:tcPr>
            <w:tcW w:w="895" w:type="dxa"/>
            <w:tcBorders>
              <w:top w:val="nil"/>
              <w:left w:val="nil"/>
              <w:bottom w:val="nil"/>
              <w:right w:val="single" w:sz="4" w:space="0" w:color="auto"/>
            </w:tcBorders>
            <w:vAlign w:val="center"/>
            <w:hideMark/>
          </w:tcPr>
          <w:p w14:paraId="30F18834" w14:textId="77777777" w:rsidR="00F021B0" w:rsidRDefault="00F021B0">
            <w:pPr>
              <w:spacing w:line="276" w:lineRule="auto"/>
              <w:jc w:val="left"/>
              <w:rPr>
                <w:rFonts w:ascii="Calibri" w:eastAsia="Times New Roman" w:hAnsi="Calibri" w:cs="Calibri"/>
                <w:iCs/>
                <w:color w:val="000000"/>
                <w:sz w:val="20"/>
                <w:szCs w:val="20"/>
                <w:lang w:val="en-GB" w:eastAsia="en-GB"/>
              </w:rPr>
            </w:pPr>
            <w:r>
              <w:rPr>
                <w:rFonts w:ascii="Calibri" w:hAnsi="Calibri" w:cs="Calibri"/>
                <w:color w:val="000000"/>
                <w:sz w:val="20"/>
                <w:szCs w:val="20"/>
              </w:rPr>
              <w:t>(11,908)</w:t>
            </w:r>
          </w:p>
        </w:tc>
        <w:tc>
          <w:tcPr>
            <w:tcW w:w="680" w:type="dxa"/>
            <w:tcBorders>
              <w:top w:val="nil"/>
              <w:left w:val="single" w:sz="4" w:space="0" w:color="auto"/>
              <w:bottom w:val="nil"/>
              <w:right w:val="nil"/>
            </w:tcBorders>
            <w:noWrap/>
            <w:vAlign w:val="center"/>
            <w:hideMark/>
          </w:tcPr>
          <w:p w14:paraId="3D030589"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57.7</w:t>
            </w:r>
          </w:p>
        </w:tc>
        <w:tc>
          <w:tcPr>
            <w:tcW w:w="895" w:type="dxa"/>
            <w:noWrap/>
            <w:vAlign w:val="center"/>
            <w:hideMark/>
          </w:tcPr>
          <w:p w14:paraId="37F84006"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(6,905)</w:t>
            </w:r>
          </w:p>
        </w:tc>
        <w:tc>
          <w:tcPr>
            <w:tcW w:w="680" w:type="dxa"/>
            <w:noWrap/>
            <w:vAlign w:val="center"/>
            <w:hideMark/>
          </w:tcPr>
          <w:p w14:paraId="49BCE532"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26.1</w:t>
            </w:r>
          </w:p>
        </w:tc>
        <w:tc>
          <w:tcPr>
            <w:tcW w:w="822" w:type="dxa"/>
            <w:noWrap/>
            <w:vAlign w:val="center"/>
            <w:hideMark/>
          </w:tcPr>
          <w:p w14:paraId="6EB17FC9"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(517)</w:t>
            </w:r>
          </w:p>
        </w:tc>
        <w:tc>
          <w:tcPr>
            <w:tcW w:w="680" w:type="dxa"/>
            <w:noWrap/>
            <w:vAlign w:val="center"/>
            <w:hideMark/>
          </w:tcPr>
          <w:p w14:paraId="2A802CF2"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40.8</w:t>
            </w:r>
          </w:p>
        </w:tc>
        <w:tc>
          <w:tcPr>
            <w:tcW w:w="822" w:type="dxa"/>
            <w:noWrap/>
            <w:vAlign w:val="center"/>
            <w:hideMark/>
          </w:tcPr>
          <w:p w14:paraId="1248FB2F"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(2,307)</w:t>
            </w:r>
          </w:p>
        </w:tc>
        <w:tc>
          <w:tcPr>
            <w:tcW w:w="680" w:type="dxa"/>
            <w:noWrap/>
            <w:vAlign w:val="center"/>
            <w:hideMark/>
          </w:tcPr>
          <w:p w14:paraId="14D9078E"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48.6</w:t>
            </w:r>
          </w:p>
        </w:tc>
        <w:tc>
          <w:tcPr>
            <w:tcW w:w="793" w:type="dxa"/>
            <w:noWrap/>
            <w:vAlign w:val="center"/>
            <w:hideMark/>
          </w:tcPr>
          <w:p w14:paraId="65037F04"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(535)</w:t>
            </w:r>
          </w:p>
        </w:tc>
        <w:tc>
          <w:tcPr>
            <w:tcW w:w="680" w:type="dxa"/>
            <w:noWrap/>
            <w:vAlign w:val="center"/>
            <w:hideMark/>
          </w:tcPr>
          <w:p w14:paraId="522CB1A4"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6.4</w:t>
            </w:r>
          </w:p>
        </w:tc>
        <w:tc>
          <w:tcPr>
            <w:tcW w:w="822" w:type="dxa"/>
            <w:noWrap/>
            <w:vAlign w:val="center"/>
            <w:hideMark/>
          </w:tcPr>
          <w:p w14:paraId="17A7BDB7"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(84)</w:t>
            </w:r>
          </w:p>
        </w:tc>
        <w:tc>
          <w:tcPr>
            <w:tcW w:w="680" w:type="dxa"/>
            <w:noWrap/>
            <w:vAlign w:val="center"/>
            <w:hideMark/>
          </w:tcPr>
          <w:p w14:paraId="1925E6DB"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68.9</w:t>
            </w:r>
          </w:p>
        </w:tc>
        <w:tc>
          <w:tcPr>
            <w:tcW w:w="822" w:type="dxa"/>
            <w:noWrap/>
            <w:vAlign w:val="center"/>
            <w:hideMark/>
          </w:tcPr>
          <w:p w14:paraId="5E161D13"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(419)</w:t>
            </w:r>
          </w:p>
        </w:tc>
        <w:tc>
          <w:tcPr>
            <w:tcW w:w="680" w:type="dxa"/>
            <w:noWrap/>
            <w:vAlign w:val="center"/>
            <w:hideMark/>
          </w:tcPr>
          <w:p w14:paraId="1166409D" w14:textId="77777777" w:rsidR="00F021B0" w:rsidRDefault="00F021B0">
            <w:pPr>
              <w:spacing w:line="276" w:lineRule="auto"/>
              <w:jc w:val="right"/>
              <w:rPr>
                <w:rFonts w:eastAsia="Times New Roman"/>
                <w:sz w:val="20"/>
                <w:szCs w:val="20"/>
                <w:lang w:val="en-GB" w:eastAsia="en-GB"/>
              </w:rPr>
            </w:pPr>
            <w:r>
              <w:rPr>
                <w:rFonts w:ascii="Calibri" w:hAnsi="Calibri" w:cs="Calibri"/>
                <w:b/>
                <w:bCs/>
                <w:color w:val="000000"/>
                <w:sz w:val="20"/>
                <w:szCs w:val="20"/>
              </w:rPr>
              <w:t>55.6</w:t>
            </w:r>
          </w:p>
        </w:tc>
        <w:tc>
          <w:tcPr>
            <w:tcW w:w="822" w:type="dxa"/>
            <w:noWrap/>
            <w:vAlign w:val="center"/>
            <w:hideMark/>
          </w:tcPr>
          <w:p w14:paraId="1AC9914B" w14:textId="77777777" w:rsidR="00F021B0" w:rsidRDefault="00F021B0">
            <w:pPr>
              <w:spacing w:line="276" w:lineRule="auto"/>
              <w:jc w:val="left"/>
              <w:rPr>
                <w:rFonts w:eastAsia="Times New Roman"/>
                <w:sz w:val="20"/>
                <w:szCs w:val="20"/>
                <w:lang w:val="en-GB" w:eastAsia="en-GB"/>
              </w:rPr>
            </w:pPr>
            <w:r>
              <w:rPr>
                <w:rFonts w:ascii="Calibri" w:hAnsi="Calibri" w:cs="Calibri"/>
                <w:color w:val="000000"/>
                <w:sz w:val="20"/>
                <w:szCs w:val="20"/>
              </w:rPr>
              <w:t>(1,141)</w:t>
            </w:r>
          </w:p>
        </w:tc>
      </w:tr>
      <w:tr w:rsidR="00F021B0" w14:paraId="1DC313CA" w14:textId="77777777" w:rsidTr="00F021B0">
        <w:trPr>
          <w:trHeight w:val="290"/>
        </w:trPr>
        <w:tc>
          <w:tcPr>
            <w:tcW w:w="2295" w:type="dxa"/>
            <w:noWrap/>
            <w:vAlign w:val="center"/>
            <w:hideMark/>
          </w:tcPr>
          <w:p w14:paraId="07D3337F" w14:textId="77777777" w:rsidR="00F021B0" w:rsidRDefault="00F021B0">
            <w:pPr>
              <w:spacing w:line="276" w:lineRule="auto"/>
              <w:ind w:left="181"/>
              <w:jc w:val="left"/>
              <w:rPr>
                <w:rFonts w:ascii="Calibri" w:eastAsia="Times New Roman" w:hAnsi="Calibri" w:cs="Calibri"/>
                <w:iCs/>
                <w:color w:val="000000"/>
                <w:sz w:val="20"/>
                <w:szCs w:val="20"/>
                <w:lang w:val="en-GB" w:eastAsia="en-GB"/>
              </w:rPr>
            </w:pPr>
            <w:r>
              <w:rPr>
                <w:rFonts w:ascii="Calibri" w:eastAsia="Times New Roman" w:hAnsi="Calibri" w:cs="Calibri"/>
                <w:i/>
                <w:iCs/>
                <w:color w:val="000000"/>
                <w:sz w:val="18"/>
                <w:szCs w:val="18"/>
                <w:lang w:val="en-GB" w:eastAsia="en-GB"/>
              </w:rPr>
              <w:t>Missing</w:t>
            </w:r>
          </w:p>
        </w:tc>
        <w:tc>
          <w:tcPr>
            <w:tcW w:w="737" w:type="dxa"/>
            <w:vAlign w:val="center"/>
            <w:hideMark/>
          </w:tcPr>
          <w:p w14:paraId="4C6B35CD" w14:textId="77777777" w:rsidR="00F021B0" w:rsidRDefault="00F021B0">
            <w:pPr>
              <w:spacing w:line="276" w:lineRule="auto"/>
              <w:jc w:val="right"/>
              <w:rPr>
                <w:rFonts w:ascii="Calibri" w:eastAsia="Times New Roman" w:hAnsi="Calibri" w:cs="Calibri"/>
                <w:iCs/>
                <w:color w:val="000000"/>
                <w:sz w:val="20"/>
                <w:szCs w:val="20"/>
                <w:lang w:val="en-GB" w:eastAsia="en-GB"/>
              </w:rPr>
            </w:pPr>
            <w:r>
              <w:rPr>
                <w:rFonts w:ascii="Calibri" w:hAnsi="Calibri" w:cs="Calibri"/>
                <w:b/>
                <w:bCs/>
                <w:i/>
                <w:iCs/>
                <w:color w:val="000000"/>
                <w:sz w:val="18"/>
                <w:szCs w:val="18"/>
              </w:rPr>
              <w:t>6.6</w:t>
            </w:r>
          </w:p>
        </w:tc>
        <w:tc>
          <w:tcPr>
            <w:tcW w:w="895" w:type="dxa"/>
            <w:tcBorders>
              <w:top w:val="nil"/>
              <w:left w:val="nil"/>
              <w:bottom w:val="nil"/>
              <w:right w:val="single" w:sz="4" w:space="0" w:color="auto"/>
            </w:tcBorders>
            <w:vAlign w:val="center"/>
            <w:hideMark/>
          </w:tcPr>
          <w:p w14:paraId="47FBC8D2" w14:textId="77777777" w:rsidR="00F021B0" w:rsidRDefault="00F021B0">
            <w:pPr>
              <w:spacing w:line="276" w:lineRule="auto"/>
              <w:jc w:val="left"/>
              <w:rPr>
                <w:rFonts w:ascii="Calibri" w:eastAsia="Times New Roman" w:hAnsi="Calibri" w:cs="Calibri"/>
                <w:iCs/>
                <w:color w:val="000000"/>
                <w:sz w:val="20"/>
                <w:szCs w:val="20"/>
                <w:lang w:val="en-GB" w:eastAsia="en-GB"/>
              </w:rPr>
            </w:pPr>
            <w:r>
              <w:rPr>
                <w:rFonts w:ascii="Calibri" w:hAnsi="Calibri" w:cs="Calibri"/>
                <w:i/>
                <w:iCs/>
                <w:color w:val="000000"/>
                <w:sz w:val="18"/>
                <w:szCs w:val="18"/>
              </w:rPr>
              <w:t>(1,732)</w:t>
            </w:r>
          </w:p>
        </w:tc>
        <w:tc>
          <w:tcPr>
            <w:tcW w:w="680" w:type="dxa"/>
            <w:tcBorders>
              <w:top w:val="nil"/>
              <w:left w:val="single" w:sz="4" w:space="0" w:color="auto"/>
              <w:bottom w:val="nil"/>
              <w:right w:val="nil"/>
            </w:tcBorders>
            <w:noWrap/>
            <w:vAlign w:val="center"/>
            <w:hideMark/>
          </w:tcPr>
          <w:p w14:paraId="215407D8"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0.0</w:t>
            </w:r>
          </w:p>
        </w:tc>
        <w:tc>
          <w:tcPr>
            <w:tcW w:w="895" w:type="dxa"/>
            <w:noWrap/>
            <w:vAlign w:val="center"/>
            <w:hideMark/>
          </w:tcPr>
          <w:p w14:paraId="2FBD9DFF"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(0)</w:t>
            </w:r>
          </w:p>
        </w:tc>
        <w:tc>
          <w:tcPr>
            <w:tcW w:w="680" w:type="dxa"/>
            <w:noWrap/>
            <w:vAlign w:val="center"/>
            <w:hideMark/>
          </w:tcPr>
          <w:p w14:paraId="1862FFC7"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0.0</w:t>
            </w:r>
          </w:p>
        </w:tc>
        <w:tc>
          <w:tcPr>
            <w:tcW w:w="822" w:type="dxa"/>
            <w:noWrap/>
            <w:vAlign w:val="center"/>
            <w:hideMark/>
          </w:tcPr>
          <w:p w14:paraId="28FB3B5A"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(0)</w:t>
            </w:r>
          </w:p>
        </w:tc>
        <w:tc>
          <w:tcPr>
            <w:tcW w:w="680" w:type="dxa"/>
            <w:noWrap/>
            <w:vAlign w:val="center"/>
            <w:hideMark/>
          </w:tcPr>
          <w:p w14:paraId="4920BF2A"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9.4</w:t>
            </w:r>
          </w:p>
        </w:tc>
        <w:tc>
          <w:tcPr>
            <w:tcW w:w="822" w:type="dxa"/>
            <w:noWrap/>
            <w:vAlign w:val="center"/>
            <w:hideMark/>
          </w:tcPr>
          <w:p w14:paraId="08529570"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(584)</w:t>
            </w:r>
          </w:p>
        </w:tc>
        <w:tc>
          <w:tcPr>
            <w:tcW w:w="680" w:type="dxa"/>
            <w:noWrap/>
            <w:vAlign w:val="center"/>
            <w:hideMark/>
          </w:tcPr>
          <w:p w14:paraId="633BA1BB"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1.9</w:t>
            </w:r>
          </w:p>
        </w:tc>
        <w:tc>
          <w:tcPr>
            <w:tcW w:w="793" w:type="dxa"/>
            <w:noWrap/>
            <w:vAlign w:val="center"/>
            <w:hideMark/>
          </w:tcPr>
          <w:p w14:paraId="01B87E0B"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(21)</w:t>
            </w:r>
          </w:p>
        </w:tc>
        <w:tc>
          <w:tcPr>
            <w:tcW w:w="680" w:type="dxa"/>
            <w:noWrap/>
            <w:vAlign w:val="center"/>
            <w:hideMark/>
          </w:tcPr>
          <w:p w14:paraId="1DC8302F"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0.0</w:t>
            </w:r>
          </w:p>
        </w:tc>
        <w:tc>
          <w:tcPr>
            <w:tcW w:w="822" w:type="dxa"/>
            <w:noWrap/>
            <w:vAlign w:val="center"/>
            <w:hideMark/>
          </w:tcPr>
          <w:p w14:paraId="23ED39CB"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(0)</w:t>
            </w:r>
          </w:p>
        </w:tc>
        <w:tc>
          <w:tcPr>
            <w:tcW w:w="680" w:type="dxa"/>
            <w:noWrap/>
            <w:vAlign w:val="center"/>
            <w:hideMark/>
          </w:tcPr>
          <w:p w14:paraId="5ECEEC7F"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3.7</w:t>
            </w:r>
          </w:p>
        </w:tc>
        <w:tc>
          <w:tcPr>
            <w:tcW w:w="822" w:type="dxa"/>
            <w:noWrap/>
            <w:vAlign w:val="center"/>
            <w:hideMark/>
          </w:tcPr>
          <w:p w14:paraId="4353B67A"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(23)</w:t>
            </w:r>
          </w:p>
        </w:tc>
        <w:tc>
          <w:tcPr>
            <w:tcW w:w="680" w:type="dxa"/>
            <w:noWrap/>
            <w:vAlign w:val="center"/>
            <w:hideMark/>
          </w:tcPr>
          <w:p w14:paraId="7D8C4733" w14:textId="77777777" w:rsidR="00F021B0" w:rsidRDefault="00F021B0">
            <w:pPr>
              <w:spacing w:line="276" w:lineRule="auto"/>
              <w:jc w:val="right"/>
              <w:rPr>
                <w:rFonts w:eastAsia="Times New Roman"/>
                <w:sz w:val="20"/>
                <w:szCs w:val="20"/>
                <w:lang w:val="en-GB" w:eastAsia="en-GB"/>
              </w:rPr>
            </w:pPr>
            <w:r>
              <w:rPr>
                <w:rFonts w:ascii="Calibri" w:hAnsi="Calibri" w:cs="Calibri"/>
                <w:b/>
                <w:bCs/>
                <w:i/>
                <w:iCs/>
                <w:color w:val="000000"/>
                <w:sz w:val="18"/>
                <w:szCs w:val="18"/>
              </w:rPr>
              <w:t>35.0</w:t>
            </w:r>
          </w:p>
        </w:tc>
        <w:tc>
          <w:tcPr>
            <w:tcW w:w="822" w:type="dxa"/>
            <w:noWrap/>
            <w:vAlign w:val="center"/>
            <w:hideMark/>
          </w:tcPr>
          <w:p w14:paraId="09946A6A" w14:textId="77777777" w:rsidR="00F021B0" w:rsidRDefault="00F021B0">
            <w:pPr>
              <w:spacing w:line="276" w:lineRule="auto"/>
              <w:jc w:val="left"/>
              <w:rPr>
                <w:rFonts w:eastAsia="Times New Roman"/>
                <w:sz w:val="20"/>
                <w:szCs w:val="20"/>
                <w:lang w:val="en-GB" w:eastAsia="en-GB"/>
              </w:rPr>
            </w:pPr>
            <w:r>
              <w:rPr>
                <w:rFonts w:ascii="Calibri" w:hAnsi="Calibri" w:cs="Calibri"/>
                <w:i/>
                <w:iCs/>
                <w:color w:val="000000"/>
                <w:sz w:val="18"/>
                <w:szCs w:val="18"/>
              </w:rPr>
              <w:t>(1,104)</w:t>
            </w:r>
          </w:p>
        </w:tc>
      </w:tr>
      <w:tr w:rsidR="00F021B0" w14:paraId="7D698983" w14:textId="77777777" w:rsidTr="00F021B0">
        <w:trPr>
          <w:trHeight w:val="290"/>
        </w:trPr>
        <w:tc>
          <w:tcPr>
            <w:tcW w:w="3927" w:type="dxa"/>
            <w:gridSpan w:val="3"/>
            <w:tcBorders>
              <w:top w:val="nil"/>
              <w:left w:val="nil"/>
              <w:bottom w:val="nil"/>
              <w:right w:val="single" w:sz="4" w:space="0" w:color="auto"/>
            </w:tcBorders>
            <w:noWrap/>
            <w:vAlign w:val="center"/>
            <w:hideMark/>
          </w:tcPr>
          <w:p w14:paraId="5FDAF776" w14:textId="031DF328" w:rsidR="00F021B0" w:rsidRDefault="00F021B0">
            <w:pPr>
              <w:spacing w:line="276" w:lineRule="auto"/>
              <w:jc w:val="left"/>
              <w:rPr>
                <w:rFonts w:eastAsia="Times New Roman"/>
                <w:b/>
                <w:sz w:val="20"/>
                <w:szCs w:val="20"/>
                <w:lang w:val="en-GB" w:eastAsia="en-GB"/>
              </w:rPr>
            </w:pPr>
            <w:r>
              <w:rPr>
                <w:rFonts w:ascii="Calibri" w:eastAsia="Times New Roman" w:hAnsi="Calibri" w:cs="Calibri"/>
                <w:b/>
                <w:iCs/>
                <w:color w:val="000000"/>
                <w:sz w:val="20"/>
                <w:szCs w:val="20"/>
                <w:lang w:val="en-GB" w:eastAsia="en-GB"/>
              </w:rPr>
              <w:t xml:space="preserve">Physical activity </w:t>
            </w:r>
            <w:r w:rsidR="00D46E1B">
              <w:rPr>
                <w:rFonts w:ascii="Calibri" w:eastAsia="Times New Roman" w:hAnsi="Calibri" w:cs="Calibri"/>
                <w:b/>
                <w:iCs/>
                <w:color w:val="000000"/>
                <w:sz w:val="20"/>
                <w:szCs w:val="20"/>
                <w:lang w:val="en-GB" w:eastAsia="en-GB"/>
              </w:rPr>
              <w:t xml:space="preserve">level </w:t>
            </w:r>
            <w:r>
              <w:rPr>
                <w:rFonts w:ascii="Calibri" w:eastAsia="Times New Roman" w:hAnsi="Calibri" w:cs="Calibri"/>
                <w:b/>
                <w:iCs/>
                <w:color w:val="000000"/>
                <w:sz w:val="20"/>
                <w:szCs w:val="20"/>
                <w:lang w:val="en-GB" w:eastAsia="en-GB"/>
              </w:rPr>
              <w:t>during pregnancy</w:t>
            </w:r>
          </w:p>
        </w:tc>
        <w:tc>
          <w:tcPr>
            <w:tcW w:w="680" w:type="dxa"/>
            <w:tcBorders>
              <w:top w:val="nil"/>
              <w:left w:val="single" w:sz="4" w:space="0" w:color="auto"/>
              <w:bottom w:val="nil"/>
              <w:right w:val="nil"/>
            </w:tcBorders>
            <w:noWrap/>
            <w:vAlign w:val="center"/>
          </w:tcPr>
          <w:p w14:paraId="6E5443DB" w14:textId="77777777" w:rsidR="00F021B0" w:rsidRDefault="00F021B0">
            <w:pPr>
              <w:spacing w:line="276" w:lineRule="auto"/>
              <w:jc w:val="right"/>
              <w:rPr>
                <w:rFonts w:eastAsia="Times New Roman"/>
                <w:sz w:val="20"/>
                <w:szCs w:val="20"/>
                <w:lang w:val="en-GB" w:eastAsia="en-GB"/>
              </w:rPr>
            </w:pPr>
          </w:p>
        </w:tc>
        <w:tc>
          <w:tcPr>
            <w:tcW w:w="895" w:type="dxa"/>
            <w:noWrap/>
            <w:vAlign w:val="center"/>
          </w:tcPr>
          <w:p w14:paraId="31BC082B"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15922AC5"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237F968B"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70BF1734"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6DEA1562"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4843353B" w14:textId="77777777" w:rsidR="00F021B0" w:rsidRDefault="00F021B0">
            <w:pPr>
              <w:spacing w:line="276" w:lineRule="auto"/>
              <w:jc w:val="right"/>
              <w:rPr>
                <w:rFonts w:eastAsia="Times New Roman"/>
                <w:sz w:val="20"/>
                <w:szCs w:val="20"/>
                <w:lang w:val="en-GB" w:eastAsia="en-GB"/>
              </w:rPr>
            </w:pPr>
          </w:p>
        </w:tc>
        <w:tc>
          <w:tcPr>
            <w:tcW w:w="793" w:type="dxa"/>
            <w:noWrap/>
            <w:vAlign w:val="center"/>
          </w:tcPr>
          <w:p w14:paraId="555DF02C"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FD3BCBA"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48FBDEE5"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01A2E14B"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60A9B583" w14:textId="77777777" w:rsidR="00F021B0" w:rsidRDefault="00F021B0">
            <w:pPr>
              <w:spacing w:line="276" w:lineRule="auto"/>
              <w:jc w:val="left"/>
              <w:rPr>
                <w:rFonts w:eastAsia="Times New Roman"/>
                <w:sz w:val="20"/>
                <w:szCs w:val="20"/>
                <w:lang w:val="en-GB" w:eastAsia="en-GB"/>
              </w:rPr>
            </w:pPr>
          </w:p>
        </w:tc>
        <w:tc>
          <w:tcPr>
            <w:tcW w:w="680" w:type="dxa"/>
            <w:noWrap/>
            <w:vAlign w:val="center"/>
          </w:tcPr>
          <w:p w14:paraId="69A5566E" w14:textId="77777777" w:rsidR="00F021B0" w:rsidRDefault="00F021B0">
            <w:pPr>
              <w:spacing w:line="276" w:lineRule="auto"/>
              <w:jc w:val="right"/>
              <w:rPr>
                <w:rFonts w:eastAsia="Times New Roman"/>
                <w:sz w:val="20"/>
                <w:szCs w:val="20"/>
                <w:lang w:val="en-GB" w:eastAsia="en-GB"/>
              </w:rPr>
            </w:pPr>
          </w:p>
        </w:tc>
        <w:tc>
          <w:tcPr>
            <w:tcW w:w="822" w:type="dxa"/>
            <w:noWrap/>
            <w:vAlign w:val="center"/>
          </w:tcPr>
          <w:p w14:paraId="06F19839" w14:textId="77777777" w:rsidR="00F021B0" w:rsidRDefault="00F021B0">
            <w:pPr>
              <w:spacing w:line="276" w:lineRule="auto"/>
              <w:jc w:val="left"/>
              <w:rPr>
                <w:rFonts w:eastAsia="Times New Roman"/>
                <w:sz w:val="20"/>
                <w:szCs w:val="20"/>
                <w:lang w:val="en-GB" w:eastAsia="en-GB"/>
              </w:rPr>
            </w:pPr>
          </w:p>
        </w:tc>
      </w:tr>
      <w:tr w:rsidR="00F021B0" w14:paraId="1BBE4060" w14:textId="77777777" w:rsidTr="00F021B0">
        <w:trPr>
          <w:trHeight w:val="290"/>
        </w:trPr>
        <w:tc>
          <w:tcPr>
            <w:tcW w:w="2295" w:type="dxa"/>
            <w:noWrap/>
            <w:vAlign w:val="center"/>
            <w:hideMark/>
          </w:tcPr>
          <w:p w14:paraId="54CD5961"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Low</w:t>
            </w:r>
          </w:p>
        </w:tc>
        <w:tc>
          <w:tcPr>
            <w:tcW w:w="737" w:type="dxa"/>
            <w:noWrap/>
            <w:vAlign w:val="center"/>
            <w:hideMark/>
          </w:tcPr>
          <w:p w14:paraId="64EAC29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37.6</w:t>
            </w:r>
          </w:p>
        </w:tc>
        <w:tc>
          <w:tcPr>
            <w:tcW w:w="895" w:type="dxa"/>
            <w:tcBorders>
              <w:top w:val="nil"/>
              <w:left w:val="nil"/>
              <w:bottom w:val="nil"/>
              <w:right w:val="single" w:sz="4" w:space="0" w:color="auto"/>
            </w:tcBorders>
            <w:noWrap/>
            <w:vAlign w:val="center"/>
            <w:hideMark/>
          </w:tcPr>
          <w:p w14:paraId="1D3716D6"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(6,349)</w:t>
            </w:r>
          </w:p>
        </w:tc>
        <w:tc>
          <w:tcPr>
            <w:tcW w:w="680" w:type="dxa"/>
            <w:tcBorders>
              <w:top w:val="nil"/>
              <w:left w:val="single" w:sz="4" w:space="0" w:color="auto"/>
              <w:bottom w:val="nil"/>
              <w:right w:val="nil"/>
            </w:tcBorders>
            <w:noWrap/>
            <w:vAlign w:val="center"/>
            <w:hideMark/>
          </w:tcPr>
          <w:p w14:paraId="6573C14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36.6</w:t>
            </w:r>
          </w:p>
        </w:tc>
        <w:tc>
          <w:tcPr>
            <w:tcW w:w="895" w:type="dxa"/>
            <w:noWrap/>
            <w:vAlign w:val="center"/>
            <w:hideMark/>
          </w:tcPr>
          <w:p w14:paraId="24CA5061"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(3,628)</w:t>
            </w:r>
          </w:p>
        </w:tc>
        <w:tc>
          <w:tcPr>
            <w:tcW w:w="680" w:type="dxa"/>
            <w:noWrap/>
            <w:vAlign w:val="center"/>
            <w:hideMark/>
          </w:tcPr>
          <w:p w14:paraId="007A6AB1"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50.3</w:t>
            </w:r>
          </w:p>
        </w:tc>
        <w:tc>
          <w:tcPr>
            <w:tcW w:w="822" w:type="dxa"/>
            <w:noWrap/>
            <w:vAlign w:val="center"/>
            <w:hideMark/>
          </w:tcPr>
          <w:p w14:paraId="735BA66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(964)</w:t>
            </w:r>
          </w:p>
        </w:tc>
        <w:tc>
          <w:tcPr>
            <w:tcW w:w="1502" w:type="dxa"/>
            <w:gridSpan w:val="2"/>
            <w:noWrap/>
            <w:vAlign w:val="center"/>
            <w:hideMark/>
          </w:tcPr>
          <w:p w14:paraId="1E0C57D4" w14:textId="77777777" w:rsidR="00F021B0" w:rsidRDefault="00F021B0">
            <w:pPr>
              <w:spacing w:line="276" w:lineRule="auto"/>
              <w:rPr>
                <w:rFonts w:ascii="Calibri" w:eastAsia="Times New Roman" w:hAnsi="Calibri" w:cs="Calibri"/>
                <w:b/>
                <w:bCs/>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noWrap/>
            <w:vAlign w:val="center"/>
            <w:hideMark/>
          </w:tcPr>
          <w:p w14:paraId="5A920FE5"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37.3</w:t>
            </w:r>
          </w:p>
        </w:tc>
        <w:tc>
          <w:tcPr>
            <w:tcW w:w="793" w:type="dxa"/>
            <w:noWrap/>
            <w:vAlign w:val="center"/>
            <w:hideMark/>
          </w:tcPr>
          <w:p w14:paraId="3078A0A7"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(345)</w:t>
            </w:r>
          </w:p>
        </w:tc>
        <w:tc>
          <w:tcPr>
            <w:tcW w:w="680" w:type="dxa"/>
            <w:noWrap/>
            <w:vAlign w:val="center"/>
            <w:hideMark/>
          </w:tcPr>
          <w:p w14:paraId="1EB8060E"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36.6</w:t>
            </w:r>
          </w:p>
        </w:tc>
        <w:tc>
          <w:tcPr>
            <w:tcW w:w="822" w:type="dxa"/>
            <w:noWrap/>
            <w:vAlign w:val="center"/>
            <w:hideMark/>
          </w:tcPr>
          <w:p w14:paraId="14CD035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(318)</w:t>
            </w:r>
          </w:p>
        </w:tc>
        <w:tc>
          <w:tcPr>
            <w:tcW w:w="680" w:type="dxa"/>
            <w:noWrap/>
            <w:vAlign w:val="center"/>
            <w:hideMark/>
          </w:tcPr>
          <w:p w14:paraId="180588DB"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33.6</w:t>
            </w:r>
          </w:p>
        </w:tc>
        <w:tc>
          <w:tcPr>
            <w:tcW w:w="822" w:type="dxa"/>
            <w:noWrap/>
            <w:vAlign w:val="center"/>
            <w:hideMark/>
          </w:tcPr>
          <w:p w14:paraId="275FFD2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(212)</w:t>
            </w:r>
          </w:p>
        </w:tc>
        <w:tc>
          <w:tcPr>
            <w:tcW w:w="680" w:type="dxa"/>
            <w:noWrap/>
            <w:vAlign w:val="center"/>
            <w:hideMark/>
          </w:tcPr>
          <w:p w14:paraId="287F4823"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33.4</w:t>
            </w:r>
          </w:p>
        </w:tc>
        <w:tc>
          <w:tcPr>
            <w:tcW w:w="822" w:type="dxa"/>
            <w:noWrap/>
            <w:vAlign w:val="center"/>
            <w:hideMark/>
          </w:tcPr>
          <w:p w14:paraId="35FF3C6F"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(882)</w:t>
            </w:r>
          </w:p>
        </w:tc>
      </w:tr>
      <w:tr w:rsidR="00F021B0" w14:paraId="21AB0D8A" w14:textId="77777777" w:rsidTr="00F021B0">
        <w:trPr>
          <w:trHeight w:val="290"/>
        </w:trPr>
        <w:tc>
          <w:tcPr>
            <w:tcW w:w="2295" w:type="dxa"/>
            <w:noWrap/>
            <w:vAlign w:val="center"/>
            <w:hideMark/>
          </w:tcPr>
          <w:p w14:paraId="6CB85261"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Medium</w:t>
            </w:r>
          </w:p>
        </w:tc>
        <w:tc>
          <w:tcPr>
            <w:tcW w:w="737" w:type="dxa"/>
            <w:noWrap/>
            <w:vAlign w:val="center"/>
            <w:hideMark/>
          </w:tcPr>
          <w:p w14:paraId="763D333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33.8</w:t>
            </w:r>
          </w:p>
        </w:tc>
        <w:tc>
          <w:tcPr>
            <w:tcW w:w="895" w:type="dxa"/>
            <w:tcBorders>
              <w:top w:val="nil"/>
              <w:left w:val="nil"/>
              <w:bottom w:val="nil"/>
              <w:right w:val="single" w:sz="4" w:space="0" w:color="auto"/>
            </w:tcBorders>
            <w:noWrap/>
            <w:vAlign w:val="center"/>
            <w:hideMark/>
          </w:tcPr>
          <w:p w14:paraId="24E2DF69"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(5,714)</w:t>
            </w:r>
          </w:p>
        </w:tc>
        <w:tc>
          <w:tcPr>
            <w:tcW w:w="680" w:type="dxa"/>
            <w:tcBorders>
              <w:top w:val="nil"/>
              <w:left w:val="single" w:sz="4" w:space="0" w:color="auto"/>
              <w:bottom w:val="nil"/>
              <w:right w:val="nil"/>
            </w:tcBorders>
            <w:noWrap/>
            <w:vAlign w:val="center"/>
            <w:hideMark/>
          </w:tcPr>
          <w:p w14:paraId="2EA1808F"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34.1</w:t>
            </w:r>
          </w:p>
        </w:tc>
        <w:tc>
          <w:tcPr>
            <w:tcW w:w="895" w:type="dxa"/>
            <w:noWrap/>
            <w:vAlign w:val="center"/>
            <w:hideMark/>
          </w:tcPr>
          <w:p w14:paraId="04CDB762"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(3,381)</w:t>
            </w:r>
          </w:p>
        </w:tc>
        <w:tc>
          <w:tcPr>
            <w:tcW w:w="680" w:type="dxa"/>
            <w:noWrap/>
            <w:vAlign w:val="center"/>
            <w:hideMark/>
          </w:tcPr>
          <w:p w14:paraId="6300DE60"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28.4</w:t>
            </w:r>
          </w:p>
        </w:tc>
        <w:tc>
          <w:tcPr>
            <w:tcW w:w="822" w:type="dxa"/>
            <w:noWrap/>
            <w:vAlign w:val="center"/>
            <w:hideMark/>
          </w:tcPr>
          <w:p w14:paraId="335FF66C"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(545)</w:t>
            </w:r>
          </w:p>
        </w:tc>
        <w:tc>
          <w:tcPr>
            <w:tcW w:w="1502" w:type="dxa"/>
            <w:gridSpan w:val="2"/>
            <w:noWrap/>
            <w:vAlign w:val="center"/>
            <w:hideMark/>
          </w:tcPr>
          <w:p w14:paraId="037D5625" w14:textId="77777777" w:rsidR="00F021B0" w:rsidRDefault="00F021B0">
            <w:pPr>
              <w:spacing w:line="276" w:lineRule="auto"/>
              <w:rPr>
                <w:rFonts w:ascii="Calibri" w:eastAsia="Times New Roman" w:hAnsi="Calibri" w:cs="Calibri"/>
                <w:b/>
                <w:bCs/>
                <w:color w:val="000000"/>
                <w:sz w:val="16"/>
                <w:szCs w:val="16"/>
                <w:lang w:val="en-GB" w:eastAsia="en-GB"/>
              </w:rPr>
            </w:pPr>
            <w:proofErr w:type="spellStart"/>
            <w:r>
              <w:rPr>
                <w:rFonts w:ascii="Calibri" w:hAnsi="Calibri" w:cs="Calibri"/>
                <w:color w:val="000000"/>
                <w:sz w:val="16"/>
                <w:szCs w:val="16"/>
              </w:rPr>
              <w:t>n.a.</w:t>
            </w:r>
            <w:proofErr w:type="spellEnd"/>
          </w:p>
        </w:tc>
        <w:tc>
          <w:tcPr>
            <w:tcW w:w="680" w:type="dxa"/>
            <w:noWrap/>
            <w:vAlign w:val="center"/>
            <w:hideMark/>
          </w:tcPr>
          <w:p w14:paraId="7A5E72CC"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31.5</w:t>
            </w:r>
          </w:p>
        </w:tc>
        <w:tc>
          <w:tcPr>
            <w:tcW w:w="793" w:type="dxa"/>
            <w:noWrap/>
            <w:vAlign w:val="center"/>
            <w:hideMark/>
          </w:tcPr>
          <w:p w14:paraId="14670681"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(291)</w:t>
            </w:r>
          </w:p>
        </w:tc>
        <w:tc>
          <w:tcPr>
            <w:tcW w:w="680" w:type="dxa"/>
            <w:noWrap/>
            <w:vAlign w:val="center"/>
            <w:hideMark/>
          </w:tcPr>
          <w:p w14:paraId="4F714938"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42.2</w:t>
            </w:r>
          </w:p>
        </w:tc>
        <w:tc>
          <w:tcPr>
            <w:tcW w:w="822" w:type="dxa"/>
            <w:noWrap/>
            <w:vAlign w:val="center"/>
            <w:hideMark/>
          </w:tcPr>
          <w:p w14:paraId="4812D8B0"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(367)</w:t>
            </w:r>
          </w:p>
        </w:tc>
        <w:tc>
          <w:tcPr>
            <w:tcW w:w="680" w:type="dxa"/>
            <w:noWrap/>
            <w:vAlign w:val="center"/>
            <w:hideMark/>
          </w:tcPr>
          <w:p w14:paraId="160FAEA2"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34.5</w:t>
            </w:r>
          </w:p>
        </w:tc>
        <w:tc>
          <w:tcPr>
            <w:tcW w:w="822" w:type="dxa"/>
            <w:noWrap/>
            <w:vAlign w:val="center"/>
            <w:hideMark/>
          </w:tcPr>
          <w:p w14:paraId="72AB3665"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(218)</w:t>
            </w:r>
          </w:p>
        </w:tc>
        <w:tc>
          <w:tcPr>
            <w:tcW w:w="680" w:type="dxa"/>
            <w:noWrap/>
            <w:vAlign w:val="center"/>
            <w:hideMark/>
          </w:tcPr>
          <w:p w14:paraId="2D52ADB7" w14:textId="77777777" w:rsidR="00F021B0" w:rsidRDefault="00F021B0">
            <w:pPr>
              <w:spacing w:line="276" w:lineRule="auto"/>
              <w:jc w:val="right"/>
              <w:rPr>
                <w:rFonts w:ascii="Calibri" w:eastAsia="Times New Roman" w:hAnsi="Calibri" w:cs="Calibri"/>
                <w:b/>
                <w:bCs/>
                <w:color w:val="000000"/>
                <w:sz w:val="20"/>
                <w:szCs w:val="20"/>
                <w:lang w:val="en-GB" w:eastAsia="en-GB"/>
              </w:rPr>
            </w:pPr>
            <w:r>
              <w:rPr>
                <w:rFonts w:ascii="Calibri" w:hAnsi="Calibri" w:cs="Calibri"/>
                <w:b/>
                <w:color w:val="000000"/>
                <w:sz w:val="20"/>
                <w:szCs w:val="20"/>
              </w:rPr>
              <w:t>34.5</w:t>
            </w:r>
          </w:p>
        </w:tc>
        <w:tc>
          <w:tcPr>
            <w:tcW w:w="822" w:type="dxa"/>
            <w:noWrap/>
            <w:vAlign w:val="center"/>
            <w:hideMark/>
          </w:tcPr>
          <w:p w14:paraId="57DF040B" w14:textId="77777777" w:rsidR="00F021B0" w:rsidRDefault="00F021B0">
            <w:pPr>
              <w:spacing w:line="276" w:lineRule="auto"/>
              <w:jc w:val="left"/>
              <w:rPr>
                <w:rFonts w:ascii="Calibri" w:eastAsia="Times New Roman" w:hAnsi="Calibri" w:cs="Calibri"/>
                <w:color w:val="000000"/>
                <w:sz w:val="20"/>
                <w:szCs w:val="20"/>
                <w:lang w:val="en-GB" w:eastAsia="en-GB"/>
              </w:rPr>
            </w:pPr>
            <w:r>
              <w:rPr>
                <w:rFonts w:ascii="Calibri" w:hAnsi="Calibri" w:cs="Calibri"/>
                <w:color w:val="000000"/>
                <w:sz w:val="20"/>
                <w:szCs w:val="20"/>
              </w:rPr>
              <w:t>(912)</w:t>
            </w:r>
          </w:p>
        </w:tc>
      </w:tr>
      <w:tr w:rsidR="00F021B0" w14:paraId="1740561A" w14:textId="77777777" w:rsidTr="00F021B0">
        <w:trPr>
          <w:trHeight w:val="290"/>
        </w:trPr>
        <w:tc>
          <w:tcPr>
            <w:tcW w:w="2295" w:type="dxa"/>
            <w:noWrap/>
            <w:vAlign w:val="center"/>
            <w:hideMark/>
          </w:tcPr>
          <w:p w14:paraId="3A331E0E" w14:textId="77777777" w:rsidR="00F021B0" w:rsidRDefault="00F021B0">
            <w:pPr>
              <w:spacing w:line="276" w:lineRule="auto"/>
              <w:ind w:left="181"/>
              <w:jc w:val="left"/>
              <w:rPr>
                <w:rFonts w:ascii="Calibri" w:eastAsia="Times New Roman" w:hAnsi="Calibri" w:cs="Calibri"/>
                <w:color w:val="000000"/>
                <w:sz w:val="20"/>
                <w:szCs w:val="20"/>
                <w:lang w:val="en-GB" w:eastAsia="en-GB"/>
              </w:rPr>
            </w:pPr>
            <w:r>
              <w:rPr>
                <w:rFonts w:ascii="Calibri" w:eastAsia="Times New Roman" w:hAnsi="Calibri" w:cs="Calibri"/>
                <w:color w:val="000000"/>
                <w:sz w:val="20"/>
                <w:szCs w:val="20"/>
                <w:lang w:val="en-GB" w:eastAsia="en-GB"/>
              </w:rPr>
              <w:t>High</w:t>
            </w:r>
          </w:p>
        </w:tc>
        <w:tc>
          <w:tcPr>
            <w:tcW w:w="737" w:type="dxa"/>
            <w:noWrap/>
            <w:vAlign w:val="center"/>
            <w:hideMark/>
          </w:tcPr>
          <w:p w14:paraId="5614DE65"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28.7</w:t>
            </w:r>
          </w:p>
        </w:tc>
        <w:tc>
          <w:tcPr>
            <w:tcW w:w="895" w:type="dxa"/>
            <w:tcBorders>
              <w:top w:val="nil"/>
              <w:left w:val="nil"/>
              <w:bottom w:val="nil"/>
              <w:right w:val="single" w:sz="4" w:space="0" w:color="auto"/>
            </w:tcBorders>
            <w:noWrap/>
            <w:vAlign w:val="center"/>
            <w:hideMark/>
          </w:tcPr>
          <w:p w14:paraId="79A4A453"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(4,845)</w:t>
            </w:r>
          </w:p>
        </w:tc>
        <w:tc>
          <w:tcPr>
            <w:tcW w:w="680" w:type="dxa"/>
            <w:tcBorders>
              <w:top w:val="nil"/>
              <w:left w:val="single" w:sz="4" w:space="0" w:color="auto"/>
              <w:bottom w:val="nil"/>
              <w:right w:val="nil"/>
            </w:tcBorders>
            <w:noWrap/>
            <w:vAlign w:val="center"/>
            <w:hideMark/>
          </w:tcPr>
          <w:p w14:paraId="3C4109FA"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29.4</w:t>
            </w:r>
          </w:p>
        </w:tc>
        <w:tc>
          <w:tcPr>
            <w:tcW w:w="895" w:type="dxa"/>
            <w:noWrap/>
            <w:vAlign w:val="center"/>
            <w:hideMark/>
          </w:tcPr>
          <w:p w14:paraId="26287F2F"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(2,914)</w:t>
            </w:r>
          </w:p>
        </w:tc>
        <w:tc>
          <w:tcPr>
            <w:tcW w:w="680" w:type="dxa"/>
            <w:noWrap/>
            <w:vAlign w:val="center"/>
            <w:hideMark/>
          </w:tcPr>
          <w:p w14:paraId="7AA3ECDC"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21.3</w:t>
            </w:r>
          </w:p>
        </w:tc>
        <w:tc>
          <w:tcPr>
            <w:tcW w:w="822" w:type="dxa"/>
            <w:noWrap/>
            <w:vAlign w:val="center"/>
            <w:hideMark/>
          </w:tcPr>
          <w:p w14:paraId="7DC2BC5D"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(408)</w:t>
            </w:r>
          </w:p>
        </w:tc>
        <w:tc>
          <w:tcPr>
            <w:tcW w:w="1502" w:type="dxa"/>
            <w:gridSpan w:val="2"/>
            <w:noWrap/>
            <w:vAlign w:val="center"/>
            <w:hideMark/>
          </w:tcPr>
          <w:p w14:paraId="32C13326" w14:textId="77777777" w:rsidR="00F021B0" w:rsidRDefault="00F021B0">
            <w:pPr>
              <w:spacing w:line="276" w:lineRule="auto"/>
              <w:rPr>
                <w:rFonts w:ascii="Calibri" w:hAnsi="Calibri" w:cs="Calibri"/>
                <w:b/>
                <w:bCs/>
                <w:color w:val="000000"/>
                <w:sz w:val="16"/>
                <w:szCs w:val="16"/>
              </w:rPr>
            </w:pPr>
            <w:proofErr w:type="spellStart"/>
            <w:r>
              <w:rPr>
                <w:rFonts w:ascii="Calibri" w:hAnsi="Calibri" w:cs="Calibri"/>
                <w:color w:val="000000"/>
                <w:sz w:val="16"/>
                <w:szCs w:val="16"/>
              </w:rPr>
              <w:t>n.a.</w:t>
            </w:r>
            <w:proofErr w:type="spellEnd"/>
          </w:p>
        </w:tc>
        <w:tc>
          <w:tcPr>
            <w:tcW w:w="680" w:type="dxa"/>
            <w:noWrap/>
            <w:vAlign w:val="center"/>
            <w:hideMark/>
          </w:tcPr>
          <w:p w14:paraId="38D3F9EB"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31.2</w:t>
            </w:r>
          </w:p>
        </w:tc>
        <w:tc>
          <w:tcPr>
            <w:tcW w:w="793" w:type="dxa"/>
            <w:noWrap/>
            <w:vAlign w:val="center"/>
            <w:hideMark/>
          </w:tcPr>
          <w:p w14:paraId="3727804B"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(289)</w:t>
            </w:r>
          </w:p>
        </w:tc>
        <w:tc>
          <w:tcPr>
            <w:tcW w:w="680" w:type="dxa"/>
            <w:noWrap/>
            <w:vAlign w:val="center"/>
            <w:hideMark/>
          </w:tcPr>
          <w:p w14:paraId="01718183"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21.3</w:t>
            </w:r>
          </w:p>
        </w:tc>
        <w:tc>
          <w:tcPr>
            <w:tcW w:w="822" w:type="dxa"/>
            <w:noWrap/>
            <w:vAlign w:val="center"/>
            <w:hideMark/>
          </w:tcPr>
          <w:p w14:paraId="7A821DE8"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(185)</w:t>
            </w:r>
          </w:p>
        </w:tc>
        <w:tc>
          <w:tcPr>
            <w:tcW w:w="680" w:type="dxa"/>
            <w:noWrap/>
            <w:vAlign w:val="center"/>
            <w:hideMark/>
          </w:tcPr>
          <w:p w14:paraId="6CC24AA3"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31.9</w:t>
            </w:r>
          </w:p>
        </w:tc>
        <w:tc>
          <w:tcPr>
            <w:tcW w:w="822" w:type="dxa"/>
            <w:noWrap/>
            <w:vAlign w:val="center"/>
            <w:hideMark/>
          </w:tcPr>
          <w:p w14:paraId="74B6303E"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(201)</w:t>
            </w:r>
          </w:p>
        </w:tc>
        <w:tc>
          <w:tcPr>
            <w:tcW w:w="680" w:type="dxa"/>
            <w:noWrap/>
            <w:vAlign w:val="center"/>
            <w:hideMark/>
          </w:tcPr>
          <w:p w14:paraId="0C65C36C" w14:textId="77777777" w:rsidR="00F021B0" w:rsidRDefault="00F021B0">
            <w:pPr>
              <w:spacing w:line="276" w:lineRule="auto"/>
              <w:jc w:val="right"/>
              <w:rPr>
                <w:rFonts w:ascii="Calibri" w:hAnsi="Calibri" w:cs="Calibri"/>
                <w:b/>
                <w:bCs/>
                <w:color w:val="000000"/>
                <w:sz w:val="20"/>
                <w:szCs w:val="20"/>
              </w:rPr>
            </w:pPr>
            <w:r>
              <w:rPr>
                <w:rFonts w:ascii="Calibri" w:hAnsi="Calibri" w:cs="Calibri"/>
                <w:b/>
                <w:color w:val="000000"/>
                <w:sz w:val="20"/>
                <w:szCs w:val="20"/>
              </w:rPr>
              <w:t>32.1</w:t>
            </w:r>
          </w:p>
        </w:tc>
        <w:tc>
          <w:tcPr>
            <w:tcW w:w="822" w:type="dxa"/>
            <w:noWrap/>
            <w:vAlign w:val="center"/>
            <w:hideMark/>
          </w:tcPr>
          <w:p w14:paraId="3706B451" w14:textId="77777777" w:rsidR="00F021B0" w:rsidRDefault="00F021B0">
            <w:pPr>
              <w:spacing w:line="276" w:lineRule="auto"/>
              <w:jc w:val="left"/>
              <w:rPr>
                <w:rFonts w:ascii="Calibri" w:hAnsi="Calibri" w:cs="Calibri"/>
                <w:color w:val="000000"/>
                <w:sz w:val="20"/>
                <w:szCs w:val="20"/>
              </w:rPr>
            </w:pPr>
            <w:r>
              <w:rPr>
                <w:rFonts w:ascii="Calibri" w:hAnsi="Calibri" w:cs="Calibri"/>
                <w:color w:val="000000"/>
                <w:sz w:val="20"/>
                <w:szCs w:val="20"/>
              </w:rPr>
              <w:t>(848)</w:t>
            </w:r>
          </w:p>
        </w:tc>
      </w:tr>
      <w:tr w:rsidR="00F021B0" w14:paraId="390A867F" w14:textId="77777777" w:rsidTr="00F021B0">
        <w:trPr>
          <w:trHeight w:val="240"/>
        </w:trPr>
        <w:tc>
          <w:tcPr>
            <w:tcW w:w="2295" w:type="dxa"/>
            <w:noWrap/>
            <w:vAlign w:val="center"/>
            <w:hideMark/>
          </w:tcPr>
          <w:p w14:paraId="1A33F2A6" w14:textId="77777777" w:rsidR="00F021B0" w:rsidRDefault="00F021B0">
            <w:pPr>
              <w:spacing w:line="276" w:lineRule="auto"/>
              <w:ind w:left="181"/>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Missing</w:t>
            </w:r>
          </w:p>
        </w:tc>
        <w:tc>
          <w:tcPr>
            <w:tcW w:w="737" w:type="dxa"/>
            <w:noWrap/>
            <w:vAlign w:val="center"/>
            <w:hideMark/>
          </w:tcPr>
          <w:p w14:paraId="55F07D8E"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36.0</w:t>
            </w:r>
          </w:p>
        </w:tc>
        <w:tc>
          <w:tcPr>
            <w:tcW w:w="895" w:type="dxa"/>
            <w:tcBorders>
              <w:top w:val="nil"/>
              <w:left w:val="nil"/>
              <w:bottom w:val="nil"/>
              <w:right w:val="single" w:sz="4" w:space="0" w:color="auto"/>
            </w:tcBorders>
            <w:noWrap/>
            <w:vAlign w:val="center"/>
            <w:hideMark/>
          </w:tcPr>
          <w:p w14:paraId="060D93B8"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(9,502)</w:t>
            </w:r>
          </w:p>
        </w:tc>
        <w:tc>
          <w:tcPr>
            <w:tcW w:w="680" w:type="dxa"/>
            <w:tcBorders>
              <w:top w:val="nil"/>
              <w:left w:val="single" w:sz="4" w:space="0" w:color="auto"/>
              <w:bottom w:val="nil"/>
              <w:right w:val="nil"/>
            </w:tcBorders>
            <w:noWrap/>
            <w:vAlign w:val="center"/>
            <w:hideMark/>
          </w:tcPr>
          <w:p w14:paraId="51E8B93B"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eastAsia="en-GB"/>
              </w:rPr>
              <w:t>17.1</w:t>
            </w:r>
          </w:p>
        </w:tc>
        <w:tc>
          <w:tcPr>
            <w:tcW w:w="895" w:type="dxa"/>
            <w:noWrap/>
            <w:vAlign w:val="center"/>
            <w:hideMark/>
          </w:tcPr>
          <w:p w14:paraId="6816FFE5"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eastAsia="en-GB"/>
              </w:rPr>
              <w:t>(2,041)</w:t>
            </w:r>
          </w:p>
        </w:tc>
        <w:tc>
          <w:tcPr>
            <w:tcW w:w="680" w:type="dxa"/>
            <w:noWrap/>
            <w:vAlign w:val="center"/>
            <w:hideMark/>
          </w:tcPr>
          <w:p w14:paraId="5563F0DF"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eastAsia="en-GB"/>
              </w:rPr>
              <w:t>3.1</w:t>
            </w:r>
          </w:p>
        </w:tc>
        <w:tc>
          <w:tcPr>
            <w:tcW w:w="822" w:type="dxa"/>
            <w:noWrap/>
            <w:vAlign w:val="center"/>
            <w:hideMark/>
          </w:tcPr>
          <w:p w14:paraId="761C7E70"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eastAsia="en-GB"/>
              </w:rPr>
              <w:t>(61)</w:t>
            </w:r>
          </w:p>
        </w:tc>
        <w:tc>
          <w:tcPr>
            <w:tcW w:w="680" w:type="dxa"/>
            <w:noWrap/>
            <w:vAlign w:val="center"/>
            <w:hideMark/>
          </w:tcPr>
          <w:p w14:paraId="3E2B9050" w14:textId="77777777" w:rsidR="00F021B0" w:rsidRDefault="00F021B0">
            <w:pPr>
              <w:rPr>
                <w:rFonts w:ascii="Calibri" w:eastAsia="Times New Roman" w:hAnsi="Calibri" w:cs="Calibri"/>
                <w:i/>
                <w:iCs/>
                <w:color w:val="000000"/>
                <w:sz w:val="18"/>
                <w:szCs w:val="18"/>
                <w:lang w:val="en-GB" w:eastAsia="en-GB"/>
              </w:rPr>
            </w:pPr>
          </w:p>
        </w:tc>
        <w:tc>
          <w:tcPr>
            <w:tcW w:w="822" w:type="dxa"/>
            <w:noWrap/>
            <w:vAlign w:val="center"/>
            <w:hideMark/>
          </w:tcPr>
          <w:p w14:paraId="284C3032"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center"/>
            <w:hideMark/>
          </w:tcPr>
          <w:p w14:paraId="0DE1AD8F"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hAnsi="Calibri" w:cs="Calibri"/>
                <w:b/>
                <w:bCs/>
                <w:i/>
                <w:iCs/>
                <w:color w:val="000000"/>
                <w:sz w:val="18"/>
                <w:szCs w:val="18"/>
              </w:rPr>
              <w:t>17.5</w:t>
            </w:r>
          </w:p>
        </w:tc>
        <w:tc>
          <w:tcPr>
            <w:tcW w:w="793" w:type="dxa"/>
            <w:noWrap/>
            <w:vAlign w:val="center"/>
            <w:hideMark/>
          </w:tcPr>
          <w:p w14:paraId="25CBEDB0"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eastAsia="en-GB"/>
              </w:rPr>
              <w:t>(196)</w:t>
            </w:r>
          </w:p>
        </w:tc>
        <w:tc>
          <w:tcPr>
            <w:tcW w:w="680" w:type="dxa"/>
            <w:noWrap/>
            <w:vAlign w:val="center"/>
            <w:hideMark/>
          </w:tcPr>
          <w:p w14:paraId="1B6A4F42"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eastAsia="en-GB"/>
              </w:rPr>
              <w:t>33.8</w:t>
            </w:r>
          </w:p>
        </w:tc>
        <w:tc>
          <w:tcPr>
            <w:tcW w:w="822" w:type="dxa"/>
            <w:noWrap/>
            <w:vAlign w:val="center"/>
            <w:hideMark/>
          </w:tcPr>
          <w:p w14:paraId="586F540B"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eastAsia="en-GB"/>
              </w:rPr>
              <w:t>(444)</w:t>
            </w:r>
          </w:p>
        </w:tc>
        <w:tc>
          <w:tcPr>
            <w:tcW w:w="680" w:type="dxa"/>
            <w:noWrap/>
            <w:vAlign w:val="center"/>
            <w:hideMark/>
          </w:tcPr>
          <w:p w14:paraId="41F80542"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eastAsia="en-GB"/>
              </w:rPr>
              <w:t>0.0</w:t>
            </w:r>
          </w:p>
        </w:tc>
        <w:tc>
          <w:tcPr>
            <w:tcW w:w="822" w:type="dxa"/>
            <w:noWrap/>
            <w:vAlign w:val="center"/>
            <w:hideMark/>
          </w:tcPr>
          <w:p w14:paraId="62EE97F4"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eastAsia="Times New Roman" w:hAnsi="Calibri" w:cs="Calibri"/>
                <w:i/>
                <w:iCs/>
                <w:color w:val="000000"/>
                <w:sz w:val="18"/>
                <w:szCs w:val="18"/>
                <w:lang w:val="en-GB" w:eastAsia="en-GB"/>
              </w:rPr>
              <w:t>(0)</w:t>
            </w:r>
          </w:p>
        </w:tc>
        <w:tc>
          <w:tcPr>
            <w:tcW w:w="680" w:type="dxa"/>
            <w:noWrap/>
            <w:vAlign w:val="center"/>
            <w:hideMark/>
          </w:tcPr>
          <w:p w14:paraId="764869D1" w14:textId="77777777" w:rsidR="00F021B0" w:rsidRDefault="00F021B0">
            <w:pPr>
              <w:spacing w:line="276" w:lineRule="auto"/>
              <w:jc w:val="right"/>
              <w:rPr>
                <w:rFonts w:ascii="Calibri" w:eastAsia="Times New Roman" w:hAnsi="Calibri" w:cs="Calibri"/>
                <w:b/>
                <w:bCs/>
                <w:i/>
                <w:iCs/>
                <w:color w:val="000000"/>
                <w:sz w:val="18"/>
                <w:szCs w:val="18"/>
                <w:lang w:val="en-GB" w:eastAsia="en-GB"/>
              </w:rPr>
            </w:pPr>
            <w:r>
              <w:rPr>
                <w:rFonts w:ascii="Calibri" w:eastAsia="Times New Roman" w:hAnsi="Calibri" w:cs="Calibri"/>
                <w:b/>
                <w:bCs/>
                <w:i/>
                <w:iCs/>
                <w:color w:val="000000"/>
                <w:sz w:val="18"/>
                <w:szCs w:val="18"/>
                <w:lang w:eastAsia="en-GB"/>
              </w:rPr>
              <w:t>16.3</w:t>
            </w:r>
          </w:p>
        </w:tc>
        <w:tc>
          <w:tcPr>
            <w:tcW w:w="822" w:type="dxa"/>
            <w:noWrap/>
            <w:vAlign w:val="center"/>
            <w:hideMark/>
          </w:tcPr>
          <w:p w14:paraId="531072A2" w14:textId="77777777" w:rsidR="00F021B0" w:rsidRDefault="00F021B0">
            <w:pPr>
              <w:spacing w:line="276" w:lineRule="auto"/>
              <w:jc w:val="left"/>
              <w:rPr>
                <w:rFonts w:ascii="Calibri" w:eastAsia="Times New Roman" w:hAnsi="Calibri" w:cs="Calibri"/>
                <w:i/>
                <w:iCs/>
                <w:color w:val="000000"/>
                <w:sz w:val="18"/>
                <w:szCs w:val="18"/>
                <w:lang w:val="en-GB" w:eastAsia="en-GB"/>
              </w:rPr>
            </w:pPr>
            <w:r>
              <w:rPr>
                <w:rFonts w:ascii="Calibri" w:hAnsi="Calibri" w:cs="Calibri"/>
                <w:i/>
                <w:iCs/>
                <w:color w:val="000000"/>
                <w:sz w:val="18"/>
                <w:szCs w:val="18"/>
              </w:rPr>
              <w:t>(514)</w:t>
            </w:r>
          </w:p>
        </w:tc>
      </w:tr>
      <w:tr w:rsidR="00F021B0" w14:paraId="4F5FF079" w14:textId="77777777" w:rsidTr="00F021B0">
        <w:trPr>
          <w:trHeight w:val="170"/>
        </w:trPr>
        <w:tc>
          <w:tcPr>
            <w:tcW w:w="2295" w:type="dxa"/>
            <w:noWrap/>
            <w:vAlign w:val="center"/>
            <w:hideMark/>
          </w:tcPr>
          <w:p w14:paraId="63D68137" w14:textId="77777777" w:rsidR="00F021B0" w:rsidRDefault="00F021B0">
            <w:pPr>
              <w:rPr>
                <w:rFonts w:ascii="Calibri" w:eastAsia="Times New Roman" w:hAnsi="Calibri" w:cs="Calibri"/>
                <w:i/>
                <w:iCs/>
                <w:color w:val="000000"/>
                <w:sz w:val="18"/>
                <w:szCs w:val="18"/>
                <w:lang w:val="en-GB" w:eastAsia="en-GB"/>
              </w:rPr>
            </w:pPr>
          </w:p>
        </w:tc>
        <w:tc>
          <w:tcPr>
            <w:tcW w:w="737" w:type="dxa"/>
            <w:noWrap/>
            <w:vAlign w:val="bottom"/>
            <w:hideMark/>
          </w:tcPr>
          <w:p w14:paraId="3727F4F8"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tcBorders>
              <w:top w:val="nil"/>
              <w:left w:val="nil"/>
              <w:bottom w:val="nil"/>
              <w:right w:val="single" w:sz="4" w:space="0" w:color="auto"/>
            </w:tcBorders>
            <w:noWrap/>
            <w:vAlign w:val="bottom"/>
            <w:hideMark/>
          </w:tcPr>
          <w:p w14:paraId="12EDADB5"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tcBorders>
              <w:top w:val="nil"/>
              <w:left w:val="single" w:sz="4" w:space="0" w:color="auto"/>
              <w:bottom w:val="nil"/>
              <w:right w:val="nil"/>
            </w:tcBorders>
            <w:noWrap/>
            <w:vAlign w:val="bottom"/>
            <w:hideMark/>
          </w:tcPr>
          <w:p w14:paraId="432DA38A" w14:textId="77777777" w:rsidR="00F021B0" w:rsidRDefault="00F021B0">
            <w:pPr>
              <w:spacing w:line="276" w:lineRule="auto"/>
              <w:jc w:val="left"/>
              <w:rPr>
                <w:rFonts w:asciiTheme="minorHAnsi" w:hAnsiTheme="minorHAnsi" w:cstheme="minorBidi"/>
                <w:sz w:val="20"/>
                <w:szCs w:val="20"/>
                <w:lang w:val="en-GB" w:eastAsia="en-GB"/>
              </w:rPr>
            </w:pPr>
          </w:p>
        </w:tc>
        <w:tc>
          <w:tcPr>
            <w:tcW w:w="895" w:type="dxa"/>
            <w:noWrap/>
            <w:vAlign w:val="bottom"/>
            <w:hideMark/>
          </w:tcPr>
          <w:p w14:paraId="48E7B41B"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7BF55AE1"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noWrap/>
            <w:vAlign w:val="center"/>
            <w:hideMark/>
          </w:tcPr>
          <w:p w14:paraId="0EAC593C"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04E81111"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noWrap/>
            <w:vAlign w:val="bottom"/>
            <w:hideMark/>
          </w:tcPr>
          <w:p w14:paraId="55E36A7A"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1078B818" w14:textId="77777777" w:rsidR="00F021B0" w:rsidRDefault="00F021B0">
            <w:pPr>
              <w:spacing w:line="276" w:lineRule="auto"/>
              <w:jc w:val="left"/>
              <w:rPr>
                <w:rFonts w:asciiTheme="minorHAnsi" w:hAnsiTheme="minorHAnsi" w:cstheme="minorBidi"/>
                <w:sz w:val="20"/>
                <w:szCs w:val="20"/>
                <w:lang w:val="en-GB" w:eastAsia="en-GB"/>
              </w:rPr>
            </w:pPr>
          </w:p>
        </w:tc>
        <w:tc>
          <w:tcPr>
            <w:tcW w:w="793" w:type="dxa"/>
            <w:noWrap/>
            <w:vAlign w:val="bottom"/>
            <w:hideMark/>
          </w:tcPr>
          <w:p w14:paraId="023B282B"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3280BCFC"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noWrap/>
            <w:vAlign w:val="bottom"/>
            <w:hideMark/>
          </w:tcPr>
          <w:p w14:paraId="0FDECE58"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719EB253"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noWrap/>
            <w:vAlign w:val="bottom"/>
            <w:hideMark/>
          </w:tcPr>
          <w:p w14:paraId="702C085F" w14:textId="77777777" w:rsidR="00F021B0" w:rsidRDefault="00F021B0">
            <w:pPr>
              <w:spacing w:line="276" w:lineRule="auto"/>
              <w:jc w:val="left"/>
              <w:rPr>
                <w:rFonts w:asciiTheme="minorHAnsi" w:hAnsiTheme="minorHAnsi" w:cstheme="minorBidi"/>
                <w:sz w:val="20"/>
                <w:szCs w:val="20"/>
                <w:lang w:val="en-GB" w:eastAsia="en-GB"/>
              </w:rPr>
            </w:pPr>
          </w:p>
        </w:tc>
        <w:tc>
          <w:tcPr>
            <w:tcW w:w="680" w:type="dxa"/>
            <w:noWrap/>
            <w:vAlign w:val="bottom"/>
            <w:hideMark/>
          </w:tcPr>
          <w:p w14:paraId="644A05D7" w14:textId="77777777" w:rsidR="00F021B0" w:rsidRDefault="00F021B0">
            <w:pPr>
              <w:spacing w:line="276" w:lineRule="auto"/>
              <w:jc w:val="left"/>
              <w:rPr>
                <w:rFonts w:asciiTheme="minorHAnsi" w:hAnsiTheme="minorHAnsi" w:cstheme="minorBidi"/>
                <w:sz w:val="20"/>
                <w:szCs w:val="20"/>
                <w:lang w:val="en-GB" w:eastAsia="en-GB"/>
              </w:rPr>
            </w:pPr>
          </w:p>
        </w:tc>
        <w:tc>
          <w:tcPr>
            <w:tcW w:w="822" w:type="dxa"/>
            <w:noWrap/>
            <w:vAlign w:val="bottom"/>
            <w:hideMark/>
          </w:tcPr>
          <w:p w14:paraId="06CF0783" w14:textId="77777777" w:rsidR="00F021B0" w:rsidRDefault="00F021B0">
            <w:pPr>
              <w:spacing w:line="276" w:lineRule="auto"/>
              <w:jc w:val="left"/>
              <w:rPr>
                <w:rFonts w:asciiTheme="minorHAnsi" w:hAnsiTheme="minorHAnsi" w:cstheme="minorBidi"/>
                <w:sz w:val="20"/>
                <w:szCs w:val="20"/>
                <w:lang w:val="en-GB" w:eastAsia="en-GB"/>
              </w:rPr>
            </w:pPr>
          </w:p>
        </w:tc>
      </w:tr>
      <w:tr w:rsidR="00F021B0" w14:paraId="6ADBBBF5" w14:textId="77777777" w:rsidTr="00F021B0">
        <w:trPr>
          <w:trHeight w:val="290"/>
        </w:trPr>
        <w:tc>
          <w:tcPr>
            <w:tcW w:w="14485" w:type="dxa"/>
            <w:gridSpan w:val="17"/>
            <w:noWrap/>
            <w:vAlign w:val="center"/>
            <w:hideMark/>
          </w:tcPr>
          <w:p w14:paraId="2E994187" w14:textId="3F897968" w:rsidR="00F021B0" w:rsidRDefault="00045978">
            <w:pPr>
              <w:pBdr>
                <w:top w:val="single" w:sz="4" w:space="1" w:color="auto"/>
              </w:pBdr>
              <w:spacing w:line="276" w:lineRule="auto"/>
              <w:jc w:val="both"/>
              <w:rPr>
                <w:rFonts w:eastAsia="Times New Roman"/>
                <w:sz w:val="16"/>
                <w:szCs w:val="16"/>
                <w:lang w:val="en-GB" w:eastAsia="en-GB"/>
              </w:rPr>
            </w:pPr>
            <w:r>
              <w:rPr>
                <w:rFonts w:eastAsia="Times New Roman"/>
                <w:sz w:val="16"/>
                <w:szCs w:val="16"/>
                <w:lang w:val="en-GB" w:eastAsia="en-GB"/>
              </w:rPr>
              <w:t xml:space="preserve">Abbreviations: </w:t>
            </w:r>
            <w:r w:rsidR="00F021B0">
              <w:rPr>
                <w:rFonts w:eastAsia="Times New Roman"/>
                <w:sz w:val="16"/>
                <w:szCs w:val="16"/>
                <w:lang w:val="en-GB" w:eastAsia="en-GB"/>
              </w:rPr>
              <w:t>DASH</w:t>
            </w:r>
            <w:r>
              <w:rPr>
                <w:rFonts w:eastAsia="Times New Roman"/>
                <w:sz w:val="16"/>
                <w:szCs w:val="16"/>
                <w:lang w:val="en-GB" w:eastAsia="en-GB"/>
              </w:rPr>
              <w:t>,</w:t>
            </w:r>
            <w:r w:rsidR="00F021B0">
              <w:rPr>
                <w:rFonts w:eastAsia="Times New Roman"/>
                <w:sz w:val="16"/>
                <w:szCs w:val="16"/>
                <w:lang w:val="en-GB" w:eastAsia="en-GB"/>
              </w:rPr>
              <w:t xml:space="preserve"> Dietary Approaches to Stop Hypertension. E-DII</w:t>
            </w:r>
            <w:r>
              <w:rPr>
                <w:rFonts w:eastAsia="Times New Roman"/>
                <w:sz w:val="16"/>
                <w:szCs w:val="16"/>
                <w:lang w:val="en-GB" w:eastAsia="en-GB"/>
              </w:rPr>
              <w:t>,</w:t>
            </w:r>
            <w:r w:rsidR="00F021B0">
              <w:rPr>
                <w:rFonts w:eastAsia="Times New Roman"/>
                <w:sz w:val="16"/>
                <w:szCs w:val="16"/>
                <w:lang w:val="en-GB" w:eastAsia="en-GB"/>
              </w:rPr>
              <w:t xml:space="preserve"> energy-adjusted Dietary Inflammatory Index. BMI</w:t>
            </w:r>
            <w:r>
              <w:rPr>
                <w:rFonts w:eastAsia="Times New Roman"/>
                <w:sz w:val="16"/>
                <w:szCs w:val="16"/>
                <w:lang w:val="en-GB" w:eastAsia="en-GB"/>
              </w:rPr>
              <w:t>,</w:t>
            </w:r>
            <w:r w:rsidR="00F021B0">
              <w:rPr>
                <w:rFonts w:eastAsia="Times New Roman"/>
                <w:sz w:val="16"/>
                <w:szCs w:val="16"/>
                <w:lang w:val="en-GB" w:eastAsia="en-GB"/>
              </w:rPr>
              <w:t xml:space="preserve"> Body Mass Index. </w:t>
            </w:r>
            <w:proofErr w:type="spellStart"/>
            <w:r w:rsidR="00F021B0">
              <w:rPr>
                <w:rFonts w:eastAsia="Times New Roman"/>
                <w:sz w:val="16"/>
                <w:szCs w:val="16"/>
                <w:lang w:val="en-GB" w:eastAsia="en-GB"/>
              </w:rPr>
              <w:t>n.a.</w:t>
            </w:r>
            <w:proofErr w:type="spellEnd"/>
            <w:r>
              <w:rPr>
                <w:rFonts w:eastAsia="Times New Roman"/>
                <w:sz w:val="16"/>
                <w:szCs w:val="16"/>
                <w:lang w:val="en-GB" w:eastAsia="en-GB"/>
              </w:rPr>
              <w:t>,</w:t>
            </w:r>
            <w:r w:rsidR="00F021B0">
              <w:rPr>
                <w:rFonts w:eastAsia="Times New Roman"/>
                <w:sz w:val="16"/>
                <w:szCs w:val="16"/>
                <w:lang w:val="en-GB" w:eastAsia="en-GB"/>
              </w:rPr>
              <w:t xml:space="preserve"> not available.</w:t>
            </w:r>
          </w:p>
          <w:p w14:paraId="48739D47" w14:textId="18D7E20E" w:rsidR="00F021B0" w:rsidRDefault="00F021B0">
            <w:pPr>
              <w:widowControl w:val="0"/>
              <w:autoSpaceDE w:val="0"/>
              <w:autoSpaceDN w:val="0"/>
              <w:adjustRightInd w:val="0"/>
              <w:spacing w:line="276" w:lineRule="auto"/>
              <w:jc w:val="both"/>
              <w:rPr>
                <w:rFonts w:cstheme="minorHAnsi"/>
                <w:sz w:val="16"/>
                <w:szCs w:val="16"/>
                <w:lang w:val="en-GB"/>
              </w:rPr>
            </w:pPr>
            <w:r>
              <w:rPr>
                <w:rFonts w:eastAsia="Times New Roman"/>
                <w:sz w:val="16"/>
                <w:szCs w:val="16"/>
                <w:lang w:val="en-GB" w:eastAsia="en-GB"/>
              </w:rPr>
              <w:t xml:space="preserve">Values are </w:t>
            </w:r>
            <w:r>
              <w:rPr>
                <w:rFonts w:eastAsia="Times New Roman" w:cstheme="minorHAnsi"/>
                <w:b/>
                <w:sz w:val="16"/>
                <w:szCs w:val="16"/>
                <w:lang w:val="en-GB"/>
              </w:rPr>
              <w:t>mean</w:t>
            </w:r>
            <w:r>
              <w:rPr>
                <w:rFonts w:eastAsia="Times New Roman" w:cstheme="minorHAnsi"/>
                <w:sz w:val="16"/>
                <w:szCs w:val="16"/>
                <w:lang w:val="en-GB"/>
              </w:rPr>
              <w:t xml:space="preserve"> </w:t>
            </w:r>
            <w:r w:rsidR="0014138C">
              <w:rPr>
                <w:rFonts w:eastAsia="Times New Roman" w:cstheme="minorHAnsi"/>
                <w:sz w:val="16"/>
                <w:szCs w:val="16"/>
                <w:lang w:val="en-GB"/>
              </w:rPr>
              <w:t>(</w:t>
            </w:r>
            <w:r>
              <w:rPr>
                <w:rFonts w:eastAsia="Times New Roman" w:cstheme="minorHAnsi"/>
                <w:sz w:val="16"/>
                <w:szCs w:val="16"/>
                <w:lang w:val="en-GB"/>
              </w:rPr>
              <w:t>SD</w:t>
            </w:r>
            <w:r w:rsidR="0014138C">
              <w:rPr>
                <w:rFonts w:eastAsia="Times New Roman" w:cstheme="minorHAnsi"/>
                <w:sz w:val="16"/>
                <w:szCs w:val="16"/>
                <w:lang w:val="en-GB"/>
              </w:rPr>
              <w:t>)</w:t>
            </w:r>
            <w:r>
              <w:rPr>
                <w:rFonts w:eastAsia="Times New Roman" w:cstheme="minorHAnsi"/>
                <w:sz w:val="16"/>
                <w:szCs w:val="16"/>
                <w:lang w:val="en-GB"/>
              </w:rPr>
              <w:t xml:space="preserve"> for continuous variables and </w:t>
            </w:r>
            <w:r>
              <w:rPr>
                <w:rFonts w:eastAsia="Times New Roman" w:cstheme="minorHAnsi"/>
                <w:b/>
                <w:sz w:val="16"/>
                <w:szCs w:val="16"/>
                <w:lang w:val="en-GB"/>
              </w:rPr>
              <w:t>%</w:t>
            </w:r>
            <w:r>
              <w:rPr>
                <w:rFonts w:eastAsia="Times New Roman" w:cstheme="minorHAnsi"/>
                <w:sz w:val="16"/>
                <w:szCs w:val="16"/>
                <w:lang w:val="en-GB"/>
              </w:rPr>
              <w:t xml:space="preserve"> [excluding missing values] (n)</w:t>
            </w:r>
            <w:r>
              <w:rPr>
                <w:rFonts w:cstheme="minorHAnsi"/>
                <w:sz w:val="16"/>
                <w:szCs w:val="16"/>
                <w:lang w:val="en-GB"/>
              </w:rPr>
              <w:t xml:space="preserve"> for categorical variables.</w:t>
            </w:r>
          </w:p>
          <w:p w14:paraId="16658057" w14:textId="77777777" w:rsidR="00F021B0" w:rsidRDefault="00F021B0">
            <w:pPr>
              <w:spacing w:line="276" w:lineRule="auto"/>
              <w:jc w:val="both"/>
              <w:rPr>
                <w:rFonts w:eastAsia="Times New Roman"/>
                <w:sz w:val="16"/>
                <w:szCs w:val="16"/>
                <w:lang w:val="en-GB" w:eastAsia="en-GB"/>
              </w:rPr>
            </w:pPr>
            <w:proofErr w:type="spellStart"/>
            <w:r>
              <w:rPr>
                <w:rFonts w:eastAsia="Times New Roman"/>
                <w:sz w:val="16"/>
                <w:szCs w:val="16"/>
                <w:vertAlign w:val="superscript"/>
                <w:lang w:val="en-GB" w:eastAsia="en-GB"/>
              </w:rPr>
              <w:t>a</w:t>
            </w:r>
            <w:r>
              <w:rPr>
                <w:rFonts w:eastAsia="Times New Roman"/>
                <w:sz w:val="16"/>
                <w:szCs w:val="16"/>
                <w:lang w:val="en-GB" w:eastAsia="en-GB"/>
              </w:rPr>
              <w:t>Second</w:t>
            </w:r>
            <w:proofErr w:type="spellEnd"/>
            <w:r>
              <w:rPr>
                <w:rFonts w:eastAsia="Times New Roman"/>
                <w:sz w:val="16"/>
                <w:szCs w:val="16"/>
                <w:lang w:val="en-GB" w:eastAsia="en-GB"/>
              </w:rPr>
              <w:t xml:space="preserve"> gravida was a recruitment criterion for ROLO.</w:t>
            </w:r>
          </w:p>
          <w:p w14:paraId="4EF95163" w14:textId="0B086235" w:rsidR="00F021B0" w:rsidRDefault="00F021B0">
            <w:pPr>
              <w:spacing w:line="276" w:lineRule="auto"/>
              <w:jc w:val="both"/>
              <w:rPr>
                <w:rFonts w:eastAsia="Times New Roman"/>
                <w:sz w:val="16"/>
                <w:szCs w:val="16"/>
                <w:lang w:val="en-GB" w:eastAsia="en-GB"/>
              </w:rPr>
            </w:pPr>
            <w:proofErr w:type="spellStart"/>
            <w:r>
              <w:rPr>
                <w:rFonts w:eastAsia="Times New Roman"/>
                <w:sz w:val="16"/>
                <w:szCs w:val="16"/>
                <w:vertAlign w:val="superscript"/>
                <w:lang w:val="en-GB" w:eastAsia="en-GB"/>
              </w:rPr>
              <w:t>b</w:t>
            </w:r>
            <w:r>
              <w:rPr>
                <w:rFonts w:eastAsia="Times New Roman"/>
                <w:sz w:val="16"/>
                <w:szCs w:val="16"/>
                <w:lang w:val="en-GB" w:eastAsia="en-GB"/>
              </w:rPr>
              <w:t>For</w:t>
            </w:r>
            <w:proofErr w:type="spellEnd"/>
            <w:r>
              <w:rPr>
                <w:rFonts w:eastAsia="Times New Roman"/>
                <w:sz w:val="16"/>
                <w:szCs w:val="16"/>
                <w:lang w:val="en-GB" w:eastAsia="en-GB"/>
              </w:rPr>
              <w:t xml:space="preserve"> EDEN, maternal ethnicity was proxied by place of birth using the question “Are you born in Europe? Outside Europe?</w:t>
            </w:r>
            <w:proofErr w:type="gramStart"/>
            <w:r>
              <w:rPr>
                <w:rFonts w:eastAsia="Times New Roman"/>
                <w:sz w:val="16"/>
                <w:szCs w:val="16"/>
                <w:lang w:val="en-GB" w:eastAsia="en-GB"/>
              </w:rPr>
              <w:t>”, because</w:t>
            </w:r>
            <w:proofErr w:type="gramEnd"/>
            <w:r>
              <w:rPr>
                <w:rFonts w:eastAsia="Times New Roman"/>
                <w:sz w:val="16"/>
                <w:szCs w:val="16"/>
                <w:lang w:val="en-GB" w:eastAsia="en-GB"/>
              </w:rPr>
              <w:t xml:space="preserve"> specific question on ethnicity was not allowed. </w:t>
            </w:r>
          </w:p>
          <w:p w14:paraId="4DB41D41" w14:textId="77777777" w:rsidR="00F021B0" w:rsidRDefault="00F021B0">
            <w:pPr>
              <w:spacing w:line="276" w:lineRule="auto"/>
              <w:jc w:val="both"/>
              <w:rPr>
                <w:rFonts w:eastAsia="Times New Roman"/>
                <w:sz w:val="16"/>
                <w:szCs w:val="16"/>
                <w:lang w:val="en-GB" w:eastAsia="en-GB"/>
              </w:rPr>
            </w:pPr>
            <w:proofErr w:type="spellStart"/>
            <w:proofErr w:type="gramStart"/>
            <w:r>
              <w:rPr>
                <w:rFonts w:eastAsia="Times New Roman"/>
                <w:sz w:val="16"/>
                <w:szCs w:val="16"/>
                <w:vertAlign w:val="superscript"/>
                <w:lang w:val="en-GB" w:eastAsia="en-GB"/>
              </w:rPr>
              <w:t>c</w:t>
            </w:r>
            <w:r>
              <w:rPr>
                <w:rFonts w:eastAsia="Times New Roman"/>
                <w:sz w:val="16"/>
                <w:szCs w:val="16"/>
                <w:lang w:val="en-GB" w:eastAsia="en-GB"/>
              </w:rPr>
              <w:t>“</w:t>
            </w:r>
            <w:proofErr w:type="gramEnd"/>
            <w:r>
              <w:rPr>
                <w:rFonts w:eastAsia="Times New Roman"/>
                <w:sz w:val="16"/>
                <w:szCs w:val="16"/>
                <w:lang w:val="en-GB" w:eastAsia="en-GB"/>
              </w:rPr>
              <w:t>White</w:t>
            </w:r>
            <w:proofErr w:type="spellEnd"/>
            <w:r>
              <w:rPr>
                <w:rFonts w:eastAsia="Times New Roman"/>
                <w:sz w:val="16"/>
                <w:szCs w:val="16"/>
                <w:lang w:val="en-GB" w:eastAsia="en-GB"/>
              </w:rPr>
              <w:t xml:space="preserve"> Irish” and “European white” were recruitment criteria for Lifeways and REPRO_PL, respectively.</w:t>
            </w:r>
          </w:p>
          <w:p w14:paraId="11D31BBC" w14:textId="77777777" w:rsidR="00F021B0" w:rsidRDefault="00F021B0">
            <w:pPr>
              <w:spacing w:line="276" w:lineRule="auto"/>
              <w:jc w:val="both"/>
              <w:rPr>
                <w:rFonts w:eastAsia="Times New Roman"/>
                <w:sz w:val="18"/>
                <w:szCs w:val="18"/>
                <w:lang w:val="en-GB" w:eastAsia="en-GB"/>
              </w:rPr>
            </w:pPr>
            <w:proofErr w:type="spellStart"/>
            <w:r>
              <w:rPr>
                <w:rFonts w:eastAsia="Times New Roman"/>
                <w:sz w:val="16"/>
                <w:szCs w:val="16"/>
                <w:vertAlign w:val="superscript"/>
                <w:lang w:val="en-GB" w:eastAsia="en-GB"/>
              </w:rPr>
              <w:t>d</w:t>
            </w:r>
            <w:r>
              <w:rPr>
                <w:rFonts w:eastAsia="Times New Roman"/>
                <w:sz w:val="16"/>
                <w:szCs w:val="16"/>
                <w:lang w:val="en-GB" w:eastAsia="en-GB"/>
              </w:rPr>
              <w:t>Weight</w:t>
            </w:r>
            <w:proofErr w:type="spellEnd"/>
            <w:r>
              <w:rPr>
                <w:rFonts w:eastAsia="Times New Roman"/>
                <w:sz w:val="16"/>
                <w:szCs w:val="16"/>
                <w:lang w:val="en-GB" w:eastAsia="en-GB"/>
              </w:rPr>
              <w:t xml:space="preserve"> measured or reported at inclusion or during early pregnancy follow-up has been used, when available, to impute missing values: EDEN: 9 cases (Gestational age (GA)= 12.6 ± 1.1 [mean ± </w:t>
            </w:r>
            <w:proofErr w:type="spellStart"/>
            <w:r>
              <w:rPr>
                <w:rFonts w:eastAsia="Times New Roman"/>
                <w:sz w:val="16"/>
                <w:szCs w:val="16"/>
                <w:lang w:val="en-GB" w:eastAsia="en-GB"/>
              </w:rPr>
              <w:t>sd</w:t>
            </w:r>
            <w:proofErr w:type="spellEnd"/>
            <w:r>
              <w:rPr>
                <w:rFonts w:eastAsia="Times New Roman"/>
                <w:sz w:val="16"/>
                <w:szCs w:val="16"/>
                <w:lang w:val="en-GB" w:eastAsia="en-GB"/>
              </w:rPr>
              <w:t>]), Generation R: 575 cases (GA= 14.1 ± 1.6), REPRO_PL: 5 cases (GA= 10.3 ± 1.7), ROLO: 629 cases (all the sample) (GA= 12.8 ± 2.3), SWS: 8 cases (GA= 12.2 ± 1.1).</w:t>
            </w:r>
          </w:p>
        </w:tc>
      </w:tr>
    </w:tbl>
    <w:p w14:paraId="0AC69CD8" w14:textId="77777777" w:rsidR="00F021B0" w:rsidRDefault="00F021B0" w:rsidP="00F021B0">
      <w:pPr>
        <w:spacing w:line="276" w:lineRule="auto"/>
        <w:jc w:val="left"/>
        <w:rPr>
          <w:sz w:val="24"/>
          <w:szCs w:val="24"/>
        </w:rPr>
        <w:sectPr w:rsidR="00F021B0" w:rsidSect="003C4937">
          <w:pgSz w:w="16838" w:h="11906" w:orient="landscape"/>
          <w:pgMar w:top="1417" w:right="1417" w:bottom="1417" w:left="1417" w:header="708" w:footer="708" w:gutter="0"/>
          <w:cols w:space="720"/>
        </w:sectPr>
      </w:pPr>
    </w:p>
    <w:p w14:paraId="007BC13F" w14:textId="77777777" w:rsidR="00F021B0" w:rsidRDefault="00F021B0" w:rsidP="00F021B0">
      <w:pPr>
        <w:spacing w:after="200" w:line="276" w:lineRule="auto"/>
        <w:jc w:val="left"/>
        <w:rPr>
          <w:lang w:val="en-GB"/>
        </w:rPr>
      </w:pPr>
    </w:p>
    <w:tbl>
      <w:tblPr>
        <w:tblStyle w:val="TableGrid"/>
        <w:tblW w:w="0" w:type="auto"/>
        <w:tblBorders>
          <w:top w:val="none" w:sz="0" w:space="0" w:color="auto"/>
          <w:left w:val="none" w:sz="0" w:space="0" w:color="auto"/>
          <w:bottom w:val="none" w:sz="0" w:space="0" w:color="auto"/>
          <w:right w:val="none" w:sz="0" w:space="0" w:color="auto"/>
        </w:tblBorders>
        <w:tblCellMar>
          <w:left w:w="28" w:type="dxa"/>
          <w:right w:w="28" w:type="dxa"/>
        </w:tblCellMar>
        <w:tblLook w:val="04A0" w:firstRow="1" w:lastRow="0" w:firstColumn="1" w:lastColumn="0" w:noHBand="0" w:noVBand="1"/>
      </w:tblPr>
      <w:tblGrid>
        <w:gridCol w:w="9062"/>
      </w:tblGrid>
      <w:tr w:rsidR="00F021B0" w14:paraId="7C90D5BF" w14:textId="77777777" w:rsidTr="00C814BE">
        <w:tc>
          <w:tcPr>
            <w:tcW w:w="9062" w:type="dxa"/>
            <w:tcBorders>
              <w:top w:val="nil"/>
              <w:left w:val="nil"/>
              <w:bottom w:val="single" w:sz="4" w:space="0" w:color="auto"/>
              <w:right w:val="nil"/>
            </w:tcBorders>
          </w:tcPr>
          <w:p w14:paraId="26B138E6" w14:textId="77777777" w:rsidR="00F021B0" w:rsidRDefault="00F021B0">
            <w:pPr>
              <w:spacing w:line="276" w:lineRule="auto"/>
              <w:jc w:val="both"/>
              <w:rPr>
                <w:lang w:val="en-GB"/>
              </w:rPr>
            </w:pPr>
            <w:r>
              <w:rPr>
                <w:b/>
                <w:color w:val="0070C0"/>
                <w:lang w:val="en-GB"/>
              </w:rPr>
              <w:t xml:space="preserve">Figure 1. </w:t>
            </w:r>
            <w:r>
              <w:rPr>
                <w:lang w:val="en-GB"/>
              </w:rPr>
              <w:t>Forest plot of Spearman’s correlation coefficients between DASH and E-DII scores by cohort and period in ALPHABET.</w:t>
            </w:r>
          </w:p>
          <w:p w14:paraId="77E08D12" w14:textId="77777777" w:rsidR="00F021B0" w:rsidRDefault="00F021B0">
            <w:pPr>
              <w:spacing w:line="276" w:lineRule="auto"/>
              <w:jc w:val="both"/>
              <w:rPr>
                <w:sz w:val="12"/>
                <w:szCs w:val="12"/>
                <w:lang w:val="en-GB"/>
              </w:rPr>
            </w:pPr>
          </w:p>
        </w:tc>
      </w:tr>
      <w:tr w:rsidR="00F021B0" w14:paraId="4CB1F427" w14:textId="77777777" w:rsidTr="00C814BE">
        <w:tc>
          <w:tcPr>
            <w:tcW w:w="9062" w:type="dxa"/>
            <w:tcBorders>
              <w:top w:val="single" w:sz="4" w:space="0" w:color="auto"/>
              <w:left w:val="nil"/>
              <w:bottom w:val="single" w:sz="4" w:space="0" w:color="auto"/>
              <w:right w:val="nil"/>
            </w:tcBorders>
            <w:hideMark/>
          </w:tcPr>
          <w:p w14:paraId="5B64FFB0" w14:textId="3CA967B6" w:rsidR="00F021B0" w:rsidRDefault="00C814BE">
            <w:pPr>
              <w:spacing w:after="200" w:line="276" w:lineRule="auto"/>
              <w:jc w:val="left"/>
              <w:rPr>
                <w:lang w:val="en-GB"/>
              </w:rPr>
            </w:pPr>
            <w:r>
              <w:rPr>
                <w:b/>
                <w:noProof/>
                <w:color w:val="0070C0"/>
                <w:lang w:val="en-GB" w:eastAsia="en-GB"/>
              </w:rPr>
              <w:drawing>
                <wp:inline distT="0" distB="0" distL="0" distR="0" wp14:anchorId="49FC78C0" wp14:editId="624CB5E8">
                  <wp:extent cx="5584781" cy="3767559"/>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 2 - Scorr_vfinale.png"/>
                          <pic:cNvPicPr/>
                        </pic:nvPicPr>
                        <pic:blipFill rotWithShape="1">
                          <a:blip r:embed="rId32">
                            <a:extLst>
                              <a:ext uri="{28A0092B-C50C-407E-A947-70E740481C1C}">
                                <a14:useLocalDpi xmlns:a14="http://schemas.microsoft.com/office/drawing/2010/main" val="0"/>
                              </a:ext>
                            </a:extLst>
                          </a:blip>
                          <a:srcRect t="3135" b="4109"/>
                          <a:stretch/>
                        </pic:blipFill>
                        <pic:spPr bwMode="auto">
                          <a:xfrm>
                            <a:off x="0" y="0"/>
                            <a:ext cx="5586078" cy="3768434"/>
                          </a:xfrm>
                          <a:prstGeom prst="rect">
                            <a:avLst/>
                          </a:prstGeom>
                          <a:ln>
                            <a:noFill/>
                          </a:ln>
                          <a:extLst>
                            <a:ext uri="{53640926-AAD7-44D8-BBD7-CCE9431645EC}">
                              <a14:shadowObscured xmlns:a14="http://schemas.microsoft.com/office/drawing/2010/main"/>
                            </a:ext>
                          </a:extLst>
                        </pic:spPr>
                      </pic:pic>
                    </a:graphicData>
                  </a:graphic>
                </wp:inline>
              </w:drawing>
            </w:r>
          </w:p>
        </w:tc>
      </w:tr>
      <w:tr w:rsidR="00F021B0" w14:paraId="5EC3DE01" w14:textId="77777777" w:rsidTr="00C814BE">
        <w:tc>
          <w:tcPr>
            <w:tcW w:w="9062" w:type="dxa"/>
            <w:tcBorders>
              <w:top w:val="single" w:sz="4" w:space="0" w:color="auto"/>
              <w:left w:val="nil"/>
              <w:bottom w:val="nil"/>
              <w:right w:val="nil"/>
            </w:tcBorders>
            <w:hideMark/>
          </w:tcPr>
          <w:p w14:paraId="1C38936D" w14:textId="77777777" w:rsidR="00045978" w:rsidRDefault="00045978" w:rsidP="00045978">
            <w:pPr>
              <w:spacing w:line="276" w:lineRule="auto"/>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61F0679D" w14:textId="0C14FCF2" w:rsidR="00F021B0" w:rsidRDefault="007C24E0" w:rsidP="00045978">
            <w:pPr>
              <w:spacing w:line="276" w:lineRule="auto"/>
              <w:jc w:val="both"/>
              <w:rPr>
                <w:rFonts w:eastAsia="Times New Roman"/>
                <w:color w:val="000000"/>
                <w:sz w:val="16"/>
                <w:szCs w:val="16"/>
                <w:lang w:val="en-GB" w:eastAsia="fr-FR"/>
              </w:rPr>
            </w:pPr>
            <w:r>
              <w:rPr>
                <w:noProof/>
                <w:sz w:val="16"/>
                <w:szCs w:val="16"/>
                <w:lang w:val="en-GB" w:eastAsia="en-GB"/>
              </w:rPr>
              <w:t>Mean</w:t>
            </w:r>
            <w:r w:rsidR="00F021B0">
              <w:rPr>
                <w:rFonts w:eastAsia="Times New Roman"/>
                <w:color w:val="000000"/>
                <w:sz w:val="16"/>
                <w:szCs w:val="16"/>
                <w:lang w:val="en-GB" w:eastAsia="fr-FR"/>
              </w:rPr>
              <w:t xml:space="preserve"> score of </w:t>
            </w:r>
            <w:r>
              <w:rPr>
                <w:rFonts w:eastAsia="Times New Roman"/>
                <w:color w:val="000000"/>
                <w:sz w:val="16"/>
                <w:szCs w:val="16"/>
                <w:lang w:val="en-GB" w:eastAsia="fr-FR"/>
              </w:rPr>
              <w:t>early pregnancy</w:t>
            </w:r>
            <w:r w:rsidR="00F021B0">
              <w:rPr>
                <w:rFonts w:eastAsia="Times New Roman"/>
                <w:color w:val="000000"/>
                <w:sz w:val="16"/>
                <w:szCs w:val="16"/>
                <w:lang w:val="en-GB" w:eastAsia="fr-FR"/>
              </w:rPr>
              <w:t xml:space="preserve"> and </w:t>
            </w:r>
            <w:r>
              <w:rPr>
                <w:rFonts w:eastAsia="Times New Roman"/>
                <w:color w:val="000000"/>
                <w:sz w:val="16"/>
                <w:szCs w:val="16"/>
                <w:lang w:val="en-GB" w:eastAsia="fr-FR"/>
              </w:rPr>
              <w:t>late pregnancy</w:t>
            </w:r>
            <w:r w:rsidR="00F021B0">
              <w:rPr>
                <w:rFonts w:eastAsia="Times New Roman"/>
                <w:color w:val="000000"/>
                <w:sz w:val="16"/>
                <w:szCs w:val="16"/>
                <w:lang w:val="en-GB" w:eastAsia="fr-FR"/>
              </w:rPr>
              <w:t xml:space="preserve"> when both available for SWS.</w:t>
            </w:r>
          </w:p>
        </w:tc>
      </w:tr>
    </w:tbl>
    <w:p w14:paraId="1B28C2C1" w14:textId="77777777" w:rsidR="00F021B0" w:rsidRDefault="00F021B0" w:rsidP="00F021B0">
      <w:pPr>
        <w:spacing w:after="200" w:line="276" w:lineRule="auto"/>
        <w:jc w:val="left"/>
        <w:rPr>
          <w:lang w:val="en-GB"/>
        </w:rPr>
      </w:pPr>
    </w:p>
    <w:p w14:paraId="05C4194B" w14:textId="59C5F6D9" w:rsidR="00F021B0" w:rsidRDefault="00F021B0" w:rsidP="00F021B0">
      <w:pPr>
        <w:spacing w:after="200" w:line="276" w:lineRule="auto"/>
        <w:jc w:val="left"/>
        <w:rPr>
          <w:b/>
          <w:color w:val="0070C0"/>
          <w:lang w:val="en-GB"/>
        </w:rPr>
      </w:pPr>
    </w:p>
    <w:p w14:paraId="4F0B080B" w14:textId="77777777" w:rsidR="00F021B0" w:rsidRDefault="00F021B0" w:rsidP="00F021B0">
      <w:pPr>
        <w:spacing w:after="200" w:line="276" w:lineRule="auto"/>
        <w:jc w:val="left"/>
        <w:rPr>
          <w:b/>
          <w:color w:val="0070C0"/>
          <w:lang w:val="en-GB"/>
        </w:rPr>
      </w:pPr>
    </w:p>
    <w:p w14:paraId="754077DE" w14:textId="77777777" w:rsidR="00F021B0" w:rsidRDefault="00F021B0" w:rsidP="00F021B0">
      <w:pPr>
        <w:spacing w:line="276" w:lineRule="auto"/>
        <w:jc w:val="left"/>
        <w:rPr>
          <w:b/>
          <w:color w:val="0070C0"/>
          <w:lang w:val="en-GB"/>
        </w:rPr>
        <w:sectPr w:rsidR="00F021B0" w:rsidSect="003C4937">
          <w:pgSz w:w="11906" w:h="16838"/>
          <w:pgMar w:top="1417" w:right="1417" w:bottom="1417" w:left="1417" w:header="708" w:footer="708" w:gutter="0"/>
          <w:cols w:space="720"/>
        </w:sectPr>
      </w:pPr>
    </w:p>
    <w:tbl>
      <w:tblPr>
        <w:tblStyle w:val="TableGrid"/>
        <w:tblW w:w="14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636"/>
        <w:gridCol w:w="2887"/>
        <w:gridCol w:w="709"/>
        <w:gridCol w:w="1134"/>
        <w:gridCol w:w="850"/>
        <w:gridCol w:w="694"/>
        <w:gridCol w:w="2755"/>
        <w:gridCol w:w="378"/>
        <w:gridCol w:w="1221"/>
        <w:gridCol w:w="1111"/>
      </w:tblGrid>
      <w:tr w:rsidR="00F021B0" w14:paraId="47959680" w14:textId="77777777" w:rsidTr="00F021B0">
        <w:tc>
          <w:tcPr>
            <w:tcW w:w="14345" w:type="dxa"/>
            <w:gridSpan w:val="10"/>
            <w:tcBorders>
              <w:top w:val="nil"/>
              <w:left w:val="nil"/>
              <w:bottom w:val="single" w:sz="4" w:space="0" w:color="auto"/>
              <w:right w:val="nil"/>
            </w:tcBorders>
            <w:hideMark/>
          </w:tcPr>
          <w:p w14:paraId="454372BD" w14:textId="576157DF" w:rsidR="00F021B0" w:rsidRDefault="00F021B0">
            <w:pPr>
              <w:spacing w:line="276" w:lineRule="auto"/>
              <w:jc w:val="both"/>
              <w:rPr>
                <w:sz w:val="18"/>
                <w:szCs w:val="18"/>
                <w:lang w:val="en-GB"/>
              </w:rPr>
            </w:pPr>
            <w:r>
              <w:rPr>
                <w:b/>
                <w:color w:val="0070C0"/>
                <w:sz w:val="18"/>
                <w:szCs w:val="18"/>
                <w:lang w:val="en-GB"/>
              </w:rPr>
              <w:lastRenderedPageBreak/>
              <w:t xml:space="preserve">Figure 2A. </w:t>
            </w:r>
            <w:r>
              <w:rPr>
                <w:sz w:val="18"/>
                <w:szCs w:val="18"/>
                <w:lang w:val="en-GB"/>
              </w:rPr>
              <w:t>A</w:t>
            </w:r>
            <w:r w:rsidR="00520220">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age (</w:t>
            </w:r>
            <w:r w:rsidR="003031FE">
              <w:rPr>
                <w:sz w:val="18"/>
                <w:szCs w:val="18"/>
                <w:lang w:val="en-GB"/>
              </w:rPr>
              <w:t xml:space="preserve">in </w:t>
            </w:r>
            <w:r>
              <w:rPr>
                <w:sz w:val="18"/>
                <w:szCs w:val="18"/>
                <w:lang w:val="en-GB"/>
              </w:rPr>
              <w:t>year</w:t>
            </w:r>
            <w:r w:rsidR="00271E61">
              <w:rPr>
                <w:sz w:val="18"/>
                <w:szCs w:val="18"/>
                <w:lang w:val="en-GB"/>
              </w:rPr>
              <w:t>s</w:t>
            </w:r>
            <w:r>
              <w:rPr>
                <w:sz w:val="18"/>
                <w:szCs w:val="18"/>
                <w:lang w:val="en-GB"/>
              </w:rPr>
              <w:t xml:space="preserve">)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3031FE">
              <w:rPr>
                <w:sz w:val="18"/>
                <w:szCs w:val="18"/>
                <w:lang w:val="en-GB"/>
              </w:rPr>
              <w:t xml:space="preserve"> and dietary inflammat</w:t>
            </w:r>
            <w:r w:rsidR="00CB1DE6">
              <w:rPr>
                <w:sz w:val="18"/>
                <w:szCs w:val="18"/>
                <w:lang w:val="en-GB"/>
              </w:rPr>
              <w:t>ory potential</w:t>
            </w:r>
            <w:r w:rsidR="003031FE">
              <w:rPr>
                <w:sz w:val="18"/>
                <w:szCs w:val="18"/>
                <w:lang w:val="en-GB"/>
              </w:rPr>
              <w:t>.</w:t>
            </w:r>
          </w:p>
        </w:tc>
      </w:tr>
      <w:tr w:rsidR="00F021B0" w14:paraId="3DE2D398" w14:textId="77777777" w:rsidTr="00F021B0">
        <w:trPr>
          <w:trHeight w:val="113"/>
        </w:trPr>
        <w:tc>
          <w:tcPr>
            <w:tcW w:w="2636" w:type="dxa"/>
            <w:tcBorders>
              <w:top w:val="single" w:sz="4" w:space="0" w:color="auto"/>
              <w:left w:val="nil"/>
              <w:bottom w:val="single" w:sz="4" w:space="0" w:color="auto"/>
              <w:right w:val="nil"/>
            </w:tcBorders>
            <w:vAlign w:val="bottom"/>
            <w:hideMark/>
          </w:tcPr>
          <w:p w14:paraId="50BB7E2C" w14:textId="77777777" w:rsidR="00F021B0" w:rsidRDefault="00F021B0">
            <w:pPr>
              <w:jc w:val="left"/>
              <w:rPr>
                <w:rFonts w:ascii="Arial" w:hAnsi="Arial" w:cs="Arial"/>
                <w:sz w:val="12"/>
                <w:szCs w:val="12"/>
              </w:rPr>
            </w:pPr>
            <w:r>
              <w:rPr>
                <w:rFonts w:ascii="Arial" w:hAnsi="Arial" w:cs="Arial"/>
                <w:b/>
                <w:sz w:val="12"/>
                <w:szCs w:val="12"/>
              </w:rPr>
              <w:t>Cohorts</w:t>
            </w:r>
          </w:p>
        </w:tc>
        <w:tc>
          <w:tcPr>
            <w:tcW w:w="2887" w:type="dxa"/>
            <w:tcBorders>
              <w:top w:val="single" w:sz="4" w:space="0" w:color="auto"/>
              <w:left w:val="nil"/>
              <w:bottom w:val="single" w:sz="4" w:space="0" w:color="auto"/>
              <w:right w:val="nil"/>
            </w:tcBorders>
            <w:vAlign w:val="bottom"/>
            <w:hideMark/>
          </w:tcPr>
          <w:p w14:paraId="43E43760" w14:textId="77777777" w:rsidR="00F021B0" w:rsidRDefault="00F021B0">
            <w:pPr>
              <w:rPr>
                <w:rFonts w:ascii="Arial" w:hAnsi="Arial" w:cs="Arial"/>
                <w:b/>
                <w:sz w:val="12"/>
                <w:szCs w:val="12"/>
              </w:rPr>
            </w:pPr>
            <w:r>
              <w:rPr>
                <w:rFonts w:ascii="Arial" w:hAnsi="Arial" w:cs="Arial"/>
                <w:b/>
                <w:sz w:val="12"/>
                <w:szCs w:val="12"/>
              </w:rPr>
              <w:t>DASH score</w:t>
            </w:r>
          </w:p>
        </w:tc>
        <w:tc>
          <w:tcPr>
            <w:tcW w:w="709" w:type="dxa"/>
            <w:tcBorders>
              <w:top w:val="single" w:sz="4" w:space="0" w:color="auto"/>
              <w:left w:val="nil"/>
              <w:bottom w:val="single" w:sz="4" w:space="0" w:color="auto"/>
              <w:right w:val="nil"/>
            </w:tcBorders>
          </w:tcPr>
          <w:p w14:paraId="252D2C1A"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5101AD32" w14:textId="77777777" w:rsidR="00F021B0" w:rsidRDefault="00F021B0">
            <w:pPr>
              <w:rPr>
                <w:rFonts w:ascii="Arial" w:hAnsi="Arial" w:cs="Arial"/>
                <w:b/>
                <w:sz w:val="12"/>
                <w:szCs w:val="12"/>
              </w:rPr>
            </w:pPr>
            <w:r>
              <w:rPr>
                <w:rFonts w:ascii="Arial" w:hAnsi="Arial" w:cs="Arial"/>
                <w:b/>
                <w:sz w:val="12"/>
                <w:szCs w:val="12"/>
              </w:rPr>
              <w:t>β (95% CI)</w:t>
            </w:r>
          </w:p>
        </w:tc>
        <w:tc>
          <w:tcPr>
            <w:tcW w:w="850" w:type="dxa"/>
            <w:tcBorders>
              <w:top w:val="single" w:sz="4" w:space="0" w:color="auto"/>
              <w:left w:val="nil"/>
              <w:bottom w:val="single" w:sz="4" w:space="0" w:color="auto"/>
              <w:right w:val="nil"/>
            </w:tcBorders>
            <w:vAlign w:val="bottom"/>
            <w:hideMark/>
          </w:tcPr>
          <w:p w14:paraId="485E4981" w14:textId="77777777" w:rsidR="00F021B0" w:rsidRDefault="00F021B0">
            <w:pPr>
              <w:jc w:val="right"/>
              <w:rPr>
                <w:rFonts w:ascii="Arial" w:hAnsi="Arial" w:cs="Arial"/>
                <w:b/>
                <w:sz w:val="12"/>
                <w:szCs w:val="12"/>
              </w:rPr>
            </w:pPr>
            <w:r>
              <w:rPr>
                <w:rFonts w:ascii="Arial" w:hAnsi="Arial" w:cs="Arial"/>
                <w:b/>
                <w:sz w:val="12"/>
                <w:szCs w:val="12"/>
              </w:rPr>
              <w:t>Weight (%)</w:t>
            </w:r>
          </w:p>
        </w:tc>
        <w:tc>
          <w:tcPr>
            <w:tcW w:w="774" w:type="dxa"/>
            <w:tcBorders>
              <w:top w:val="single" w:sz="4" w:space="0" w:color="auto"/>
              <w:left w:val="nil"/>
              <w:bottom w:val="single" w:sz="4" w:space="0" w:color="auto"/>
              <w:right w:val="nil"/>
            </w:tcBorders>
          </w:tcPr>
          <w:p w14:paraId="6436BABE" w14:textId="77777777" w:rsidR="00F021B0" w:rsidRDefault="00F021B0">
            <w:pPr>
              <w:rPr>
                <w:sz w:val="12"/>
                <w:szCs w:val="12"/>
              </w:rPr>
            </w:pPr>
          </w:p>
        </w:tc>
        <w:tc>
          <w:tcPr>
            <w:tcW w:w="2944" w:type="dxa"/>
            <w:tcBorders>
              <w:top w:val="single" w:sz="4" w:space="0" w:color="auto"/>
              <w:left w:val="nil"/>
              <w:bottom w:val="single" w:sz="4" w:space="0" w:color="auto"/>
              <w:right w:val="nil"/>
            </w:tcBorders>
            <w:vAlign w:val="bottom"/>
            <w:hideMark/>
          </w:tcPr>
          <w:p w14:paraId="22A705E8" w14:textId="77777777" w:rsidR="00F021B0" w:rsidRDefault="00F021B0">
            <w:pPr>
              <w:rPr>
                <w:rFonts w:ascii="Arial" w:hAnsi="Arial" w:cs="Arial"/>
                <w:b/>
                <w:sz w:val="12"/>
                <w:szCs w:val="12"/>
              </w:rPr>
            </w:pPr>
            <w:r>
              <w:rPr>
                <w:rFonts w:ascii="Arial" w:hAnsi="Arial" w:cs="Arial"/>
                <w:b/>
                <w:sz w:val="12"/>
                <w:szCs w:val="12"/>
              </w:rPr>
              <w:t>E-DII score</w:t>
            </w:r>
          </w:p>
        </w:tc>
        <w:tc>
          <w:tcPr>
            <w:tcW w:w="394" w:type="dxa"/>
            <w:tcBorders>
              <w:top w:val="single" w:sz="4" w:space="0" w:color="auto"/>
              <w:left w:val="nil"/>
              <w:bottom w:val="single" w:sz="4" w:space="0" w:color="auto"/>
              <w:right w:val="nil"/>
            </w:tcBorders>
          </w:tcPr>
          <w:p w14:paraId="7C9A6AEC"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4B04D12D" w14:textId="77777777" w:rsidR="00F021B0" w:rsidRDefault="00F021B0">
            <w:pPr>
              <w:rPr>
                <w:rFonts w:ascii="Arial" w:hAnsi="Arial" w:cs="Arial"/>
                <w:b/>
                <w:sz w:val="12"/>
                <w:szCs w:val="12"/>
              </w:rPr>
            </w:pPr>
            <w:r>
              <w:rPr>
                <w:rFonts w:ascii="Arial" w:hAnsi="Arial" w:cs="Arial"/>
                <w:b/>
                <w:sz w:val="12"/>
                <w:szCs w:val="12"/>
              </w:rPr>
              <w:t>β (95% CI)</w:t>
            </w:r>
          </w:p>
        </w:tc>
        <w:tc>
          <w:tcPr>
            <w:tcW w:w="883" w:type="dxa"/>
            <w:tcBorders>
              <w:top w:val="single" w:sz="4" w:space="0" w:color="auto"/>
              <w:left w:val="nil"/>
              <w:bottom w:val="single" w:sz="4" w:space="0" w:color="auto"/>
              <w:right w:val="nil"/>
            </w:tcBorders>
            <w:vAlign w:val="bottom"/>
            <w:hideMark/>
          </w:tcPr>
          <w:p w14:paraId="12D9857D"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6103B85C" w14:textId="77777777" w:rsidTr="00F021B0">
        <w:trPr>
          <w:trHeight w:val="3515"/>
        </w:trPr>
        <w:tc>
          <w:tcPr>
            <w:tcW w:w="8216" w:type="dxa"/>
            <w:gridSpan w:val="5"/>
            <w:tcBorders>
              <w:top w:val="single" w:sz="4" w:space="0" w:color="auto"/>
              <w:left w:val="nil"/>
              <w:bottom w:val="single" w:sz="4" w:space="0" w:color="auto"/>
              <w:right w:val="nil"/>
            </w:tcBorders>
            <w:hideMark/>
          </w:tcPr>
          <w:p w14:paraId="41DC3720" w14:textId="77777777" w:rsidR="00F021B0" w:rsidRDefault="00F021B0">
            <w:pPr>
              <w:tabs>
                <w:tab w:val="left" w:pos="1482"/>
              </w:tabs>
            </w:pPr>
            <w:r>
              <w:rPr>
                <w:noProof/>
                <w:lang w:val="en-GB" w:eastAsia="en-GB"/>
              </w:rPr>
              <w:drawing>
                <wp:inline distT="0" distB="0" distL="0" distR="0" wp14:anchorId="12546A62" wp14:editId="4B81F5C9">
                  <wp:extent cx="5175885" cy="2225675"/>
                  <wp:effectExtent l="0" t="0" r="571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3" cstate="print">
                            <a:extLst>
                              <a:ext uri="{28A0092B-C50C-407E-A947-70E740481C1C}">
                                <a14:useLocalDpi xmlns:a14="http://schemas.microsoft.com/office/drawing/2010/main" val="0"/>
                              </a:ext>
                            </a:extLst>
                          </a:blip>
                          <a:srcRect l="3435" t="25037" r="3667" b="19894"/>
                          <a:stretch>
                            <a:fillRect/>
                          </a:stretch>
                        </pic:blipFill>
                        <pic:spPr bwMode="auto">
                          <a:xfrm>
                            <a:off x="0" y="0"/>
                            <a:ext cx="5175885" cy="2225675"/>
                          </a:xfrm>
                          <a:prstGeom prst="rect">
                            <a:avLst/>
                          </a:prstGeom>
                          <a:noFill/>
                          <a:ln>
                            <a:noFill/>
                          </a:ln>
                        </pic:spPr>
                      </pic:pic>
                    </a:graphicData>
                  </a:graphic>
                </wp:inline>
              </w:drawing>
            </w:r>
          </w:p>
        </w:tc>
        <w:tc>
          <w:tcPr>
            <w:tcW w:w="6129" w:type="dxa"/>
            <w:gridSpan w:val="5"/>
            <w:tcBorders>
              <w:top w:val="single" w:sz="4" w:space="0" w:color="auto"/>
              <w:left w:val="nil"/>
              <w:bottom w:val="single" w:sz="4" w:space="0" w:color="auto"/>
              <w:right w:val="nil"/>
            </w:tcBorders>
            <w:hideMark/>
          </w:tcPr>
          <w:p w14:paraId="383B9659" w14:textId="77777777" w:rsidR="00F021B0" w:rsidRDefault="00F021B0">
            <w:r>
              <w:rPr>
                <w:noProof/>
                <w:color w:val="0070C0"/>
                <w:lang w:val="en-GB" w:eastAsia="en-GB"/>
              </w:rPr>
              <w:drawing>
                <wp:inline distT="0" distB="0" distL="0" distR="0" wp14:anchorId="53BF0519" wp14:editId="62336B31">
                  <wp:extent cx="3875593" cy="2232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4" cstate="print">
                            <a:extLst>
                              <a:ext uri="{28A0092B-C50C-407E-A947-70E740481C1C}">
                                <a14:useLocalDpi xmlns:a14="http://schemas.microsoft.com/office/drawing/2010/main" val="0"/>
                              </a:ext>
                            </a:extLst>
                          </a:blip>
                          <a:srcRect l="27837" t="25049" r="3551" b="20355"/>
                          <a:stretch>
                            <a:fillRect/>
                          </a:stretch>
                        </pic:blipFill>
                        <pic:spPr bwMode="auto">
                          <a:xfrm>
                            <a:off x="0" y="0"/>
                            <a:ext cx="3875593" cy="2232000"/>
                          </a:xfrm>
                          <a:prstGeom prst="rect">
                            <a:avLst/>
                          </a:prstGeom>
                          <a:noFill/>
                          <a:ln>
                            <a:noFill/>
                          </a:ln>
                        </pic:spPr>
                      </pic:pic>
                    </a:graphicData>
                  </a:graphic>
                </wp:inline>
              </w:drawing>
            </w:r>
          </w:p>
        </w:tc>
      </w:tr>
      <w:tr w:rsidR="00F021B0" w14:paraId="1D8B0A8E" w14:textId="77777777" w:rsidTr="001063F8">
        <w:trPr>
          <w:trHeight w:val="1047"/>
        </w:trPr>
        <w:tc>
          <w:tcPr>
            <w:tcW w:w="14345" w:type="dxa"/>
            <w:gridSpan w:val="10"/>
            <w:tcBorders>
              <w:top w:val="single" w:sz="4" w:space="0" w:color="auto"/>
              <w:left w:val="nil"/>
              <w:bottom w:val="nil"/>
              <w:right w:val="nil"/>
            </w:tcBorders>
            <w:vAlign w:val="center"/>
            <w:hideMark/>
          </w:tcPr>
          <w:p w14:paraId="2F8F8EF5" w14:textId="4BC91823" w:rsidR="00520220" w:rsidRDefault="00045978">
            <w:pPr>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66C48E11" w14:textId="48D1F3B6" w:rsidR="00F021B0" w:rsidRDefault="00F021B0" w:rsidP="00527124">
            <w:pPr>
              <w:jc w:val="both"/>
              <w:rPr>
                <w:lang w:val="en-GB"/>
              </w:rPr>
            </w:pPr>
            <w:r>
              <w:rPr>
                <w:rFonts w:eastAsia="Times New Roman"/>
                <w:color w:val="000000"/>
                <w:sz w:val="16"/>
                <w:szCs w:val="16"/>
                <w:lang w:val="en-GB" w:eastAsia="en-GB"/>
              </w:rPr>
              <w:t>Values are standardized regression coefficient</w:t>
            </w:r>
            <w:r w:rsidR="003031FE">
              <w:rPr>
                <w:rFonts w:eastAsia="Times New Roman"/>
                <w:color w:val="000000"/>
                <w:sz w:val="16"/>
                <w:szCs w:val="16"/>
                <w:lang w:val="en-GB" w:eastAsia="en-GB"/>
              </w:rPr>
              <w:t xml:space="preserve">s </w:t>
            </w:r>
            <w:r>
              <w:rPr>
                <w:rFonts w:eastAsia="Times New Roman"/>
                <w:color w:val="000000"/>
                <w:sz w:val="16"/>
                <w:szCs w:val="16"/>
                <w:lang w:val="en-GB" w:eastAsia="en-GB"/>
              </w:rPr>
              <w:t>(β)</w:t>
            </w:r>
            <w:r w:rsidR="00A77D7B">
              <w:rPr>
                <w:rFonts w:eastAsia="Times New Roman"/>
                <w:color w:val="000000"/>
                <w:sz w:val="16"/>
                <w:szCs w:val="16"/>
                <w:lang w:val="en-GB" w:eastAsia="en-GB"/>
              </w:rPr>
              <w:t xml:space="preserve">, </w:t>
            </w:r>
            <w:r>
              <w:rPr>
                <w:rFonts w:eastAsia="Times New Roman"/>
                <w:color w:val="000000"/>
                <w:sz w:val="16"/>
                <w:szCs w:val="16"/>
                <w:lang w:val="en-GB" w:eastAsia="en-GB"/>
              </w:rPr>
              <w:t>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w:t>
            </w:r>
            <w:r w:rsidR="00527124">
              <w:rPr>
                <w:rFonts w:eastAsia="Times New Roman"/>
                <w:color w:val="000000"/>
                <w:sz w:val="16"/>
                <w:szCs w:val="16"/>
                <w:lang w:val="en-GB" w:eastAsia="en-GB"/>
              </w:rPr>
              <w:t xml:space="preserve">. Regression coefficients are expressed as changes in standardized DASH/E-DII scores per 1 year increment in maternal age. </w:t>
            </w:r>
            <w:r w:rsidR="00A77D7B">
              <w:rPr>
                <w:rFonts w:eastAsia="Times New Roman"/>
                <w:color w:val="000000"/>
                <w:sz w:val="16"/>
                <w:szCs w:val="16"/>
                <w:lang w:val="en-GB" w:eastAsia="en-GB"/>
              </w:rPr>
              <w:t xml:space="preserve">Models were </w:t>
            </w:r>
            <w:r>
              <w:rPr>
                <w:rFonts w:eastAsia="Times New Roman"/>
                <w:color w:val="000000"/>
                <w:sz w:val="16"/>
                <w:szCs w:val="16"/>
                <w:lang w:val="en-GB" w:eastAsia="en-GB"/>
              </w:rPr>
              <w:t xml:space="preserve">adjusted </w:t>
            </w:r>
            <w:r w:rsidR="006C324E">
              <w:rPr>
                <w:rFonts w:eastAsia="Times New Roman"/>
                <w:color w:val="000000"/>
                <w:sz w:val="16"/>
                <w:szCs w:val="16"/>
                <w:lang w:val="en-GB" w:eastAsia="en-GB"/>
              </w:rPr>
              <w:t xml:space="preserve">for </w:t>
            </w:r>
            <w:r w:rsidR="00B84030">
              <w:rPr>
                <w:rFonts w:eastAsia="Times New Roman"/>
                <w:color w:val="000000"/>
                <w:sz w:val="16"/>
                <w:szCs w:val="16"/>
                <w:lang w:val="en-GB" w:eastAsia="en-GB"/>
              </w:rPr>
              <w:t xml:space="preserve">only </w:t>
            </w:r>
            <w:r>
              <w:rPr>
                <w:rFonts w:eastAsia="Times New Roman"/>
                <w:color w:val="000000"/>
                <w:sz w:val="16"/>
                <w:szCs w:val="16"/>
                <w:lang w:val="en-GB" w:eastAsia="en-GB"/>
              </w:rPr>
              <w:t xml:space="preserve">the seven </w:t>
            </w:r>
            <w:r w:rsidR="00CB1DE6">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tc>
      </w:tr>
    </w:tbl>
    <w:p w14:paraId="7A209E08" w14:textId="77777777" w:rsidR="00F021B0" w:rsidRDefault="00F021B0" w:rsidP="00F021B0">
      <w:pPr>
        <w:spacing w:line="276" w:lineRule="auto"/>
        <w:jc w:val="left"/>
        <w:rPr>
          <w:b/>
          <w:color w:val="0070C0"/>
          <w:sz w:val="8"/>
          <w:szCs w:val="8"/>
          <w:lang w:val="en-GB"/>
        </w:rPr>
      </w:pPr>
    </w:p>
    <w:p w14:paraId="505B9ECD" w14:textId="77777777" w:rsidR="00F021B0" w:rsidRDefault="00F021B0" w:rsidP="00F021B0">
      <w:pPr>
        <w:spacing w:after="200" w:line="276" w:lineRule="auto"/>
        <w:jc w:val="left"/>
        <w:rPr>
          <w:b/>
          <w:color w:val="0070C0"/>
          <w:sz w:val="8"/>
          <w:szCs w:val="8"/>
          <w:lang w:val="en-GB"/>
        </w:rPr>
      </w:pPr>
      <w:r>
        <w:rPr>
          <w:b/>
          <w:color w:val="0070C0"/>
          <w:sz w:val="8"/>
          <w:szCs w:val="8"/>
          <w:lang w:val="en-GB"/>
        </w:rPr>
        <w:br w:type="page"/>
      </w:r>
    </w:p>
    <w:p w14:paraId="65E80F16" w14:textId="77777777" w:rsidR="00F021B0" w:rsidRDefault="00F021B0" w:rsidP="00F021B0">
      <w:pPr>
        <w:spacing w:line="276" w:lineRule="auto"/>
        <w:jc w:val="left"/>
        <w:rPr>
          <w:b/>
          <w:color w:val="0070C0"/>
          <w:sz w:val="8"/>
          <w:szCs w:val="8"/>
          <w:lang w:val="en-GB"/>
        </w:rPr>
      </w:pPr>
    </w:p>
    <w:tbl>
      <w:tblPr>
        <w:tblStyle w:val="TableGrid"/>
        <w:tblW w:w="1346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512"/>
        <w:gridCol w:w="2160"/>
        <w:gridCol w:w="856"/>
        <w:gridCol w:w="1134"/>
        <w:gridCol w:w="839"/>
        <w:gridCol w:w="579"/>
        <w:gridCol w:w="2551"/>
        <w:gridCol w:w="567"/>
        <w:gridCol w:w="1560"/>
        <w:gridCol w:w="708"/>
      </w:tblGrid>
      <w:tr w:rsidR="00F021B0" w14:paraId="62975272" w14:textId="77777777" w:rsidTr="00F021B0">
        <w:tc>
          <w:tcPr>
            <w:tcW w:w="13466" w:type="dxa"/>
            <w:gridSpan w:val="10"/>
            <w:tcBorders>
              <w:top w:val="nil"/>
              <w:left w:val="nil"/>
              <w:bottom w:val="single" w:sz="4" w:space="0" w:color="auto"/>
              <w:right w:val="nil"/>
            </w:tcBorders>
            <w:hideMark/>
          </w:tcPr>
          <w:p w14:paraId="1297BF6C" w14:textId="59529DC7" w:rsidR="00F021B0" w:rsidRDefault="00F021B0">
            <w:pPr>
              <w:spacing w:line="276" w:lineRule="auto"/>
              <w:jc w:val="both"/>
              <w:rPr>
                <w:sz w:val="18"/>
                <w:szCs w:val="18"/>
                <w:lang w:val="en-GB"/>
              </w:rPr>
            </w:pPr>
            <w:r>
              <w:rPr>
                <w:b/>
                <w:color w:val="0070C0"/>
                <w:sz w:val="18"/>
                <w:szCs w:val="18"/>
                <w:lang w:val="en-GB"/>
              </w:rPr>
              <w:t xml:space="preserve">Figure 2B. </w:t>
            </w:r>
            <w:r>
              <w:rPr>
                <w:sz w:val="18"/>
                <w:szCs w:val="18"/>
                <w:lang w:val="en-GB"/>
              </w:rPr>
              <w:t>A</w:t>
            </w:r>
            <w:r w:rsidR="00EC4DB1">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 xml:space="preserve">educational level (reference = high)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527124">
              <w:rPr>
                <w:sz w:val="18"/>
                <w:szCs w:val="18"/>
                <w:lang w:val="en-GB"/>
              </w:rPr>
              <w:t xml:space="preserve"> and dietary inflammat</w:t>
            </w:r>
            <w:r w:rsidR="00CB1DE6">
              <w:rPr>
                <w:sz w:val="18"/>
                <w:szCs w:val="18"/>
                <w:lang w:val="en-GB"/>
              </w:rPr>
              <w:t>ory potential</w:t>
            </w:r>
            <w:r w:rsidR="00527124">
              <w:rPr>
                <w:sz w:val="18"/>
                <w:szCs w:val="18"/>
                <w:lang w:val="en-GB"/>
              </w:rPr>
              <w:t>.</w:t>
            </w:r>
          </w:p>
        </w:tc>
      </w:tr>
      <w:tr w:rsidR="00F021B0" w14:paraId="1B1DF27C" w14:textId="77777777" w:rsidTr="00F021B0">
        <w:trPr>
          <w:trHeight w:val="113"/>
        </w:trPr>
        <w:tc>
          <w:tcPr>
            <w:tcW w:w="2512" w:type="dxa"/>
            <w:tcBorders>
              <w:top w:val="single" w:sz="4" w:space="0" w:color="auto"/>
              <w:left w:val="nil"/>
              <w:bottom w:val="single" w:sz="4" w:space="0" w:color="auto"/>
              <w:right w:val="nil"/>
            </w:tcBorders>
            <w:vAlign w:val="bottom"/>
            <w:hideMark/>
          </w:tcPr>
          <w:p w14:paraId="6242D2CD" w14:textId="77777777" w:rsidR="00F021B0" w:rsidRDefault="00F021B0">
            <w:pPr>
              <w:jc w:val="left"/>
              <w:rPr>
                <w:rFonts w:ascii="Arial" w:hAnsi="Arial" w:cs="Arial"/>
                <w:sz w:val="12"/>
                <w:szCs w:val="12"/>
              </w:rPr>
            </w:pPr>
            <w:r>
              <w:rPr>
                <w:rFonts w:ascii="Arial" w:hAnsi="Arial" w:cs="Arial"/>
                <w:b/>
                <w:sz w:val="12"/>
                <w:szCs w:val="12"/>
              </w:rPr>
              <w:t>Cohorts</w:t>
            </w:r>
          </w:p>
        </w:tc>
        <w:tc>
          <w:tcPr>
            <w:tcW w:w="2160" w:type="dxa"/>
            <w:tcBorders>
              <w:top w:val="single" w:sz="4" w:space="0" w:color="auto"/>
              <w:left w:val="nil"/>
              <w:bottom w:val="single" w:sz="4" w:space="0" w:color="auto"/>
              <w:right w:val="nil"/>
            </w:tcBorders>
            <w:vAlign w:val="bottom"/>
            <w:hideMark/>
          </w:tcPr>
          <w:p w14:paraId="389DF830" w14:textId="77777777" w:rsidR="00F021B0" w:rsidRDefault="00F021B0">
            <w:pPr>
              <w:rPr>
                <w:rFonts w:ascii="Arial" w:hAnsi="Arial" w:cs="Arial"/>
                <w:b/>
                <w:sz w:val="12"/>
                <w:szCs w:val="12"/>
              </w:rPr>
            </w:pPr>
            <w:r>
              <w:rPr>
                <w:rFonts w:ascii="Arial" w:hAnsi="Arial" w:cs="Arial"/>
                <w:b/>
                <w:sz w:val="12"/>
                <w:szCs w:val="12"/>
              </w:rPr>
              <w:t>DASH score</w:t>
            </w:r>
          </w:p>
        </w:tc>
        <w:tc>
          <w:tcPr>
            <w:tcW w:w="856" w:type="dxa"/>
            <w:tcBorders>
              <w:top w:val="single" w:sz="4" w:space="0" w:color="auto"/>
              <w:left w:val="nil"/>
              <w:bottom w:val="single" w:sz="4" w:space="0" w:color="auto"/>
              <w:right w:val="nil"/>
            </w:tcBorders>
          </w:tcPr>
          <w:p w14:paraId="1F470AA1"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036F7704" w14:textId="77777777" w:rsidR="00F021B0" w:rsidRDefault="00F021B0">
            <w:pPr>
              <w:rPr>
                <w:rFonts w:ascii="Arial" w:hAnsi="Arial" w:cs="Arial"/>
                <w:b/>
                <w:sz w:val="12"/>
                <w:szCs w:val="12"/>
              </w:rPr>
            </w:pPr>
            <w:r>
              <w:rPr>
                <w:rFonts w:ascii="Arial" w:hAnsi="Arial" w:cs="Arial"/>
                <w:b/>
                <w:sz w:val="12"/>
                <w:szCs w:val="12"/>
              </w:rPr>
              <w:t>β (95% CI)</w:t>
            </w:r>
          </w:p>
        </w:tc>
        <w:tc>
          <w:tcPr>
            <w:tcW w:w="839" w:type="dxa"/>
            <w:tcBorders>
              <w:top w:val="single" w:sz="4" w:space="0" w:color="auto"/>
              <w:left w:val="nil"/>
              <w:bottom w:val="single" w:sz="4" w:space="0" w:color="auto"/>
              <w:right w:val="nil"/>
            </w:tcBorders>
            <w:vAlign w:val="bottom"/>
            <w:hideMark/>
          </w:tcPr>
          <w:p w14:paraId="66359497" w14:textId="77777777" w:rsidR="00F021B0" w:rsidRDefault="00F021B0">
            <w:pPr>
              <w:jc w:val="right"/>
              <w:rPr>
                <w:rFonts w:ascii="Arial" w:hAnsi="Arial" w:cs="Arial"/>
                <w:b/>
                <w:sz w:val="12"/>
                <w:szCs w:val="12"/>
              </w:rPr>
            </w:pPr>
            <w:r>
              <w:rPr>
                <w:rFonts w:ascii="Arial" w:hAnsi="Arial" w:cs="Arial"/>
                <w:b/>
                <w:sz w:val="12"/>
                <w:szCs w:val="12"/>
              </w:rPr>
              <w:t>Weight (%)</w:t>
            </w:r>
          </w:p>
        </w:tc>
        <w:tc>
          <w:tcPr>
            <w:tcW w:w="579" w:type="dxa"/>
            <w:tcBorders>
              <w:top w:val="single" w:sz="4" w:space="0" w:color="auto"/>
              <w:left w:val="nil"/>
              <w:bottom w:val="single" w:sz="4" w:space="0" w:color="auto"/>
              <w:right w:val="nil"/>
            </w:tcBorders>
          </w:tcPr>
          <w:p w14:paraId="30925147" w14:textId="77777777" w:rsidR="00F021B0" w:rsidRDefault="00F021B0">
            <w:pPr>
              <w:rPr>
                <w:sz w:val="12"/>
                <w:szCs w:val="12"/>
              </w:rPr>
            </w:pPr>
          </w:p>
        </w:tc>
        <w:tc>
          <w:tcPr>
            <w:tcW w:w="2551" w:type="dxa"/>
            <w:tcBorders>
              <w:top w:val="single" w:sz="4" w:space="0" w:color="auto"/>
              <w:left w:val="nil"/>
              <w:bottom w:val="single" w:sz="4" w:space="0" w:color="auto"/>
              <w:right w:val="nil"/>
            </w:tcBorders>
            <w:vAlign w:val="bottom"/>
            <w:hideMark/>
          </w:tcPr>
          <w:p w14:paraId="7844E443" w14:textId="77777777" w:rsidR="00F021B0" w:rsidRDefault="00F021B0">
            <w:pPr>
              <w:rPr>
                <w:rFonts w:ascii="Arial" w:hAnsi="Arial" w:cs="Arial"/>
                <w:b/>
                <w:sz w:val="12"/>
                <w:szCs w:val="12"/>
              </w:rPr>
            </w:pPr>
            <w:r>
              <w:rPr>
                <w:rFonts w:ascii="Arial" w:hAnsi="Arial" w:cs="Arial"/>
                <w:b/>
                <w:sz w:val="12"/>
                <w:szCs w:val="12"/>
              </w:rPr>
              <w:t>E-DII score</w:t>
            </w:r>
          </w:p>
        </w:tc>
        <w:tc>
          <w:tcPr>
            <w:tcW w:w="567" w:type="dxa"/>
            <w:tcBorders>
              <w:top w:val="single" w:sz="4" w:space="0" w:color="auto"/>
              <w:left w:val="nil"/>
              <w:bottom w:val="single" w:sz="4" w:space="0" w:color="auto"/>
              <w:right w:val="nil"/>
            </w:tcBorders>
          </w:tcPr>
          <w:p w14:paraId="05F5C585" w14:textId="77777777" w:rsidR="00F021B0" w:rsidRDefault="00F021B0">
            <w:pPr>
              <w:rPr>
                <w:sz w:val="12"/>
                <w:szCs w:val="12"/>
              </w:rPr>
            </w:pPr>
          </w:p>
        </w:tc>
        <w:tc>
          <w:tcPr>
            <w:tcW w:w="1560" w:type="dxa"/>
            <w:tcBorders>
              <w:top w:val="single" w:sz="4" w:space="0" w:color="auto"/>
              <w:left w:val="nil"/>
              <w:bottom w:val="single" w:sz="4" w:space="0" w:color="auto"/>
              <w:right w:val="nil"/>
            </w:tcBorders>
            <w:vAlign w:val="bottom"/>
            <w:hideMark/>
          </w:tcPr>
          <w:p w14:paraId="40A73770" w14:textId="77777777" w:rsidR="00F021B0" w:rsidRDefault="00F021B0">
            <w:pPr>
              <w:rPr>
                <w:rFonts w:ascii="Arial" w:hAnsi="Arial" w:cs="Arial"/>
                <w:b/>
                <w:sz w:val="12"/>
                <w:szCs w:val="12"/>
              </w:rPr>
            </w:pPr>
            <w:r>
              <w:rPr>
                <w:rFonts w:ascii="Arial" w:hAnsi="Arial" w:cs="Arial"/>
                <w:b/>
                <w:sz w:val="12"/>
                <w:szCs w:val="12"/>
              </w:rPr>
              <w:t>β (95% CI)</w:t>
            </w:r>
          </w:p>
        </w:tc>
        <w:tc>
          <w:tcPr>
            <w:tcW w:w="708" w:type="dxa"/>
            <w:tcBorders>
              <w:top w:val="single" w:sz="4" w:space="0" w:color="auto"/>
              <w:left w:val="nil"/>
              <w:bottom w:val="single" w:sz="4" w:space="0" w:color="auto"/>
              <w:right w:val="nil"/>
            </w:tcBorders>
            <w:vAlign w:val="bottom"/>
            <w:hideMark/>
          </w:tcPr>
          <w:p w14:paraId="6A069F66"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1B314324" w14:textId="77777777" w:rsidTr="00F021B0">
        <w:trPr>
          <w:trHeight w:val="3515"/>
        </w:trPr>
        <w:tc>
          <w:tcPr>
            <w:tcW w:w="7501" w:type="dxa"/>
            <w:gridSpan w:val="5"/>
            <w:tcBorders>
              <w:top w:val="single" w:sz="4" w:space="0" w:color="auto"/>
              <w:left w:val="nil"/>
              <w:bottom w:val="single" w:sz="4" w:space="0" w:color="auto"/>
              <w:right w:val="nil"/>
            </w:tcBorders>
            <w:hideMark/>
          </w:tcPr>
          <w:p w14:paraId="66EC3E22" w14:textId="77777777" w:rsidR="00F021B0" w:rsidRDefault="00F021B0">
            <w:pPr>
              <w:tabs>
                <w:tab w:val="left" w:pos="1482"/>
              </w:tabs>
            </w:pPr>
            <w:r>
              <w:rPr>
                <w:noProof/>
                <w:lang w:val="en-GB" w:eastAsia="en-GB"/>
              </w:rPr>
              <w:drawing>
                <wp:inline distT="0" distB="0" distL="0" distR="0" wp14:anchorId="69A43235" wp14:editId="5B26FB50">
                  <wp:extent cx="4701540" cy="3924935"/>
                  <wp:effectExtent l="0" t="0" r="381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5" cstate="print">
                            <a:extLst>
                              <a:ext uri="{28A0092B-C50C-407E-A947-70E740481C1C}">
                                <a14:useLocalDpi xmlns:a14="http://schemas.microsoft.com/office/drawing/2010/main" val="0"/>
                              </a:ext>
                            </a:extLst>
                          </a:blip>
                          <a:srcRect l="1495" t="6583" r="2061" b="4903"/>
                          <a:stretch>
                            <a:fillRect/>
                          </a:stretch>
                        </pic:blipFill>
                        <pic:spPr bwMode="auto">
                          <a:xfrm>
                            <a:off x="0" y="0"/>
                            <a:ext cx="4701540" cy="3924935"/>
                          </a:xfrm>
                          <a:prstGeom prst="rect">
                            <a:avLst/>
                          </a:prstGeom>
                          <a:noFill/>
                          <a:ln>
                            <a:noFill/>
                          </a:ln>
                        </pic:spPr>
                      </pic:pic>
                    </a:graphicData>
                  </a:graphic>
                </wp:inline>
              </w:drawing>
            </w:r>
          </w:p>
        </w:tc>
        <w:tc>
          <w:tcPr>
            <w:tcW w:w="5965" w:type="dxa"/>
            <w:gridSpan w:val="5"/>
            <w:tcBorders>
              <w:top w:val="single" w:sz="4" w:space="0" w:color="auto"/>
              <w:left w:val="nil"/>
              <w:bottom w:val="single" w:sz="4" w:space="0" w:color="auto"/>
              <w:right w:val="nil"/>
            </w:tcBorders>
            <w:hideMark/>
          </w:tcPr>
          <w:p w14:paraId="10189C4F" w14:textId="77777777" w:rsidR="00F021B0" w:rsidRDefault="00F021B0">
            <w:r>
              <w:rPr>
                <w:noProof/>
                <w:lang w:val="en-GB" w:eastAsia="en-GB"/>
              </w:rPr>
              <w:drawing>
                <wp:inline distT="0" distB="0" distL="0" distR="0" wp14:anchorId="018400A9" wp14:editId="401A09A5">
                  <wp:extent cx="3616760" cy="3909600"/>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cstate="print">
                            <a:extLst>
                              <a:ext uri="{28A0092B-C50C-407E-A947-70E740481C1C}">
                                <a14:useLocalDpi xmlns:a14="http://schemas.microsoft.com/office/drawing/2010/main" val="0"/>
                              </a:ext>
                            </a:extLst>
                          </a:blip>
                          <a:srcRect l="1543" t="8704" r="3990" b="1645"/>
                          <a:stretch>
                            <a:fillRect/>
                          </a:stretch>
                        </pic:blipFill>
                        <pic:spPr bwMode="auto">
                          <a:xfrm>
                            <a:off x="0" y="0"/>
                            <a:ext cx="3616760" cy="3909600"/>
                          </a:xfrm>
                          <a:prstGeom prst="rect">
                            <a:avLst/>
                          </a:prstGeom>
                          <a:noFill/>
                          <a:ln>
                            <a:noFill/>
                          </a:ln>
                        </pic:spPr>
                      </pic:pic>
                    </a:graphicData>
                  </a:graphic>
                </wp:inline>
              </w:drawing>
            </w:r>
          </w:p>
        </w:tc>
      </w:tr>
      <w:tr w:rsidR="00F021B0" w14:paraId="569FDE4A" w14:textId="77777777" w:rsidTr="00F021B0">
        <w:tc>
          <w:tcPr>
            <w:tcW w:w="13466" w:type="dxa"/>
            <w:gridSpan w:val="10"/>
            <w:tcBorders>
              <w:top w:val="single" w:sz="4" w:space="0" w:color="auto"/>
              <w:left w:val="nil"/>
              <w:bottom w:val="nil"/>
              <w:right w:val="nil"/>
            </w:tcBorders>
            <w:vAlign w:val="center"/>
            <w:hideMark/>
          </w:tcPr>
          <w:p w14:paraId="2B2DD3B5" w14:textId="21AF91F8" w:rsidR="00EC4DB1" w:rsidRDefault="00045978">
            <w:pPr>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4BE977A5" w14:textId="06CF8C5E" w:rsidR="00F43AA0" w:rsidRDefault="00F43AA0">
            <w:pPr>
              <w:jc w:val="both"/>
              <w:rPr>
                <w:sz w:val="16"/>
                <w:szCs w:val="16"/>
                <w:lang w:val="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per category of educational (low category – </w:t>
            </w:r>
            <w:proofErr w:type="spellStart"/>
            <w:r>
              <w:rPr>
                <w:rFonts w:eastAsia="Times New Roman"/>
                <w:color w:val="000000"/>
                <w:sz w:val="16"/>
                <w:szCs w:val="16"/>
                <w:lang w:val="en-GB" w:eastAsia="en-GB"/>
              </w:rPr>
              <w:t>gray</w:t>
            </w:r>
            <w:proofErr w:type="spellEnd"/>
            <w:r>
              <w:rPr>
                <w:rFonts w:eastAsia="Times New Roman"/>
                <w:color w:val="000000"/>
                <w:sz w:val="16"/>
                <w:szCs w:val="16"/>
                <w:lang w:val="en-GB" w:eastAsia="en-GB"/>
              </w:rPr>
              <w:t xml:space="preserve"> square or medium category – black lozenge, in comparison with the high category </w:t>
            </w:r>
            <w:r w:rsidR="002413C6">
              <w:rPr>
                <w:rFonts w:eastAsia="Times New Roman"/>
                <w:color w:val="000000"/>
                <w:sz w:val="16"/>
                <w:szCs w:val="16"/>
                <w:lang w:val="en-GB" w:eastAsia="en-GB"/>
              </w:rPr>
              <w:t>– reference category</w:t>
            </w:r>
            <w:r>
              <w:rPr>
                <w:rFonts w:eastAsia="Times New Roman"/>
                <w:color w:val="000000"/>
                <w:sz w:val="16"/>
                <w:szCs w:val="16"/>
                <w:lang w:val="en-GB" w:eastAsia="en-GB"/>
              </w:rPr>
              <w:t>). Models were adjusted for</w:t>
            </w:r>
            <w:r w:rsidR="00B84030">
              <w:rPr>
                <w:rFonts w:eastAsia="Times New Roman"/>
                <w:color w:val="000000"/>
                <w:sz w:val="16"/>
                <w:szCs w:val="16"/>
                <w:lang w:val="en-GB" w:eastAsia="en-GB"/>
              </w:rPr>
              <w:t xml:space="preserve"> only</w:t>
            </w:r>
            <w:r>
              <w:rPr>
                <w:rFonts w:eastAsia="Times New Roman"/>
                <w:color w:val="000000"/>
                <w:sz w:val="16"/>
                <w:szCs w:val="16"/>
                <w:lang w:val="en-GB" w:eastAsia="en-GB"/>
              </w:rPr>
              <w:t xml:space="preserve"> the seven </w:t>
            </w:r>
            <w:r w:rsidR="00CB1DE6">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tc>
      </w:tr>
    </w:tbl>
    <w:p w14:paraId="4E1FA58F" w14:textId="77777777" w:rsidR="00F021B0" w:rsidRDefault="00F021B0" w:rsidP="00F021B0">
      <w:pPr>
        <w:spacing w:after="200" w:line="276" w:lineRule="auto"/>
        <w:jc w:val="left"/>
        <w:rPr>
          <w:b/>
          <w:color w:val="0070C0"/>
        </w:rPr>
      </w:pPr>
    </w:p>
    <w:p w14:paraId="2F1F2F46" w14:textId="77777777" w:rsidR="00F021B0" w:rsidRDefault="00F021B0" w:rsidP="00F021B0">
      <w:pPr>
        <w:spacing w:after="200" w:line="276" w:lineRule="auto"/>
        <w:jc w:val="left"/>
        <w:rPr>
          <w:b/>
          <w:color w:val="0070C0"/>
        </w:rPr>
      </w:pPr>
      <w:r>
        <w:rPr>
          <w:b/>
          <w:color w:val="0070C0"/>
        </w:rPr>
        <w:br w:type="page"/>
      </w:r>
    </w:p>
    <w:tbl>
      <w:tblPr>
        <w:tblStyle w:val="TableGrid"/>
        <w:tblW w:w="14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04"/>
        <w:gridCol w:w="2908"/>
        <w:gridCol w:w="904"/>
        <w:gridCol w:w="1204"/>
        <w:gridCol w:w="953"/>
        <w:gridCol w:w="606"/>
        <w:gridCol w:w="2311"/>
        <w:gridCol w:w="596"/>
        <w:gridCol w:w="992"/>
        <w:gridCol w:w="966"/>
      </w:tblGrid>
      <w:tr w:rsidR="00F021B0" w14:paraId="7E0CBD5C" w14:textId="77777777" w:rsidTr="00F021B0">
        <w:tc>
          <w:tcPr>
            <w:tcW w:w="14144" w:type="dxa"/>
            <w:gridSpan w:val="10"/>
            <w:tcBorders>
              <w:top w:val="nil"/>
              <w:left w:val="nil"/>
              <w:bottom w:val="single" w:sz="4" w:space="0" w:color="auto"/>
              <w:right w:val="nil"/>
            </w:tcBorders>
            <w:hideMark/>
          </w:tcPr>
          <w:p w14:paraId="5A655F7A" w14:textId="7DA31C35" w:rsidR="00F021B0" w:rsidRDefault="00F021B0">
            <w:pPr>
              <w:spacing w:line="276" w:lineRule="auto"/>
              <w:jc w:val="both"/>
              <w:rPr>
                <w:sz w:val="18"/>
                <w:szCs w:val="18"/>
                <w:lang w:val="en-GB"/>
              </w:rPr>
            </w:pPr>
            <w:r>
              <w:rPr>
                <w:b/>
                <w:color w:val="0070C0"/>
                <w:sz w:val="18"/>
                <w:szCs w:val="18"/>
                <w:lang w:val="en-GB"/>
              </w:rPr>
              <w:lastRenderedPageBreak/>
              <w:t xml:space="preserve">Figure 2C. </w:t>
            </w:r>
            <w:r>
              <w:rPr>
                <w:sz w:val="18"/>
                <w:szCs w:val="18"/>
                <w:lang w:val="en-GB"/>
              </w:rPr>
              <w:t>A</w:t>
            </w:r>
            <w:r w:rsidR="00D63934">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 xml:space="preserve">parity (reference = primiparous)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527124">
              <w:rPr>
                <w:sz w:val="18"/>
                <w:szCs w:val="18"/>
                <w:lang w:val="en-GB"/>
              </w:rPr>
              <w:t xml:space="preserve"> and dietary inflamm</w:t>
            </w:r>
            <w:r w:rsidR="00CB1DE6">
              <w:rPr>
                <w:sz w:val="18"/>
                <w:szCs w:val="18"/>
                <w:lang w:val="en-GB"/>
              </w:rPr>
              <w:t>atory potential</w:t>
            </w:r>
            <w:r>
              <w:rPr>
                <w:sz w:val="18"/>
                <w:szCs w:val="18"/>
                <w:lang w:val="en-GB"/>
              </w:rPr>
              <w:t>.</w:t>
            </w:r>
          </w:p>
        </w:tc>
      </w:tr>
      <w:tr w:rsidR="00F021B0" w14:paraId="69F6D90A" w14:textId="77777777" w:rsidTr="00F021B0">
        <w:trPr>
          <w:trHeight w:val="113"/>
        </w:trPr>
        <w:tc>
          <w:tcPr>
            <w:tcW w:w="2704" w:type="dxa"/>
            <w:tcBorders>
              <w:top w:val="single" w:sz="4" w:space="0" w:color="auto"/>
              <w:left w:val="nil"/>
              <w:bottom w:val="single" w:sz="4" w:space="0" w:color="auto"/>
              <w:right w:val="nil"/>
            </w:tcBorders>
            <w:vAlign w:val="bottom"/>
            <w:hideMark/>
          </w:tcPr>
          <w:p w14:paraId="49C95DCB" w14:textId="77777777" w:rsidR="00F021B0" w:rsidRDefault="00F021B0">
            <w:pPr>
              <w:jc w:val="left"/>
              <w:rPr>
                <w:rFonts w:ascii="Arial" w:hAnsi="Arial" w:cs="Arial"/>
                <w:sz w:val="12"/>
                <w:szCs w:val="12"/>
              </w:rPr>
            </w:pPr>
            <w:r>
              <w:rPr>
                <w:rFonts w:ascii="Arial" w:hAnsi="Arial" w:cs="Arial"/>
                <w:b/>
                <w:sz w:val="12"/>
                <w:szCs w:val="12"/>
              </w:rPr>
              <w:t>Cohorts</w:t>
            </w:r>
          </w:p>
        </w:tc>
        <w:tc>
          <w:tcPr>
            <w:tcW w:w="2908" w:type="dxa"/>
            <w:tcBorders>
              <w:top w:val="single" w:sz="4" w:space="0" w:color="auto"/>
              <w:left w:val="nil"/>
              <w:bottom w:val="single" w:sz="4" w:space="0" w:color="auto"/>
              <w:right w:val="nil"/>
            </w:tcBorders>
            <w:vAlign w:val="bottom"/>
            <w:hideMark/>
          </w:tcPr>
          <w:p w14:paraId="4D2019D3" w14:textId="77777777" w:rsidR="00F021B0" w:rsidRDefault="00F021B0">
            <w:pPr>
              <w:rPr>
                <w:rFonts w:ascii="Arial" w:hAnsi="Arial" w:cs="Arial"/>
                <w:b/>
                <w:sz w:val="12"/>
                <w:szCs w:val="12"/>
              </w:rPr>
            </w:pPr>
            <w:r>
              <w:rPr>
                <w:rFonts w:ascii="Arial" w:hAnsi="Arial" w:cs="Arial"/>
                <w:b/>
                <w:sz w:val="12"/>
                <w:szCs w:val="12"/>
              </w:rPr>
              <w:t>DASH score</w:t>
            </w:r>
          </w:p>
        </w:tc>
        <w:tc>
          <w:tcPr>
            <w:tcW w:w="904" w:type="dxa"/>
            <w:tcBorders>
              <w:top w:val="single" w:sz="4" w:space="0" w:color="auto"/>
              <w:left w:val="nil"/>
              <w:bottom w:val="single" w:sz="4" w:space="0" w:color="auto"/>
              <w:right w:val="nil"/>
            </w:tcBorders>
          </w:tcPr>
          <w:p w14:paraId="638B8EC3" w14:textId="77777777" w:rsidR="00F021B0" w:rsidRDefault="00F021B0">
            <w:pPr>
              <w:rPr>
                <w:sz w:val="12"/>
                <w:szCs w:val="12"/>
              </w:rPr>
            </w:pPr>
          </w:p>
        </w:tc>
        <w:tc>
          <w:tcPr>
            <w:tcW w:w="1204" w:type="dxa"/>
            <w:tcBorders>
              <w:top w:val="single" w:sz="4" w:space="0" w:color="auto"/>
              <w:left w:val="nil"/>
              <w:bottom w:val="single" w:sz="4" w:space="0" w:color="auto"/>
              <w:right w:val="nil"/>
            </w:tcBorders>
            <w:vAlign w:val="bottom"/>
            <w:hideMark/>
          </w:tcPr>
          <w:p w14:paraId="7BF0CA3E" w14:textId="77777777" w:rsidR="00F021B0" w:rsidRDefault="00F021B0">
            <w:pPr>
              <w:rPr>
                <w:rFonts w:ascii="Arial" w:hAnsi="Arial" w:cs="Arial"/>
                <w:b/>
                <w:sz w:val="12"/>
                <w:szCs w:val="12"/>
              </w:rPr>
            </w:pPr>
            <w:r>
              <w:rPr>
                <w:rFonts w:ascii="Arial" w:hAnsi="Arial" w:cs="Arial"/>
                <w:b/>
                <w:sz w:val="12"/>
                <w:szCs w:val="12"/>
              </w:rPr>
              <w:t>β (95% CI)</w:t>
            </w:r>
          </w:p>
        </w:tc>
        <w:tc>
          <w:tcPr>
            <w:tcW w:w="953" w:type="dxa"/>
            <w:tcBorders>
              <w:top w:val="single" w:sz="4" w:space="0" w:color="auto"/>
              <w:left w:val="nil"/>
              <w:bottom w:val="single" w:sz="4" w:space="0" w:color="auto"/>
              <w:right w:val="nil"/>
            </w:tcBorders>
            <w:vAlign w:val="bottom"/>
            <w:hideMark/>
          </w:tcPr>
          <w:p w14:paraId="5F8BB2F1" w14:textId="77777777" w:rsidR="00F021B0" w:rsidRDefault="00F021B0">
            <w:pPr>
              <w:jc w:val="right"/>
              <w:rPr>
                <w:rFonts w:ascii="Arial" w:hAnsi="Arial" w:cs="Arial"/>
                <w:b/>
                <w:sz w:val="12"/>
                <w:szCs w:val="12"/>
              </w:rPr>
            </w:pPr>
            <w:r>
              <w:rPr>
                <w:rFonts w:ascii="Arial" w:hAnsi="Arial" w:cs="Arial"/>
                <w:b/>
                <w:sz w:val="12"/>
                <w:szCs w:val="12"/>
              </w:rPr>
              <w:t>Weight (%)</w:t>
            </w:r>
          </w:p>
        </w:tc>
        <w:tc>
          <w:tcPr>
            <w:tcW w:w="606" w:type="dxa"/>
            <w:tcBorders>
              <w:top w:val="single" w:sz="4" w:space="0" w:color="auto"/>
              <w:left w:val="nil"/>
              <w:bottom w:val="single" w:sz="4" w:space="0" w:color="auto"/>
              <w:right w:val="nil"/>
            </w:tcBorders>
          </w:tcPr>
          <w:p w14:paraId="0D5CC2A9" w14:textId="77777777" w:rsidR="00F021B0" w:rsidRDefault="00F021B0">
            <w:pPr>
              <w:rPr>
                <w:sz w:val="12"/>
                <w:szCs w:val="12"/>
              </w:rPr>
            </w:pPr>
          </w:p>
        </w:tc>
        <w:tc>
          <w:tcPr>
            <w:tcW w:w="2311" w:type="dxa"/>
            <w:tcBorders>
              <w:top w:val="single" w:sz="4" w:space="0" w:color="auto"/>
              <w:left w:val="nil"/>
              <w:bottom w:val="single" w:sz="4" w:space="0" w:color="auto"/>
              <w:right w:val="nil"/>
            </w:tcBorders>
            <w:vAlign w:val="bottom"/>
            <w:hideMark/>
          </w:tcPr>
          <w:p w14:paraId="3AA49194" w14:textId="77777777" w:rsidR="00F021B0" w:rsidRDefault="00F021B0">
            <w:pPr>
              <w:rPr>
                <w:rFonts w:ascii="Arial" w:hAnsi="Arial" w:cs="Arial"/>
                <w:b/>
                <w:sz w:val="12"/>
                <w:szCs w:val="12"/>
              </w:rPr>
            </w:pPr>
            <w:r>
              <w:rPr>
                <w:rFonts w:ascii="Arial" w:hAnsi="Arial" w:cs="Arial"/>
                <w:b/>
                <w:sz w:val="12"/>
                <w:szCs w:val="12"/>
              </w:rPr>
              <w:t>E-DII score</w:t>
            </w:r>
          </w:p>
        </w:tc>
        <w:tc>
          <w:tcPr>
            <w:tcW w:w="596" w:type="dxa"/>
            <w:tcBorders>
              <w:top w:val="single" w:sz="4" w:space="0" w:color="auto"/>
              <w:left w:val="nil"/>
              <w:bottom w:val="single" w:sz="4" w:space="0" w:color="auto"/>
              <w:right w:val="nil"/>
            </w:tcBorders>
          </w:tcPr>
          <w:p w14:paraId="5671BFD8" w14:textId="77777777" w:rsidR="00F021B0" w:rsidRDefault="00F021B0">
            <w:pPr>
              <w:rPr>
                <w:sz w:val="12"/>
                <w:szCs w:val="12"/>
              </w:rPr>
            </w:pPr>
          </w:p>
        </w:tc>
        <w:tc>
          <w:tcPr>
            <w:tcW w:w="992" w:type="dxa"/>
            <w:tcBorders>
              <w:top w:val="single" w:sz="4" w:space="0" w:color="auto"/>
              <w:left w:val="nil"/>
              <w:bottom w:val="single" w:sz="4" w:space="0" w:color="auto"/>
              <w:right w:val="nil"/>
            </w:tcBorders>
            <w:vAlign w:val="bottom"/>
            <w:hideMark/>
          </w:tcPr>
          <w:p w14:paraId="64D99C94" w14:textId="77777777" w:rsidR="00F021B0" w:rsidRDefault="00F021B0">
            <w:pPr>
              <w:rPr>
                <w:rFonts w:ascii="Arial" w:hAnsi="Arial" w:cs="Arial"/>
                <w:b/>
                <w:sz w:val="12"/>
                <w:szCs w:val="12"/>
              </w:rPr>
            </w:pPr>
            <w:r>
              <w:rPr>
                <w:rFonts w:ascii="Arial" w:hAnsi="Arial" w:cs="Arial"/>
                <w:b/>
                <w:sz w:val="12"/>
                <w:szCs w:val="12"/>
              </w:rPr>
              <w:t>β (95% CI)</w:t>
            </w:r>
          </w:p>
        </w:tc>
        <w:tc>
          <w:tcPr>
            <w:tcW w:w="966" w:type="dxa"/>
            <w:tcBorders>
              <w:top w:val="single" w:sz="4" w:space="0" w:color="auto"/>
              <w:left w:val="nil"/>
              <w:bottom w:val="single" w:sz="4" w:space="0" w:color="auto"/>
              <w:right w:val="nil"/>
            </w:tcBorders>
            <w:vAlign w:val="bottom"/>
            <w:hideMark/>
          </w:tcPr>
          <w:p w14:paraId="0B58D52D"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765B328C" w14:textId="77777777" w:rsidTr="00F021B0">
        <w:trPr>
          <w:trHeight w:val="3344"/>
        </w:trPr>
        <w:tc>
          <w:tcPr>
            <w:tcW w:w="8673" w:type="dxa"/>
            <w:gridSpan w:val="5"/>
            <w:tcBorders>
              <w:top w:val="single" w:sz="4" w:space="0" w:color="auto"/>
              <w:left w:val="nil"/>
              <w:bottom w:val="single" w:sz="4" w:space="0" w:color="auto"/>
              <w:right w:val="nil"/>
            </w:tcBorders>
            <w:hideMark/>
          </w:tcPr>
          <w:p w14:paraId="3DF14F97" w14:textId="77777777" w:rsidR="00F021B0" w:rsidRDefault="00F021B0">
            <w:pPr>
              <w:tabs>
                <w:tab w:val="left" w:pos="1482"/>
              </w:tabs>
            </w:pPr>
            <w:r>
              <w:rPr>
                <w:noProof/>
                <w:lang w:val="en-GB" w:eastAsia="en-GB"/>
              </w:rPr>
              <w:drawing>
                <wp:inline distT="0" distB="0" distL="0" distR="0" wp14:anchorId="41F0C5E6" wp14:editId="4CE4EE62">
                  <wp:extent cx="5469255" cy="21564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cstate="print">
                            <a:extLst>
                              <a:ext uri="{28A0092B-C50C-407E-A947-70E740481C1C}">
                                <a14:useLocalDpi xmlns:a14="http://schemas.microsoft.com/office/drawing/2010/main" val="0"/>
                              </a:ext>
                            </a:extLst>
                          </a:blip>
                          <a:srcRect l="1794" t="15752" r="1842" b="3865"/>
                          <a:stretch>
                            <a:fillRect/>
                          </a:stretch>
                        </pic:blipFill>
                        <pic:spPr bwMode="auto">
                          <a:xfrm>
                            <a:off x="0" y="0"/>
                            <a:ext cx="5469255" cy="2156460"/>
                          </a:xfrm>
                          <a:prstGeom prst="rect">
                            <a:avLst/>
                          </a:prstGeom>
                          <a:noFill/>
                          <a:ln>
                            <a:noFill/>
                          </a:ln>
                        </pic:spPr>
                      </pic:pic>
                    </a:graphicData>
                  </a:graphic>
                </wp:inline>
              </w:drawing>
            </w:r>
          </w:p>
        </w:tc>
        <w:tc>
          <w:tcPr>
            <w:tcW w:w="5471" w:type="dxa"/>
            <w:gridSpan w:val="5"/>
            <w:tcBorders>
              <w:top w:val="single" w:sz="4" w:space="0" w:color="auto"/>
              <w:left w:val="nil"/>
              <w:bottom w:val="single" w:sz="4" w:space="0" w:color="auto"/>
              <w:right w:val="nil"/>
            </w:tcBorders>
            <w:hideMark/>
          </w:tcPr>
          <w:p w14:paraId="6D873077" w14:textId="77777777" w:rsidR="00F021B0" w:rsidRDefault="00F021B0">
            <w:pPr>
              <w:jc w:val="left"/>
            </w:pPr>
            <w:r>
              <w:rPr>
                <w:noProof/>
                <w:lang w:val="en-GB" w:eastAsia="en-GB"/>
              </w:rPr>
              <w:drawing>
                <wp:inline distT="0" distB="0" distL="0" distR="0" wp14:anchorId="0599F9AD" wp14:editId="7F0C0DAD">
                  <wp:extent cx="3426199" cy="21348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8" cstate="print">
                            <a:extLst>
                              <a:ext uri="{28A0092B-C50C-407E-A947-70E740481C1C}">
                                <a14:useLocalDpi xmlns:a14="http://schemas.microsoft.com/office/drawing/2010/main" val="0"/>
                              </a:ext>
                            </a:extLst>
                          </a:blip>
                          <a:srcRect l="18085" t="11749" r="2338" b="5647"/>
                          <a:stretch>
                            <a:fillRect/>
                          </a:stretch>
                        </pic:blipFill>
                        <pic:spPr bwMode="auto">
                          <a:xfrm>
                            <a:off x="0" y="0"/>
                            <a:ext cx="3426199" cy="2134800"/>
                          </a:xfrm>
                          <a:prstGeom prst="rect">
                            <a:avLst/>
                          </a:prstGeom>
                          <a:noFill/>
                          <a:ln>
                            <a:noFill/>
                          </a:ln>
                        </pic:spPr>
                      </pic:pic>
                    </a:graphicData>
                  </a:graphic>
                </wp:inline>
              </w:drawing>
            </w:r>
          </w:p>
        </w:tc>
      </w:tr>
      <w:tr w:rsidR="00F021B0" w14:paraId="1144A787" w14:textId="77777777" w:rsidTr="00F021B0">
        <w:tc>
          <w:tcPr>
            <w:tcW w:w="14144" w:type="dxa"/>
            <w:gridSpan w:val="10"/>
            <w:tcBorders>
              <w:top w:val="single" w:sz="4" w:space="0" w:color="auto"/>
              <w:left w:val="nil"/>
              <w:bottom w:val="nil"/>
              <w:right w:val="nil"/>
            </w:tcBorders>
            <w:vAlign w:val="center"/>
            <w:hideMark/>
          </w:tcPr>
          <w:p w14:paraId="222E155F" w14:textId="73A2F46B" w:rsidR="00D63934" w:rsidRDefault="00045978">
            <w:pPr>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79289DB3" w14:textId="78B705D5" w:rsidR="002413C6" w:rsidRDefault="002413C6">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for multiparous mothers in comparison to primiparous mothers (reference category). Models were adjusted for </w:t>
            </w:r>
            <w:r w:rsidR="00B84030">
              <w:rPr>
                <w:rFonts w:eastAsia="Times New Roman"/>
                <w:color w:val="000000"/>
                <w:sz w:val="16"/>
                <w:szCs w:val="16"/>
                <w:lang w:val="en-GB" w:eastAsia="en-GB"/>
              </w:rPr>
              <w:t xml:space="preserve">only </w:t>
            </w:r>
            <w:r>
              <w:rPr>
                <w:rFonts w:eastAsia="Times New Roman"/>
                <w:color w:val="000000"/>
                <w:sz w:val="16"/>
                <w:szCs w:val="16"/>
                <w:lang w:val="en-GB" w:eastAsia="en-GB"/>
              </w:rPr>
              <w:t xml:space="preserve">the seven </w:t>
            </w:r>
            <w:r w:rsidR="00CB1DE6">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p w14:paraId="78C88E5A" w14:textId="4B0AD20A" w:rsidR="00F021B0" w:rsidRDefault="00F021B0">
            <w:pPr>
              <w:jc w:val="both"/>
              <w:rPr>
                <w:rFonts w:eastAsia="Times New Roman"/>
                <w:sz w:val="16"/>
                <w:szCs w:val="16"/>
                <w:lang w:val="en-GB" w:eastAsia="en-GB"/>
              </w:rPr>
            </w:pPr>
            <w:r>
              <w:rPr>
                <w:rFonts w:eastAsia="Times New Roman"/>
                <w:sz w:val="16"/>
                <w:szCs w:val="16"/>
                <w:lang w:val="en-GB" w:eastAsia="en-GB"/>
              </w:rPr>
              <w:t>Second gravida was a recruitment criterion for ROLO.</w:t>
            </w:r>
          </w:p>
          <w:p w14:paraId="23AF25AA" w14:textId="554CA7A7" w:rsidR="002413C6" w:rsidRDefault="002413C6">
            <w:pPr>
              <w:jc w:val="both"/>
              <w:rPr>
                <w:rFonts w:eastAsia="Times New Roman"/>
                <w:sz w:val="16"/>
                <w:szCs w:val="16"/>
                <w:lang w:val="en-GB" w:eastAsia="en-GB"/>
              </w:rPr>
            </w:pPr>
          </w:p>
        </w:tc>
      </w:tr>
    </w:tbl>
    <w:p w14:paraId="11DBA56F" w14:textId="77777777" w:rsidR="00F021B0" w:rsidRDefault="00F021B0" w:rsidP="00F021B0">
      <w:pPr>
        <w:spacing w:line="276" w:lineRule="auto"/>
        <w:jc w:val="left"/>
        <w:rPr>
          <w:b/>
          <w:color w:val="0070C0"/>
          <w:sz w:val="8"/>
          <w:szCs w:val="8"/>
          <w:lang w:val="en-GB"/>
        </w:rPr>
      </w:pPr>
    </w:p>
    <w:p w14:paraId="3266606D" w14:textId="77777777" w:rsidR="000916DD" w:rsidRDefault="000916DD">
      <w:r>
        <w:br w:type="page"/>
      </w:r>
    </w:p>
    <w:tbl>
      <w:tblPr>
        <w:tblStyle w:val="TableGrid"/>
        <w:tblW w:w="14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397"/>
        <w:gridCol w:w="2410"/>
        <w:gridCol w:w="335"/>
        <w:gridCol w:w="1224"/>
        <w:gridCol w:w="760"/>
        <w:gridCol w:w="712"/>
        <w:gridCol w:w="2798"/>
        <w:gridCol w:w="550"/>
        <w:gridCol w:w="1417"/>
        <w:gridCol w:w="742"/>
      </w:tblGrid>
      <w:tr w:rsidR="00F021B0" w14:paraId="106BF371" w14:textId="77777777" w:rsidTr="00F021B0">
        <w:tc>
          <w:tcPr>
            <w:tcW w:w="14345" w:type="dxa"/>
            <w:gridSpan w:val="10"/>
            <w:tcBorders>
              <w:top w:val="nil"/>
              <w:left w:val="nil"/>
              <w:bottom w:val="single" w:sz="4" w:space="0" w:color="auto"/>
              <w:right w:val="nil"/>
            </w:tcBorders>
            <w:hideMark/>
          </w:tcPr>
          <w:p w14:paraId="1C8E0BEB" w14:textId="4C24EE37" w:rsidR="00F021B0" w:rsidRDefault="00F021B0">
            <w:pPr>
              <w:spacing w:line="276" w:lineRule="auto"/>
              <w:jc w:val="both"/>
              <w:rPr>
                <w:sz w:val="18"/>
                <w:szCs w:val="18"/>
                <w:lang w:val="en-GB"/>
              </w:rPr>
            </w:pPr>
            <w:r>
              <w:rPr>
                <w:b/>
                <w:color w:val="0070C0"/>
                <w:sz w:val="18"/>
                <w:szCs w:val="18"/>
                <w:lang w:val="en-GB"/>
              </w:rPr>
              <w:lastRenderedPageBreak/>
              <w:t xml:space="preserve">Figure 2D. </w:t>
            </w:r>
            <w:r>
              <w:rPr>
                <w:sz w:val="18"/>
                <w:szCs w:val="18"/>
                <w:lang w:val="en-GB"/>
              </w:rPr>
              <w:t>A</w:t>
            </w:r>
            <w:r w:rsidR="00D63934">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 xml:space="preserve">birthplace/ethnicity (reference = European-born/White)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527124">
              <w:rPr>
                <w:sz w:val="18"/>
                <w:szCs w:val="18"/>
                <w:lang w:val="en-GB"/>
              </w:rPr>
              <w:t xml:space="preserve"> and dietary inflamma</w:t>
            </w:r>
            <w:r w:rsidR="00CB1DE6">
              <w:rPr>
                <w:sz w:val="18"/>
                <w:szCs w:val="18"/>
                <w:lang w:val="en-GB"/>
              </w:rPr>
              <w:t>tory potential</w:t>
            </w:r>
            <w:r>
              <w:rPr>
                <w:sz w:val="18"/>
                <w:szCs w:val="18"/>
                <w:lang w:val="en-GB"/>
              </w:rPr>
              <w:t>.</w:t>
            </w:r>
          </w:p>
        </w:tc>
      </w:tr>
      <w:tr w:rsidR="00F021B0" w14:paraId="207BD367" w14:textId="77777777" w:rsidTr="00F021B0">
        <w:trPr>
          <w:trHeight w:val="113"/>
        </w:trPr>
        <w:tc>
          <w:tcPr>
            <w:tcW w:w="3397" w:type="dxa"/>
            <w:tcBorders>
              <w:top w:val="single" w:sz="4" w:space="0" w:color="auto"/>
              <w:left w:val="nil"/>
              <w:bottom w:val="single" w:sz="4" w:space="0" w:color="auto"/>
              <w:right w:val="nil"/>
            </w:tcBorders>
            <w:vAlign w:val="bottom"/>
            <w:hideMark/>
          </w:tcPr>
          <w:p w14:paraId="1866EAF4" w14:textId="77777777" w:rsidR="00F021B0" w:rsidRDefault="00F021B0">
            <w:pPr>
              <w:jc w:val="left"/>
              <w:rPr>
                <w:rFonts w:ascii="Arial" w:hAnsi="Arial" w:cs="Arial"/>
                <w:sz w:val="12"/>
                <w:szCs w:val="12"/>
              </w:rPr>
            </w:pPr>
            <w:r>
              <w:rPr>
                <w:rFonts w:ascii="Arial" w:hAnsi="Arial" w:cs="Arial"/>
                <w:b/>
                <w:sz w:val="12"/>
                <w:szCs w:val="12"/>
              </w:rPr>
              <w:t>Cohorts</w:t>
            </w:r>
          </w:p>
        </w:tc>
        <w:tc>
          <w:tcPr>
            <w:tcW w:w="2410" w:type="dxa"/>
            <w:tcBorders>
              <w:top w:val="single" w:sz="4" w:space="0" w:color="auto"/>
              <w:left w:val="nil"/>
              <w:bottom w:val="single" w:sz="4" w:space="0" w:color="auto"/>
              <w:right w:val="nil"/>
            </w:tcBorders>
            <w:vAlign w:val="bottom"/>
            <w:hideMark/>
          </w:tcPr>
          <w:p w14:paraId="3F504F42" w14:textId="77777777" w:rsidR="00F021B0" w:rsidRDefault="00F021B0">
            <w:pPr>
              <w:rPr>
                <w:rFonts w:ascii="Arial" w:hAnsi="Arial" w:cs="Arial"/>
                <w:b/>
                <w:sz w:val="12"/>
                <w:szCs w:val="12"/>
              </w:rPr>
            </w:pPr>
            <w:r>
              <w:rPr>
                <w:rFonts w:ascii="Arial" w:hAnsi="Arial" w:cs="Arial"/>
                <w:b/>
                <w:sz w:val="12"/>
                <w:szCs w:val="12"/>
              </w:rPr>
              <w:t>DASH score</w:t>
            </w:r>
          </w:p>
        </w:tc>
        <w:tc>
          <w:tcPr>
            <w:tcW w:w="335" w:type="dxa"/>
            <w:tcBorders>
              <w:top w:val="single" w:sz="4" w:space="0" w:color="auto"/>
              <w:left w:val="nil"/>
              <w:bottom w:val="single" w:sz="4" w:space="0" w:color="auto"/>
              <w:right w:val="nil"/>
            </w:tcBorders>
          </w:tcPr>
          <w:p w14:paraId="06FD6ECC" w14:textId="77777777" w:rsidR="00F021B0" w:rsidRDefault="00F021B0">
            <w:pPr>
              <w:rPr>
                <w:sz w:val="12"/>
                <w:szCs w:val="12"/>
              </w:rPr>
            </w:pPr>
          </w:p>
        </w:tc>
        <w:tc>
          <w:tcPr>
            <w:tcW w:w="1224" w:type="dxa"/>
            <w:tcBorders>
              <w:top w:val="single" w:sz="4" w:space="0" w:color="auto"/>
              <w:left w:val="nil"/>
              <w:bottom w:val="single" w:sz="4" w:space="0" w:color="auto"/>
              <w:right w:val="nil"/>
            </w:tcBorders>
            <w:vAlign w:val="bottom"/>
            <w:hideMark/>
          </w:tcPr>
          <w:p w14:paraId="43903717" w14:textId="77777777" w:rsidR="00F021B0" w:rsidRDefault="00F021B0">
            <w:pPr>
              <w:rPr>
                <w:rFonts w:ascii="Arial" w:hAnsi="Arial" w:cs="Arial"/>
                <w:b/>
                <w:sz w:val="12"/>
                <w:szCs w:val="12"/>
              </w:rPr>
            </w:pPr>
            <w:r>
              <w:rPr>
                <w:rFonts w:ascii="Arial" w:hAnsi="Arial" w:cs="Arial"/>
                <w:b/>
                <w:sz w:val="12"/>
                <w:szCs w:val="12"/>
              </w:rPr>
              <w:t>β (95% CI)</w:t>
            </w:r>
          </w:p>
        </w:tc>
        <w:tc>
          <w:tcPr>
            <w:tcW w:w="760" w:type="dxa"/>
            <w:tcBorders>
              <w:top w:val="single" w:sz="4" w:space="0" w:color="auto"/>
              <w:left w:val="nil"/>
              <w:bottom w:val="single" w:sz="4" w:space="0" w:color="auto"/>
              <w:right w:val="nil"/>
            </w:tcBorders>
            <w:vAlign w:val="bottom"/>
            <w:hideMark/>
          </w:tcPr>
          <w:p w14:paraId="0E9E42ED" w14:textId="77777777" w:rsidR="00F021B0" w:rsidRDefault="00F021B0">
            <w:pPr>
              <w:jc w:val="right"/>
              <w:rPr>
                <w:rFonts w:ascii="Arial" w:hAnsi="Arial" w:cs="Arial"/>
                <w:b/>
                <w:sz w:val="12"/>
                <w:szCs w:val="12"/>
              </w:rPr>
            </w:pPr>
            <w:r>
              <w:rPr>
                <w:rFonts w:ascii="Arial" w:hAnsi="Arial" w:cs="Arial"/>
                <w:b/>
                <w:sz w:val="12"/>
                <w:szCs w:val="12"/>
              </w:rPr>
              <w:t>Weight (%)</w:t>
            </w:r>
          </w:p>
        </w:tc>
        <w:tc>
          <w:tcPr>
            <w:tcW w:w="712" w:type="dxa"/>
            <w:tcBorders>
              <w:top w:val="single" w:sz="4" w:space="0" w:color="auto"/>
              <w:left w:val="nil"/>
              <w:bottom w:val="single" w:sz="4" w:space="0" w:color="auto"/>
              <w:right w:val="nil"/>
            </w:tcBorders>
          </w:tcPr>
          <w:p w14:paraId="687A4235" w14:textId="77777777" w:rsidR="00F021B0" w:rsidRDefault="00F021B0">
            <w:pPr>
              <w:rPr>
                <w:sz w:val="12"/>
                <w:szCs w:val="12"/>
              </w:rPr>
            </w:pPr>
          </w:p>
        </w:tc>
        <w:tc>
          <w:tcPr>
            <w:tcW w:w="2798" w:type="dxa"/>
            <w:tcBorders>
              <w:top w:val="single" w:sz="4" w:space="0" w:color="auto"/>
              <w:left w:val="nil"/>
              <w:bottom w:val="single" w:sz="4" w:space="0" w:color="auto"/>
              <w:right w:val="nil"/>
            </w:tcBorders>
            <w:vAlign w:val="bottom"/>
            <w:hideMark/>
          </w:tcPr>
          <w:p w14:paraId="354AC95D" w14:textId="77777777" w:rsidR="00F021B0" w:rsidRDefault="00F021B0">
            <w:pPr>
              <w:rPr>
                <w:rFonts w:ascii="Arial" w:hAnsi="Arial" w:cs="Arial"/>
                <w:b/>
                <w:sz w:val="12"/>
                <w:szCs w:val="12"/>
              </w:rPr>
            </w:pPr>
            <w:r>
              <w:rPr>
                <w:rFonts w:ascii="Arial" w:hAnsi="Arial" w:cs="Arial"/>
                <w:b/>
                <w:sz w:val="12"/>
                <w:szCs w:val="12"/>
              </w:rPr>
              <w:t>E-DII score</w:t>
            </w:r>
          </w:p>
        </w:tc>
        <w:tc>
          <w:tcPr>
            <w:tcW w:w="550" w:type="dxa"/>
            <w:tcBorders>
              <w:top w:val="single" w:sz="4" w:space="0" w:color="auto"/>
              <w:left w:val="nil"/>
              <w:bottom w:val="single" w:sz="4" w:space="0" w:color="auto"/>
              <w:right w:val="nil"/>
            </w:tcBorders>
          </w:tcPr>
          <w:p w14:paraId="111BD406" w14:textId="77777777" w:rsidR="00F021B0" w:rsidRDefault="00F021B0">
            <w:pPr>
              <w:rPr>
                <w:sz w:val="12"/>
                <w:szCs w:val="12"/>
              </w:rPr>
            </w:pPr>
          </w:p>
        </w:tc>
        <w:tc>
          <w:tcPr>
            <w:tcW w:w="1417" w:type="dxa"/>
            <w:tcBorders>
              <w:top w:val="single" w:sz="4" w:space="0" w:color="auto"/>
              <w:left w:val="nil"/>
              <w:bottom w:val="single" w:sz="4" w:space="0" w:color="auto"/>
              <w:right w:val="nil"/>
            </w:tcBorders>
            <w:vAlign w:val="bottom"/>
            <w:hideMark/>
          </w:tcPr>
          <w:p w14:paraId="73A1987C" w14:textId="77777777" w:rsidR="00F021B0" w:rsidRDefault="00F021B0">
            <w:pPr>
              <w:rPr>
                <w:rFonts w:ascii="Arial" w:hAnsi="Arial" w:cs="Arial"/>
                <w:b/>
                <w:sz w:val="12"/>
                <w:szCs w:val="12"/>
              </w:rPr>
            </w:pPr>
            <w:r>
              <w:rPr>
                <w:rFonts w:ascii="Arial" w:hAnsi="Arial" w:cs="Arial"/>
                <w:b/>
                <w:sz w:val="12"/>
                <w:szCs w:val="12"/>
              </w:rPr>
              <w:t>β (95% CI)</w:t>
            </w:r>
          </w:p>
        </w:tc>
        <w:tc>
          <w:tcPr>
            <w:tcW w:w="742" w:type="dxa"/>
            <w:tcBorders>
              <w:top w:val="single" w:sz="4" w:space="0" w:color="auto"/>
              <w:left w:val="nil"/>
              <w:bottom w:val="single" w:sz="4" w:space="0" w:color="auto"/>
              <w:right w:val="nil"/>
            </w:tcBorders>
            <w:vAlign w:val="bottom"/>
            <w:hideMark/>
          </w:tcPr>
          <w:p w14:paraId="1963B0A1"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69AE9131" w14:textId="77777777" w:rsidTr="00F021B0">
        <w:trPr>
          <w:trHeight w:val="3005"/>
        </w:trPr>
        <w:tc>
          <w:tcPr>
            <w:tcW w:w="8126" w:type="dxa"/>
            <w:gridSpan w:val="5"/>
            <w:tcBorders>
              <w:top w:val="single" w:sz="4" w:space="0" w:color="auto"/>
              <w:left w:val="nil"/>
              <w:bottom w:val="single" w:sz="4" w:space="0" w:color="auto"/>
              <w:right w:val="nil"/>
            </w:tcBorders>
            <w:hideMark/>
          </w:tcPr>
          <w:p w14:paraId="4969D1C3" w14:textId="77777777" w:rsidR="00F021B0" w:rsidRDefault="00F021B0">
            <w:pPr>
              <w:tabs>
                <w:tab w:val="left" w:pos="1482"/>
              </w:tabs>
            </w:pPr>
            <w:r>
              <w:rPr>
                <w:noProof/>
                <w:lang w:val="en-GB" w:eastAsia="en-GB"/>
              </w:rPr>
              <w:drawing>
                <wp:inline distT="0" distB="0" distL="0" distR="0" wp14:anchorId="0C75B005" wp14:editId="19EE6132">
                  <wp:extent cx="5098415" cy="1889125"/>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9" cstate="print">
                            <a:extLst>
                              <a:ext uri="{28A0092B-C50C-407E-A947-70E740481C1C}">
                                <a14:useLocalDpi xmlns:a14="http://schemas.microsoft.com/office/drawing/2010/main" val="0"/>
                              </a:ext>
                            </a:extLst>
                          </a:blip>
                          <a:srcRect l="1587" t="14085" r="2879" b="8508"/>
                          <a:stretch>
                            <a:fillRect/>
                          </a:stretch>
                        </pic:blipFill>
                        <pic:spPr bwMode="auto">
                          <a:xfrm>
                            <a:off x="0" y="0"/>
                            <a:ext cx="5098415" cy="1889125"/>
                          </a:xfrm>
                          <a:prstGeom prst="rect">
                            <a:avLst/>
                          </a:prstGeom>
                          <a:noFill/>
                          <a:ln>
                            <a:noFill/>
                          </a:ln>
                        </pic:spPr>
                      </pic:pic>
                    </a:graphicData>
                  </a:graphic>
                </wp:inline>
              </w:drawing>
            </w:r>
          </w:p>
        </w:tc>
        <w:tc>
          <w:tcPr>
            <w:tcW w:w="6219" w:type="dxa"/>
            <w:gridSpan w:val="5"/>
            <w:tcBorders>
              <w:top w:val="single" w:sz="4" w:space="0" w:color="auto"/>
              <w:left w:val="nil"/>
              <w:bottom w:val="single" w:sz="4" w:space="0" w:color="auto"/>
              <w:right w:val="nil"/>
            </w:tcBorders>
            <w:hideMark/>
          </w:tcPr>
          <w:p w14:paraId="7BA0FA48" w14:textId="77777777" w:rsidR="00F021B0" w:rsidRDefault="00F021B0">
            <w:r>
              <w:rPr>
                <w:noProof/>
                <w:lang w:val="en-GB" w:eastAsia="en-GB"/>
              </w:rPr>
              <w:drawing>
                <wp:inline distT="0" distB="0" distL="0" distR="0" wp14:anchorId="69138989" wp14:editId="2D904CD3">
                  <wp:extent cx="3873500" cy="1889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0" cstate="print">
                            <a:extLst>
                              <a:ext uri="{28A0092B-C50C-407E-A947-70E740481C1C}">
                                <a14:useLocalDpi xmlns:a14="http://schemas.microsoft.com/office/drawing/2010/main" val="0"/>
                              </a:ext>
                            </a:extLst>
                          </a:blip>
                          <a:srcRect l="25060" t="14236" r="2679" b="8507"/>
                          <a:stretch>
                            <a:fillRect/>
                          </a:stretch>
                        </pic:blipFill>
                        <pic:spPr bwMode="auto">
                          <a:xfrm>
                            <a:off x="0" y="0"/>
                            <a:ext cx="3873500" cy="1889125"/>
                          </a:xfrm>
                          <a:prstGeom prst="rect">
                            <a:avLst/>
                          </a:prstGeom>
                          <a:noFill/>
                          <a:ln>
                            <a:noFill/>
                          </a:ln>
                        </pic:spPr>
                      </pic:pic>
                    </a:graphicData>
                  </a:graphic>
                </wp:inline>
              </w:drawing>
            </w:r>
          </w:p>
        </w:tc>
      </w:tr>
      <w:tr w:rsidR="00F021B0" w14:paraId="7F0B5B23" w14:textId="77777777" w:rsidTr="00F021B0">
        <w:tc>
          <w:tcPr>
            <w:tcW w:w="14345" w:type="dxa"/>
            <w:gridSpan w:val="10"/>
            <w:tcBorders>
              <w:top w:val="single" w:sz="4" w:space="0" w:color="auto"/>
              <w:left w:val="nil"/>
              <w:bottom w:val="nil"/>
              <w:right w:val="nil"/>
            </w:tcBorders>
            <w:vAlign w:val="center"/>
            <w:hideMark/>
          </w:tcPr>
          <w:p w14:paraId="1995D503" w14:textId="25441B07" w:rsidR="00D63934" w:rsidRDefault="00045978">
            <w:pPr>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4BCB667C" w14:textId="1CDFF62E" w:rsidR="002413C6" w:rsidRDefault="002413C6" w:rsidP="002413C6">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for </w:t>
            </w:r>
            <w:proofErr w:type="gramStart"/>
            <w:r>
              <w:rPr>
                <w:rFonts w:eastAsia="Times New Roman"/>
                <w:color w:val="000000"/>
                <w:sz w:val="16"/>
                <w:szCs w:val="16"/>
                <w:lang w:val="en-GB" w:eastAsia="en-GB"/>
              </w:rPr>
              <w:t>Non-European</w:t>
            </w:r>
            <w:proofErr w:type="gramEnd"/>
            <w:r>
              <w:rPr>
                <w:rFonts w:eastAsia="Times New Roman"/>
                <w:color w:val="000000"/>
                <w:sz w:val="16"/>
                <w:szCs w:val="16"/>
                <w:lang w:val="en-GB" w:eastAsia="en-GB"/>
              </w:rPr>
              <w:t>-born/Non-White mothers in comparison to European-born/White mothers (reference category). Models were adjusted for</w:t>
            </w:r>
            <w:r w:rsidR="00B84030">
              <w:rPr>
                <w:rFonts w:eastAsia="Times New Roman"/>
                <w:color w:val="000000"/>
                <w:sz w:val="16"/>
                <w:szCs w:val="16"/>
                <w:lang w:val="en-GB" w:eastAsia="en-GB"/>
              </w:rPr>
              <w:t xml:space="preserve"> only</w:t>
            </w:r>
            <w:r>
              <w:rPr>
                <w:rFonts w:eastAsia="Times New Roman"/>
                <w:color w:val="000000"/>
                <w:sz w:val="16"/>
                <w:szCs w:val="16"/>
                <w:lang w:val="en-GB" w:eastAsia="en-GB"/>
              </w:rPr>
              <w:t xml:space="preserve"> the seven </w:t>
            </w:r>
            <w:r w:rsidR="00CB1DE6">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p w14:paraId="02BEC931" w14:textId="77777777" w:rsidR="00CC1E7F" w:rsidRDefault="00F021B0">
            <w:pPr>
              <w:jc w:val="both"/>
              <w:rPr>
                <w:rFonts w:eastAsia="Times New Roman"/>
                <w:sz w:val="16"/>
                <w:szCs w:val="16"/>
                <w:lang w:val="en-GB" w:eastAsia="en-GB"/>
              </w:rPr>
            </w:pPr>
            <w:r>
              <w:rPr>
                <w:rFonts w:eastAsia="Times New Roman"/>
                <w:sz w:val="16"/>
                <w:szCs w:val="16"/>
                <w:lang w:val="en-GB" w:eastAsia="en-GB"/>
              </w:rPr>
              <w:t>For EDEN, maternal ethnicity was proxied by place of birth using the question “Are you born in Europe? Outside Europe?</w:t>
            </w:r>
            <w:proofErr w:type="gramStart"/>
            <w:r>
              <w:rPr>
                <w:rFonts w:eastAsia="Times New Roman"/>
                <w:sz w:val="16"/>
                <w:szCs w:val="16"/>
                <w:lang w:val="en-GB" w:eastAsia="en-GB"/>
              </w:rPr>
              <w:t>”, because</w:t>
            </w:r>
            <w:proofErr w:type="gramEnd"/>
            <w:r>
              <w:rPr>
                <w:rFonts w:eastAsia="Times New Roman"/>
                <w:sz w:val="16"/>
                <w:szCs w:val="16"/>
                <w:lang w:val="en-GB" w:eastAsia="en-GB"/>
              </w:rPr>
              <w:t xml:space="preserve"> specific question on ethnicity was not allowed. </w:t>
            </w:r>
          </w:p>
          <w:p w14:paraId="6904FA83" w14:textId="14079A7F" w:rsidR="00F021B0" w:rsidRDefault="00F021B0">
            <w:pPr>
              <w:jc w:val="both"/>
              <w:rPr>
                <w:rFonts w:eastAsia="Times New Roman"/>
                <w:sz w:val="16"/>
                <w:szCs w:val="16"/>
                <w:lang w:val="en-GB" w:eastAsia="en-GB"/>
              </w:rPr>
            </w:pPr>
            <w:r>
              <w:rPr>
                <w:rFonts w:eastAsia="Times New Roman"/>
                <w:sz w:val="16"/>
                <w:szCs w:val="16"/>
                <w:lang w:val="en-GB" w:eastAsia="en-GB"/>
              </w:rPr>
              <w:t>“White Irish” and “European white” were recruitment criteria for Lifeways and REPRO_PL, respectively.</w:t>
            </w:r>
          </w:p>
        </w:tc>
      </w:tr>
    </w:tbl>
    <w:p w14:paraId="71B44EF7" w14:textId="77777777" w:rsidR="00F021B0" w:rsidRDefault="00F021B0" w:rsidP="00F021B0">
      <w:pPr>
        <w:spacing w:after="200" w:line="276" w:lineRule="auto"/>
        <w:jc w:val="left"/>
        <w:rPr>
          <w:b/>
          <w:color w:val="0070C0"/>
        </w:rPr>
      </w:pPr>
    </w:p>
    <w:p w14:paraId="2D46404F" w14:textId="77777777" w:rsidR="000916DD" w:rsidRDefault="000916DD">
      <w:r>
        <w:br w:type="page"/>
      </w:r>
    </w:p>
    <w:tbl>
      <w:tblPr>
        <w:tblStyle w:val="TableGrid"/>
        <w:tblW w:w="1333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415"/>
        <w:gridCol w:w="2257"/>
        <w:gridCol w:w="856"/>
        <w:gridCol w:w="1134"/>
        <w:gridCol w:w="839"/>
        <w:gridCol w:w="1718"/>
        <w:gridCol w:w="1412"/>
        <w:gridCol w:w="431"/>
        <w:gridCol w:w="1559"/>
        <w:gridCol w:w="709"/>
      </w:tblGrid>
      <w:tr w:rsidR="00F021B0" w14:paraId="44B905CA" w14:textId="77777777" w:rsidTr="00F021B0">
        <w:tc>
          <w:tcPr>
            <w:tcW w:w="13330" w:type="dxa"/>
            <w:gridSpan w:val="10"/>
            <w:tcBorders>
              <w:top w:val="nil"/>
              <w:left w:val="nil"/>
              <w:bottom w:val="single" w:sz="4" w:space="0" w:color="auto"/>
              <w:right w:val="nil"/>
            </w:tcBorders>
            <w:hideMark/>
          </w:tcPr>
          <w:p w14:paraId="7B1DE3CC" w14:textId="4608366E" w:rsidR="00F021B0" w:rsidRDefault="00F021B0">
            <w:pPr>
              <w:spacing w:line="276" w:lineRule="auto"/>
              <w:jc w:val="both"/>
              <w:rPr>
                <w:sz w:val="18"/>
                <w:szCs w:val="18"/>
                <w:lang w:val="en-GB"/>
              </w:rPr>
            </w:pPr>
            <w:r>
              <w:rPr>
                <w:b/>
                <w:color w:val="0070C0"/>
                <w:sz w:val="18"/>
                <w:szCs w:val="18"/>
                <w:lang w:val="en-GB"/>
              </w:rPr>
              <w:lastRenderedPageBreak/>
              <w:t xml:space="preserve">Figure 2E. </w:t>
            </w:r>
            <w:r>
              <w:rPr>
                <w:sz w:val="18"/>
                <w:szCs w:val="18"/>
                <w:lang w:val="en-GB"/>
              </w:rPr>
              <w:t>A</w:t>
            </w:r>
            <w:r w:rsidR="00D63934">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 xml:space="preserve">pre-pregnancy </w:t>
            </w:r>
            <w:r w:rsidR="00F4146D">
              <w:rPr>
                <w:sz w:val="18"/>
                <w:szCs w:val="18"/>
                <w:lang w:val="en-GB"/>
              </w:rPr>
              <w:t>BMI</w:t>
            </w:r>
            <w:r>
              <w:rPr>
                <w:sz w:val="18"/>
                <w:szCs w:val="18"/>
                <w:lang w:val="en-GB"/>
              </w:rPr>
              <w:t xml:space="preserve"> (reference = normal range)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527124">
              <w:rPr>
                <w:sz w:val="18"/>
                <w:szCs w:val="18"/>
                <w:lang w:val="en-GB"/>
              </w:rPr>
              <w:t xml:space="preserve"> and dietary inflammat</w:t>
            </w:r>
            <w:r w:rsidR="00CB1DE6">
              <w:rPr>
                <w:sz w:val="18"/>
                <w:szCs w:val="18"/>
                <w:lang w:val="en-GB"/>
              </w:rPr>
              <w:t>ory potential</w:t>
            </w:r>
            <w:r>
              <w:rPr>
                <w:sz w:val="18"/>
                <w:szCs w:val="18"/>
                <w:lang w:val="en-GB"/>
              </w:rPr>
              <w:t>.</w:t>
            </w:r>
          </w:p>
        </w:tc>
      </w:tr>
      <w:tr w:rsidR="00F021B0" w14:paraId="66476E00" w14:textId="77777777" w:rsidTr="00F021B0">
        <w:trPr>
          <w:trHeight w:val="113"/>
        </w:trPr>
        <w:tc>
          <w:tcPr>
            <w:tcW w:w="2415" w:type="dxa"/>
            <w:tcBorders>
              <w:top w:val="single" w:sz="4" w:space="0" w:color="auto"/>
              <w:left w:val="nil"/>
              <w:bottom w:val="single" w:sz="4" w:space="0" w:color="auto"/>
              <w:right w:val="nil"/>
            </w:tcBorders>
            <w:vAlign w:val="bottom"/>
            <w:hideMark/>
          </w:tcPr>
          <w:p w14:paraId="091FF9D1" w14:textId="77777777" w:rsidR="00F021B0" w:rsidRDefault="00F021B0">
            <w:pPr>
              <w:jc w:val="left"/>
              <w:rPr>
                <w:rFonts w:ascii="Arial" w:hAnsi="Arial" w:cs="Arial"/>
                <w:sz w:val="12"/>
                <w:szCs w:val="12"/>
              </w:rPr>
            </w:pPr>
            <w:r>
              <w:rPr>
                <w:rFonts w:ascii="Arial" w:hAnsi="Arial" w:cs="Arial"/>
                <w:b/>
                <w:sz w:val="12"/>
                <w:szCs w:val="12"/>
              </w:rPr>
              <w:t>Cohorts</w:t>
            </w:r>
          </w:p>
        </w:tc>
        <w:tc>
          <w:tcPr>
            <w:tcW w:w="2257" w:type="dxa"/>
            <w:tcBorders>
              <w:top w:val="single" w:sz="4" w:space="0" w:color="auto"/>
              <w:left w:val="nil"/>
              <w:bottom w:val="single" w:sz="4" w:space="0" w:color="auto"/>
              <w:right w:val="nil"/>
            </w:tcBorders>
            <w:vAlign w:val="bottom"/>
            <w:hideMark/>
          </w:tcPr>
          <w:p w14:paraId="2ABF7BD4" w14:textId="77777777" w:rsidR="00F021B0" w:rsidRDefault="00F021B0">
            <w:pPr>
              <w:rPr>
                <w:rFonts w:ascii="Arial" w:hAnsi="Arial" w:cs="Arial"/>
                <w:b/>
                <w:sz w:val="12"/>
                <w:szCs w:val="12"/>
              </w:rPr>
            </w:pPr>
            <w:r>
              <w:rPr>
                <w:rFonts w:ascii="Arial" w:hAnsi="Arial" w:cs="Arial"/>
                <w:b/>
                <w:sz w:val="12"/>
                <w:szCs w:val="12"/>
              </w:rPr>
              <w:t>DASH score</w:t>
            </w:r>
          </w:p>
        </w:tc>
        <w:tc>
          <w:tcPr>
            <w:tcW w:w="856" w:type="dxa"/>
            <w:tcBorders>
              <w:top w:val="single" w:sz="4" w:space="0" w:color="auto"/>
              <w:left w:val="nil"/>
              <w:bottom w:val="single" w:sz="4" w:space="0" w:color="auto"/>
              <w:right w:val="nil"/>
            </w:tcBorders>
          </w:tcPr>
          <w:p w14:paraId="0EFE30A3"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489C8EAB" w14:textId="77777777" w:rsidR="00F021B0" w:rsidRDefault="00F021B0">
            <w:pPr>
              <w:rPr>
                <w:rFonts w:ascii="Arial" w:hAnsi="Arial" w:cs="Arial"/>
                <w:b/>
                <w:sz w:val="12"/>
                <w:szCs w:val="12"/>
              </w:rPr>
            </w:pPr>
            <w:r>
              <w:rPr>
                <w:rFonts w:ascii="Arial" w:hAnsi="Arial" w:cs="Arial"/>
                <w:b/>
                <w:sz w:val="12"/>
                <w:szCs w:val="12"/>
              </w:rPr>
              <w:t>β (95% CI)</w:t>
            </w:r>
          </w:p>
        </w:tc>
        <w:tc>
          <w:tcPr>
            <w:tcW w:w="839" w:type="dxa"/>
            <w:tcBorders>
              <w:top w:val="single" w:sz="4" w:space="0" w:color="auto"/>
              <w:left w:val="nil"/>
              <w:bottom w:val="single" w:sz="4" w:space="0" w:color="auto"/>
              <w:right w:val="nil"/>
            </w:tcBorders>
            <w:vAlign w:val="bottom"/>
            <w:hideMark/>
          </w:tcPr>
          <w:p w14:paraId="391A0B77" w14:textId="77777777" w:rsidR="00F021B0" w:rsidRDefault="00F021B0">
            <w:pPr>
              <w:jc w:val="right"/>
              <w:rPr>
                <w:rFonts w:ascii="Arial" w:hAnsi="Arial" w:cs="Arial"/>
                <w:b/>
                <w:sz w:val="12"/>
                <w:szCs w:val="12"/>
              </w:rPr>
            </w:pPr>
            <w:r>
              <w:rPr>
                <w:rFonts w:ascii="Arial" w:hAnsi="Arial" w:cs="Arial"/>
                <w:b/>
                <w:sz w:val="12"/>
                <w:szCs w:val="12"/>
              </w:rPr>
              <w:t>Weight (%)</w:t>
            </w:r>
          </w:p>
        </w:tc>
        <w:tc>
          <w:tcPr>
            <w:tcW w:w="1718" w:type="dxa"/>
            <w:tcBorders>
              <w:top w:val="single" w:sz="4" w:space="0" w:color="auto"/>
              <w:left w:val="nil"/>
              <w:bottom w:val="single" w:sz="4" w:space="0" w:color="auto"/>
              <w:right w:val="nil"/>
            </w:tcBorders>
          </w:tcPr>
          <w:p w14:paraId="3736A9CD" w14:textId="77777777" w:rsidR="00F021B0" w:rsidRDefault="00F021B0">
            <w:pPr>
              <w:rPr>
                <w:sz w:val="12"/>
                <w:szCs w:val="12"/>
              </w:rPr>
            </w:pPr>
          </w:p>
        </w:tc>
        <w:tc>
          <w:tcPr>
            <w:tcW w:w="1412" w:type="dxa"/>
            <w:tcBorders>
              <w:top w:val="single" w:sz="4" w:space="0" w:color="auto"/>
              <w:left w:val="nil"/>
              <w:bottom w:val="single" w:sz="4" w:space="0" w:color="auto"/>
              <w:right w:val="nil"/>
            </w:tcBorders>
            <w:vAlign w:val="bottom"/>
            <w:hideMark/>
          </w:tcPr>
          <w:p w14:paraId="471CE195" w14:textId="77777777" w:rsidR="00F021B0" w:rsidRDefault="00F021B0">
            <w:pPr>
              <w:rPr>
                <w:rFonts w:ascii="Arial" w:hAnsi="Arial" w:cs="Arial"/>
                <w:b/>
                <w:sz w:val="12"/>
                <w:szCs w:val="12"/>
              </w:rPr>
            </w:pPr>
            <w:r>
              <w:rPr>
                <w:rFonts w:ascii="Arial" w:hAnsi="Arial" w:cs="Arial"/>
                <w:b/>
                <w:sz w:val="12"/>
                <w:szCs w:val="12"/>
              </w:rPr>
              <w:t>E-DII score</w:t>
            </w:r>
          </w:p>
        </w:tc>
        <w:tc>
          <w:tcPr>
            <w:tcW w:w="431" w:type="dxa"/>
            <w:tcBorders>
              <w:top w:val="single" w:sz="4" w:space="0" w:color="auto"/>
              <w:left w:val="nil"/>
              <w:bottom w:val="single" w:sz="4" w:space="0" w:color="auto"/>
              <w:right w:val="nil"/>
            </w:tcBorders>
          </w:tcPr>
          <w:p w14:paraId="3A06EF3D" w14:textId="77777777" w:rsidR="00F021B0" w:rsidRDefault="00F021B0">
            <w:pPr>
              <w:rPr>
                <w:sz w:val="12"/>
                <w:szCs w:val="12"/>
              </w:rPr>
            </w:pPr>
          </w:p>
        </w:tc>
        <w:tc>
          <w:tcPr>
            <w:tcW w:w="1559" w:type="dxa"/>
            <w:tcBorders>
              <w:top w:val="single" w:sz="4" w:space="0" w:color="auto"/>
              <w:left w:val="nil"/>
              <w:bottom w:val="single" w:sz="4" w:space="0" w:color="auto"/>
              <w:right w:val="nil"/>
            </w:tcBorders>
            <w:vAlign w:val="bottom"/>
            <w:hideMark/>
          </w:tcPr>
          <w:p w14:paraId="3714D665" w14:textId="77777777" w:rsidR="00F021B0" w:rsidRDefault="00F021B0">
            <w:pPr>
              <w:rPr>
                <w:rFonts w:ascii="Arial" w:hAnsi="Arial" w:cs="Arial"/>
                <w:b/>
                <w:sz w:val="12"/>
                <w:szCs w:val="12"/>
              </w:rPr>
            </w:pPr>
            <w:r>
              <w:rPr>
                <w:rFonts w:ascii="Arial" w:hAnsi="Arial" w:cs="Arial"/>
                <w:b/>
                <w:sz w:val="12"/>
                <w:szCs w:val="12"/>
              </w:rPr>
              <w:t>β (95% CI)</w:t>
            </w:r>
          </w:p>
        </w:tc>
        <w:tc>
          <w:tcPr>
            <w:tcW w:w="709" w:type="dxa"/>
            <w:tcBorders>
              <w:top w:val="single" w:sz="4" w:space="0" w:color="auto"/>
              <w:left w:val="nil"/>
              <w:bottom w:val="single" w:sz="4" w:space="0" w:color="auto"/>
              <w:right w:val="nil"/>
            </w:tcBorders>
            <w:vAlign w:val="bottom"/>
            <w:hideMark/>
          </w:tcPr>
          <w:p w14:paraId="3571B55D"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0FE04346" w14:textId="77777777" w:rsidTr="00F021B0">
        <w:trPr>
          <w:trHeight w:val="3515"/>
        </w:trPr>
        <w:tc>
          <w:tcPr>
            <w:tcW w:w="7501" w:type="dxa"/>
            <w:gridSpan w:val="5"/>
            <w:tcBorders>
              <w:top w:val="single" w:sz="4" w:space="0" w:color="auto"/>
              <w:left w:val="nil"/>
              <w:bottom w:val="single" w:sz="4" w:space="0" w:color="auto"/>
              <w:right w:val="nil"/>
            </w:tcBorders>
            <w:hideMark/>
          </w:tcPr>
          <w:p w14:paraId="5D53DF33" w14:textId="77777777" w:rsidR="00F021B0" w:rsidRDefault="00F021B0">
            <w:pPr>
              <w:tabs>
                <w:tab w:val="left" w:pos="1482"/>
              </w:tabs>
            </w:pPr>
            <w:r>
              <w:rPr>
                <w:noProof/>
                <w:lang w:val="en-GB" w:eastAsia="en-GB"/>
              </w:rPr>
              <w:drawing>
                <wp:inline distT="0" distB="0" distL="0" distR="0" wp14:anchorId="13DFFE64" wp14:editId="132EFD99">
                  <wp:extent cx="4701540" cy="3743960"/>
                  <wp:effectExtent l="0" t="0" r="381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cstate="print">
                            <a:extLst>
                              <a:ext uri="{28A0092B-C50C-407E-A947-70E740481C1C}">
                                <a14:useLocalDpi xmlns:a14="http://schemas.microsoft.com/office/drawing/2010/main" val="0"/>
                              </a:ext>
                            </a:extLst>
                          </a:blip>
                          <a:srcRect l="2278" t="7582" r="6203" b="6551"/>
                          <a:stretch>
                            <a:fillRect/>
                          </a:stretch>
                        </pic:blipFill>
                        <pic:spPr bwMode="auto">
                          <a:xfrm>
                            <a:off x="0" y="0"/>
                            <a:ext cx="4701540" cy="3743960"/>
                          </a:xfrm>
                          <a:prstGeom prst="rect">
                            <a:avLst/>
                          </a:prstGeom>
                          <a:noFill/>
                          <a:ln>
                            <a:noFill/>
                          </a:ln>
                        </pic:spPr>
                      </pic:pic>
                    </a:graphicData>
                  </a:graphic>
                </wp:inline>
              </w:drawing>
            </w:r>
          </w:p>
        </w:tc>
        <w:tc>
          <w:tcPr>
            <w:tcW w:w="5829" w:type="dxa"/>
            <w:gridSpan w:val="5"/>
            <w:tcBorders>
              <w:top w:val="single" w:sz="4" w:space="0" w:color="auto"/>
              <w:left w:val="nil"/>
              <w:bottom w:val="single" w:sz="4" w:space="0" w:color="auto"/>
              <w:right w:val="nil"/>
            </w:tcBorders>
            <w:hideMark/>
          </w:tcPr>
          <w:p w14:paraId="75A68243" w14:textId="77777777" w:rsidR="00F021B0" w:rsidRDefault="00F021B0">
            <w:r>
              <w:rPr>
                <w:noProof/>
                <w:lang w:val="en-GB" w:eastAsia="en-GB"/>
              </w:rPr>
              <w:drawing>
                <wp:inline distT="0" distB="0" distL="0" distR="0" wp14:anchorId="0CC3A410" wp14:editId="4879A63F">
                  <wp:extent cx="3583972" cy="3747600"/>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2" cstate="print">
                            <a:extLst>
                              <a:ext uri="{28A0092B-C50C-407E-A947-70E740481C1C}">
                                <a14:useLocalDpi xmlns:a14="http://schemas.microsoft.com/office/drawing/2010/main" val="0"/>
                              </a:ext>
                            </a:extLst>
                          </a:blip>
                          <a:srcRect l="25264" t="7466" r="6131" b="5365"/>
                          <a:stretch>
                            <a:fillRect/>
                          </a:stretch>
                        </pic:blipFill>
                        <pic:spPr bwMode="auto">
                          <a:xfrm>
                            <a:off x="0" y="0"/>
                            <a:ext cx="3583972" cy="3747600"/>
                          </a:xfrm>
                          <a:prstGeom prst="rect">
                            <a:avLst/>
                          </a:prstGeom>
                          <a:noFill/>
                          <a:ln>
                            <a:noFill/>
                          </a:ln>
                        </pic:spPr>
                      </pic:pic>
                    </a:graphicData>
                  </a:graphic>
                </wp:inline>
              </w:drawing>
            </w:r>
          </w:p>
        </w:tc>
      </w:tr>
      <w:tr w:rsidR="00F021B0" w14:paraId="6792B49C" w14:textId="77777777" w:rsidTr="00F021B0">
        <w:tc>
          <w:tcPr>
            <w:tcW w:w="13330" w:type="dxa"/>
            <w:gridSpan w:val="10"/>
            <w:tcBorders>
              <w:top w:val="single" w:sz="4" w:space="0" w:color="auto"/>
              <w:left w:val="nil"/>
              <w:bottom w:val="nil"/>
              <w:right w:val="nil"/>
            </w:tcBorders>
            <w:vAlign w:val="center"/>
            <w:hideMark/>
          </w:tcPr>
          <w:p w14:paraId="65C92D71" w14:textId="0DB37AA9" w:rsidR="00D63934" w:rsidRDefault="00045978">
            <w:pPr>
              <w:jc w:val="both"/>
              <w:rPr>
                <w:noProof/>
                <w:sz w:val="16"/>
                <w:szCs w:val="16"/>
                <w:lang w:val="en-GB" w:eastAsia="en-GB"/>
              </w:rPr>
            </w:pPr>
            <w:r>
              <w:rPr>
                <w:noProof/>
                <w:sz w:val="16"/>
                <w:szCs w:val="16"/>
                <w:lang w:val="en-GB" w:eastAsia="en-GB"/>
              </w:rPr>
              <w:t xml:space="preserve">Abbreviations: </w:t>
            </w:r>
            <w:r w:rsidR="00F021B0">
              <w:rPr>
                <w:noProof/>
                <w:sz w:val="16"/>
                <w:szCs w:val="16"/>
                <w:lang w:val="en-GB" w:eastAsia="en-GB"/>
              </w:rPr>
              <w:t>DASH</w:t>
            </w:r>
            <w:r>
              <w:rPr>
                <w:noProof/>
                <w:sz w:val="16"/>
                <w:szCs w:val="16"/>
                <w:lang w:val="en-GB" w:eastAsia="en-GB"/>
              </w:rPr>
              <w:t>,</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r w:rsidR="00F4146D">
              <w:rPr>
                <w:noProof/>
                <w:sz w:val="16"/>
                <w:szCs w:val="16"/>
                <w:lang w:val="en-GB" w:eastAsia="en-GB"/>
              </w:rPr>
              <w:t>BMI</w:t>
            </w:r>
            <w:r>
              <w:rPr>
                <w:noProof/>
                <w:sz w:val="16"/>
                <w:szCs w:val="16"/>
                <w:lang w:val="en-GB" w:eastAsia="en-GB"/>
              </w:rPr>
              <w:t>,</w:t>
            </w:r>
            <w:r w:rsidR="00F4146D">
              <w:rPr>
                <w:noProof/>
                <w:sz w:val="16"/>
                <w:szCs w:val="16"/>
                <w:lang w:val="en-GB" w:eastAsia="en-GB"/>
              </w:rPr>
              <w:t xml:space="preserve"> body mass index.</w:t>
            </w:r>
          </w:p>
          <w:p w14:paraId="6902D770" w14:textId="3375C3D4" w:rsidR="00405E16" w:rsidRDefault="00405E16">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per category of pre-pregnancy BMI (overweight category – </w:t>
            </w:r>
            <w:proofErr w:type="spellStart"/>
            <w:r>
              <w:rPr>
                <w:rFonts w:eastAsia="Times New Roman"/>
                <w:color w:val="000000"/>
                <w:sz w:val="16"/>
                <w:szCs w:val="16"/>
                <w:lang w:val="en-GB" w:eastAsia="en-GB"/>
              </w:rPr>
              <w:t>gray</w:t>
            </w:r>
            <w:proofErr w:type="spellEnd"/>
            <w:r>
              <w:rPr>
                <w:rFonts w:eastAsia="Times New Roman"/>
                <w:color w:val="000000"/>
                <w:sz w:val="16"/>
                <w:szCs w:val="16"/>
                <w:lang w:val="en-GB" w:eastAsia="en-GB"/>
              </w:rPr>
              <w:t xml:space="preserve"> square or obesity category – black lozenge, in comparison with the normal range category – reference category). Models were adjusted for </w:t>
            </w:r>
            <w:r w:rsidR="00B84030">
              <w:rPr>
                <w:rFonts w:eastAsia="Times New Roman"/>
                <w:color w:val="000000"/>
                <w:sz w:val="16"/>
                <w:szCs w:val="16"/>
                <w:lang w:val="en-GB" w:eastAsia="en-GB"/>
              </w:rPr>
              <w:t xml:space="preserve">only </w:t>
            </w:r>
            <w:r>
              <w:rPr>
                <w:rFonts w:eastAsia="Times New Roman"/>
                <w:color w:val="000000"/>
                <w:sz w:val="16"/>
                <w:szCs w:val="16"/>
                <w:lang w:val="en-GB" w:eastAsia="en-GB"/>
              </w:rPr>
              <w:t xml:space="preserve">the seven </w:t>
            </w:r>
            <w:r w:rsidR="00CB1DE6">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BMI, smoking status during pregnancy, and alcohol consumption during pregnancy.</w:t>
            </w:r>
          </w:p>
          <w:p w14:paraId="06A05AA4" w14:textId="7A98FA95" w:rsidR="00D63934" w:rsidRDefault="00F021B0">
            <w:pPr>
              <w:jc w:val="both"/>
              <w:rPr>
                <w:rFonts w:eastAsia="Times New Roman"/>
                <w:color w:val="000000"/>
                <w:sz w:val="16"/>
                <w:szCs w:val="16"/>
                <w:lang w:val="en-GB" w:eastAsia="en-GB"/>
              </w:rPr>
            </w:pPr>
            <w:r>
              <w:rPr>
                <w:rFonts w:eastAsia="Times New Roman"/>
                <w:color w:val="000000"/>
                <w:sz w:val="16"/>
                <w:szCs w:val="16"/>
                <w:lang w:val="en-GB" w:eastAsia="en-GB"/>
              </w:rPr>
              <w:t xml:space="preserve">Because the first category of </w:t>
            </w:r>
            <w:r w:rsidR="00F4146D">
              <w:rPr>
                <w:rFonts w:eastAsia="Times New Roman"/>
                <w:color w:val="000000"/>
                <w:sz w:val="16"/>
                <w:szCs w:val="16"/>
                <w:lang w:val="en-GB" w:eastAsia="en-GB"/>
              </w:rPr>
              <w:t>BMI</w:t>
            </w:r>
            <w:r>
              <w:rPr>
                <w:rFonts w:eastAsia="Times New Roman"/>
                <w:color w:val="000000"/>
                <w:sz w:val="16"/>
                <w:szCs w:val="16"/>
                <w:lang w:val="en-GB" w:eastAsia="en-GB"/>
              </w:rPr>
              <w:t xml:space="preserve"> "underweight" was not significantly associated and with small frequencies in most cohorts, it is not represented in this forest plot </w:t>
            </w:r>
            <w:r w:rsidR="00527124">
              <w:rPr>
                <w:rFonts w:eastAsia="Times New Roman"/>
                <w:color w:val="000000"/>
                <w:sz w:val="16"/>
                <w:szCs w:val="16"/>
                <w:lang w:val="en-GB" w:eastAsia="en-GB"/>
              </w:rPr>
              <w:t xml:space="preserve">for the sake of </w:t>
            </w:r>
            <w:r>
              <w:rPr>
                <w:rFonts w:eastAsia="Times New Roman"/>
                <w:color w:val="000000"/>
                <w:sz w:val="16"/>
                <w:szCs w:val="16"/>
                <w:lang w:val="en-GB" w:eastAsia="en-GB"/>
              </w:rPr>
              <w:t xml:space="preserve">readability. </w:t>
            </w:r>
          </w:p>
          <w:p w14:paraId="29817C85" w14:textId="3B0D41C1" w:rsidR="00F021B0" w:rsidRDefault="00F021B0">
            <w:pPr>
              <w:jc w:val="both"/>
              <w:rPr>
                <w:sz w:val="16"/>
                <w:szCs w:val="16"/>
                <w:lang w:val="en-GB"/>
              </w:rPr>
            </w:pPr>
            <w:r>
              <w:rPr>
                <w:rFonts w:eastAsia="Times New Roman"/>
                <w:sz w:val="16"/>
                <w:szCs w:val="16"/>
                <w:lang w:val="en-GB" w:eastAsia="en-GB"/>
              </w:rPr>
              <w:t xml:space="preserve">Weight measured or reported at inclusion or during early pregnancy follow-up has been used, when available, to impute missing values: EDEN: 9 cases (Gestational age (GA)= 12.6 ± 1.1 [mean ± </w:t>
            </w:r>
            <w:proofErr w:type="spellStart"/>
            <w:r>
              <w:rPr>
                <w:rFonts w:eastAsia="Times New Roman"/>
                <w:sz w:val="16"/>
                <w:szCs w:val="16"/>
                <w:lang w:val="en-GB" w:eastAsia="en-GB"/>
              </w:rPr>
              <w:t>sd</w:t>
            </w:r>
            <w:proofErr w:type="spellEnd"/>
            <w:r>
              <w:rPr>
                <w:rFonts w:eastAsia="Times New Roman"/>
                <w:sz w:val="16"/>
                <w:szCs w:val="16"/>
                <w:lang w:val="en-GB" w:eastAsia="en-GB"/>
              </w:rPr>
              <w:t>]), Generation R: 575 cases (GA= 14.1 ± 1.6), REPRO_PL: 5 cases (GA= 10.3 ± 1.7), ROLO: 629 cases (all the sample) (GA= 12.8 ± 2.3), SWS: 8 cases (GA= 12.2 ± 1.1).</w:t>
            </w:r>
          </w:p>
        </w:tc>
      </w:tr>
    </w:tbl>
    <w:p w14:paraId="0227AAA7" w14:textId="77777777" w:rsidR="00F021B0" w:rsidRDefault="00F021B0" w:rsidP="00F021B0">
      <w:pPr>
        <w:spacing w:after="200" w:line="276" w:lineRule="auto"/>
        <w:jc w:val="left"/>
        <w:rPr>
          <w:b/>
          <w:color w:val="0070C0"/>
        </w:rPr>
      </w:pPr>
    </w:p>
    <w:p w14:paraId="46CA8450" w14:textId="77777777" w:rsidR="00F021B0" w:rsidRDefault="00F021B0" w:rsidP="00F021B0">
      <w:pPr>
        <w:spacing w:after="200" w:line="276" w:lineRule="auto"/>
        <w:jc w:val="left"/>
        <w:rPr>
          <w:b/>
          <w:color w:val="0070C0"/>
        </w:rPr>
      </w:pPr>
      <w:r>
        <w:rPr>
          <w:b/>
          <w:color w:val="0070C0"/>
        </w:rPr>
        <w:br w:type="page"/>
      </w:r>
    </w:p>
    <w:tbl>
      <w:tblPr>
        <w:tblStyle w:val="TableGrid"/>
        <w:tblW w:w="12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838"/>
        <w:gridCol w:w="1701"/>
        <w:gridCol w:w="284"/>
        <w:gridCol w:w="1405"/>
        <w:gridCol w:w="709"/>
        <w:gridCol w:w="403"/>
        <w:gridCol w:w="2727"/>
        <w:gridCol w:w="851"/>
        <w:gridCol w:w="1417"/>
        <w:gridCol w:w="719"/>
      </w:tblGrid>
      <w:tr w:rsidR="00F021B0" w14:paraId="350D8403" w14:textId="77777777" w:rsidTr="00F021B0">
        <w:tc>
          <w:tcPr>
            <w:tcW w:w="12054" w:type="dxa"/>
            <w:gridSpan w:val="10"/>
            <w:tcBorders>
              <w:top w:val="nil"/>
              <w:left w:val="nil"/>
              <w:bottom w:val="single" w:sz="4" w:space="0" w:color="auto"/>
              <w:right w:val="nil"/>
            </w:tcBorders>
            <w:hideMark/>
          </w:tcPr>
          <w:p w14:paraId="6242BB04" w14:textId="7BF809D0" w:rsidR="00F021B0" w:rsidRDefault="00F021B0">
            <w:pPr>
              <w:spacing w:line="276" w:lineRule="auto"/>
              <w:jc w:val="both"/>
              <w:rPr>
                <w:sz w:val="18"/>
                <w:szCs w:val="18"/>
                <w:lang w:val="en-GB"/>
              </w:rPr>
            </w:pPr>
            <w:r>
              <w:rPr>
                <w:b/>
                <w:color w:val="0070C0"/>
                <w:sz w:val="18"/>
                <w:szCs w:val="18"/>
                <w:lang w:val="en-GB"/>
              </w:rPr>
              <w:lastRenderedPageBreak/>
              <w:t xml:space="preserve">Figure 2F. </w:t>
            </w:r>
            <w:r>
              <w:rPr>
                <w:sz w:val="18"/>
                <w:szCs w:val="18"/>
                <w:lang w:val="en-GB"/>
              </w:rPr>
              <w:t>A</w:t>
            </w:r>
            <w:r w:rsidR="00D63934">
              <w:rPr>
                <w:sz w:val="18"/>
                <w:szCs w:val="18"/>
                <w:lang w:val="en-GB"/>
              </w:rPr>
              <w:t>djusted a</w:t>
            </w:r>
            <w:r>
              <w:rPr>
                <w:sz w:val="18"/>
                <w:szCs w:val="18"/>
                <w:lang w:val="en-GB"/>
              </w:rPr>
              <w:t xml:space="preserve">ssociations </w:t>
            </w:r>
            <w:r w:rsidR="00527124">
              <w:rPr>
                <w:sz w:val="18"/>
                <w:szCs w:val="18"/>
                <w:lang w:val="en-GB"/>
              </w:rPr>
              <w:t xml:space="preserve">of </w:t>
            </w:r>
            <w:r>
              <w:rPr>
                <w:sz w:val="18"/>
                <w:szCs w:val="18"/>
                <w:lang w:val="en-GB"/>
              </w:rPr>
              <w:t xml:space="preserve">smoking status during pregnancy (reference = non-smoker) </w:t>
            </w:r>
            <w:r w:rsidR="00527124">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527124">
              <w:rPr>
                <w:sz w:val="18"/>
                <w:szCs w:val="18"/>
                <w:lang w:val="en-GB"/>
              </w:rPr>
              <w:t xml:space="preserve"> and dietary inflammat</w:t>
            </w:r>
            <w:r w:rsidR="00CB1DE6">
              <w:rPr>
                <w:sz w:val="18"/>
                <w:szCs w:val="18"/>
                <w:lang w:val="en-GB"/>
              </w:rPr>
              <w:t>ory potential</w:t>
            </w:r>
            <w:r>
              <w:rPr>
                <w:sz w:val="18"/>
                <w:szCs w:val="18"/>
                <w:lang w:val="en-GB"/>
              </w:rPr>
              <w:t>.</w:t>
            </w:r>
          </w:p>
        </w:tc>
      </w:tr>
      <w:tr w:rsidR="00F021B0" w14:paraId="2D5E051D" w14:textId="77777777" w:rsidTr="00F021B0">
        <w:trPr>
          <w:trHeight w:val="113"/>
        </w:trPr>
        <w:tc>
          <w:tcPr>
            <w:tcW w:w="1838" w:type="dxa"/>
            <w:tcBorders>
              <w:top w:val="single" w:sz="4" w:space="0" w:color="auto"/>
              <w:left w:val="nil"/>
              <w:bottom w:val="single" w:sz="4" w:space="0" w:color="auto"/>
              <w:right w:val="nil"/>
            </w:tcBorders>
            <w:vAlign w:val="bottom"/>
            <w:hideMark/>
          </w:tcPr>
          <w:p w14:paraId="628E2EB8" w14:textId="77777777" w:rsidR="00F021B0" w:rsidRDefault="00F021B0">
            <w:pPr>
              <w:jc w:val="left"/>
              <w:rPr>
                <w:rFonts w:ascii="Arial" w:hAnsi="Arial" w:cs="Arial"/>
                <w:sz w:val="12"/>
                <w:szCs w:val="12"/>
              </w:rPr>
            </w:pPr>
            <w:r>
              <w:rPr>
                <w:rFonts w:ascii="Arial" w:hAnsi="Arial" w:cs="Arial"/>
                <w:b/>
                <w:sz w:val="12"/>
                <w:szCs w:val="12"/>
              </w:rPr>
              <w:t>Cohorts</w:t>
            </w:r>
          </w:p>
        </w:tc>
        <w:tc>
          <w:tcPr>
            <w:tcW w:w="1701" w:type="dxa"/>
            <w:tcBorders>
              <w:top w:val="single" w:sz="4" w:space="0" w:color="auto"/>
              <w:left w:val="nil"/>
              <w:bottom w:val="single" w:sz="4" w:space="0" w:color="auto"/>
              <w:right w:val="nil"/>
            </w:tcBorders>
            <w:vAlign w:val="bottom"/>
            <w:hideMark/>
          </w:tcPr>
          <w:p w14:paraId="03A33B90" w14:textId="77777777" w:rsidR="00F021B0" w:rsidRDefault="00F021B0">
            <w:pPr>
              <w:rPr>
                <w:rFonts w:ascii="Arial" w:hAnsi="Arial" w:cs="Arial"/>
                <w:b/>
                <w:sz w:val="12"/>
                <w:szCs w:val="12"/>
              </w:rPr>
            </w:pPr>
            <w:r>
              <w:rPr>
                <w:rFonts w:ascii="Arial" w:hAnsi="Arial" w:cs="Arial"/>
                <w:b/>
                <w:sz w:val="12"/>
                <w:szCs w:val="12"/>
              </w:rPr>
              <w:t>DASH score</w:t>
            </w:r>
          </w:p>
        </w:tc>
        <w:tc>
          <w:tcPr>
            <w:tcW w:w="284" w:type="dxa"/>
            <w:tcBorders>
              <w:top w:val="single" w:sz="4" w:space="0" w:color="auto"/>
              <w:left w:val="nil"/>
              <w:bottom w:val="single" w:sz="4" w:space="0" w:color="auto"/>
              <w:right w:val="nil"/>
            </w:tcBorders>
          </w:tcPr>
          <w:p w14:paraId="2830BA50" w14:textId="77777777" w:rsidR="00F021B0" w:rsidRDefault="00F021B0">
            <w:pPr>
              <w:rPr>
                <w:sz w:val="12"/>
                <w:szCs w:val="12"/>
              </w:rPr>
            </w:pPr>
          </w:p>
        </w:tc>
        <w:tc>
          <w:tcPr>
            <w:tcW w:w="1405" w:type="dxa"/>
            <w:tcBorders>
              <w:top w:val="single" w:sz="4" w:space="0" w:color="auto"/>
              <w:left w:val="nil"/>
              <w:bottom w:val="single" w:sz="4" w:space="0" w:color="auto"/>
              <w:right w:val="nil"/>
            </w:tcBorders>
            <w:vAlign w:val="bottom"/>
            <w:hideMark/>
          </w:tcPr>
          <w:p w14:paraId="70684EF9" w14:textId="77777777" w:rsidR="00F021B0" w:rsidRDefault="00F021B0">
            <w:pPr>
              <w:rPr>
                <w:rFonts w:ascii="Arial" w:hAnsi="Arial" w:cs="Arial"/>
                <w:b/>
                <w:sz w:val="12"/>
                <w:szCs w:val="12"/>
              </w:rPr>
            </w:pPr>
            <w:r>
              <w:rPr>
                <w:rFonts w:ascii="Arial" w:hAnsi="Arial" w:cs="Arial"/>
                <w:b/>
                <w:sz w:val="12"/>
                <w:szCs w:val="12"/>
              </w:rPr>
              <w:t>β (95% CI)</w:t>
            </w:r>
          </w:p>
        </w:tc>
        <w:tc>
          <w:tcPr>
            <w:tcW w:w="709" w:type="dxa"/>
            <w:tcBorders>
              <w:top w:val="single" w:sz="4" w:space="0" w:color="auto"/>
              <w:left w:val="nil"/>
              <w:bottom w:val="single" w:sz="4" w:space="0" w:color="auto"/>
              <w:right w:val="nil"/>
            </w:tcBorders>
            <w:vAlign w:val="bottom"/>
            <w:hideMark/>
          </w:tcPr>
          <w:p w14:paraId="6CAAA456" w14:textId="77777777" w:rsidR="00F021B0" w:rsidRDefault="00F021B0">
            <w:pPr>
              <w:jc w:val="right"/>
              <w:rPr>
                <w:rFonts w:ascii="Arial" w:hAnsi="Arial" w:cs="Arial"/>
                <w:b/>
                <w:sz w:val="12"/>
                <w:szCs w:val="12"/>
              </w:rPr>
            </w:pPr>
            <w:r>
              <w:rPr>
                <w:rFonts w:ascii="Arial" w:hAnsi="Arial" w:cs="Arial"/>
                <w:b/>
                <w:sz w:val="12"/>
                <w:szCs w:val="12"/>
              </w:rPr>
              <w:t>Weight (%)</w:t>
            </w:r>
          </w:p>
        </w:tc>
        <w:tc>
          <w:tcPr>
            <w:tcW w:w="403" w:type="dxa"/>
            <w:tcBorders>
              <w:top w:val="single" w:sz="4" w:space="0" w:color="auto"/>
              <w:left w:val="nil"/>
              <w:bottom w:val="single" w:sz="4" w:space="0" w:color="auto"/>
              <w:right w:val="nil"/>
            </w:tcBorders>
          </w:tcPr>
          <w:p w14:paraId="696F5713" w14:textId="77777777" w:rsidR="00F021B0" w:rsidRDefault="00F021B0">
            <w:pPr>
              <w:rPr>
                <w:sz w:val="12"/>
                <w:szCs w:val="12"/>
              </w:rPr>
            </w:pPr>
          </w:p>
        </w:tc>
        <w:tc>
          <w:tcPr>
            <w:tcW w:w="2727" w:type="dxa"/>
            <w:tcBorders>
              <w:top w:val="single" w:sz="4" w:space="0" w:color="auto"/>
              <w:left w:val="nil"/>
              <w:bottom w:val="single" w:sz="4" w:space="0" w:color="auto"/>
              <w:right w:val="nil"/>
            </w:tcBorders>
            <w:vAlign w:val="bottom"/>
            <w:hideMark/>
          </w:tcPr>
          <w:p w14:paraId="6F6C5A07" w14:textId="77777777" w:rsidR="00F021B0" w:rsidRDefault="00F021B0">
            <w:pPr>
              <w:rPr>
                <w:rFonts w:ascii="Arial" w:hAnsi="Arial" w:cs="Arial"/>
                <w:b/>
                <w:sz w:val="12"/>
                <w:szCs w:val="12"/>
              </w:rPr>
            </w:pPr>
            <w:r>
              <w:rPr>
                <w:rFonts w:ascii="Arial" w:hAnsi="Arial" w:cs="Arial"/>
                <w:b/>
                <w:sz w:val="12"/>
                <w:szCs w:val="12"/>
              </w:rPr>
              <w:t>E-DII score</w:t>
            </w:r>
          </w:p>
        </w:tc>
        <w:tc>
          <w:tcPr>
            <w:tcW w:w="851" w:type="dxa"/>
            <w:tcBorders>
              <w:top w:val="single" w:sz="4" w:space="0" w:color="auto"/>
              <w:left w:val="nil"/>
              <w:bottom w:val="single" w:sz="4" w:space="0" w:color="auto"/>
              <w:right w:val="nil"/>
            </w:tcBorders>
          </w:tcPr>
          <w:p w14:paraId="2AC6AE7D" w14:textId="77777777" w:rsidR="00F021B0" w:rsidRDefault="00F021B0">
            <w:pPr>
              <w:rPr>
                <w:sz w:val="12"/>
                <w:szCs w:val="12"/>
              </w:rPr>
            </w:pPr>
          </w:p>
        </w:tc>
        <w:tc>
          <w:tcPr>
            <w:tcW w:w="1417" w:type="dxa"/>
            <w:tcBorders>
              <w:top w:val="single" w:sz="4" w:space="0" w:color="auto"/>
              <w:left w:val="nil"/>
              <w:bottom w:val="single" w:sz="4" w:space="0" w:color="auto"/>
              <w:right w:val="nil"/>
            </w:tcBorders>
            <w:vAlign w:val="bottom"/>
            <w:hideMark/>
          </w:tcPr>
          <w:p w14:paraId="2320B346" w14:textId="77777777" w:rsidR="00F021B0" w:rsidRDefault="00F021B0">
            <w:pPr>
              <w:rPr>
                <w:rFonts w:ascii="Arial" w:hAnsi="Arial" w:cs="Arial"/>
                <w:b/>
                <w:sz w:val="12"/>
                <w:szCs w:val="12"/>
              </w:rPr>
            </w:pPr>
            <w:r>
              <w:rPr>
                <w:rFonts w:ascii="Arial" w:hAnsi="Arial" w:cs="Arial"/>
                <w:b/>
                <w:sz w:val="12"/>
                <w:szCs w:val="12"/>
              </w:rPr>
              <w:t>β (95% CI)</w:t>
            </w:r>
          </w:p>
        </w:tc>
        <w:tc>
          <w:tcPr>
            <w:tcW w:w="719" w:type="dxa"/>
            <w:tcBorders>
              <w:top w:val="single" w:sz="4" w:space="0" w:color="auto"/>
              <w:left w:val="nil"/>
              <w:bottom w:val="single" w:sz="4" w:space="0" w:color="auto"/>
              <w:right w:val="nil"/>
            </w:tcBorders>
            <w:vAlign w:val="bottom"/>
            <w:hideMark/>
          </w:tcPr>
          <w:p w14:paraId="388A514F"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5DA77D31" w14:textId="77777777" w:rsidTr="00F021B0">
        <w:trPr>
          <w:trHeight w:val="3288"/>
        </w:trPr>
        <w:tc>
          <w:tcPr>
            <w:tcW w:w="5937" w:type="dxa"/>
            <w:gridSpan w:val="5"/>
            <w:tcBorders>
              <w:top w:val="single" w:sz="4" w:space="0" w:color="auto"/>
              <w:left w:val="nil"/>
              <w:bottom w:val="single" w:sz="4" w:space="0" w:color="auto"/>
              <w:right w:val="nil"/>
            </w:tcBorders>
            <w:hideMark/>
          </w:tcPr>
          <w:p w14:paraId="0AF6F2F8" w14:textId="77777777" w:rsidR="00F021B0" w:rsidRDefault="00F021B0">
            <w:pPr>
              <w:tabs>
                <w:tab w:val="left" w:pos="1482"/>
              </w:tabs>
            </w:pPr>
            <w:r>
              <w:rPr>
                <w:noProof/>
                <w:lang w:val="en-GB" w:eastAsia="en-GB"/>
              </w:rPr>
              <w:drawing>
                <wp:inline distT="0" distB="0" distL="0" distR="0" wp14:anchorId="7DEB8DB5" wp14:editId="50A85C41">
                  <wp:extent cx="3674745" cy="219964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3" cstate="print">
                            <a:extLst>
                              <a:ext uri="{28A0092B-C50C-407E-A947-70E740481C1C}">
                                <a14:useLocalDpi xmlns:a14="http://schemas.microsoft.com/office/drawing/2010/main" val="0"/>
                              </a:ext>
                            </a:extLst>
                          </a:blip>
                          <a:srcRect l="1311" t="11340" r="2415" b="3340"/>
                          <a:stretch>
                            <a:fillRect/>
                          </a:stretch>
                        </pic:blipFill>
                        <pic:spPr bwMode="auto">
                          <a:xfrm>
                            <a:off x="0" y="0"/>
                            <a:ext cx="3674745" cy="2199640"/>
                          </a:xfrm>
                          <a:prstGeom prst="rect">
                            <a:avLst/>
                          </a:prstGeom>
                          <a:noFill/>
                          <a:ln>
                            <a:noFill/>
                          </a:ln>
                        </pic:spPr>
                      </pic:pic>
                    </a:graphicData>
                  </a:graphic>
                </wp:inline>
              </w:drawing>
            </w:r>
          </w:p>
        </w:tc>
        <w:tc>
          <w:tcPr>
            <w:tcW w:w="6117" w:type="dxa"/>
            <w:gridSpan w:val="5"/>
            <w:tcBorders>
              <w:top w:val="single" w:sz="4" w:space="0" w:color="auto"/>
              <w:left w:val="nil"/>
              <w:bottom w:val="single" w:sz="4" w:space="0" w:color="auto"/>
              <w:right w:val="nil"/>
            </w:tcBorders>
            <w:hideMark/>
          </w:tcPr>
          <w:p w14:paraId="3ED3C7DF" w14:textId="77777777" w:rsidR="00F021B0" w:rsidRDefault="00F021B0">
            <w:pPr>
              <w:jc w:val="left"/>
            </w:pPr>
            <w:r>
              <w:rPr>
                <w:noProof/>
                <w:lang w:val="en-GB" w:eastAsia="en-GB"/>
              </w:rPr>
              <w:drawing>
                <wp:inline distT="0" distB="0" distL="0" distR="0" wp14:anchorId="65E7FB0F" wp14:editId="0F97594D">
                  <wp:extent cx="3818040" cy="2224800"/>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44" cstate="print">
                            <a:extLst>
                              <a:ext uri="{28A0092B-C50C-407E-A947-70E740481C1C}">
                                <a14:useLocalDpi xmlns:a14="http://schemas.microsoft.com/office/drawing/2010/main" val="0"/>
                              </a:ext>
                            </a:extLst>
                          </a:blip>
                          <a:srcRect l="26157" t="12131" r="2345" b="7977"/>
                          <a:stretch>
                            <a:fillRect/>
                          </a:stretch>
                        </pic:blipFill>
                        <pic:spPr bwMode="auto">
                          <a:xfrm>
                            <a:off x="0" y="0"/>
                            <a:ext cx="3818040" cy="2224800"/>
                          </a:xfrm>
                          <a:prstGeom prst="rect">
                            <a:avLst/>
                          </a:prstGeom>
                          <a:noFill/>
                          <a:ln>
                            <a:noFill/>
                          </a:ln>
                        </pic:spPr>
                      </pic:pic>
                    </a:graphicData>
                  </a:graphic>
                </wp:inline>
              </w:drawing>
            </w:r>
          </w:p>
        </w:tc>
      </w:tr>
      <w:tr w:rsidR="00F021B0" w14:paraId="66C17243" w14:textId="77777777" w:rsidTr="00F021B0">
        <w:tc>
          <w:tcPr>
            <w:tcW w:w="12054" w:type="dxa"/>
            <w:gridSpan w:val="10"/>
            <w:tcBorders>
              <w:top w:val="single" w:sz="4" w:space="0" w:color="auto"/>
              <w:left w:val="nil"/>
              <w:bottom w:val="nil"/>
              <w:right w:val="nil"/>
            </w:tcBorders>
            <w:vAlign w:val="center"/>
            <w:hideMark/>
          </w:tcPr>
          <w:p w14:paraId="4FF0A226" w14:textId="7ED1FB58" w:rsidR="00D63934" w:rsidRDefault="00045978">
            <w:pPr>
              <w:jc w:val="both"/>
              <w:rPr>
                <w:noProof/>
                <w:sz w:val="16"/>
                <w:szCs w:val="16"/>
                <w:lang w:val="en-GB" w:eastAsia="en-GB"/>
              </w:rPr>
            </w:pPr>
            <w:r>
              <w:rPr>
                <w:noProof/>
                <w:sz w:val="16"/>
                <w:szCs w:val="16"/>
                <w:lang w:val="en-GB" w:eastAsia="en-GB"/>
              </w:rPr>
              <w:t>Abbreviations: DASH,</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0CDC4A9F" w14:textId="4630FB5F" w:rsidR="00393228" w:rsidRDefault="00393228" w:rsidP="000F7D49">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for </w:t>
            </w:r>
            <w:r w:rsidR="00AC2D45">
              <w:rPr>
                <w:rFonts w:eastAsia="Times New Roman"/>
                <w:color w:val="000000"/>
                <w:sz w:val="16"/>
                <w:szCs w:val="16"/>
                <w:lang w:val="en-GB" w:eastAsia="en-GB"/>
              </w:rPr>
              <w:t>smoker mothers in comparison to non-smoker mothers</w:t>
            </w:r>
            <w:r>
              <w:rPr>
                <w:rFonts w:eastAsia="Times New Roman"/>
                <w:color w:val="000000"/>
                <w:sz w:val="16"/>
                <w:szCs w:val="16"/>
                <w:lang w:val="en-GB" w:eastAsia="en-GB"/>
              </w:rPr>
              <w:t xml:space="preserve"> (reference category). Models were adjusted for </w:t>
            </w:r>
            <w:r w:rsidR="00B84030">
              <w:rPr>
                <w:rFonts w:eastAsia="Times New Roman"/>
                <w:color w:val="000000"/>
                <w:sz w:val="16"/>
                <w:szCs w:val="16"/>
                <w:lang w:val="en-GB" w:eastAsia="en-GB"/>
              </w:rPr>
              <w:t xml:space="preserve">only </w:t>
            </w:r>
            <w:r>
              <w:rPr>
                <w:rFonts w:eastAsia="Times New Roman"/>
                <w:color w:val="000000"/>
                <w:sz w:val="16"/>
                <w:szCs w:val="16"/>
                <w:lang w:val="en-GB" w:eastAsia="en-GB"/>
              </w:rPr>
              <w:t xml:space="preserve">the seven </w:t>
            </w:r>
            <w:r w:rsidR="00AD26F3">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p w14:paraId="7D7AB011" w14:textId="50261D99" w:rsidR="00F021B0" w:rsidRDefault="00F021B0">
            <w:pPr>
              <w:jc w:val="both"/>
              <w:rPr>
                <w:lang w:val="en-GB"/>
              </w:rPr>
            </w:pPr>
          </w:p>
        </w:tc>
      </w:tr>
    </w:tbl>
    <w:p w14:paraId="2649585F" w14:textId="77777777" w:rsidR="00F021B0" w:rsidRDefault="00F021B0" w:rsidP="00F021B0">
      <w:pPr>
        <w:spacing w:line="276" w:lineRule="auto"/>
        <w:jc w:val="left"/>
        <w:rPr>
          <w:b/>
          <w:color w:val="0070C0"/>
          <w:sz w:val="8"/>
          <w:szCs w:val="8"/>
        </w:rPr>
      </w:pPr>
    </w:p>
    <w:p w14:paraId="66CFFACB" w14:textId="77777777" w:rsidR="00565B40" w:rsidRDefault="00565B40">
      <w:r>
        <w:br w:type="page"/>
      </w:r>
    </w:p>
    <w:tbl>
      <w:tblPr>
        <w:tblStyle w:val="TableGrid"/>
        <w:tblW w:w="14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637"/>
        <w:gridCol w:w="2749"/>
        <w:gridCol w:w="709"/>
        <w:gridCol w:w="1134"/>
        <w:gridCol w:w="850"/>
        <w:gridCol w:w="426"/>
        <w:gridCol w:w="2268"/>
        <w:gridCol w:w="1418"/>
        <w:gridCol w:w="1417"/>
        <w:gridCol w:w="737"/>
      </w:tblGrid>
      <w:tr w:rsidR="00F021B0" w14:paraId="33244E13" w14:textId="77777777" w:rsidTr="00F021B0">
        <w:tc>
          <w:tcPr>
            <w:tcW w:w="14345" w:type="dxa"/>
            <w:gridSpan w:val="10"/>
            <w:tcBorders>
              <w:top w:val="nil"/>
              <w:left w:val="nil"/>
              <w:bottom w:val="single" w:sz="4" w:space="0" w:color="auto"/>
              <w:right w:val="nil"/>
            </w:tcBorders>
            <w:hideMark/>
          </w:tcPr>
          <w:p w14:paraId="53D5261F" w14:textId="11B19CC0" w:rsidR="00F021B0" w:rsidRDefault="00F021B0">
            <w:pPr>
              <w:spacing w:line="276" w:lineRule="auto"/>
              <w:jc w:val="both"/>
              <w:rPr>
                <w:sz w:val="18"/>
                <w:szCs w:val="18"/>
                <w:lang w:val="en-GB"/>
              </w:rPr>
            </w:pPr>
            <w:r>
              <w:rPr>
                <w:b/>
                <w:color w:val="0070C0"/>
                <w:sz w:val="18"/>
                <w:szCs w:val="18"/>
                <w:lang w:val="en-GB"/>
              </w:rPr>
              <w:lastRenderedPageBreak/>
              <w:t xml:space="preserve">Figure 2G. </w:t>
            </w:r>
            <w:r>
              <w:rPr>
                <w:sz w:val="18"/>
                <w:szCs w:val="18"/>
                <w:lang w:val="en-GB"/>
              </w:rPr>
              <w:t>A</w:t>
            </w:r>
            <w:r w:rsidR="00D63934">
              <w:rPr>
                <w:sz w:val="18"/>
                <w:szCs w:val="18"/>
                <w:lang w:val="en-GB"/>
              </w:rPr>
              <w:t>djusted a</w:t>
            </w:r>
            <w:r>
              <w:rPr>
                <w:sz w:val="18"/>
                <w:szCs w:val="18"/>
                <w:lang w:val="en-GB"/>
              </w:rPr>
              <w:t xml:space="preserve">ssociations </w:t>
            </w:r>
            <w:r w:rsidR="000E45A8">
              <w:rPr>
                <w:sz w:val="18"/>
                <w:szCs w:val="18"/>
                <w:lang w:val="en-GB"/>
              </w:rPr>
              <w:t xml:space="preserve">of </w:t>
            </w:r>
            <w:r>
              <w:rPr>
                <w:sz w:val="18"/>
                <w:szCs w:val="18"/>
                <w:lang w:val="en-GB"/>
              </w:rPr>
              <w:t xml:space="preserve">alcohol consumption during pregnancy (reference = non-consumer) </w:t>
            </w:r>
            <w:r w:rsidR="000E45A8">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0E45A8">
              <w:rPr>
                <w:sz w:val="18"/>
                <w:szCs w:val="18"/>
                <w:lang w:val="en-GB"/>
              </w:rPr>
              <w:t xml:space="preserve"> and dietary inflammat</w:t>
            </w:r>
            <w:r w:rsidR="00AD26F3">
              <w:rPr>
                <w:sz w:val="18"/>
                <w:szCs w:val="18"/>
                <w:lang w:val="en-GB"/>
              </w:rPr>
              <w:t>ory potential</w:t>
            </w:r>
            <w:r>
              <w:rPr>
                <w:sz w:val="18"/>
                <w:szCs w:val="18"/>
                <w:lang w:val="en-GB"/>
              </w:rPr>
              <w:t>.</w:t>
            </w:r>
          </w:p>
        </w:tc>
      </w:tr>
      <w:tr w:rsidR="00F021B0" w14:paraId="4B055428" w14:textId="77777777" w:rsidTr="00F021B0">
        <w:trPr>
          <w:trHeight w:val="113"/>
        </w:trPr>
        <w:tc>
          <w:tcPr>
            <w:tcW w:w="2637" w:type="dxa"/>
            <w:tcBorders>
              <w:top w:val="single" w:sz="4" w:space="0" w:color="auto"/>
              <w:left w:val="nil"/>
              <w:bottom w:val="single" w:sz="4" w:space="0" w:color="auto"/>
              <w:right w:val="nil"/>
            </w:tcBorders>
            <w:vAlign w:val="bottom"/>
            <w:hideMark/>
          </w:tcPr>
          <w:p w14:paraId="12D40E70" w14:textId="77777777" w:rsidR="00F021B0" w:rsidRDefault="00F021B0">
            <w:pPr>
              <w:jc w:val="left"/>
              <w:rPr>
                <w:rFonts w:ascii="Arial" w:hAnsi="Arial" w:cs="Arial"/>
                <w:sz w:val="12"/>
                <w:szCs w:val="12"/>
              </w:rPr>
            </w:pPr>
            <w:r>
              <w:rPr>
                <w:rFonts w:ascii="Arial" w:hAnsi="Arial" w:cs="Arial"/>
                <w:b/>
                <w:sz w:val="12"/>
                <w:szCs w:val="12"/>
              </w:rPr>
              <w:t>Cohorts</w:t>
            </w:r>
          </w:p>
        </w:tc>
        <w:tc>
          <w:tcPr>
            <w:tcW w:w="2749" w:type="dxa"/>
            <w:tcBorders>
              <w:top w:val="single" w:sz="4" w:space="0" w:color="auto"/>
              <w:left w:val="nil"/>
              <w:bottom w:val="single" w:sz="4" w:space="0" w:color="auto"/>
              <w:right w:val="nil"/>
            </w:tcBorders>
            <w:vAlign w:val="bottom"/>
            <w:hideMark/>
          </w:tcPr>
          <w:p w14:paraId="6C3AA8DD" w14:textId="77777777" w:rsidR="00F021B0" w:rsidRDefault="00F021B0">
            <w:pPr>
              <w:rPr>
                <w:rFonts w:ascii="Arial" w:hAnsi="Arial" w:cs="Arial"/>
                <w:b/>
                <w:sz w:val="12"/>
                <w:szCs w:val="12"/>
              </w:rPr>
            </w:pPr>
            <w:r>
              <w:rPr>
                <w:rFonts w:ascii="Arial" w:hAnsi="Arial" w:cs="Arial"/>
                <w:b/>
                <w:sz w:val="12"/>
                <w:szCs w:val="12"/>
              </w:rPr>
              <w:t>DASH score</w:t>
            </w:r>
          </w:p>
        </w:tc>
        <w:tc>
          <w:tcPr>
            <w:tcW w:w="709" w:type="dxa"/>
            <w:tcBorders>
              <w:top w:val="single" w:sz="4" w:space="0" w:color="auto"/>
              <w:left w:val="nil"/>
              <w:bottom w:val="single" w:sz="4" w:space="0" w:color="auto"/>
              <w:right w:val="nil"/>
            </w:tcBorders>
          </w:tcPr>
          <w:p w14:paraId="216D1FBF"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7267A6CB" w14:textId="77777777" w:rsidR="00F021B0" w:rsidRDefault="00F021B0">
            <w:pPr>
              <w:rPr>
                <w:rFonts w:ascii="Arial" w:hAnsi="Arial" w:cs="Arial"/>
                <w:b/>
                <w:sz w:val="12"/>
                <w:szCs w:val="12"/>
              </w:rPr>
            </w:pPr>
            <w:r>
              <w:rPr>
                <w:rFonts w:ascii="Arial" w:hAnsi="Arial" w:cs="Arial"/>
                <w:b/>
                <w:sz w:val="12"/>
                <w:szCs w:val="12"/>
              </w:rPr>
              <w:t>β (95% CI)</w:t>
            </w:r>
          </w:p>
        </w:tc>
        <w:tc>
          <w:tcPr>
            <w:tcW w:w="850" w:type="dxa"/>
            <w:tcBorders>
              <w:top w:val="single" w:sz="4" w:space="0" w:color="auto"/>
              <w:left w:val="nil"/>
              <w:bottom w:val="single" w:sz="4" w:space="0" w:color="auto"/>
              <w:right w:val="nil"/>
            </w:tcBorders>
            <w:vAlign w:val="bottom"/>
            <w:hideMark/>
          </w:tcPr>
          <w:p w14:paraId="0D76B3BC" w14:textId="77777777" w:rsidR="00F021B0" w:rsidRDefault="00F021B0">
            <w:pPr>
              <w:jc w:val="right"/>
              <w:rPr>
                <w:rFonts w:ascii="Arial" w:hAnsi="Arial" w:cs="Arial"/>
                <w:b/>
                <w:sz w:val="12"/>
                <w:szCs w:val="12"/>
              </w:rPr>
            </w:pPr>
            <w:r>
              <w:rPr>
                <w:rFonts w:ascii="Arial" w:hAnsi="Arial" w:cs="Arial"/>
                <w:b/>
                <w:sz w:val="12"/>
                <w:szCs w:val="12"/>
              </w:rPr>
              <w:t>Weight (%)</w:t>
            </w:r>
          </w:p>
        </w:tc>
        <w:tc>
          <w:tcPr>
            <w:tcW w:w="426" w:type="dxa"/>
            <w:tcBorders>
              <w:top w:val="single" w:sz="4" w:space="0" w:color="auto"/>
              <w:left w:val="nil"/>
              <w:bottom w:val="single" w:sz="4" w:space="0" w:color="auto"/>
              <w:right w:val="nil"/>
            </w:tcBorders>
          </w:tcPr>
          <w:p w14:paraId="1DD9DBB0" w14:textId="77777777" w:rsidR="00F021B0" w:rsidRDefault="00F021B0">
            <w:pPr>
              <w:rPr>
                <w:sz w:val="12"/>
                <w:szCs w:val="12"/>
              </w:rPr>
            </w:pPr>
          </w:p>
        </w:tc>
        <w:tc>
          <w:tcPr>
            <w:tcW w:w="2268" w:type="dxa"/>
            <w:tcBorders>
              <w:top w:val="single" w:sz="4" w:space="0" w:color="auto"/>
              <w:left w:val="nil"/>
              <w:bottom w:val="single" w:sz="4" w:space="0" w:color="auto"/>
              <w:right w:val="nil"/>
            </w:tcBorders>
            <w:vAlign w:val="bottom"/>
            <w:hideMark/>
          </w:tcPr>
          <w:p w14:paraId="49CD9EBE" w14:textId="77777777" w:rsidR="00F021B0" w:rsidRDefault="00F021B0">
            <w:pPr>
              <w:rPr>
                <w:rFonts w:ascii="Arial" w:hAnsi="Arial" w:cs="Arial"/>
                <w:b/>
                <w:sz w:val="12"/>
                <w:szCs w:val="12"/>
              </w:rPr>
            </w:pPr>
            <w:r>
              <w:rPr>
                <w:rFonts w:ascii="Arial" w:hAnsi="Arial" w:cs="Arial"/>
                <w:b/>
                <w:sz w:val="12"/>
                <w:szCs w:val="12"/>
              </w:rPr>
              <w:t>E-DII score</w:t>
            </w:r>
          </w:p>
        </w:tc>
        <w:tc>
          <w:tcPr>
            <w:tcW w:w="1418" w:type="dxa"/>
            <w:tcBorders>
              <w:top w:val="single" w:sz="4" w:space="0" w:color="auto"/>
              <w:left w:val="nil"/>
              <w:bottom w:val="single" w:sz="4" w:space="0" w:color="auto"/>
              <w:right w:val="nil"/>
            </w:tcBorders>
          </w:tcPr>
          <w:p w14:paraId="704FB484" w14:textId="77777777" w:rsidR="00F021B0" w:rsidRDefault="00F021B0">
            <w:pPr>
              <w:rPr>
                <w:sz w:val="12"/>
                <w:szCs w:val="12"/>
              </w:rPr>
            </w:pPr>
          </w:p>
        </w:tc>
        <w:tc>
          <w:tcPr>
            <w:tcW w:w="1417" w:type="dxa"/>
            <w:tcBorders>
              <w:top w:val="single" w:sz="4" w:space="0" w:color="auto"/>
              <w:left w:val="nil"/>
              <w:bottom w:val="single" w:sz="4" w:space="0" w:color="auto"/>
              <w:right w:val="nil"/>
            </w:tcBorders>
            <w:vAlign w:val="bottom"/>
            <w:hideMark/>
          </w:tcPr>
          <w:p w14:paraId="3CCD0F75" w14:textId="77777777" w:rsidR="00F021B0" w:rsidRDefault="00F021B0">
            <w:pPr>
              <w:rPr>
                <w:rFonts w:ascii="Arial" w:hAnsi="Arial" w:cs="Arial"/>
                <w:b/>
                <w:sz w:val="12"/>
                <w:szCs w:val="12"/>
              </w:rPr>
            </w:pPr>
            <w:r>
              <w:rPr>
                <w:rFonts w:ascii="Arial" w:hAnsi="Arial" w:cs="Arial"/>
                <w:b/>
                <w:sz w:val="12"/>
                <w:szCs w:val="12"/>
              </w:rPr>
              <w:t>β (95% CI)</w:t>
            </w:r>
          </w:p>
        </w:tc>
        <w:tc>
          <w:tcPr>
            <w:tcW w:w="737" w:type="dxa"/>
            <w:tcBorders>
              <w:top w:val="single" w:sz="4" w:space="0" w:color="auto"/>
              <w:left w:val="nil"/>
              <w:bottom w:val="single" w:sz="4" w:space="0" w:color="auto"/>
              <w:right w:val="nil"/>
            </w:tcBorders>
            <w:vAlign w:val="bottom"/>
            <w:hideMark/>
          </w:tcPr>
          <w:p w14:paraId="21D6DDBD"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2DED1CDF" w14:textId="77777777" w:rsidTr="00F021B0">
        <w:trPr>
          <w:trHeight w:val="3515"/>
        </w:trPr>
        <w:tc>
          <w:tcPr>
            <w:tcW w:w="8079" w:type="dxa"/>
            <w:gridSpan w:val="5"/>
            <w:tcBorders>
              <w:top w:val="single" w:sz="4" w:space="0" w:color="auto"/>
              <w:left w:val="nil"/>
              <w:bottom w:val="single" w:sz="4" w:space="0" w:color="auto"/>
              <w:right w:val="nil"/>
            </w:tcBorders>
            <w:hideMark/>
          </w:tcPr>
          <w:p w14:paraId="267A5AB9" w14:textId="77777777" w:rsidR="00F021B0" w:rsidRDefault="00F021B0">
            <w:pPr>
              <w:tabs>
                <w:tab w:val="left" w:pos="1482"/>
              </w:tabs>
            </w:pPr>
            <w:r>
              <w:rPr>
                <w:noProof/>
                <w:lang w:val="en-GB" w:eastAsia="en-GB"/>
              </w:rPr>
              <w:drawing>
                <wp:inline distT="0" distB="0" distL="0" distR="0" wp14:anchorId="3C499333" wp14:editId="6DA0D627">
                  <wp:extent cx="5063490" cy="215646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45" cstate="print">
                            <a:extLst>
                              <a:ext uri="{28A0092B-C50C-407E-A947-70E740481C1C}">
                                <a14:useLocalDpi xmlns:a14="http://schemas.microsoft.com/office/drawing/2010/main" val="0"/>
                              </a:ext>
                            </a:extLst>
                          </a:blip>
                          <a:srcRect l="1587" t="13017" r="3030" b="8755"/>
                          <a:stretch>
                            <a:fillRect/>
                          </a:stretch>
                        </pic:blipFill>
                        <pic:spPr bwMode="auto">
                          <a:xfrm>
                            <a:off x="0" y="0"/>
                            <a:ext cx="5063490" cy="2156460"/>
                          </a:xfrm>
                          <a:prstGeom prst="rect">
                            <a:avLst/>
                          </a:prstGeom>
                          <a:noFill/>
                          <a:ln>
                            <a:noFill/>
                          </a:ln>
                        </pic:spPr>
                      </pic:pic>
                    </a:graphicData>
                  </a:graphic>
                </wp:inline>
              </w:drawing>
            </w:r>
          </w:p>
        </w:tc>
        <w:tc>
          <w:tcPr>
            <w:tcW w:w="6266" w:type="dxa"/>
            <w:gridSpan w:val="5"/>
            <w:tcBorders>
              <w:top w:val="single" w:sz="4" w:space="0" w:color="auto"/>
              <w:left w:val="nil"/>
              <w:bottom w:val="single" w:sz="4" w:space="0" w:color="auto"/>
              <w:right w:val="nil"/>
            </w:tcBorders>
            <w:hideMark/>
          </w:tcPr>
          <w:p w14:paraId="3EF73D07" w14:textId="77777777" w:rsidR="00F021B0" w:rsidRDefault="00F021B0">
            <w:r>
              <w:rPr>
                <w:noProof/>
                <w:lang w:val="en-GB" w:eastAsia="en-GB"/>
              </w:rPr>
              <w:drawing>
                <wp:inline distT="0" distB="0" distL="0" distR="0" wp14:anchorId="4E449313" wp14:editId="37CB11F3">
                  <wp:extent cx="3898900" cy="21653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46" cstate="print">
                            <a:extLst>
                              <a:ext uri="{28A0092B-C50C-407E-A947-70E740481C1C}">
                                <a14:useLocalDpi xmlns:a14="http://schemas.microsoft.com/office/drawing/2010/main" val="0"/>
                              </a:ext>
                            </a:extLst>
                          </a:blip>
                          <a:srcRect l="15739" t="17667" r="2138" b="5997"/>
                          <a:stretch>
                            <a:fillRect/>
                          </a:stretch>
                        </pic:blipFill>
                        <pic:spPr bwMode="auto">
                          <a:xfrm>
                            <a:off x="0" y="0"/>
                            <a:ext cx="3898900" cy="2165350"/>
                          </a:xfrm>
                          <a:prstGeom prst="rect">
                            <a:avLst/>
                          </a:prstGeom>
                          <a:noFill/>
                          <a:ln>
                            <a:noFill/>
                          </a:ln>
                        </pic:spPr>
                      </pic:pic>
                    </a:graphicData>
                  </a:graphic>
                </wp:inline>
              </w:drawing>
            </w:r>
          </w:p>
        </w:tc>
      </w:tr>
      <w:tr w:rsidR="00F021B0" w14:paraId="56F16F23" w14:textId="77777777" w:rsidTr="00F021B0">
        <w:tc>
          <w:tcPr>
            <w:tcW w:w="14345" w:type="dxa"/>
            <w:gridSpan w:val="10"/>
            <w:tcBorders>
              <w:top w:val="single" w:sz="4" w:space="0" w:color="auto"/>
              <w:left w:val="nil"/>
              <w:bottom w:val="nil"/>
              <w:right w:val="nil"/>
            </w:tcBorders>
            <w:vAlign w:val="center"/>
            <w:hideMark/>
          </w:tcPr>
          <w:p w14:paraId="46A5FC26" w14:textId="1637174F" w:rsidR="00D63934" w:rsidRDefault="00045978">
            <w:pPr>
              <w:jc w:val="both"/>
              <w:rPr>
                <w:noProof/>
                <w:sz w:val="16"/>
                <w:szCs w:val="16"/>
                <w:lang w:val="en-GB" w:eastAsia="en-GB"/>
              </w:rPr>
            </w:pPr>
            <w:r>
              <w:rPr>
                <w:noProof/>
                <w:sz w:val="16"/>
                <w:szCs w:val="16"/>
                <w:lang w:val="en-GB" w:eastAsia="en-GB"/>
              </w:rPr>
              <w:t>Abbreviations: DASH,</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0824B8F4" w14:textId="3DD5C287" w:rsidR="00510A01" w:rsidRDefault="00510A01" w:rsidP="000F7D49">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for alcohol consumer mothers in comparison to non-consumer mothers (reference category). Models were adjusted for</w:t>
            </w:r>
            <w:r w:rsidR="00B84030">
              <w:rPr>
                <w:rFonts w:eastAsia="Times New Roman"/>
                <w:color w:val="000000"/>
                <w:sz w:val="16"/>
                <w:szCs w:val="16"/>
                <w:lang w:val="en-GB" w:eastAsia="en-GB"/>
              </w:rPr>
              <w:t xml:space="preserve"> only</w:t>
            </w:r>
            <w:r>
              <w:rPr>
                <w:rFonts w:eastAsia="Times New Roman"/>
                <w:color w:val="000000"/>
                <w:sz w:val="16"/>
                <w:szCs w:val="16"/>
                <w:lang w:val="en-GB" w:eastAsia="en-GB"/>
              </w:rPr>
              <w:t xml:space="preserve"> the seven </w:t>
            </w:r>
            <w:r w:rsidR="00AD26F3">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w:t>
            </w:r>
          </w:p>
          <w:p w14:paraId="7C795CFE" w14:textId="4C9A6D06" w:rsidR="00F021B0" w:rsidRDefault="00F021B0">
            <w:pPr>
              <w:jc w:val="both"/>
              <w:rPr>
                <w:lang w:val="en-GB"/>
              </w:rPr>
            </w:pPr>
          </w:p>
        </w:tc>
      </w:tr>
    </w:tbl>
    <w:p w14:paraId="07417D17" w14:textId="77777777" w:rsidR="00F021B0" w:rsidRDefault="00F021B0" w:rsidP="00F021B0">
      <w:pPr>
        <w:jc w:val="left"/>
        <w:rPr>
          <w:lang w:val="en-GB"/>
        </w:rPr>
        <w:sectPr w:rsidR="00F021B0" w:rsidSect="003C4937">
          <w:pgSz w:w="16838" w:h="11906" w:orient="landscape"/>
          <w:pgMar w:top="1417" w:right="1417" w:bottom="1417" w:left="1417" w:header="708" w:footer="708" w:gutter="0"/>
          <w:cols w:space="720"/>
        </w:sectPr>
      </w:pPr>
    </w:p>
    <w:tbl>
      <w:tblPr>
        <w:tblStyle w:val="TableGrid"/>
        <w:tblW w:w="13330"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407"/>
        <w:gridCol w:w="1193"/>
        <w:gridCol w:w="1217"/>
        <w:gridCol w:w="773"/>
        <w:gridCol w:w="1056"/>
        <w:gridCol w:w="1701"/>
        <w:gridCol w:w="1412"/>
        <w:gridCol w:w="431"/>
        <w:gridCol w:w="1431"/>
        <w:gridCol w:w="709"/>
      </w:tblGrid>
      <w:tr w:rsidR="00F021B0" w14:paraId="25E89FC8" w14:textId="77777777" w:rsidTr="00F021B0">
        <w:tc>
          <w:tcPr>
            <w:tcW w:w="13330" w:type="dxa"/>
            <w:gridSpan w:val="10"/>
            <w:tcBorders>
              <w:top w:val="nil"/>
              <w:left w:val="nil"/>
              <w:bottom w:val="single" w:sz="4" w:space="0" w:color="auto"/>
              <w:right w:val="nil"/>
            </w:tcBorders>
            <w:hideMark/>
          </w:tcPr>
          <w:p w14:paraId="766899FE" w14:textId="7F25B099" w:rsidR="00F021B0" w:rsidRDefault="00F021B0">
            <w:pPr>
              <w:spacing w:line="276" w:lineRule="auto"/>
              <w:jc w:val="both"/>
              <w:rPr>
                <w:sz w:val="18"/>
                <w:szCs w:val="18"/>
                <w:lang w:val="en-GB"/>
              </w:rPr>
            </w:pPr>
            <w:r>
              <w:rPr>
                <w:b/>
                <w:color w:val="0070C0"/>
                <w:sz w:val="18"/>
                <w:szCs w:val="18"/>
                <w:lang w:val="en-GB"/>
              </w:rPr>
              <w:lastRenderedPageBreak/>
              <w:t xml:space="preserve">Figure 3A. </w:t>
            </w:r>
            <w:r>
              <w:rPr>
                <w:sz w:val="18"/>
                <w:szCs w:val="18"/>
                <w:lang w:val="en-GB"/>
              </w:rPr>
              <w:t>A</w:t>
            </w:r>
            <w:r w:rsidR="00D63934">
              <w:rPr>
                <w:sz w:val="18"/>
                <w:szCs w:val="18"/>
                <w:lang w:val="en-GB"/>
              </w:rPr>
              <w:t>djusted a</w:t>
            </w:r>
            <w:r>
              <w:rPr>
                <w:sz w:val="18"/>
                <w:szCs w:val="18"/>
                <w:lang w:val="en-GB"/>
              </w:rPr>
              <w:t xml:space="preserve">ssociations </w:t>
            </w:r>
            <w:r w:rsidR="000E45A8">
              <w:rPr>
                <w:sz w:val="18"/>
                <w:szCs w:val="18"/>
                <w:lang w:val="en-GB"/>
              </w:rPr>
              <w:t xml:space="preserve">of </w:t>
            </w:r>
            <w:r>
              <w:rPr>
                <w:sz w:val="18"/>
                <w:szCs w:val="18"/>
                <w:lang w:val="en-GB"/>
              </w:rPr>
              <w:t xml:space="preserve">household income (reference = higher </w:t>
            </w:r>
            <w:proofErr w:type="spellStart"/>
            <w:r>
              <w:rPr>
                <w:sz w:val="18"/>
                <w:szCs w:val="18"/>
                <w:lang w:val="en-GB"/>
              </w:rPr>
              <w:t>ter</w:t>
            </w:r>
            <w:r w:rsidR="007E3A6F">
              <w:rPr>
                <w:sz w:val="18"/>
                <w:szCs w:val="18"/>
                <w:lang w:val="en-GB"/>
              </w:rPr>
              <w:t>t</w:t>
            </w:r>
            <w:r>
              <w:rPr>
                <w:sz w:val="18"/>
                <w:szCs w:val="18"/>
                <w:lang w:val="en-GB"/>
              </w:rPr>
              <w:t>ile</w:t>
            </w:r>
            <w:proofErr w:type="spellEnd"/>
            <w:r>
              <w:rPr>
                <w:sz w:val="18"/>
                <w:szCs w:val="18"/>
                <w:lang w:val="en-GB"/>
              </w:rPr>
              <w:t xml:space="preserve">) </w:t>
            </w:r>
            <w:r w:rsidR="000E45A8">
              <w:rPr>
                <w:sz w:val="18"/>
                <w:szCs w:val="18"/>
                <w:lang w:val="en-GB"/>
              </w:rPr>
              <w:t xml:space="preserve">with </w:t>
            </w:r>
            <w:r>
              <w:rPr>
                <w:sz w:val="18"/>
                <w:szCs w:val="18"/>
                <w:lang w:val="en-GB"/>
              </w:rPr>
              <w:t>maternal diet</w:t>
            </w:r>
            <w:r w:rsidR="00E70189">
              <w:rPr>
                <w:sz w:val="18"/>
                <w:szCs w:val="18"/>
                <w:lang w:val="en-GB"/>
              </w:rPr>
              <w:t>ary</w:t>
            </w:r>
            <w:r>
              <w:rPr>
                <w:sz w:val="18"/>
                <w:szCs w:val="18"/>
                <w:lang w:val="en-GB"/>
              </w:rPr>
              <w:t xml:space="preserve"> quality</w:t>
            </w:r>
            <w:r w:rsidR="000E45A8">
              <w:rPr>
                <w:sz w:val="18"/>
                <w:szCs w:val="18"/>
                <w:lang w:val="en-GB"/>
              </w:rPr>
              <w:t xml:space="preserve"> and dietary inflammat</w:t>
            </w:r>
            <w:r w:rsidR="00AD26F3">
              <w:rPr>
                <w:sz w:val="18"/>
                <w:szCs w:val="18"/>
                <w:lang w:val="en-GB"/>
              </w:rPr>
              <w:t>ory potential</w:t>
            </w:r>
            <w:r>
              <w:rPr>
                <w:sz w:val="18"/>
                <w:szCs w:val="18"/>
                <w:lang w:val="en-GB"/>
              </w:rPr>
              <w:t>.</w:t>
            </w:r>
          </w:p>
        </w:tc>
      </w:tr>
      <w:tr w:rsidR="00F021B0" w14:paraId="3F5B0DE0" w14:textId="77777777" w:rsidTr="00F021B0">
        <w:trPr>
          <w:trHeight w:val="113"/>
        </w:trPr>
        <w:tc>
          <w:tcPr>
            <w:tcW w:w="3407" w:type="dxa"/>
            <w:tcBorders>
              <w:top w:val="single" w:sz="4" w:space="0" w:color="auto"/>
              <w:left w:val="nil"/>
              <w:bottom w:val="single" w:sz="4" w:space="0" w:color="auto"/>
              <w:right w:val="nil"/>
            </w:tcBorders>
            <w:vAlign w:val="bottom"/>
            <w:hideMark/>
          </w:tcPr>
          <w:p w14:paraId="684694E5" w14:textId="77777777" w:rsidR="00F021B0" w:rsidRDefault="00F021B0">
            <w:pPr>
              <w:jc w:val="left"/>
              <w:rPr>
                <w:rFonts w:ascii="Arial" w:hAnsi="Arial" w:cs="Arial"/>
                <w:sz w:val="12"/>
                <w:szCs w:val="12"/>
              </w:rPr>
            </w:pPr>
            <w:r>
              <w:rPr>
                <w:rFonts w:ascii="Arial" w:hAnsi="Arial" w:cs="Arial"/>
                <w:b/>
                <w:sz w:val="12"/>
                <w:szCs w:val="12"/>
              </w:rPr>
              <w:t>Cohorts</w:t>
            </w:r>
          </w:p>
        </w:tc>
        <w:tc>
          <w:tcPr>
            <w:tcW w:w="1193" w:type="dxa"/>
            <w:tcBorders>
              <w:top w:val="single" w:sz="4" w:space="0" w:color="auto"/>
              <w:left w:val="nil"/>
              <w:bottom w:val="single" w:sz="4" w:space="0" w:color="auto"/>
              <w:right w:val="nil"/>
            </w:tcBorders>
            <w:vAlign w:val="bottom"/>
            <w:hideMark/>
          </w:tcPr>
          <w:p w14:paraId="76CAFBD7" w14:textId="77777777" w:rsidR="00F021B0" w:rsidRDefault="00F021B0">
            <w:pPr>
              <w:rPr>
                <w:rFonts w:ascii="Arial" w:hAnsi="Arial" w:cs="Arial"/>
                <w:b/>
                <w:sz w:val="12"/>
                <w:szCs w:val="12"/>
              </w:rPr>
            </w:pPr>
            <w:r>
              <w:rPr>
                <w:rFonts w:ascii="Arial" w:hAnsi="Arial" w:cs="Arial"/>
                <w:b/>
                <w:sz w:val="12"/>
                <w:szCs w:val="12"/>
              </w:rPr>
              <w:t>DASH score</w:t>
            </w:r>
          </w:p>
        </w:tc>
        <w:tc>
          <w:tcPr>
            <w:tcW w:w="1217" w:type="dxa"/>
            <w:tcBorders>
              <w:top w:val="single" w:sz="4" w:space="0" w:color="auto"/>
              <w:left w:val="nil"/>
              <w:bottom w:val="single" w:sz="4" w:space="0" w:color="auto"/>
              <w:right w:val="nil"/>
            </w:tcBorders>
          </w:tcPr>
          <w:p w14:paraId="642C6176" w14:textId="77777777" w:rsidR="00F021B0" w:rsidRDefault="00F021B0">
            <w:pPr>
              <w:rPr>
                <w:sz w:val="12"/>
                <w:szCs w:val="12"/>
              </w:rPr>
            </w:pPr>
          </w:p>
        </w:tc>
        <w:tc>
          <w:tcPr>
            <w:tcW w:w="773" w:type="dxa"/>
            <w:tcBorders>
              <w:top w:val="single" w:sz="4" w:space="0" w:color="auto"/>
              <w:left w:val="nil"/>
              <w:bottom w:val="single" w:sz="4" w:space="0" w:color="auto"/>
              <w:right w:val="nil"/>
            </w:tcBorders>
            <w:vAlign w:val="bottom"/>
            <w:hideMark/>
          </w:tcPr>
          <w:p w14:paraId="15A3DD89" w14:textId="77777777" w:rsidR="00F021B0" w:rsidRDefault="00F021B0">
            <w:pPr>
              <w:rPr>
                <w:rFonts w:ascii="Arial" w:hAnsi="Arial" w:cs="Arial"/>
                <w:b/>
                <w:sz w:val="12"/>
                <w:szCs w:val="12"/>
              </w:rPr>
            </w:pPr>
            <w:r>
              <w:rPr>
                <w:rFonts w:ascii="Arial" w:hAnsi="Arial" w:cs="Arial"/>
                <w:b/>
                <w:sz w:val="12"/>
                <w:szCs w:val="12"/>
              </w:rPr>
              <w:t>β (95% CI)</w:t>
            </w:r>
          </w:p>
        </w:tc>
        <w:tc>
          <w:tcPr>
            <w:tcW w:w="1056" w:type="dxa"/>
            <w:tcBorders>
              <w:top w:val="single" w:sz="4" w:space="0" w:color="auto"/>
              <w:left w:val="nil"/>
              <w:bottom w:val="single" w:sz="4" w:space="0" w:color="auto"/>
              <w:right w:val="nil"/>
            </w:tcBorders>
            <w:vAlign w:val="bottom"/>
            <w:hideMark/>
          </w:tcPr>
          <w:p w14:paraId="4A76994D" w14:textId="77777777" w:rsidR="00F021B0" w:rsidRDefault="00F021B0">
            <w:pPr>
              <w:jc w:val="right"/>
              <w:rPr>
                <w:rFonts w:ascii="Arial" w:hAnsi="Arial" w:cs="Arial"/>
                <w:b/>
                <w:sz w:val="12"/>
                <w:szCs w:val="12"/>
              </w:rPr>
            </w:pPr>
            <w:r>
              <w:rPr>
                <w:rFonts w:ascii="Arial" w:hAnsi="Arial" w:cs="Arial"/>
                <w:b/>
                <w:sz w:val="12"/>
                <w:szCs w:val="12"/>
              </w:rPr>
              <w:t>Weight (%)</w:t>
            </w:r>
          </w:p>
        </w:tc>
        <w:tc>
          <w:tcPr>
            <w:tcW w:w="1701" w:type="dxa"/>
            <w:tcBorders>
              <w:top w:val="single" w:sz="4" w:space="0" w:color="auto"/>
              <w:left w:val="nil"/>
              <w:bottom w:val="single" w:sz="4" w:space="0" w:color="auto"/>
              <w:right w:val="nil"/>
            </w:tcBorders>
          </w:tcPr>
          <w:p w14:paraId="42E3F238" w14:textId="77777777" w:rsidR="00F021B0" w:rsidRDefault="00F021B0">
            <w:pPr>
              <w:rPr>
                <w:sz w:val="12"/>
                <w:szCs w:val="12"/>
              </w:rPr>
            </w:pPr>
          </w:p>
        </w:tc>
        <w:tc>
          <w:tcPr>
            <w:tcW w:w="1412" w:type="dxa"/>
            <w:tcBorders>
              <w:top w:val="single" w:sz="4" w:space="0" w:color="auto"/>
              <w:left w:val="nil"/>
              <w:bottom w:val="single" w:sz="4" w:space="0" w:color="auto"/>
              <w:right w:val="nil"/>
            </w:tcBorders>
            <w:vAlign w:val="bottom"/>
            <w:hideMark/>
          </w:tcPr>
          <w:p w14:paraId="3DD0209E" w14:textId="77777777" w:rsidR="00F021B0" w:rsidRDefault="00F021B0">
            <w:pPr>
              <w:rPr>
                <w:rFonts w:ascii="Arial" w:hAnsi="Arial" w:cs="Arial"/>
                <w:b/>
                <w:sz w:val="12"/>
                <w:szCs w:val="12"/>
              </w:rPr>
            </w:pPr>
            <w:r>
              <w:rPr>
                <w:rFonts w:ascii="Arial" w:hAnsi="Arial" w:cs="Arial"/>
                <w:b/>
                <w:sz w:val="12"/>
                <w:szCs w:val="12"/>
              </w:rPr>
              <w:t>E-DII score</w:t>
            </w:r>
          </w:p>
        </w:tc>
        <w:tc>
          <w:tcPr>
            <w:tcW w:w="431" w:type="dxa"/>
            <w:tcBorders>
              <w:top w:val="single" w:sz="4" w:space="0" w:color="auto"/>
              <w:left w:val="nil"/>
              <w:bottom w:val="single" w:sz="4" w:space="0" w:color="auto"/>
              <w:right w:val="nil"/>
            </w:tcBorders>
          </w:tcPr>
          <w:p w14:paraId="748011CE" w14:textId="77777777" w:rsidR="00F021B0" w:rsidRDefault="00F021B0">
            <w:pPr>
              <w:rPr>
                <w:sz w:val="12"/>
                <w:szCs w:val="12"/>
              </w:rPr>
            </w:pPr>
          </w:p>
        </w:tc>
        <w:tc>
          <w:tcPr>
            <w:tcW w:w="1431" w:type="dxa"/>
            <w:tcBorders>
              <w:top w:val="single" w:sz="4" w:space="0" w:color="auto"/>
              <w:left w:val="nil"/>
              <w:bottom w:val="single" w:sz="4" w:space="0" w:color="auto"/>
              <w:right w:val="nil"/>
            </w:tcBorders>
            <w:vAlign w:val="bottom"/>
            <w:hideMark/>
          </w:tcPr>
          <w:p w14:paraId="703805D1" w14:textId="77777777" w:rsidR="00F021B0" w:rsidRDefault="00F021B0">
            <w:pPr>
              <w:rPr>
                <w:rFonts w:ascii="Arial" w:hAnsi="Arial" w:cs="Arial"/>
                <w:b/>
                <w:sz w:val="12"/>
                <w:szCs w:val="12"/>
              </w:rPr>
            </w:pPr>
            <w:r>
              <w:rPr>
                <w:rFonts w:ascii="Arial" w:hAnsi="Arial" w:cs="Arial"/>
                <w:b/>
                <w:sz w:val="12"/>
                <w:szCs w:val="12"/>
              </w:rPr>
              <w:t>β (95% CI)</w:t>
            </w:r>
          </w:p>
        </w:tc>
        <w:tc>
          <w:tcPr>
            <w:tcW w:w="709" w:type="dxa"/>
            <w:tcBorders>
              <w:top w:val="single" w:sz="4" w:space="0" w:color="auto"/>
              <w:left w:val="nil"/>
              <w:bottom w:val="single" w:sz="4" w:space="0" w:color="auto"/>
              <w:right w:val="nil"/>
            </w:tcBorders>
            <w:vAlign w:val="bottom"/>
            <w:hideMark/>
          </w:tcPr>
          <w:p w14:paraId="3044180A"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2D07113B" w14:textId="77777777" w:rsidTr="00F021B0">
        <w:trPr>
          <w:trHeight w:val="3515"/>
        </w:trPr>
        <w:tc>
          <w:tcPr>
            <w:tcW w:w="7646" w:type="dxa"/>
            <w:gridSpan w:val="5"/>
            <w:tcBorders>
              <w:top w:val="single" w:sz="4" w:space="0" w:color="auto"/>
              <w:left w:val="nil"/>
              <w:bottom w:val="single" w:sz="4" w:space="0" w:color="auto"/>
              <w:right w:val="nil"/>
            </w:tcBorders>
            <w:hideMark/>
          </w:tcPr>
          <w:p w14:paraId="233026D7" w14:textId="77777777" w:rsidR="00F021B0" w:rsidRDefault="00F021B0">
            <w:pPr>
              <w:tabs>
                <w:tab w:val="left" w:pos="1482"/>
              </w:tabs>
            </w:pPr>
            <w:r>
              <w:rPr>
                <w:noProof/>
                <w:lang w:val="en-GB" w:eastAsia="en-GB"/>
              </w:rPr>
              <w:drawing>
                <wp:inline distT="0" distB="0" distL="0" distR="0" wp14:anchorId="047C6D26" wp14:editId="3474046D">
                  <wp:extent cx="4761865" cy="267398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47" cstate="print">
                            <a:extLst>
                              <a:ext uri="{28A0092B-C50C-407E-A947-70E740481C1C}">
                                <a14:useLocalDpi xmlns:a14="http://schemas.microsoft.com/office/drawing/2010/main" val="0"/>
                              </a:ext>
                            </a:extLst>
                          </a:blip>
                          <a:srcRect l="1726" t="8910" r="2689" b="4355"/>
                          <a:stretch>
                            <a:fillRect/>
                          </a:stretch>
                        </pic:blipFill>
                        <pic:spPr bwMode="auto">
                          <a:xfrm>
                            <a:off x="0" y="0"/>
                            <a:ext cx="4761865" cy="2673985"/>
                          </a:xfrm>
                          <a:prstGeom prst="rect">
                            <a:avLst/>
                          </a:prstGeom>
                          <a:noFill/>
                          <a:ln>
                            <a:noFill/>
                          </a:ln>
                        </pic:spPr>
                      </pic:pic>
                    </a:graphicData>
                  </a:graphic>
                </wp:inline>
              </w:drawing>
            </w:r>
          </w:p>
        </w:tc>
        <w:tc>
          <w:tcPr>
            <w:tcW w:w="5684" w:type="dxa"/>
            <w:gridSpan w:val="5"/>
            <w:tcBorders>
              <w:top w:val="single" w:sz="4" w:space="0" w:color="auto"/>
              <w:left w:val="nil"/>
              <w:bottom w:val="single" w:sz="4" w:space="0" w:color="auto"/>
              <w:right w:val="nil"/>
            </w:tcBorders>
            <w:hideMark/>
          </w:tcPr>
          <w:p w14:paraId="094EBF21" w14:textId="77777777" w:rsidR="00F021B0" w:rsidRDefault="00F021B0">
            <w:r>
              <w:rPr>
                <w:noProof/>
                <w:lang w:val="en-GB" w:eastAsia="en-GB"/>
              </w:rPr>
              <w:drawing>
                <wp:inline distT="0" distB="0" distL="0" distR="0" wp14:anchorId="61DA9739" wp14:editId="19E84671">
                  <wp:extent cx="3502025" cy="2673985"/>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48" cstate="print">
                            <a:extLst>
                              <a:ext uri="{28A0092B-C50C-407E-A947-70E740481C1C}">
                                <a14:useLocalDpi xmlns:a14="http://schemas.microsoft.com/office/drawing/2010/main" val="0"/>
                              </a:ext>
                            </a:extLst>
                          </a:blip>
                          <a:srcRect l="22845" t="8797" r="2621" b="4095"/>
                          <a:stretch>
                            <a:fillRect/>
                          </a:stretch>
                        </pic:blipFill>
                        <pic:spPr bwMode="auto">
                          <a:xfrm>
                            <a:off x="0" y="0"/>
                            <a:ext cx="3502025" cy="2673985"/>
                          </a:xfrm>
                          <a:prstGeom prst="rect">
                            <a:avLst/>
                          </a:prstGeom>
                          <a:noFill/>
                          <a:ln>
                            <a:noFill/>
                          </a:ln>
                        </pic:spPr>
                      </pic:pic>
                    </a:graphicData>
                  </a:graphic>
                </wp:inline>
              </w:drawing>
            </w:r>
          </w:p>
        </w:tc>
      </w:tr>
      <w:tr w:rsidR="00F021B0" w14:paraId="6B917283" w14:textId="77777777" w:rsidTr="00F021B0">
        <w:tc>
          <w:tcPr>
            <w:tcW w:w="13330" w:type="dxa"/>
            <w:gridSpan w:val="10"/>
            <w:tcBorders>
              <w:top w:val="single" w:sz="4" w:space="0" w:color="auto"/>
              <w:left w:val="nil"/>
              <w:bottom w:val="nil"/>
              <w:right w:val="nil"/>
            </w:tcBorders>
            <w:vAlign w:val="center"/>
            <w:hideMark/>
          </w:tcPr>
          <w:p w14:paraId="38768C80" w14:textId="168036EF" w:rsidR="00D63934" w:rsidRDefault="00045978">
            <w:pPr>
              <w:jc w:val="both"/>
              <w:rPr>
                <w:noProof/>
                <w:sz w:val="16"/>
                <w:szCs w:val="16"/>
                <w:lang w:val="en-GB" w:eastAsia="en-GB"/>
              </w:rPr>
            </w:pPr>
            <w:r>
              <w:rPr>
                <w:noProof/>
                <w:sz w:val="16"/>
                <w:szCs w:val="16"/>
                <w:lang w:val="en-GB" w:eastAsia="en-GB"/>
              </w:rPr>
              <w:t>Abbreviations: DASH,</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032CDFC6" w14:textId="2A234843" w:rsidR="00BE09DD" w:rsidRDefault="00BE09DD">
            <w:pPr>
              <w:jc w:val="both"/>
              <w:rPr>
                <w:sz w:val="16"/>
                <w:szCs w:val="16"/>
                <w:lang w:val="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per category of household income (defined as cohort-specific </w:t>
            </w:r>
            <w:proofErr w:type="spellStart"/>
            <w:r>
              <w:rPr>
                <w:rFonts w:eastAsia="Times New Roman"/>
                <w:color w:val="000000"/>
                <w:sz w:val="16"/>
                <w:szCs w:val="16"/>
                <w:lang w:val="en-GB" w:eastAsia="en-GB"/>
              </w:rPr>
              <w:t>tertiles</w:t>
            </w:r>
            <w:proofErr w:type="spellEnd"/>
            <w:r>
              <w:rPr>
                <w:rFonts w:eastAsia="Times New Roman"/>
                <w:color w:val="000000"/>
                <w:sz w:val="16"/>
                <w:szCs w:val="16"/>
                <w:lang w:val="en-GB" w:eastAsia="en-GB"/>
              </w:rPr>
              <w:t xml:space="preserve">) (low category – </w:t>
            </w:r>
            <w:proofErr w:type="spellStart"/>
            <w:r>
              <w:rPr>
                <w:rFonts w:eastAsia="Times New Roman"/>
                <w:color w:val="000000"/>
                <w:sz w:val="16"/>
                <w:szCs w:val="16"/>
                <w:lang w:val="en-GB" w:eastAsia="en-GB"/>
              </w:rPr>
              <w:t>gray</w:t>
            </w:r>
            <w:proofErr w:type="spellEnd"/>
            <w:r>
              <w:rPr>
                <w:rFonts w:eastAsia="Times New Roman"/>
                <w:color w:val="000000"/>
                <w:sz w:val="16"/>
                <w:szCs w:val="16"/>
                <w:lang w:val="en-GB" w:eastAsia="en-GB"/>
              </w:rPr>
              <w:t xml:space="preserve"> square or medium category – black lozenge, in comparison with the high category – reference category). Models were adjusted for the seven </w:t>
            </w:r>
            <w:r w:rsidR="00AD26F3">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 and additionally</w:t>
            </w:r>
            <w:r w:rsidR="00CD7DDE">
              <w:rPr>
                <w:rFonts w:eastAsia="Times New Roman"/>
                <w:color w:val="000000"/>
                <w:sz w:val="16"/>
                <w:szCs w:val="16"/>
                <w:lang w:val="en-GB" w:eastAsia="en-GB"/>
              </w:rPr>
              <w:t xml:space="preserve"> adjusted</w:t>
            </w:r>
            <w:r>
              <w:rPr>
                <w:rFonts w:eastAsia="Times New Roman"/>
                <w:color w:val="000000"/>
                <w:sz w:val="16"/>
                <w:szCs w:val="16"/>
                <w:lang w:val="en-GB" w:eastAsia="en-GB"/>
              </w:rPr>
              <w:t xml:space="preserve"> for household income (available for ALSPAC, EDEN, Generation R, and Lifeways only).</w:t>
            </w:r>
          </w:p>
        </w:tc>
      </w:tr>
    </w:tbl>
    <w:p w14:paraId="315C9E07" w14:textId="77777777" w:rsidR="00F021B0" w:rsidRDefault="00F021B0" w:rsidP="00F021B0">
      <w:pPr>
        <w:spacing w:after="200" w:line="276" w:lineRule="auto"/>
        <w:jc w:val="left"/>
        <w:rPr>
          <w:rFonts w:eastAsia="Times New Roman"/>
          <w:b/>
          <w:color w:val="0070C0"/>
          <w:lang w:val="en-GB" w:eastAsia="en-GB"/>
        </w:rPr>
      </w:pPr>
      <w:r>
        <w:rPr>
          <w:rFonts w:eastAsia="Times New Roman"/>
          <w:b/>
          <w:color w:val="0070C0"/>
          <w:lang w:eastAsia="en-GB"/>
        </w:rPr>
        <w:br w:type="page"/>
      </w:r>
    </w:p>
    <w:tbl>
      <w:tblPr>
        <w:tblStyle w:val="TableGrid"/>
        <w:tblW w:w="1304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268"/>
        <w:gridCol w:w="1701"/>
        <w:gridCol w:w="1276"/>
        <w:gridCol w:w="1417"/>
        <w:gridCol w:w="709"/>
        <w:gridCol w:w="1276"/>
        <w:gridCol w:w="1559"/>
        <w:gridCol w:w="851"/>
        <w:gridCol w:w="1134"/>
        <w:gridCol w:w="850"/>
      </w:tblGrid>
      <w:tr w:rsidR="00F021B0" w14:paraId="01235A60" w14:textId="77777777" w:rsidTr="00FC5045">
        <w:tc>
          <w:tcPr>
            <w:tcW w:w="13041" w:type="dxa"/>
            <w:gridSpan w:val="10"/>
            <w:tcBorders>
              <w:top w:val="nil"/>
              <w:left w:val="nil"/>
              <w:bottom w:val="single" w:sz="4" w:space="0" w:color="auto"/>
              <w:right w:val="nil"/>
            </w:tcBorders>
            <w:hideMark/>
          </w:tcPr>
          <w:p w14:paraId="49273B86" w14:textId="7CE3B9F2" w:rsidR="00F021B0" w:rsidRDefault="00F021B0">
            <w:pPr>
              <w:spacing w:line="276" w:lineRule="auto"/>
              <w:jc w:val="both"/>
              <w:rPr>
                <w:sz w:val="18"/>
                <w:szCs w:val="18"/>
                <w:lang w:val="en-GB"/>
              </w:rPr>
            </w:pPr>
            <w:r>
              <w:rPr>
                <w:b/>
                <w:color w:val="0070C0"/>
                <w:sz w:val="18"/>
                <w:szCs w:val="18"/>
                <w:lang w:val="en-GB"/>
              </w:rPr>
              <w:lastRenderedPageBreak/>
              <w:t xml:space="preserve">Figure 3B. </w:t>
            </w:r>
            <w:r>
              <w:rPr>
                <w:sz w:val="18"/>
                <w:szCs w:val="18"/>
                <w:lang w:val="en-GB"/>
              </w:rPr>
              <w:t>A</w:t>
            </w:r>
            <w:r w:rsidR="00D63934">
              <w:rPr>
                <w:sz w:val="18"/>
                <w:szCs w:val="18"/>
                <w:lang w:val="en-GB"/>
              </w:rPr>
              <w:t>djusted a</w:t>
            </w:r>
            <w:r>
              <w:rPr>
                <w:sz w:val="18"/>
                <w:szCs w:val="18"/>
                <w:lang w:val="en-GB"/>
              </w:rPr>
              <w:t>ssociations</w:t>
            </w:r>
            <w:r w:rsidR="00CD7DDE">
              <w:rPr>
                <w:sz w:val="18"/>
                <w:szCs w:val="18"/>
                <w:vertAlign w:val="superscript"/>
                <w:lang w:val="en-GB"/>
              </w:rPr>
              <w:t xml:space="preserve"> </w:t>
            </w:r>
            <w:r w:rsidR="00CD7DDE">
              <w:rPr>
                <w:sz w:val="18"/>
                <w:szCs w:val="18"/>
                <w:lang w:val="en-GB"/>
              </w:rPr>
              <w:t>of</w:t>
            </w:r>
            <w:r>
              <w:rPr>
                <w:sz w:val="18"/>
                <w:szCs w:val="18"/>
                <w:lang w:val="en-GB"/>
              </w:rPr>
              <w:t xml:space="preserve"> physical activity level during pregnancy (reference = higher </w:t>
            </w:r>
            <w:proofErr w:type="spellStart"/>
            <w:r w:rsidR="007E3A6F">
              <w:rPr>
                <w:sz w:val="18"/>
                <w:szCs w:val="18"/>
                <w:lang w:val="en-GB"/>
              </w:rPr>
              <w:t>tertile</w:t>
            </w:r>
            <w:proofErr w:type="spellEnd"/>
            <w:r>
              <w:rPr>
                <w:sz w:val="18"/>
                <w:szCs w:val="18"/>
                <w:lang w:val="en-GB"/>
              </w:rPr>
              <w:t xml:space="preserve">) </w:t>
            </w:r>
            <w:r w:rsidR="00CD7DDE">
              <w:rPr>
                <w:sz w:val="18"/>
                <w:szCs w:val="18"/>
                <w:lang w:val="en-GB"/>
              </w:rPr>
              <w:t>with</w:t>
            </w:r>
            <w:r>
              <w:rPr>
                <w:sz w:val="18"/>
                <w:szCs w:val="18"/>
                <w:lang w:val="en-GB"/>
              </w:rPr>
              <w:t xml:space="preserve"> maternal diet</w:t>
            </w:r>
            <w:r w:rsidR="00E70189">
              <w:rPr>
                <w:sz w:val="18"/>
                <w:szCs w:val="18"/>
                <w:lang w:val="en-GB"/>
              </w:rPr>
              <w:t>ary</w:t>
            </w:r>
            <w:r>
              <w:rPr>
                <w:sz w:val="18"/>
                <w:szCs w:val="18"/>
                <w:lang w:val="en-GB"/>
              </w:rPr>
              <w:t xml:space="preserve"> quality</w:t>
            </w:r>
            <w:r w:rsidR="00CD7DDE">
              <w:rPr>
                <w:sz w:val="18"/>
                <w:szCs w:val="18"/>
                <w:lang w:val="en-GB"/>
              </w:rPr>
              <w:t xml:space="preserve"> and dietary inflammat</w:t>
            </w:r>
            <w:r w:rsidR="00AD26F3">
              <w:rPr>
                <w:sz w:val="18"/>
                <w:szCs w:val="18"/>
                <w:lang w:val="en-GB"/>
              </w:rPr>
              <w:t>ory potential</w:t>
            </w:r>
            <w:r w:rsidR="00CD7DDE">
              <w:rPr>
                <w:sz w:val="18"/>
                <w:szCs w:val="18"/>
                <w:lang w:val="en-GB"/>
              </w:rPr>
              <w:t>.</w:t>
            </w:r>
          </w:p>
        </w:tc>
      </w:tr>
      <w:tr w:rsidR="00F021B0" w14:paraId="6B556650" w14:textId="77777777" w:rsidTr="00FC5045">
        <w:trPr>
          <w:trHeight w:val="113"/>
        </w:trPr>
        <w:tc>
          <w:tcPr>
            <w:tcW w:w="2268" w:type="dxa"/>
            <w:tcBorders>
              <w:top w:val="single" w:sz="4" w:space="0" w:color="auto"/>
              <w:left w:val="nil"/>
              <w:bottom w:val="single" w:sz="4" w:space="0" w:color="auto"/>
              <w:right w:val="nil"/>
            </w:tcBorders>
            <w:vAlign w:val="bottom"/>
            <w:hideMark/>
          </w:tcPr>
          <w:p w14:paraId="444ECE6C" w14:textId="77777777" w:rsidR="00F021B0" w:rsidRDefault="00F021B0">
            <w:pPr>
              <w:jc w:val="left"/>
              <w:rPr>
                <w:rFonts w:ascii="Arial" w:hAnsi="Arial" w:cs="Arial"/>
                <w:sz w:val="12"/>
                <w:szCs w:val="12"/>
              </w:rPr>
            </w:pPr>
            <w:r>
              <w:rPr>
                <w:rFonts w:ascii="Arial" w:hAnsi="Arial" w:cs="Arial"/>
                <w:b/>
                <w:sz w:val="12"/>
                <w:szCs w:val="12"/>
              </w:rPr>
              <w:t>Cohorts</w:t>
            </w:r>
          </w:p>
        </w:tc>
        <w:tc>
          <w:tcPr>
            <w:tcW w:w="1701" w:type="dxa"/>
            <w:tcBorders>
              <w:top w:val="single" w:sz="4" w:space="0" w:color="auto"/>
              <w:left w:val="nil"/>
              <w:bottom w:val="single" w:sz="4" w:space="0" w:color="auto"/>
              <w:right w:val="nil"/>
            </w:tcBorders>
            <w:vAlign w:val="bottom"/>
            <w:hideMark/>
          </w:tcPr>
          <w:p w14:paraId="1E51CBE5" w14:textId="77777777" w:rsidR="00F021B0" w:rsidRDefault="00F021B0">
            <w:pPr>
              <w:rPr>
                <w:rFonts w:ascii="Arial" w:hAnsi="Arial" w:cs="Arial"/>
                <w:b/>
                <w:sz w:val="12"/>
                <w:szCs w:val="12"/>
              </w:rPr>
            </w:pPr>
            <w:r>
              <w:rPr>
                <w:rFonts w:ascii="Arial" w:hAnsi="Arial" w:cs="Arial"/>
                <w:b/>
                <w:sz w:val="12"/>
                <w:szCs w:val="12"/>
              </w:rPr>
              <w:t>DASH score</w:t>
            </w:r>
          </w:p>
        </w:tc>
        <w:tc>
          <w:tcPr>
            <w:tcW w:w="1276" w:type="dxa"/>
            <w:tcBorders>
              <w:top w:val="single" w:sz="4" w:space="0" w:color="auto"/>
              <w:left w:val="nil"/>
              <w:bottom w:val="single" w:sz="4" w:space="0" w:color="auto"/>
              <w:right w:val="nil"/>
            </w:tcBorders>
          </w:tcPr>
          <w:p w14:paraId="4307DA25" w14:textId="77777777" w:rsidR="00F021B0" w:rsidRDefault="00F021B0">
            <w:pPr>
              <w:rPr>
                <w:sz w:val="12"/>
                <w:szCs w:val="12"/>
              </w:rPr>
            </w:pPr>
          </w:p>
        </w:tc>
        <w:tc>
          <w:tcPr>
            <w:tcW w:w="1417" w:type="dxa"/>
            <w:tcBorders>
              <w:top w:val="single" w:sz="4" w:space="0" w:color="auto"/>
              <w:left w:val="nil"/>
              <w:bottom w:val="single" w:sz="4" w:space="0" w:color="auto"/>
              <w:right w:val="nil"/>
            </w:tcBorders>
            <w:vAlign w:val="bottom"/>
            <w:hideMark/>
          </w:tcPr>
          <w:p w14:paraId="1F48A1FF" w14:textId="77777777" w:rsidR="00F021B0" w:rsidRDefault="00F021B0">
            <w:pPr>
              <w:rPr>
                <w:rFonts w:ascii="Arial" w:hAnsi="Arial" w:cs="Arial"/>
                <w:b/>
                <w:sz w:val="12"/>
                <w:szCs w:val="12"/>
              </w:rPr>
            </w:pPr>
            <w:r>
              <w:rPr>
                <w:rFonts w:ascii="Arial" w:hAnsi="Arial" w:cs="Arial"/>
                <w:b/>
                <w:sz w:val="12"/>
                <w:szCs w:val="12"/>
              </w:rPr>
              <w:t>β (95% CI)</w:t>
            </w:r>
          </w:p>
        </w:tc>
        <w:tc>
          <w:tcPr>
            <w:tcW w:w="709" w:type="dxa"/>
            <w:tcBorders>
              <w:top w:val="single" w:sz="4" w:space="0" w:color="auto"/>
              <w:left w:val="nil"/>
              <w:bottom w:val="single" w:sz="4" w:space="0" w:color="auto"/>
              <w:right w:val="nil"/>
            </w:tcBorders>
            <w:vAlign w:val="bottom"/>
            <w:hideMark/>
          </w:tcPr>
          <w:p w14:paraId="407B8456" w14:textId="77777777" w:rsidR="00F021B0" w:rsidRDefault="00F021B0">
            <w:pPr>
              <w:jc w:val="right"/>
              <w:rPr>
                <w:rFonts w:ascii="Arial" w:hAnsi="Arial" w:cs="Arial"/>
                <w:b/>
                <w:sz w:val="12"/>
                <w:szCs w:val="12"/>
              </w:rPr>
            </w:pPr>
            <w:r>
              <w:rPr>
                <w:rFonts w:ascii="Arial" w:hAnsi="Arial" w:cs="Arial"/>
                <w:b/>
                <w:sz w:val="12"/>
                <w:szCs w:val="12"/>
              </w:rPr>
              <w:t>Weight (%)</w:t>
            </w:r>
          </w:p>
        </w:tc>
        <w:tc>
          <w:tcPr>
            <w:tcW w:w="1276" w:type="dxa"/>
            <w:tcBorders>
              <w:top w:val="single" w:sz="4" w:space="0" w:color="auto"/>
              <w:left w:val="nil"/>
              <w:bottom w:val="single" w:sz="4" w:space="0" w:color="auto"/>
              <w:right w:val="nil"/>
            </w:tcBorders>
          </w:tcPr>
          <w:p w14:paraId="5D90A2C5" w14:textId="77777777" w:rsidR="00F021B0" w:rsidRDefault="00F021B0">
            <w:pPr>
              <w:rPr>
                <w:sz w:val="12"/>
                <w:szCs w:val="12"/>
              </w:rPr>
            </w:pPr>
          </w:p>
        </w:tc>
        <w:tc>
          <w:tcPr>
            <w:tcW w:w="1559" w:type="dxa"/>
            <w:tcBorders>
              <w:top w:val="single" w:sz="4" w:space="0" w:color="auto"/>
              <w:left w:val="nil"/>
              <w:bottom w:val="single" w:sz="4" w:space="0" w:color="auto"/>
              <w:right w:val="nil"/>
            </w:tcBorders>
            <w:vAlign w:val="bottom"/>
            <w:hideMark/>
          </w:tcPr>
          <w:p w14:paraId="10C13D01" w14:textId="77777777" w:rsidR="00F021B0" w:rsidRDefault="00F021B0">
            <w:pPr>
              <w:rPr>
                <w:rFonts w:ascii="Arial" w:hAnsi="Arial" w:cs="Arial"/>
                <w:b/>
                <w:sz w:val="12"/>
                <w:szCs w:val="12"/>
              </w:rPr>
            </w:pPr>
            <w:r>
              <w:rPr>
                <w:rFonts w:ascii="Arial" w:hAnsi="Arial" w:cs="Arial"/>
                <w:b/>
                <w:sz w:val="12"/>
                <w:szCs w:val="12"/>
              </w:rPr>
              <w:t>E-DII score</w:t>
            </w:r>
          </w:p>
        </w:tc>
        <w:tc>
          <w:tcPr>
            <w:tcW w:w="851" w:type="dxa"/>
            <w:tcBorders>
              <w:top w:val="single" w:sz="4" w:space="0" w:color="auto"/>
              <w:left w:val="nil"/>
              <w:bottom w:val="single" w:sz="4" w:space="0" w:color="auto"/>
              <w:right w:val="nil"/>
            </w:tcBorders>
          </w:tcPr>
          <w:p w14:paraId="604E163E" w14:textId="77777777" w:rsidR="00F021B0" w:rsidRDefault="00F021B0">
            <w:pPr>
              <w:rPr>
                <w:sz w:val="12"/>
                <w:szCs w:val="12"/>
              </w:rPr>
            </w:pPr>
          </w:p>
        </w:tc>
        <w:tc>
          <w:tcPr>
            <w:tcW w:w="1134" w:type="dxa"/>
            <w:tcBorders>
              <w:top w:val="single" w:sz="4" w:space="0" w:color="auto"/>
              <w:left w:val="nil"/>
              <w:bottom w:val="single" w:sz="4" w:space="0" w:color="auto"/>
              <w:right w:val="nil"/>
            </w:tcBorders>
            <w:vAlign w:val="bottom"/>
            <w:hideMark/>
          </w:tcPr>
          <w:p w14:paraId="2EB84249" w14:textId="77777777" w:rsidR="00F021B0" w:rsidRDefault="00F021B0">
            <w:pPr>
              <w:rPr>
                <w:rFonts w:ascii="Arial" w:hAnsi="Arial" w:cs="Arial"/>
                <w:b/>
                <w:sz w:val="12"/>
                <w:szCs w:val="12"/>
              </w:rPr>
            </w:pPr>
            <w:r>
              <w:rPr>
                <w:rFonts w:ascii="Arial" w:hAnsi="Arial" w:cs="Arial"/>
                <w:b/>
                <w:sz w:val="12"/>
                <w:szCs w:val="12"/>
              </w:rPr>
              <w:t>β (95% CI)</w:t>
            </w:r>
          </w:p>
        </w:tc>
        <w:tc>
          <w:tcPr>
            <w:tcW w:w="850" w:type="dxa"/>
            <w:tcBorders>
              <w:top w:val="single" w:sz="4" w:space="0" w:color="auto"/>
              <w:left w:val="nil"/>
              <w:bottom w:val="single" w:sz="4" w:space="0" w:color="auto"/>
              <w:right w:val="nil"/>
            </w:tcBorders>
            <w:vAlign w:val="bottom"/>
            <w:hideMark/>
          </w:tcPr>
          <w:p w14:paraId="6DD3A45D" w14:textId="77777777" w:rsidR="00F021B0" w:rsidRDefault="00F021B0">
            <w:pPr>
              <w:jc w:val="right"/>
              <w:rPr>
                <w:rFonts w:ascii="Arial" w:hAnsi="Arial" w:cs="Arial"/>
                <w:b/>
                <w:sz w:val="12"/>
                <w:szCs w:val="12"/>
              </w:rPr>
            </w:pPr>
            <w:r>
              <w:rPr>
                <w:rFonts w:ascii="Arial" w:hAnsi="Arial" w:cs="Arial"/>
                <w:b/>
                <w:sz w:val="12"/>
                <w:szCs w:val="12"/>
              </w:rPr>
              <w:t>Weight (%)</w:t>
            </w:r>
          </w:p>
        </w:tc>
      </w:tr>
      <w:tr w:rsidR="00F021B0" w14:paraId="37BAB102" w14:textId="77777777" w:rsidTr="00FC5045">
        <w:trPr>
          <w:trHeight w:val="3515"/>
        </w:trPr>
        <w:tc>
          <w:tcPr>
            <w:tcW w:w="7371" w:type="dxa"/>
            <w:gridSpan w:val="5"/>
            <w:tcBorders>
              <w:top w:val="single" w:sz="4" w:space="0" w:color="auto"/>
              <w:left w:val="nil"/>
              <w:bottom w:val="single" w:sz="4" w:space="0" w:color="auto"/>
              <w:right w:val="nil"/>
            </w:tcBorders>
            <w:hideMark/>
          </w:tcPr>
          <w:p w14:paraId="464305DF" w14:textId="77777777" w:rsidR="00F021B0" w:rsidRDefault="00F021B0">
            <w:pPr>
              <w:tabs>
                <w:tab w:val="left" w:pos="1482"/>
              </w:tabs>
            </w:pPr>
            <w:r>
              <w:rPr>
                <w:noProof/>
                <w:lang w:val="en-GB" w:eastAsia="en-GB"/>
              </w:rPr>
              <w:drawing>
                <wp:inline distT="0" distB="0" distL="0" distR="0" wp14:anchorId="7EE323A1" wp14:editId="6ADADBBC">
                  <wp:extent cx="4589145" cy="349377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49" cstate="print">
                            <a:extLst>
                              <a:ext uri="{28A0092B-C50C-407E-A947-70E740481C1C}">
                                <a14:useLocalDpi xmlns:a14="http://schemas.microsoft.com/office/drawing/2010/main" val="0"/>
                              </a:ext>
                            </a:extLst>
                          </a:blip>
                          <a:srcRect l="2002" t="7599" r="4547" b="5165"/>
                          <a:stretch>
                            <a:fillRect/>
                          </a:stretch>
                        </pic:blipFill>
                        <pic:spPr bwMode="auto">
                          <a:xfrm>
                            <a:off x="0" y="0"/>
                            <a:ext cx="4589145" cy="3493770"/>
                          </a:xfrm>
                          <a:prstGeom prst="rect">
                            <a:avLst/>
                          </a:prstGeom>
                          <a:noFill/>
                          <a:ln>
                            <a:noFill/>
                          </a:ln>
                        </pic:spPr>
                      </pic:pic>
                    </a:graphicData>
                  </a:graphic>
                </wp:inline>
              </w:drawing>
            </w:r>
          </w:p>
        </w:tc>
        <w:tc>
          <w:tcPr>
            <w:tcW w:w="5670" w:type="dxa"/>
            <w:gridSpan w:val="5"/>
            <w:tcBorders>
              <w:top w:val="single" w:sz="4" w:space="0" w:color="auto"/>
              <w:left w:val="nil"/>
              <w:bottom w:val="single" w:sz="4" w:space="0" w:color="auto"/>
              <w:right w:val="nil"/>
            </w:tcBorders>
            <w:hideMark/>
          </w:tcPr>
          <w:p w14:paraId="14450AC4" w14:textId="77777777" w:rsidR="00F021B0" w:rsidRDefault="00F021B0">
            <w:r>
              <w:rPr>
                <w:noProof/>
                <w:lang w:val="en-GB" w:eastAsia="en-GB"/>
              </w:rPr>
              <w:drawing>
                <wp:inline distT="0" distB="0" distL="0" distR="0" wp14:anchorId="692CAC10" wp14:editId="71D1C9E3">
                  <wp:extent cx="3484880" cy="3502025"/>
                  <wp:effectExtent l="0" t="0" r="127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50" cstate="print">
                            <a:extLst>
                              <a:ext uri="{28A0092B-C50C-407E-A947-70E740481C1C}">
                                <a14:useLocalDpi xmlns:a14="http://schemas.microsoft.com/office/drawing/2010/main" val="0"/>
                              </a:ext>
                            </a:extLst>
                          </a:blip>
                          <a:srcRect l="23331" t="7703" r="9515" b="4700"/>
                          <a:stretch>
                            <a:fillRect/>
                          </a:stretch>
                        </pic:blipFill>
                        <pic:spPr bwMode="auto">
                          <a:xfrm>
                            <a:off x="0" y="0"/>
                            <a:ext cx="3484880" cy="3502025"/>
                          </a:xfrm>
                          <a:prstGeom prst="rect">
                            <a:avLst/>
                          </a:prstGeom>
                          <a:noFill/>
                          <a:ln>
                            <a:noFill/>
                          </a:ln>
                        </pic:spPr>
                      </pic:pic>
                    </a:graphicData>
                  </a:graphic>
                </wp:inline>
              </w:drawing>
            </w:r>
          </w:p>
        </w:tc>
      </w:tr>
      <w:tr w:rsidR="00F021B0" w14:paraId="07289ADA" w14:textId="77777777" w:rsidTr="00FC5045">
        <w:tc>
          <w:tcPr>
            <w:tcW w:w="13041" w:type="dxa"/>
            <w:gridSpan w:val="10"/>
            <w:tcBorders>
              <w:top w:val="single" w:sz="4" w:space="0" w:color="auto"/>
              <w:left w:val="nil"/>
              <w:bottom w:val="nil"/>
              <w:right w:val="nil"/>
            </w:tcBorders>
            <w:vAlign w:val="center"/>
            <w:hideMark/>
          </w:tcPr>
          <w:p w14:paraId="4A3B2F70" w14:textId="1D9DEF69" w:rsidR="00D63934" w:rsidRDefault="00045978">
            <w:pPr>
              <w:jc w:val="both"/>
              <w:rPr>
                <w:noProof/>
                <w:sz w:val="16"/>
                <w:szCs w:val="16"/>
                <w:lang w:val="en-GB" w:eastAsia="en-GB"/>
              </w:rPr>
            </w:pPr>
            <w:r>
              <w:rPr>
                <w:noProof/>
                <w:sz w:val="16"/>
                <w:szCs w:val="16"/>
                <w:lang w:val="en-GB" w:eastAsia="en-GB"/>
              </w:rPr>
              <w:t>Abbreviations: DASH,</w:t>
            </w:r>
            <w:r w:rsidR="00F021B0">
              <w:rPr>
                <w:noProof/>
                <w:sz w:val="16"/>
                <w:szCs w:val="16"/>
                <w:lang w:val="en-GB" w:eastAsia="en-GB"/>
              </w:rPr>
              <w:t xml:space="preserve"> Dietary Approaches to Stop Hypertension. E-DII</w:t>
            </w:r>
            <w:r>
              <w:rPr>
                <w:noProof/>
                <w:sz w:val="16"/>
                <w:szCs w:val="16"/>
                <w:lang w:val="en-GB" w:eastAsia="en-GB"/>
              </w:rPr>
              <w:t>,</w:t>
            </w:r>
            <w:r w:rsidR="00F021B0">
              <w:rPr>
                <w:noProof/>
                <w:sz w:val="16"/>
                <w:szCs w:val="16"/>
                <w:lang w:val="en-GB" w:eastAsia="en-GB"/>
              </w:rPr>
              <w:t xml:space="preserve"> energy-adjusted Dietary Inflammatory Index. </w:t>
            </w:r>
          </w:p>
          <w:p w14:paraId="10256F39" w14:textId="02A62340" w:rsidR="00E70189" w:rsidRDefault="00E70189">
            <w:pPr>
              <w:jc w:val="both"/>
              <w:rPr>
                <w:sz w:val="16"/>
                <w:szCs w:val="16"/>
                <w:lang w:val="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per category of </w:t>
            </w:r>
            <w:r w:rsidR="00CD7DDE">
              <w:rPr>
                <w:rFonts w:eastAsia="Times New Roman"/>
                <w:color w:val="000000"/>
                <w:sz w:val="16"/>
                <w:szCs w:val="16"/>
                <w:lang w:val="en-GB" w:eastAsia="en-GB"/>
              </w:rPr>
              <w:t>physical activity level during pregnancy</w:t>
            </w:r>
            <w:r>
              <w:rPr>
                <w:rFonts w:eastAsia="Times New Roman"/>
                <w:color w:val="000000"/>
                <w:sz w:val="16"/>
                <w:szCs w:val="16"/>
                <w:lang w:val="en-GB" w:eastAsia="en-GB"/>
              </w:rPr>
              <w:t xml:space="preserve"> (defined as cohort-specific </w:t>
            </w:r>
            <w:proofErr w:type="spellStart"/>
            <w:r>
              <w:rPr>
                <w:rFonts w:eastAsia="Times New Roman"/>
                <w:color w:val="000000"/>
                <w:sz w:val="16"/>
                <w:szCs w:val="16"/>
                <w:lang w:val="en-GB" w:eastAsia="en-GB"/>
              </w:rPr>
              <w:t>tertiles</w:t>
            </w:r>
            <w:proofErr w:type="spellEnd"/>
            <w:r>
              <w:rPr>
                <w:rFonts w:eastAsia="Times New Roman"/>
                <w:color w:val="000000"/>
                <w:sz w:val="16"/>
                <w:szCs w:val="16"/>
                <w:lang w:val="en-GB" w:eastAsia="en-GB"/>
              </w:rPr>
              <w:t xml:space="preserve">) (low category – </w:t>
            </w:r>
            <w:proofErr w:type="spellStart"/>
            <w:r>
              <w:rPr>
                <w:rFonts w:eastAsia="Times New Roman"/>
                <w:color w:val="000000"/>
                <w:sz w:val="16"/>
                <w:szCs w:val="16"/>
                <w:lang w:val="en-GB" w:eastAsia="en-GB"/>
              </w:rPr>
              <w:t>gray</w:t>
            </w:r>
            <w:proofErr w:type="spellEnd"/>
            <w:r>
              <w:rPr>
                <w:rFonts w:eastAsia="Times New Roman"/>
                <w:color w:val="000000"/>
                <w:sz w:val="16"/>
                <w:szCs w:val="16"/>
                <w:lang w:val="en-GB" w:eastAsia="en-GB"/>
              </w:rPr>
              <w:t xml:space="preserve"> square or medium category – black lozenge, in comparison with the high category – reference category). Models were adjusted for</w:t>
            </w:r>
            <w:r w:rsidR="007F673F">
              <w:rPr>
                <w:rFonts w:eastAsia="Times New Roman"/>
                <w:color w:val="000000"/>
                <w:sz w:val="16"/>
                <w:szCs w:val="16"/>
                <w:lang w:val="en-GB" w:eastAsia="en-GB"/>
              </w:rPr>
              <w:t xml:space="preserve"> </w:t>
            </w:r>
            <w:r>
              <w:rPr>
                <w:rFonts w:eastAsia="Times New Roman"/>
                <w:color w:val="000000"/>
                <w:sz w:val="16"/>
                <w:szCs w:val="16"/>
                <w:lang w:val="en-GB" w:eastAsia="en-GB"/>
              </w:rPr>
              <w:t xml:space="preserve">the seven </w:t>
            </w:r>
            <w:r w:rsidR="00AD26F3">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cohorts: age, educational level, parity, ethnicity/birthplace, pre-pregnancy body mass index (BMI), smoking status during pregnancy, and alcohol consumption during pregnancy; and additionally </w:t>
            </w:r>
            <w:r w:rsidR="00CD7DDE">
              <w:rPr>
                <w:rFonts w:eastAsia="Times New Roman"/>
                <w:color w:val="000000"/>
                <w:sz w:val="16"/>
                <w:szCs w:val="16"/>
                <w:lang w:val="en-GB" w:eastAsia="en-GB"/>
              </w:rPr>
              <w:t xml:space="preserve">adjusted </w:t>
            </w:r>
            <w:r>
              <w:rPr>
                <w:rFonts w:eastAsia="Times New Roman"/>
                <w:color w:val="000000"/>
                <w:sz w:val="16"/>
                <w:szCs w:val="16"/>
                <w:lang w:val="en-GB" w:eastAsia="en-GB"/>
              </w:rPr>
              <w:t xml:space="preserve">for </w:t>
            </w:r>
            <w:r w:rsidR="00CD7DDE">
              <w:rPr>
                <w:rFonts w:eastAsia="Times New Roman"/>
                <w:color w:val="000000"/>
                <w:sz w:val="16"/>
                <w:szCs w:val="16"/>
                <w:lang w:val="en-GB" w:eastAsia="en-GB"/>
              </w:rPr>
              <w:t xml:space="preserve">physical activity level during pregnancy </w:t>
            </w:r>
            <w:r>
              <w:rPr>
                <w:rFonts w:eastAsia="Times New Roman"/>
                <w:color w:val="000000"/>
                <w:sz w:val="16"/>
                <w:szCs w:val="16"/>
                <w:lang w:val="en-GB" w:eastAsia="en-GB"/>
              </w:rPr>
              <w:t>(</w:t>
            </w:r>
            <w:r w:rsidR="00CD7DDE">
              <w:rPr>
                <w:rFonts w:eastAsia="Times New Roman"/>
                <w:color w:val="000000"/>
                <w:sz w:val="16"/>
                <w:szCs w:val="16"/>
                <w:lang w:val="en-GB" w:eastAsia="en-GB"/>
              </w:rPr>
              <w:t xml:space="preserve">not </w:t>
            </w:r>
            <w:r>
              <w:rPr>
                <w:rFonts w:eastAsia="Times New Roman"/>
                <w:color w:val="000000"/>
                <w:sz w:val="16"/>
                <w:szCs w:val="16"/>
                <w:lang w:val="en-GB" w:eastAsia="en-GB"/>
              </w:rPr>
              <w:t>available for Generation R only).</w:t>
            </w:r>
          </w:p>
        </w:tc>
      </w:tr>
    </w:tbl>
    <w:p w14:paraId="366A99AC" w14:textId="77777777" w:rsidR="00F021B0" w:rsidRDefault="00F021B0" w:rsidP="00F021B0">
      <w:pPr>
        <w:spacing w:after="200" w:line="276" w:lineRule="auto"/>
        <w:jc w:val="left"/>
        <w:rPr>
          <w:rFonts w:eastAsia="Times New Roman"/>
          <w:b/>
          <w:color w:val="0070C0"/>
          <w:lang w:val="en-GB" w:eastAsia="en-GB"/>
        </w:rPr>
      </w:pPr>
      <w:r>
        <w:rPr>
          <w:rFonts w:eastAsia="Times New Roman"/>
          <w:b/>
          <w:color w:val="0070C0"/>
          <w:lang w:eastAsia="en-GB"/>
        </w:rPr>
        <w:br w:type="page"/>
      </w:r>
    </w:p>
    <w:p w14:paraId="462E8FB1" w14:textId="0FD9C152" w:rsidR="00A47750" w:rsidRDefault="00A47750" w:rsidP="00A47750">
      <w:pPr>
        <w:pStyle w:val="NoSpacing"/>
        <w:spacing w:line="276" w:lineRule="auto"/>
        <w:rPr>
          <w:sz w:val="22"/>
          <w:szCs w:val="22"/>
        </w:rPr>
      </w:pPr>
      <w:r>
        <w:rPr>
          <w:rFonts w:eastAsia="Times New Roman"/>
          <w:b/>
          <w:color w:val="0070C0"/>
          <w:sz w:val="22"/>
          <w:szCs w:val="22"/>
          <w:lang w:eastAsia="en-GB"/>
        </w:rPr>
        <w:lastRenderedPageBreak/>
        <w:t>Supplemental table S1.</w:t>
      </w:r>
      <w:r>
        <w:rPr>
          <w:rFonts w:eastAsia="Times New Roman"/>
          <w:color w:val="0070C0"/>
          <w:sz w:val="22"/>
          <w:szCs w:val="22"/>
          <w:lang w:eastAsia="en-GB"/>
        </w:rPr>
        <w:t xml:space="preserve"> </w:t>
      </w:r>
      <w:r w:rsidR="000E45A8" w:rsidRPr="008027D0">
        <w:rPr>
          <w:rFonts w:eastAsia="Times New Roman"/>
          <w:sz w:val="22"/>
          <w:szCs w:val="22"/>
          <w:lang w:eastAsia="en-GB"/>
        </w:rPr>
        <w:t xml:space="preserve">Descriptive summary of </w:t>
      </w:r>
      <w:r w:rsidR="000E45A8">
        <w:rPr>
          <w:sz w:val="22"/>
          <w:szCs w:val="22"/>
        </w:rPr>
        <w:t>f</w:t>
      </w:r>
      <w:r>
        <w:rPr>
          <w:sz w:val="22"/>
          <w:szCs w:val="22"/>
        </w:rPr>
        <w:t xml:space="preserve">ood </w:t>
      </w:r>
      <w:r w:rsidR="0027607F">
        <w:rPr>
          <w:sz w:val="22"/>
          <w:szCs w:val="22"/>
        </w:rPr>
        <w:t>f</w:t>
      </w:r>
      <w:r w:rsidR="00143D7D">
        <w:rPr>
          <w:sz w:val="22"/>
          <w:szCs w:val="22"/>
        </w:rPr>
        <w:t xml:space="preserve">requency </w:t>
      </w:r>
      <w:r w:rsidR="0027607F">
        <w:rPr>
          <w:sz w:val="22"/>
          <w:szCs w:val="22"/>
        </w:rPr>
        <w:t>q</w:t>
      </w:r>
      <w:r w:rsidR="00143D7D">
        <w:rPr>
          <w:sz w:val="22"/>
          <w:szCs w:val="22"/>
        </w:rPr>
        <w:t>uestionnaires and DASH and E-DII scores in the ALPHABET consortium</w:t>
      </w:r>
      <w:r w:rsidR="000E45A8">
        <w:rPr>
          <w:sz w:val="22"/>
          <w:szCs w:val="22"/>
        </w:rPr>
        <w:t>, overall and by cohort</w:t>
      </w:r>
      <w:r>
        <w:rPr>
          <w:sz w:val="22"/>
          <w:szCs w:val="22"/>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972"/>
        <w:gridCol w:w="1276"/>
        <w:gridCol w:w="1191"/>
        <w:gridCol w:w="1191"/>
        <w:gridCol w:w="1191"/>
        <w:gridCol w:w="1191"/>
        <w:gridCol w:w="1191"/>
        <w:gridCol w:w="1191"/>
        <w:gridCol w:w="1191"/>
      </w:tblGrid>
      <w:tr w:rsidR="008D0154" w:rsidRPr="00E666AB" w14:paraId="43CC3ECC" w14:textId="77777777" w:rsidTr="00915441">
        <w:tc>
          <w:tcPr>
            <w:tcW w:w="2972" w:type="dxa"/>
            <w:tcBorders>
              <w:bottom w:val="single" w:sz="4" w:space="0" w:color="auto"/>
            </w:tcBorders>
          </w:tcPr>
          <w:p w14:paraId="47FE540C" w14:textId="77777777" w:rsidR="008D0154" w:rsidRPr="00E666AB" w:rsidRDefault="008D0154" w:rsidP="008D0154">
            <w:pPr>
              <w:pStyle w:val="NoSpacing"/>
              <w:spacing w:line="240" w:lineRule="auto"/>
              <w:rPr>
                <w:rFonts w:asciiTheme="minorHAnsi" w:hAnsiTheme="minorHAnsi" w:cstheme="minorHAnsi"/>
                <w:sz w:val="20"/>
                <w:szCs w:val="20"/>
              </w:rPr>
            </w:pPr>
          </w:p>
        </w:tc>
        <w:tc>
          <w:tcPr>
            <w:tcW w:w="1276" w:type="dxa"/>
            <w:tcBorders>
              <w:bottom w:val="single" w:sz="4" w:space="0" w:color="auto"/>
              <w:right w:val="single" w:sz="4" w:space="0" w:color="auto"/>
            </w:tcBorders>
            <w:vAlign w:val="center"/>
          </w:tcPr>
          <w:p w14:paraId="02EB3E35" w14:textId="4CF2BD60" w:rsidR="008D0154" w:rsidRPr="00AB40EA" w:rsidRDefault="008D0154" w:rsidP="00E666AB">
            <w:pPr>
              <w:pStyle w:val="NoSpacing"/>
              <w:spacing w:line="240" w:lineRule="auto"/>
              <w:jc w:val="center"/>
              <w:rPr>
                <w:rFonts w:asciiTheme="minorHAnsi" w:hAnsiTheme="minorHAnsi" w:cstheme="minorHAnsi"/>
                <w:sz w:val="20"/>
                <w:szCs w:val="20"/>
                <w:vertAlign w:val="superscript"/>
              </w:rPr>
            </w:pPr>
            <w:proofErr w:type="spellStart"/>
            <w:r w:rsidRPr="00E666AB">
              <w:rPr>
                <w:rFonts w:asciiTheme="minorHAnsi" w:hAnsiTheme="minorHAnsi" w:cstheme="minorHAnsi"/>
                <w:b/>
                <w:sz w:val="20"/>
                <w:szCs w:val="20"/>
              </w:rPr>
              <w:t>ALPHABET</w:t>
            </w:r>
            <w:r w:rsidR="00AB40EA">
              <w:rPr>
                <w:rFonts w:asciiTheme="minorHAnsi" w:hAnsiTheme="minorHAnsi" w:cstheme="minorHAnsi"/>
                <w:sz w:val="20"/>
                <w:szCs w:val="20"/>
                <w:vertAlign w:val="superscript"/>
              </w:rPr>
              <w:t>a</w:t>
            </w:r>
            <w:proofErr w:type="spellEnd"/>
          </w:p>
        </w:tc>
        <w:tc>
          <w:tcPr>
            <w:tcW w:w="1191" w:type="dxa"/>
            <w:tcBorders>
              <w:left w:val="single" w:sz="4" w:space="0" w:color="auto"/>
              <w:bottom w:val="single" w:sz="4" w:space="0" w:color="auto"/>
            </w:tcBorders>
            <w:vAlign w:val="center"/>
          </w:tcPr>
          <w:p w14:paraId="15BE35AC" w14:textId="10AF046C"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ALSPAC</w:t>
            </w:r>
          </w:p>
        </w:tc>
        <w:tc>
          <w:tcPr>
            <w:tcW w:w="1191" w:type="dxa"/>
            <w:tcBorders>
              <w:bottom w:val="single" w:sz="4" w:space="0" w:color="auto"/>
            </w:tcBorders>
            <w:vAlign w:val="center"/>
          </w:tcPr>
          <w:p w14:paraId="3D1DC6BA" w14:textId="25495450"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EDEN</w:t>
            </w:r>
          </w:p>
        </w:tc>
        <w:tc>
          <w:tcPr>
            <w:tcW w:w="1191" w:type="dxa"/>
            <w:tcBorders>
              <w:bottom w:val="single" w:sz="4" w:space="0" w:color="auto"/>
            </w:tcBorders>
            <w:vAlign w:val="center"/>
          </w:tcPr>
          <w:p w14:paraId="3A5DA3BD" w14:textId="093459EE"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Generation R</w:t>
            </w:r>
          </w:p>
        </w:tc>
        <w:tc>
          <w:tcPr>
            <w:tcW w:w="1191" w:type="dxa"/>
            <w:tcBorders>
              <w:bottom w:val="single" w:sz="4" w:space="0" w:color="auto"/>
            </w:tcBorders>
            <w:vAlign w:val="center"/>
          </w:tcPr>
          <w:p w14:paraId="355F5F28" w14:textId="386AC346"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Lifeways</w:t>
            </w:r>
          </w:p>
        </w:tc>
        <w:tc>
          <w:tcPr>
            <w:tcW w:w="1191" w:type="dxa"/>
            <w:tcBorders>
              <w:bottom w:val="single" w:sz="4" w:space="0" w:color="auto"/>
            </w:tcBorders>
            <w:vAlign w:val="center"/>
          </w:tcPr>
          <w:p w14:paraId="26D23EAD" w14:textId="72D216AA"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REPRO_PL</w:t>
            </w:r>
          </w:p>
        </w:tc>
        <w:tc>
          <w:tcPr>
            <w:tcW w:w="1191" w:type="dxa"/>
            <w:tcBorders>
              <w:bottom w:val="single" w:sz="4" w:space="0" w:color="auto"/>
            </w:tcBorders>
            <w:vAlign w:val="center"/>
          </w:tcPr>
          <w:p w14:paraId="6ABB2EB7" w14:textId="00BC677B"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ROLO</w:t>
            </w:r>
          </w:p>
        </w:tc>
        <w:tc>
          <w:tcPr>
            <w:tcW w:w="1191" w:type="dxa"/>
            <w:tcBorders>
              <w:bottom w:val="single" w:sz="4" w:space="0" w:color="auto"/>
            </w:tcBorders>
            <w:vAlign w:val="center"/>
          </w:tcPr>
          <w:p w14:paraId="29FC0157" w14:textId="56DA8691" w:rsidR="008D0154" w:rsidRPr="00E666AB" w:rsidRDefault="008D0154" w:rsidP="00E666AB">
            <w:pPr>
              <w:pStyle w:val="NoSpacing"/>
              <w:spacing w:line="240" w:lineRule="auto"/>
              <w:jc w:val="center"/>
              <w:rPr>
                <w:rFonts w:asciiTheme="minorHAnsi" w:hAnsiTheme="minorHAnsi" w:cstheme="minorHAnsi"/>
                <w:sz w:val="20"/>
                <w:szCs w:val="20"/>
              </w:rPr>
            </w:pPr>
            <w:r w:rsidRPr="00E666AB">
              <w:rPr>
                <w:rFonts w:asciiTheme="minorHAnsi" w:hAnsiTheme="minorHAnsi" w:cstheme="minorHAnsi"/>
                <w:b/>
                <w:sz w:val="20"/>
                <w:szCs w:val="20"/>
              </w:rPr>
              <w:t>SWS</w:t>
            </w:r>
          </w:p>
        </w:tc>
      </w:tr>
      <w:tr w:rsidR="00915441" w:rsidRPr="00E666AB" w14:paraId="65DA074B" w14:textId="77777777" w:rsidTr="00915441">
        <w:tc>
          <w:tcPr>
            <w:tcW w:w="2972" w:type="dxa"/>
            <w:tcBorders>
              <w:top w:val="single" w:sz="4" w:space="0" w:color="auto"/>
              <w:bottom w:val="single" w:sz="4" w:space="0" w:color="auto"/>
            </w:tcBorders>
            <w:shd w:val="clear" w:color="auto" w:fill="D9D9D9" w:themeFill="background1" w:themeFillShade="D9"/>
          </w:tcPr>
          <w:p w14:paraId="31C836CA" w14:textId="4FBA11A1" w:rsidR="008D0154" w:rsidRPr="004371B8" w:rsidRDefault="008D0154" w:rsidP="008D0154">
            <w:pPr>
              <w:pStyle w:val="NoSpacing"/>
              <w:spacing w:line="240" w:lineRule="auto"/>
              <w:rPr>
                <w:rFonts w:asciiTheme="minorHAnsi" w:hAnsiTheme="minorHAnsi" w:cstheme="minorHAnsi"/>
                <w:b/>
                <w:sz w:val="20"/>
                <w:szCs w:val="20"/>
              </w:rPr>
            </w:pPr>
            <w:r w:rsidRPr="004371B8">
              <w:rPr>
                <w:rFonts w:asciiTheme="minorHAnsi" w:hAnsiTheme="minorHAnsi" w:cstheme="minorHAnsi"/>
                <w:b/>
                <w:sz w:val="20"/>
                <w:szCs w:val="20"/>
              </w:rPr>
              <w:t>FFQ</w:t>
            </w:r>
          </w:p>
        </w:tc>
        <w:tc>
          <w:tcPr>
            <w:tcW w:w="1276" w:type="dxa"/>
            <w:tcBorders>
              <w:top w:val="single" w:sz="4" w:space="0" w:color="auto"/>
              <w:bottom w:val="single" w:sz="4" w:space="0" w:color="auto"/>
            </w:tcBorders>
            <w:shd w:val="clear" w:color="auto" w:fill="D9D9D9" w:themeFill="background1" w:themeFillShade="D9"/>
          </w:tcPr>
          <w:p w14:paraId="68EAA95D"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0D7047A7"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2779969B"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E936FFA"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93BC872"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0585BCB9"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6A5A9B2"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4C6BFD1C" w14:textId="77777777" w:rsidR="008D0154" w:rsidRPr="00E666AB" w:rsidRDefault="008D0154" w:rsidP="00E666AB">
            <w:pPr>
              <w:pStyle w:val="NoSpacing"/>
              <w:spacing w:line="240" w:lineRule="auto"/>
              <w:jc w:val="center"/>
              <w:rPr>
                <w:rFonts w:asciiTheme="minorHAnsi" w:hAnsiTheme="minorHAnsi" w:cstheme="minorHAnsi"/>
                <w:sz w:val="18"/>
                <w:szCs w:val="18"/>
              </w:rPr>
            </w:pPr>
          </w:p>
        </w:tc>
      </w:tr>
      <w:tr w:rsidR="00915441" w:rsidRPr="00E666AB" w14:paraId="7CC03B9A" w14:textId="77777777" w:rsidTr="00915441">
        <w:tc>
          <w:tcPr>
            <w:tcW w:w="2972" w:type="dxa"/>
            <w:tcBorders>
              <w:top w:val="single" w:sz="4" w:space="0" w:color="auto"/>
            </w:tcBorders>
          </w:tcPr>
          <w:p w14:paraId="2F33108D" w14:textId="331687FE" w:rsidR="00E666AB" w:rsidRPr="00915441" w:rsidRDefault="00E666AB" w:rsidP="00E666AB">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FFQ total of food items</w:t>
            </w:r>
          </w:p>
        </w:tc>
        <w:tc>
          <w:tcPr>
            <w:tcW w:w="1276" w:type="dxa"/>
            <w:tcBorders>
              <w:top w:val="single" w:sz="4" w:space="0" w:color="auto"/>
              <w:right w:val="single" w:sz="4" w:space="0" w:color="auto"/>
            </w:tcBorders>
            <w:vAlign w:val="center"/>
          </w:tcPr>
          <w:p w14:paraId="550ECE35" w14:textId="4F5DD6A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137.0</w:t>
            </w:r>
          </w:p>
        </w:tc>
        <w:tc>
          <w:tcPr>
            <w:tcW w:w="1191" w:type="dxa"/>
            <w:tcBorders>
              <w:top w:val="single" w:sz="4" w:space="0" w:color="auto"/>
              <w:left w:val="single" w:sz="4" w:space="0" w:color="auto"/>
            </w:tcBorders>
            <w:vAlign w:val="center"/>
          </w:tcPr>
          <w:p w14:paraId="3409B10E" w14:textId="646B7D5D"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43</w:t>
            </w:r>
          </w:p>
        </w:tc>
        <w:tc>
          <w:tcPr>
            <w:tcW w:w="1191" w:type="dxa"/>
            <w:tcBorders>
              <w:top w:val="single" w:sz="4" w:space="0" w:color="auto"/>
            </w:tcBorders>
            <w:vAlign w:val="center"/>
          </w:tcPr>
          <w:p w14:paraId="72DA2BD7" w14:textId="0AB534CD"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137</w:t>
            </w:r>
          </w:p>
        </w:tc>
        <w:tc>
          <w:tcPr>
            <w:tcW w:w="1191" w:type="dxa"/>
            <w:tcBorders>
              <w:top w:val="single" w:sz="4" w:space="0" w:color="auto"/>
            </w:tcBorders>
            <w:vAlign w:val="center"/>
          </w:tcPr>
          <w:p w14:paraId="36D0DB6E" w14:textId="64B7520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293</w:t>
            </w:r>
          </w:p>
        </w:tc>
        <w:tc>
          <w:tcPr>
            <w:tcW w:w="1191" w:type="dxa"/>
            <w:tcBorders>
              <w:top w:val="single" w:sz="4" w:space="0" w:color="auto"/>
            </w:tcBorders>
            <w:vAlign w:val="center"/>
          </w:tcPr>
          <w:p w14:paraId="057EDC69" w14:textId="67D36B53"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158</w:t>
            </w:r>
          </w:p>
        </w:tc>
        <w:tc>
          <w:tcPr>
            <w:tcW w:w="1191" w:type="dxa"/>
            <w:tcBorders>
              <w:top w:val="single" w:sz="4" w:space="0" w:color="auto"/>
            </w:tcBorders>
            <w:vAlign w:val="center"/>
          </w:tcPr>
          <w:p w14:paraId="6EDA6CA0" w14:textId="34C94E9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66</w:t>
            </w:r>
          </w:p>
        </w:tc>
        <w:tc>
          <w:tcPr>
            <w:tcW w:w="1191" w:type="dxa"/>
            <w:tcBorders>
              <w:top w:val="single" w:sz="4" w:space="0" w:color="auto"/>
            </w:tcBorders>
            <w:vAlign w:val="center"/>
          </w:tcPr>
          <w:p w14:paraId="4C863713" w14:textId="29D96906"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158</w:t>
            </w:r>
          </w:p>
        </w:tc>
        <w:tc>
          <w:tcPr>
            <w:tcW w:w="1191" w:type="dxa"/>
            <w:tcBorders>
              <w:top w:val="single" w:sz="4" w:space="0" w:color="auto"/>
            </w:tcBorders>
            <w:vAlign w:val="center"/>
          </w:tcPr>
          <w:p w14:paraId="53FBC4F8" w14:textId="149EE76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104</w:t>
            </w:r>
          </w:p>
        </w:tc>
      </w:tr>
      <w:tr w:rsidR="00E666AB" w:rsidRPr="00E666AB" w14:paraId="68BA38B6" w14:textId="77777777" w:rsidTr="00915441">
        <w:tc>
          <w:tcPr>
            <w:tcW w:w="2972" w:type="dxa"/>
          </w:tcPr>
          <w:p w14:paraId="33D72F3F" w14:textId="40EA1C93" w:rsidR="00E666AB" w:rsidRPr="00915441" w:rsidRDefault="00E666AB" w:rsidP="00E666AB">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FFQ total of food items without alcohol</w:t>
            </w:r>
          </w:p>
        </w:tc>
        <w:tc>
          <w:tcPr>
            <w:tcW w:w="1276" w:type="dxa"/>
            <w:tcBorders>
              <w:right w:val="single" w:sz="4" w:space="0" w:color="auto"/>
            </w:tcBorders>
            <w:vAlign w:val="center"/>
          </w:tcPr>
          <w:p w14:paraId="613C4526" w14:textId="5E012BF8"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132.1</w:t>
            </w:r>
          </w:p>
        </w:tc>
        <w:tc>
          <w:tcPr>
            <w:tcW w:w="1191" w:type="dxa"/>
            <w:tcBorders>
              <w:left w:val="single" w:sz="4" w:space="0" w:color="auto"/>
            </w:tcBorders>
            <w:vAlign w:val="center"/>
          </w:tcPr>
          <w:p w14:paraId="6035A4A9" w14:textId="2F20BE5A"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43</w:t>
            </w:r>
          </w:p>
        </w:tc>
        <w:tc>
          <w:tcPr>
            <w:tcW w:w="1191" w:type="dxa"/>
            <w:vAlign w:val="center"/>
          </w:tcPr>
          <w:p w14:paraId="04FAC9C8" w14:textId="16334B4E"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130</w:t>
            </w:r>
          </w:p>
        </w:tc>
        <w:tc>
          <w:tcPr>
            <w:tcW w:w="1191" w:type="dxa"/>
            <w:vAlign w:val="center"/>
          </w:tcPr>
          <w:p w14:paraId="241B9DBA" w14:textId="48DCA330"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283</w:t>
            </w:r>
          </w:p>
        </w:tc>
        <w:tc>
          <w:tcPr>
            <w:tcW w:w="1191" w:type="dxa"/>
            <w:vAlign w:val="center"/>
          </w:tcPr>
          <w:p w14:paraId="527EB885" w14:textId="536D3696"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154</w:t>
            </w:r>
          </w:p>
        </w:tc>
        <w:tc>
          <w:tcPr>
            <w:tcW w:w="1191" w:type="dxa"/>
            <w:vAlign w:val="center"/>
          </w:tcPr>
          <w:p w14:paraId="627998E3" w14:textId="1FD403A4"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62</w:t>
            </w:r>
          </w:p>
        </w:tc>
        <w:tc>
          <w:tcPr>
            <w:tcW w:w="1191" w:type="dxa"/>
            <w:vAlign w:val="center"/>
          </w:tcPr>
          <w:p w14:paraId="6DEB1CBF" w14:textId="239C7AAE"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154</w:t>
            </w:r>
          </w:p>
        </w:tc>
        <w:tc>
          <w:tcPr>
            <w:tcW w:w="1191" w:type="dxa"/>
            <w:vAlign w:val="center"/>
          </w:tcPr>
          <w:p w14:paraId="6FBAB4E2" w14:textId="451B1F5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99</w:t>
            </w:r>
          </w:p>
        </w:tc>
      </w:tr>
      <w:tr w:rsidR="00915441" w:rsidRPr="00E666AB" w14:paraId="2AAFD66C" w14:textId="77777777" w:rsidTr="00915441">
        <w:tc>
          <w:tcPr>
            <w:tcW w:w="2972" w:type="dxa"/>
            <w:tcBorders>
              <w:bottom w:val="single" w:sz="4" w:space="0" w:color="auto"/>
            </w:tcBorders>
          </w:tcPr>
          <w:p w14:paraId="6E061FFB" w14:textId="3BCDCF8A" w:rsidR="00E666AB" w:rsidRPr="00915441" w:rsidRDefault="00E666AB" w:rsidP="00E666AB">
            <w:pPr>
              <w:pStyle w:val="NoSpacing"/>
              <w:spacing w:line="240" w:lineRule="auto"/>
              <w:rPr>
                <w:rFonts w:asciiTheme="minorHAnsi" w:hAnsiTheme="minorHAnsi" w:cstheme="minorHAnsi"/>
                <w:sz w:val="18"/>
                <w:szCs w:val="18"/>
                <w:lang w:val="en-CA"/>
              </w:rPr>
            </w:pPr>
            <w:r w:rsidRPr="00915441">
              <w:rPr>
                <w:rFonts w:asciiTheme="minorHAnsi" w:hAnsiTheme="minorHAnsi" w:cstheme="minorHAnsi"/>
                <w:sz w:val="18"/>
                <w:szCs w:val="18"/>
                <w:lang w:val="en-CA"/>
              </w:rPr>
              <w:t>FFQ response categories</w:t>
            </w:r>
          </w:p>
        </w:tc>
        <w:tc>
          <w:tcPr>
            <w:tcW w:w="1276" w:type="dxa"/>
            <w:tcBorders>
              <w:bottom w:val="single" w:sz="4" w:space="0" w:color="auto"/>
              <w:right w:val="single" w:sz="4" w:space="0" w:color="auto"/>
            </w:tcBorders>
            <w:vAlign w:val="center"/>
          </w:tcPr>
          <w:p w14:paraId="7C05C70F" w14:textId="6E00BEBB"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7.6</w:t>
            </w:r>
          </w:p>
        </w:tc>
        <w:tc>
          <w:tcPr>
            <w:tcW w:w="1191" w:type="dxa"/>
            <w:tcBorders>
              <w:left w:val="single" w:sz="4" w:space="0" w:color="auto"/>
              <w:bottom w:val="single" w:sz="4" w:space="0" w:color="auto"/>
            </w:tcBorders>
            <w:vAlign w:val="center"/>
          </w:tcPr>
          <w:p w14:paraId="04B2736D" w14:textId="3C8EBE1A"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tcBorders>
              <w:bottom w:val="single" w:sz="4" w:space="0" w:color="auto"/>
            </w:tcBorders>
            <w:vAlign w:val="center"/>
          </w:tcPr>
          <w:p w14:paraId="4D02E281" w14:textId="4B1FAF54"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tcBorders>
              <w:bottom w:val="single" w:sz="4" w:space="0" w:color="auto"/>
            </w:tcBorders>
            <w:vAlign w:val="center"/>
          </w:tcPr>
          <w:p w14:paraId="02B85AC4" w14:textId="19961916"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9</w:t>
            </w:r>
          </w:p>
        </w:tc>
        <w:tc>
          <w:tcPr>
            <w:tcW w:w="1191" w:type="dxa"/>
            <w:tcBorders>
              <w:bottom w:val="single" w:sz="4" w:space="0" w:color="auto"/>
            </w:tcBorders>
            <w:vAlign w:val="center"/>
          </w:tcPr>
          <w:p w14:paraId="757EB3E4" w14:textId="2E4D263A"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9</w:t>
            </w:r>
          </w:p>
        </w:tc>
        <w:tc>
          <w:tcPr>
            <w:tcW w:w="1191" w:type="dxa"/>
            <w:tcBorders>
              <w:bottom w:val="single" w:sz="4" w:space="0" w:color="auto"/>
            </w:tcBorders>
            <w:vAlign w:val="center"/>
          </w:tcPr>
          <w:p w14:paraId="18C835DB" w14:textId="60C0529D"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w:t>
            </w:r>
          </w:p>
        </w:tc>
        <w:tc>
          <w:tcPr>
            <w:tcW w:w="1191" w:type="dxa"/>
            <w:tcBorders>
              <w:bottom w:val="single" w:sz="4" w:space="0" w:color="auto"/>
            </w:tcBorders>
            <w:vAlign w:val="center"/>
          </w:tcPr>
          <w:p w14:paraId="53C6DF0F" w14:textId="4D2E3F2E"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9</w:t>
            </w:r>
          </w:p>
        </w:tc>
        <w:tc>
          <w:tcPr>
            <w:tcW w:w="1191" w:type="dxa"/>
            <w:tcBorders>
              <w:bottom w:val="single" w:sz="4" w:space="0" w:color="auto"/>
            </w:tcBorders>
            <w:vAlign w:val="center"/>
          </w:tcPr>
          <w:p w14:paraId="0F682DC0" w14:textId="023AA201"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≥8</w:t>
            </w:r>
          </w:p>
        </w:tc>
      </w:tr>
      <w:tr w:rsidR="00915441" w:rsidRPr="00E666AB" w14:paraId="4723BE56" w14:textId="77777777" w:rsidTr="00915441">
        <w:tc>
          <w:tcPr>
            <w:tcW w:w="2972" w:type="dxa"/>
            <w:tcBorders>
              <w:top w:val="single" w:sz="4" w:space="0" w:color="auto"/>
              <w:bottom w:val="single" w:sz="4" w:space="0" w:color="auto"/>
            </w:tcBorders>
            <w:shd w:val="clear" w:color="auto" w:fill="D9D9D9" w:themeFill="background1" w:themeFillShade="D9"/>
          </w:tcPr>
          <w:p w14:paraId="42C2984A" w14:textId="019E793A" w:rsidR="00E666AB" w:rsidRPr="004371B8" w:rsidRDefault="00E666AB" w:rsidP="00E666AB">
            <w:pPr>
              <w:pStyle w:val="NoSpacing"/>
              <w:spacing w:line="240" w:lineRule="auto"/>
              <w:rPr>
                <w:rFonts w:asciiTheme="minorHAnsi" w:hAnsiTheme="minorHAnsi" w:cstheme="minorHAnsi"/>
                <w:b/>
                <w:sz w:val="20"/>
                <w:szCs w:val="20"/>
              </w:rPr>
            </w:pPr>
            <w:r w:rsidRPr="004371B8">
              <w:rPr>
                <w:rFonts w:asciiTheme="minorHAnsi" w:hAnsiTheme="minorHAnsi" w:cstheme="minorHAnsi"/>
                <w:b/>
                <w:sz w:val="20"/>
                <w:szCs w:val="20"/>
              </w:rPr>
              <w:t>DASH</w:t>
            </w:r>
          </w:p>
        </w:tc>
        <w:tc>
          <w:tcPr>
            <w:tcW w:w="1276" w:type="dxa"/>
            <w:tcBorders>
              <w:top w:val="single" w:sz="4" w:space="0" w:color="auto"/>
              <w:bottom w:val="single" w:sz="4" w:space="0" w:color="auto"/>
            </w:tcBorders>
            <w:shd w:val="clear" w:color="auto" w:fill="D9D9D9" w:themeFill="background1" w:themeFillShade="D9"/>
          </w:tcPr>
          <w:p w14:paraId="3E593217"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EE362B6"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44ECF75"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0E79B8B6"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6EAFE5AC"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6D0AE33B"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55BC3010"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2F8CC9BA" w14:textId="77777777" w:rsidR="00E666AB" w:rsidRPr="00E666AB" w:rsidRDefault="00E666AB" w:rsidP="00E666AB">
            <w:pPr>
              <w:pStyle w:val="NoSpacing"/>
              <w:spacing w:line="240" w:lineRule="auto"/>
              <w:jc w:val="center"/>
              <w:rPr>
                <w:rFonts w:asciiTheme="minorHAnsi" w:hAnsiTheme="minorHAnsi" w:cstheme="minorHAnsi"/>
                <w:sz w:val="18"/>
                <w:szCs w:val="18"/>
              </w:rPr>
            </w:pPr>
          </w:p>
        </w:tc>
      </w:tr>
      <w:tr w:rsidR="00915441" w:rsidRPr="00E666AB" w14:paraId="072E82AC" w14:textId="77777777" w:rsidTr="00915441">
        <w:tc>
          <w:tcPr>
            <w:tcW w:w="2972" w:type="dxa"/>
            <w:tcBorders>
              <w:top w:val="single" w:sz="4" w:space="0" w:color="auto"/>
            </w:tcBorders>
            <w:vAlign w:val="center"/>
          </w:tcPr>
          <w:p w14:paraId="4389286D" w14:textId="66978A00" w:rsidR="00E666AB" w:rsidRPr="00915441" w:rsidRDefault="00E666AB" w:rsidP="00E666AB">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Total of food items selected for the DASH</w:t>
            </w:r>
          </w:p>
        </w:tc>
        <w:tc>
          <w:tcPr>
            <w:tcW w:w="1276" w:type="dxa"/>
            <w:tcBorders>
              <w:top w:val="single" w:sz="4" w:space="0" w:color="auto"/>
              <w:right w:val="single" w:sz="4" w:space="0" w:color="auto"/>
            </w:tcBorders>
            <w:vAlign w:val="center"/>
          </w:tcPr>
          <w:p w14:paraId="7FE0AB72" w14:textId="242D378A"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71.3</w:t>
            </w:r>
          </w:p>
        </w:tc>
        <w:tc>
          <w:tcPr>
            <w:tcW w:w="1191" w:type="dxa"/>
            <w:tcBorders>
              <w:top w:val="single" w:sz="4" w:space="0" w:color="auto"/>
              <w:left w:val="single" w:sz="4" w:space="0" w:color="auto"/>
            </w:tcBorders>
            <w:vAlign w:val="center"/>
          </w:tcPr>
          <w:p w14:paraId="691E2A0D" w14:textId="3FA70C41"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34</w:t>
            </w:r>
          </w:p>
        </w:tc>
        <w:tc>
          <w:tcPr>
            <w:tcW w:w="1191" w:type="dxa"/>
            <w:tcBorders>
              <w:top w:val="single" w:sz="4" w:space="0" w:color="auto"/>
            </w:tcBorders>
            <w:vAlign w:val="center"/>
          </w:tcPr>
          <w:p w14:paraId="45401575" w14:textId="068DF448"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65</w:t>
            </w:r>
          </w:p>
        </w:tc>
        <w:tc>
          <w:tcPr>
            <w:tcW w:w="1191" w:type="dxa"/>
            <w:tcBorders>
              <w:top w:val="single" w:sz="4" w:space="0" w:color="auto"/>
            </w:tcBorders>
            <w:vAlign w:val="center"/>
          </w:tcPr>
          <w:p w14:paraId="4683F016" w14:textId="0EE11965"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136</w:t>
            </w:r>
          </w:p>
        </w:tc>
        <w:tc>
          <w:tcPr>
            <w:tcW w:w="1191" w:type="dxa"/>
            <w:tcBorders>
              <w:top w:val="single" w:sz="4" w:space="0" w:color="auto"/>
            </w:tcBorders>
            <w:vAlign w:val="center"/>
          </w:tcPr>
          <w:p w14:paraId="4E9E59E0" w14:textId="6C97E3BF"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85</w:t>
            </w:r>
          </w:p>
        </w:tc>
        <w:tc>
          <w:tcPr>
            <w:tcW w:w="1191" w:type="dxa"/>
            <w:tcBorders>
              <w:top w:val="single" w:sz="4" w:space="0" w:color="auto"/>
            </w:tcBorders>
            <w:vAlign w:val="center"/>
          </w:tcPr>
          <w:p w14:paraId="2BEAD712" w14:textId="1A090F19"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36</w:t>
            </w:r>
          </w:p>
        </w:tc>
        <w:tc>
          <w:tcPr>
            <w:tcW w:w="1191" w:type="dxa"/>
            <w:tcBorders>
              <w:top w:val="single" w:sz="4" w:space="0" w:color="auto"/>
            </w:tcBorders>
            <w:vAlign w:val="center"/>
          </w:tcPr>
          <w:p w14:paraId="6B498835" w14:textId="6894FD88"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85</w:t>
            </w:r>
          </w:p>
        </w:tc>
        <w:tc>
          <w:tcPr>
            <w:tcW w:w="1191" w:type="dxa"/>
            <w:tcBorders>
              <w:top w:val="single" w:sz="4" w:space="0" w:color="auto"/>
            </w:tcBorders>
            <w:vAlign w:val="center"/>
          </w:tcPr>
          <w:p w14:paraId="7EFB3BB5" w14:textId="36CF473D"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58</w:t>
            </w:r>
          </w:p>
        </w:tc>
      </w:tr>
      <w:tr w:rsidR="00915441" w:rsidRPr="00E666AB" w14:paraId="427E9CBC" w14:textId="77777777" w:rsidTr="00915441">
        <w:tc>
          <w:tcPr>
            <w:tcW w:w="2972" w:type="dxa"/>
            <w:vAlign w:val="center"/>
          </w:tcPr>
          <w:p w14:paraId="259FB60A" w14:textId="52C799CE" w:rsidR="00E666AB" w:rsidRPr="00915441" w:rsidRDefault="00E666AB"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 xml:space="preserve">% </w:t>
            </w:r>
            <w:proofErr w:type="gramStart"/>
            <w:r w:rsidRPr="00915441">
              <w:rPr>
                <w:rFonts w:asciiTheme="minorHAnsi" w:hAnsiTheme="minorHAnsi" w:cstheme="minorHAnsi"/>
                <w:sz w:val="18"/>
                <w:szCs w:val="18"/>
              </w:rPr>
              <w:t>items</w:t>
            </w:r>
            <w:proofErr w:type="gramEnd"/>
            <w:r w:rsidRPr="00915441">
              <w:rPr>
                <w:rFonts w:asciiTheme="minorHAnsi" w:hAnsiTheme="minorHAnsi" w:cstheme="minorHAnsi"/>
                <w:sz w:val="18"/>
                <w:szCs w:val="18"/>
              </w:rPr>
              <w:t xml:space="preserve"> selected/total food items without alcohol</w:t>
            </w:r>
          </w:p>
        </w:tc>
        <w:tc>
          <w:tcPr>
            <w:tcW w:w="1276" w:type="dxa"/>
            <w:tcBorders>
              <w:right w:val="single" w:sz="4" w:space="0" w:color="auto"/>
            </w:tcBorders>
            <w:vAlign w:val="center"/>
          </w:tcPr>
          <w:p w14:paraId="7B177705" w14:textId="75B8612D"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57.8%</w:t>
            </w:r>
          </w:p>
        </w:tc>
        <w:tc>
          <w:tcPr>
            <w:tcW w:w="1191" w:type="dxa"/>
            <w:tcBorders>
              <w:left w:val="single" w:sz="4" w:space="0" w:color="auto"/>
            </w:tcBorders>
            <w:vAlign w:val="center"/>
          </w:tcPr>
          <w:p w14:paraId="4E3DEF67" w14:textId="48ECBA2A"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79.1%</w:t>
            </w:r>
          </w:p>
        </w:tc>
        <w:tc>
          <w:tcPr>
            <w:tcW w:w="1191" w:type="dxa"/>
            <w:vAlign w:val="center"/>
          </w:tcPr>
          <w:p w14:paraId="39163489" w14:textId="3CAEB047"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50.0%</w:t>
            </w:r>
          </w:p>
        </w:tc>
        <w:tc>
          <w:tcPr>
            <w:tcW w:w="1191" w:type="dxa"/>
            <w:vAlign w:val="center"/>
          </w:tcPr>
          <w:p w14:paraId="23EA37C0" w14:textId="14AD7787"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48.1%</w:t>
            </w:r>
          </w:p>
        </w:tc>
        <w:tc>
          <w:tcPr>
            <w:tcW w:w="1191" w:type="dxa"/>
            <w:vAlign w:val="center"/>
          </w:tcPr>
          <w:p w14:paraId="6B697B44" w14:textId="5DCF2073"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55.2%</w:t>
            </w:r>
          </w:p>
        </w:tc>
        <w:tc>
          <w:tcPr>
            <w:tcW w:w="1191" w:type="dxa"/>
            <w:vAlign w:val="center"/>
          </w:tcPr>
          <w:p w14:paraId="48AADA96" w14:textId="6E1CD4A2"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58.1%</w:t>
            </w:r>
          </w:p>
        </w:tc>
        <w:tc>
          <w:tcPr>
            <w:tcW w:w="1191" w:type="dxa"/>
            <w:vAlign w:val="center"/>
          </w:tcPr>
          <w:p w14:paraId="5D908222" w14:textId="63164A87"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55.2%</w:t>
            </w:r>
          </w:p>
        </w:tc>
        <w:tc>
          <w:tcPr>
            <w:tcW w:w="1191" w:type="dxa"/>
            <w:vAlign w:val="center"/>
          </w:tcPr>
          <w:p w14:paraId="0BDD43CC" w14:textId="69360AA9" w:rsidR="00E666AB" w:rsidRPr="00E666AB" w:rsidRDefault="00E666AB" w:rsidP="00E666AB">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58.6%</w:t>
            </w:r>
          </w:p>
        </w:tc>
      </w:tr>
      <w:tr w:rsidR="00915441" w:rsidRPr="00E666AB" w14:paraId="1976EDEA" w14:textId="77777777" w:rsidTr="002B44D6">
        <w:tc>
          <w:tcPr>
            <w:tcW w:w="4248" w:type="dxa"/>
            <w:gridSpan w:val="2"/>
            <w:tcBorders>
              <w:right w:val="single" w:sz="4" w:space="0" w:color="auto"/>
            </w:tcBorders>
            <w:vAlign w:val="center"/>
          </w:tcPr>
          <w:p w14:paraId="281C7979" w14:textId="63771530" w:rsidR="00915441" w:rsidRPr="00E666AB" w:rsidRDefault="00915441" w:rsidP="00915441">
            <w:pPr>
              <w:pStyle w:val="NoSpacing"/>
              <w:spacing w:line="240" w:lineRule="auto"/>
              <w:jc w:val="left"/>
              <w:rPr>
                <w:rFonts w:asciiTheme="minorHAnsi" w:hAnsiTheme="minorHAnsi" w:cstheme="minorHAnsi"/>
                <w:sz w:val="18"/>
                <w:szCs w:val="18"/>
              </w:rPr>
            </w:pPr>
            <w:r w:rsidRPr="00915441">
              <w:rPr>
                <w:rFonts w:asciiTheme="minorHAnsi" w:hAnsiTheme="minorHAnsi" w:cstheme="minorHAnsi"/>
                <w:b/>
                <w:sz w:val="18"/>
                <w:szCs w:val="18"/>
              </w:rPr>
              <w:t>Food components with higher intakes recommended</w:t>
            </w:r>
          </w:p>
        </w:tc>
        <w:tc>
          <w:tcPr>
            <w:tcW w:w="1191" w:type="dxa"/>
            <w:tcBorders>
              <w:left w:val="single" w:sz="4" w:space="0" w:color="auto"/>
            </w:tcBorders>
            <w:vAlign w:val="center"/>
          </w:tcPr>
          <w:p w14:paraId="676CD0A6"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548D6B43"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5058C5F3"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78AEE898"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691E0FF2"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41569327"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315809A6"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r>
      <w:tr w:rsidR="00915441" w:rsidRPr="00E666AB" w14:paraId="16128F27" w14:textId="77777777" w:rsidTr="00915441">
        <w:tc>
          <w:tcPr>
            <w:tcW w:w="2972" w:type="dxa"/>
            <w:vAlign w:val="center"/>
          </w:tcPr>
          <w:p w14:paraId="3F71B955" w14:textId="09012EA7" w:rsidR="00FD7042" w:rsidRPr="00915441" w:rsidRDefault="00FD7042"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Total grains</w:t>
            </w:r>
          </w:p>
        </w:tc>
        <w:tc>
          <w:tcPr>
            <w:tcW w:w="1276" w:type="dxa"/>
            <w:tcBorders>
              <w:right w:val="single" w:sz="4" w:space="0" w:color="auto"/>
            </w:tcBorders>
            <w:vAlign w:val="center"/>
          </w:tcPr>
          <w:p w14:paraId="08DFCEA5" w14:textId="2A981708"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10.7</w:t>
            </w:r>
          </w:p>
        </w:tc>
        <w:tc>
          <w:tcPr>
            <w:tcW w:w="1191" w:type="dxa"/>
            <w:tcBorders>
              <w:left w:val="single" w:sz="4" w:space="0" w:color="auto"/>
            </w:tcBorders>
            <w:vAlign w:val="center"/>
          </w:tcPr>
          <w:p w14:paraId="0D073E7A" w14:textId="70567851"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vAlign w:val="center"/>
          </w:tcPr>
          <w:p w14:paraId="69F47A14" w14:textId="4052B1F6"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vAlign w:val="center"/>
          </w:tcPr>
          <w:p w14:paraId="62FC2E1A" w14:textId="3F8211FE"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20</w:t>
            </w:r>
          </w:p>
        </w:tc>
        <w:tc>
          <w:tcPr>
            <w:tcW w:w="1191" w:type="dxa"/>
            <w:vAlign w:val="center"/>
          </w:tcPr>
          <w:p w14:paraId="7F81774E" w14:textId="7BF91F20"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14</w:t>
            </w:r>
          </w:p>
        </w:tc>
        <w:tc>
          <w:tcPr>
            <w:tcW w:w="1191" w:type="dxa"/>
            <w:vAlign w:val="center"/>
          </w:tcPr>
          <w:p w14:paraId="24CADFB4" w14:textId="1F2C175F"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15F4B351" w14:textId="79895E0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14</w:t>
            </w:r>
          </w:p>
        </w:tc>
        <w:tc>
          <w:tcPr>
            <w:tcW w:w="1191" w:type="dxa"/>
            <w:vAlign w:val="center"/>
          </w:tcPr>
          <w:p w14:paraId="678FE35F" w14:textId="25E8BCBC"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8</w:t>
            </w:r>
          </w:p>
        </w:tc>
      </w:tr>
      <w:tr w:rsidR="00915441" w:rsidRPr="00E666AB" w14:paraId="412AEF0C" w14:textId="77777777" w:rsidTr="00915441">
        <w:tc>
          <w:tcPr>
            <w:tcW w:w="2972" w:type="dxa"/>
            <w:vAlign w:val="center"/>
          </w:tcPr>
          <w:p w14:paraId="6B80E7E9" w14:textId="0D677A1D" w:rsidR="00FD7042" w:rsidRPr="00915441" w:rsidRDefault="00FD7042"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Vegetables (excluding potatoes and condiments)</w:t>
            </w:r>
          </w:p>
        </w:tc>
        <w:tc>
          <w:tcPr>
            <w:tcW w:w="1276" w:type="dxa"/>
            <w:tcBorders>
              <w:right w:val="single" w:sz="4" w:space="0" w:color="auto"/>
            </w:tcBorders>
            <w:vAlign w:val="center"/>
          </w:tcPr>
          <w:p w14:paraId="4B4DD339" w14:textId="27B861E7"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18.6</w:t>
            </w:r>
          </w:p>
        </w:tc>
        <w:tc>
          <w:tcPr>
            <w:tcW w:w="1191" w:type="dxa"/>
            <w:tcBorders>
              <w:left w:val="single" w:sz="4" w:space="0" w:color="auto"/>
            </w:tcBorders>
            <w:vAlign w:val="center"/>
          </w:tcPr>
          <w:p w14:paraId="03AD1C09" w14:textId="6C9D46BF"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23192F15" w14:textId="68AFEE0B"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16</w:t>
            </w:r>
          </w:p>
        </w:tc>
        <w:tc>
          <w:tcPr>
            <w:tcW w:w="1191" w:type="dxa"/>
            <w:vAlign w:val="center"/>
          </w:tcPr>
          <w:p w14:paraId="182FF9BF" w14:textId="404C0220"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33</w:t>
            </w:r>
          </w:p>
        </w:tc>
        <w:tc>
          <w:tcPr>
            <w:tcW w:w="1191" w:type="dxa"/>
            <w:vAlign w:val="center"/>
          </w:tcPr>
          <w:p w14:paraId="038CC1F2" w14:textId="3EFA4F3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24</w:t>
            </w:r>
          </w:p>
        </w:tc>
        <w:tc>
          <w:tcPr>
            <w:tcW w:w="1191" w:type="dxa"/>
            <w:vAlign w:val="center"/>
          </w:tcPr>
          <w:p w14:paraId="49F9252C" w14:textId="23BD65F8"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12</w:t>
            </w:r>
          </w:p>
        </w:tc>
        <w:tc>
          <w:tcPr>
            <w:tcW w:w="1191" w:type="dxa"/>
            <w:vAlign w:val="center"/>
          </w:tcPr>
          <w:p w14:paraId="7613F507" w14:textId="33FD9A09"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24</w:t>
            </w:r>
          </w:p>
        </w:tc>
        <w:tc>
          <w:tcPr>
            <w:tcW w:w="1191" w:type="dxa"/>
            <w:vAlign w:val="center"/>
          </w:tcPr>
          <w:p w14:paraId="76AC0AE5" w14:textId="230B14ED"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16</w:t>
            </w:r>
          </w:p>
        </w:tc>
      </w:tr>
      <w:tr w:rsidR="00915441" w:rsidRPr="00E666AB" w14:paraId="02C49C8F" w14:textId="77777777" w:rsidTr="00915441">
        <w:tc>
          <w:tcPr>
            <w:tcW w:w="2972" w:type="dxa"/>
            <w:vAlign w:val="center"/>
          </w:tcPr>
          <w:p w14:paraId="4BA91A63" w14:textId="55C45BE9" w:rsidR="00FD7042" w:rsidRPr="00915441" w:rsidRDefault="00FD7042"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Fruits</w:t>
            </w:r>
          </w:p>
        </w:tc>
        <w:tc>
          <w:tcPr>
            <w:tcW w:w="1276" w:type="dxa"/>
            <w:tcBorders>
              <w:right w:val="single" w:sz="4" w:space="0" w:color="auto"/>
            </w:tcBorders>
            <w:vAlign w:val="center"/>
          </w:tcPr>
          <w:p w14:paraId="316622B4" w14:textId="6790B1A5"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11.9</w:t>
            </w:r>
          </w:p>
        </w:tc>
        <w:tc>
          <w:tcPr>
            <w:tcW w:w="1191" w:type="dxa"/>
            <w:tcBorders>
              <w:left w:val="single" w:sz="4" w:space="0" w:color="auto"/>
            </w:tcBorders>
            <w:vAlign w:val="center"/>
          </w:tcPr>
          <w:p w14:paraId="364E2BF5" w14:textId="7B2E90C6"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3</w:t>
            </w:r>
          </w:p>
        </w:tc>
        <w:tc>
          <w:tcPr>
            <w:tcW w:w="1191" w:type="dxa"/>
            <w:vAlign w:val="center"/>
          </w:tcPr>
          <w:p w14:paraId="6FF9244D" w14:textId="4475037A"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12</w:t>
            </w:r>
          </w:p>
        </w:tc>
        <w:tc>
          <w:tcPr>
            <w:tcW w:w="1191" w:type="dxa"/>
            <w:vAlign w:val="center"/>
          </w:tcPr>
          <w:p w14:paraId="43F2970F" w14:textId="5813296C"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20</w:t>
            </w:r>
          </w:p>
        </w:tc>
        <w:tc>
          <w:tcPr>
            <w:tcW w:w="1191" w:type="dxa"/>
            <w:vAlign w:val="center"/>
          </w:tcPr>
          <w:p w14:paraId="4C99E24E" w14:textId="722906B9"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w:t>
            </w:r>
          </w:p>
        </w:tc>
        <w:tc>
          <w:tcPr>
            <w:tcW w:w="1191" w:type="dxa"/>
            <w:vAlign w:val="center"/>
          </w:tcPr>
          <w:p w14:paraId="468BAB98" w14:textId="2AF3D607"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10</w:t>
            </w:r>
          </w:p>
        </w:tc>
        <w:tc>
          <w:tcPr>
            <w:tcW w:w="1191" w:type="dxa"/>
            <w:vAlign w:val="center"/>
          </w:tcPr>
          <w:p w14:paraId="7742B737" w14:textId="676696E5"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13</w:t>
            </w:r>
          </w:p>
        </w:tc>
        <w:tc>
          <w:tcPr>
            <w:tcW w:w="1191" w:type="dxa"/>
            <w:vAlign w:val="center"/>
          </w:tcPr>
          <w:p w14:paraId="557BA061" w14:textId="65B7AC8D"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12</w:t>
            </w:r>
          </w:p>
        </w:tc>
      </w:tr>
      <w:tr w:rsidR="00915441" w:rsidRPr="00E666AB" w14:paraId="5CFF950B" w14:textId="77777777" w:rsidTr="00915441">
        <w:tc>
          <w:tcPr>
            <w:tcW w:w="2972" w:type="dxa"/>
            <w:vAlign w:val="center"/>
          </w:tcPr>
          <w:p w14:paraId="3C55DE68" w14:textId="6906EE61" w:rsidR="00FD7042" w:rsidRPr="00915441" w:rsidRDefault="00FD7042"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Non-full-fat dairy products</w:t>
            </w:r>
          </w:p>
        </w:tc>
        <w:tc>
          <w:tcPr>
            <w:tcW w:w="1276" w:type="dxa"/>
            <w:tcBorders>
              <w:right w:val="single" w:sz="4" w:space="0" w:color="auto"/>
            </w:tcBorders>
            <w:vAlign w:val="center"/>
          </w:tcPr>
          <w:p w14:paraId="454206EF" w14:textId="34FBFD8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6.9</w:t>
            </w:r>
          </w:p>
        </w:tc>
        <w:tc>
          <w:tcPr>
            <w:tcW w:w="1191" w:type="dxa"/>
            <w:tcBorders>
              <w:left w:val="single" w:sz="4" w:space="0" w:color="auto"/>
            </w:tcBorders>
            <w:vAlign w:val="center"/>
          </w:tcPr>
          <w:p w14:paraId="1110DFC9" w14:textId="52638380"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3</w:t>
            </w:r>
          </w:p>
        </w:tc>
        <w:tc>
          <w:tcPr>
            <w:tcW w:w="1191" w:type="dxa"/>
            <w:vAlign w:val="center"/>
          </w:tcPr>
          <w:p w14:paraId="4F65D725" w14:textId="4EB89D0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w:t>
            </w:r>
          </w:p>
        </w:tc>
        <w:tc>
          <w:tcPr>
            <w:tcW w:w="1191" w:type="dxa"/>
            <w:vAlign w:val="center"/>
          </w:tcPr>
          <w:p w14:paraId="10FB77F7" w14:textId="188A57F4" w:rsidR="00FD7042" w:rsidRPr="004371B8" w:rsidRDefault="00FD7042" w:rsidP="00FD7042">
            <w:pPr>
              <w:pStyle w:val="NoSpacing"/>
              <w:spacing w:line="240" w:lineRule="auto"/>
              <w:jc w:val="center"/>
              <w:rPr>
                <w:rFonts w:asciiTheme="minorHAnsi" w:hAnsiTheme="minorHAnsi" w:cstheme="minorHAnsi"/>
                <w:sz w:val="18"/>
                <w:szCs w:val="18"/>
                <w:vertAlign w:val="superscript"/>
              </w:rPr>
            </w:pPr>
            <w:r>
              <w:rPr>
                <w:rFonts w:asciiTheme="minorHAnsi" w:hAnsiTheme="minorHAnsi" w:cstheme="minorHAnsi"/>
                <w:sz w:val="18"/>
                <w:szCs w:val="18"/>
              </w:rPr>
              <w:t>18</w:t>
            </w:r>
            <w:r w:rsidR="00AB40EA">
              <w:rPr>
                <w:rFonts w:asciiTheme="minorHAnsi" w:hAnsiTheme="minorHAnsi" w:cstheme="minorHAnsi"/>
                <w:sz w:val="18"/>
                <w:szCs w:val="18"/>
                <w:vertAlign w:val="superscript"/>
              </w:rPr>
              <w:t>b</w:t>
            </w:r>
          </w:p>
        </w:tc>
        <w:tc>
          <w:tcPr>
            <w:tcW w:w="1191" w:type="dxa"/>
            <w:vAlign w:val="center"/>
          </w:tcPr>
          <w:p w14:paraId="1A360A30" w14:textId="2CCF1093"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vAlign w:val="center"/>
          </w:tcPr>
          <w:p w14:paraId="2631838B" w14:textId="1EBB9A0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w:t>
            </w:r>
          </w:p>
        </w:tc>
        <w:tc>
          <w:tcPr>
            <w:tcW w:w="1191" w:type="dxa"/>
            <w:vAlign w:val="center"/>
          </w:tcPr>
          <w:p w14:paraId="54903680" w14:textId="1E10514A"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vAlign w:val="center"/>
          </w:tcPr>
          <w:p w14:paraId="3B879F85" w14:textId="730B4272"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r>
      <w:tr w:rsidR="00915441" w:rsidRPr="00E666AB" w14:paraId="75FC9C4A" w14:textId="77777777" w:rsidTr="00915441">
        <w:tc>
          <w:tcPr>
            <w:tcW w:w="2972" w:type="dxa"/>
            <w:vAlign w:val="center"/>
          </w:tcPr>
          <w:p w14:paraId="7B5BF0D8" w14:textId="49F3FF4A" w:rsidR="00FD7042" w:rsidRPr="00915441" w:rsidRDefault="00FD7042" w:rsidP="00FD7042">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Nuts, seeds, legumes</w:t>
            </w:r>
          </w:p>
        </w:tc>
        <w:tc>
          <w:tcPr>
            <w:tcW w:w="1276" w:type="dxa"/>
            <w:tcBorders>
              <w:right w:val="single" w:sz="4" w:space="0" w:color="auto"/>
            </w:tcBorders>
            <w:vAlign w:val="center"/>
          </w:tcPr>
          <w:p w14:paraId="11338E26" w14:textId="423988C5"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5.6</w:t>
            </w:r>
          </w:p>
        </w:tc>
        <w:tc>
          <w:tcPr>
            <w:tcW w:w="1191" w:type="dxa"/>
            <w:tcBorders>
              <w:left w:val="single" w:sz="4" w:space="0" w:color="auto"/>
            </w:tcBorders>
            <w:vAlign w:val="center"/>
          </w:tcPr>
          <w:p w14:paraId="01E10F11" w14:textId="120102F5"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7</w:t>
            </w:r>
          </w:p>
        </w:tc>
        <w:tc>
          <w:tcPr>
            <w:tcW w:w="1191" w:type="dxa"/>
            <w:vAlign w:val="center"/>
          </w:tcPr>
          <w:p w14:paraId="320BA8B0" w14:textId="4BDB2813"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w:t>
            </w:r>
          </w:p>
        </w:tc>
        <w:tc>
          <w:tcPr>
            <w:tcW w:w="1191" w:type="dxa"/>
            <w:vAlign w:val="center"/>
          </w:tcPr>
          <w:p w14:paraId="0453338C" w14:textId="319D4E26"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14</w:t>
            </w:r>
          </w:p>
        </w:tc>
        <w:tc>
          <w:tcPr>
            <w:tcW w:w="1191" w:type="dxa"/>
            <w:vAlign w:val="center"/>
          </w:tcPr>
          <w:p w14:paraId="06ED308B" w14:textId="7ACBDB32"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546BFE31" w14:textId="79A513BB"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w:t>
            </w:r>
          </w:p>
        </w:tc>
        <w:tc>
          <w:tcPr>
            <w:tcW w:w="1191" w:type="dxa"/>
            <w:vAlign w:val="center"/>
          </w:tcPr>
          <w:p w14:paraId="4E037265" w14:textId="4CF2F5D4"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7548694D" w14:textId="1FCD9A76" w:rsidR="00FD7042" w:rsidRPr="00E666AB" w:rsidRDefault="00FD7042" w:rsidP="00FD7042">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w:t>
            </w:r>
          </w:p>
        </w:tc>
      </w:tr>
      <w:tr w:rsidR="00915441" w:rsidRPr="00E666AB" w14:paraId="55EBE145" w14:textId="77777777" w:rsidTr="002B44D6">
        <w:tc>
          <w:tcPr>
            <w:tcW w:w="4248" w:type="dxa"/>
            <w:gridSpan w:val="2"/>
            <w:tcBorders>
              <w:right w:val="single" w:sz="4" w:space="0" w:color="auto"/>
            </w:tcBorders>
            <w:vAlign w:val="center"/>
          </w:tcPr>
          <w:p w14:paraId="06542DD9" w14:textId="1665B3E8" w:rsidR="00915441" w:rsidRPr="00E666AB" w:rsidRDefault="00915441" w:rsidP="00915441">
            <w:pPr>
              <w:pStyle w:val="NoSpacing"/>
              <w:spacing w:line="240" w:lineRule="auto"/>
              <w:jc w:val="left"/>
              <w:rPr>
                <w:rFonts w:asciiTheme="minorHAnsi" w:hAnsiTheme="minorHAnsi" w:cstheme="minorHAnsi"/>
                <w:sz w:val="18"/>
                <w:szCs w:val="18"/>
              </w:rPr>
            </w:pPr>
            <w:r>
              <w:rPr>
                <w:rFonts w:asciiTheme="minorHAnsi" w:hAnsiTheme="minorHAnsi" w:cstheme="minorHAnsi"/>
                <w:b/>
                <w:sz w:val="18"/>
                <w:szCs w:val="18"/>
              </w:rPr>
              <w:t>Food components with low</w:t>
            </w:r>
            <w:r w:rsidRPr="00915441">
              <w:rPr>
                <w:rFonts w:asciiTheme="minorHAnsi" w:hAnsiTheme="minorHAnsi" w:cstheme="minorHAnsi"/>
                <w:b/>
                <w:sz w:val="18"/>
                <w:szCs w:val="18"/>
              </w:rPr>
              <w:t>er intakes recommended</w:t>
            </w:r>
          </w:p>
        </w:tc>
        <w:tc>
          <w:tcPr>
            <w:tcW w:w="1191" w:type="dxa"/>
            <w:tcBorders>
              <w:left w:val="single" w:sz="4" w:space="0" w:color="auto"/>
            </w:tcBorders>
            <w:vAlign w:val="center"/>
          </w:tcPr>
          <w:p w14:paraId="666F91E8"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613D5456"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08D94608"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12604BC5"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13477426"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373F9665"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vAlign w:val="center"/>
          </w:tcPr>
          <w:p w14:paraId="1D796A33"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r>
      <w:tr w:rsidR="00915441" w:rsidRPr="00E666AB" w14:paraId="324FA5CD" w14:textId="77777777" w:rsidTr="00915441">
        <w:tc>
          <w:tcPr>
            <w:tcW w:w="2972" w:type="dxa"/>
            <w:vAlign w:val="center"/>
          </w:tcPr>
          <w:p w14:paraId="3214AF05" w14:textId="56C7320A"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Red and Processed meat</w:t>
            </w:r>
          </w:p>
        </w:tc>
        <w:tc>
          <w:tcPr>
            <w:tcW w:w="1276" w:type="dxa"/>
            <w:tcBorders>
              <w:right w:val="single" w:sz="4" w:space="0" w:color="auto"/>
            </w:tcBorders>
            <w:vAlign w:val="center"/>
          </w:tcPr>
          <w:p w14:paraId="5E8B21A4" w14:textId="2D09786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12.0</w:t>
            </w:r>
          </w:p>
        </w:tc>
        <w:tc>
          <w:tcPr>
            <w:tcW w:w="1191" w:type="dxa"/>
            <w:tcBorders>
              <w:left w:val="single" w:sz="4" w:space="0" w:color="auto"/>
            </w:tcBorders>
            <w:vAlign w:val="center"/>
          </w:tcPr>
          <w:p w14:paraId="1A966DB7" w14:textId="45F23EEA"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w:t>
            </w:r>
          </w:p>
        </w:tc>
        <w:tc>
          <w:tcPr>
            <w:tcW w:w="1191" w:type="dxa"/>
            <w:vAlign w:val="center"/>
          </w:tcPr>
          <w:p w14:paraId="17FBD6DB" w14:textId="796483F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12</w:t>
            </w:r>
          </w:p>
        </w:tc>
        <w:tc>
          <w:tcPr>
            <w:tcW w:w="1191" w:type="dxa"/>
            <w:vAlign w:val="center"/>
          </w:tcPr>
          <w:p w14:paraId="336E4D13" w14:textId="20270587"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20</w:t>
            </w:r>
          </w:p>
        </w:tc>
        <w:tc>
          <w:tcPr>
            <w:tcW w:w="1191" w:type="dxa"/>
            <w:vAlign w:val="center"/>
          </w:tcPr>
          <w:p w14:paraId="298FB09D" w14:textId="140BD67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17</w:t>
            </w:r>
          </w:p>
        </w:tc>
        <w:tc>
          <w:tcPr>
            <w:tcW w:w="1191" w:type="dxa"/>
            <w:vAlign w:val="center"/>
          </w:tcPr>
          <w:p w14:paraId="0877414B" w14:textId="252EBB6B"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w:t>
            </w:r>
          </w:p>
        </w:tc>
        <w:tc>
          <w:tcPr>
            <w:tcW w:w="1191" w:type="dxa"/>
            <w:vAlign w:val="center"/>
          </w:tcPr>
          <w:p w14:paraId="62108DF2" w14:textId="0CD8AFD9"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17</w:t>
            </w:r>
          </w:p>
        </w:tc>
        <w:tc>
          <w:tcPr>
            <w:tcW w:w="1191" w:type="dxa"/>
            <w:vAlign w:val="center"/>
          </w:tcPr>
          <w:p w14:paraId="3022637E" w14:textId="6FDEBF3E"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10</w:t>
            </w:r>
          </w:p>
        </w:tc>
      </w:tr>
      <w:tr w:rsidR="00915441" w:rsidRPr="00E666AB" w14:paraId="6B4169C9" w14:textId="77777777" w:rsidTr="00915441">
        <w:tc>
          <w:tcPr>
            <w:tcW w:w="2972" w:type="dxa"/>
            <w:vAlign w:val="center"/>
          </w:tcPr>
          <w:p w14:paraId="585FF7D7" w14:textId="32D786FF"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Sugar-sweetened beverages, sweets, and added sugars</w:t>
            </w:r>
          </w:p>
        </w:tc>
        <w:tc>
          <w:tcPr>
            <w:tcW w:w="1276" w:type="dxa"/>
            <w:tcBorders>
              <w:right w:val="single" w:sz="4" w:space="0" w:color="auto"/>
            </w:tcBorders>
            <w:vAlign w:val="center"/>
          </w:tcPr>
          <w:p w14:paraId="74B3CDFE" w14:textId="5F5C3BB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5.7</w:t>
            </w:r>
          </w:p>
        </w:tc>
        <w:tc>
          <w:tcPr>
            <w:tcW w:w="1191" w:type="dxa"/>
            <w:tcBorders>
              <w:left w:val="single" w:sz="4" w:space="0" w:color="auto"/>
            </w:tcBorders>
            <w:vAlign w:val="center"/>
          </w:tcPr>
          <w:p w14:paraId="30F26FC7" w14:textId="4F5B9C31"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5FB6EB59" w14:textId="0883E895"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8</w:t>
            </w:r>
          </w:p>
        </w:tc>
        <w:tc>
          <w:tcPr>
            <w:tcW w:w="1191" w:type="dxa"/>
            <w:vAlign w:val="center"/>
          </w:tcPr>
          <w:p w14:paraId="076FAF2B" w14:textId="477E5B5E"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11</w:t>
            </w:r>
          </w:p>
        </w:tc>
        <w:tc>
          <w:tcPr>
            <w:tcW w:w="1191" w:type="dxa"/>
            <w:vAlign w:val="center"/>
          </w:tcPr>
          <w:p w14:paraId="629FC56F" w14:textId="55840AA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266611BC" w14:textId="459A6D68"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1</w:t>
            </w:r>
          </w:p>
        </w:tc>
        <w:tc>
          <w:tcPr>
            <w:tcW w:w="1191" w:type="dxa"/>
            <w:vAlign w:val="center"/>
          </w:tcPr>
          <w:p w14:paraId="34C32E0B" w14:textId="50641176"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c>
          <w:tcPr>
            <w:tcW w:w="1191" w:type="dxa"/>
            <w:vAlign w:val="center"/>
          </w:tcPr>
          <w:p w14:paraId="3ECA202E" w14:textId="29FEBE2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w:t>
            </w:r>
          </w:p>
        </w:tc>
      </w:tr>
      <w:tr w:rsidR="00915441" w:rsidRPr="00E666AB" w14:paraId="14FB0A7A" w14:textId="77777777" w:rsidTr="00915441">
        <w:tc>
          <w:tcPr>
            <w:tcW w:w="2972" w:type="dxa"/>
            <w:tcBorders>
              <w:bottom w:val="single" w:sz="4" w:space="0" w:color="auto"/>
            </w:tcBorders>
            <w:vAlign w:val="center"/>
          </w:tcPr>
          <w:p w14:paraId="386AEE2E" w14:textId="1162BB8F"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Sodium</w:t>
            </w:r>
          </w:p>
        </w:tc>
        <w:tc>
          <w:tcPr>
            <w:tcW w:w="1276" w:type="dxa"/>
            <w:tcBorders>
              <w:bottom w:val="single" w:sz="4" w:space="0" w:color="auto"/>
              <w:right w:val="single" w:sz="4" w:space="0" w:color="auto"/>
            </w:tcBorders>
            <w:vAlign w:val="center"/>
          </w:tcPr>
          <w:p w14:paraId="79403AC4" w14:textId="24485129"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left w:val="single" w:sz="4" w:space="0" w:color="auto"/>
              <w:bottom w:val="single" w:sz="4" w:space="0" w:color="auto"/>
            </w:tcBorders>
            <w:vAlign w:val="center"/>
          </w:tcPr>
          <w:p w14:paraId="301B6C29" w14:textId="055E5D47"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27113D95" w14:textId="102D15EF"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5B744B0E" w14:textId="2CAF1A96"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17702E55" w14:textId="549BBF2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45AE28FA" w14:textId="760088F7"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4566DE34" w14:textId="0D93511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c>
          <w:tcPr>
            <w:tcW w:w="1191" w:type="dxa"/>
            <w:tcBorders>
              <w:bottom w:val="single" w:sz="4" w:space="0" w:color="auto"/>
            </w:tcBorders>
            <w:vAlign w:val="center"/>
          </w:tcPr>
          <w:p w14:paraId="16675380" w14:textId="679B6FDE"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Available in g/day</w:t>
            </w:r>
          </w:p>
        </w:tc>
      </w:tr>
      <w:tr w:rsidR="00915441" w:rsidRPr="00E666AB" w14:paraId="2C5E4DA1" w14:textId="77777777" w:rsidTr="00915441">
        <w:tc>
          <w:tcPr>
            <w:tcW w:w="2972" w:type="dxa"/>
            <w:tcBorders>
              <w:top w:val="single" w:sz="4" w:space="0" w:color="auto"/>
              <w:bottom w:val="single" w:sz="4" w:space="0" w:color="auto"/>
            </w:tcBorders>
            <w:shd w:val="clear" w:color="auto" w:fill="D9D9D9" w:themeFill="background1" w:themeFillShade="D9"/>
          </w:tcPr>
          <w:p w14:paraId="569570FA" w14:textId="1E3E4217" w:rsidR="00915441" w:rsidRPr="004371B8" w:rsidRDefault="00915441" w:rsidP="00915441">
            <w:pPr>
              <w:pStyle w:val="NoSpacing"/>
              <w:spacing w:line="240" w:lineRule="auto"/>
              <w:rPr>
                <w:rFonts w:asciiTheme="minorHAnsi" w:hAnsiTheme="minorHAnsi" w:cstheme="minorHAnsi"/>
                <w:b/>
                <w:sz w:val="20"/>
                <w:szCs w:val="20"/>
              </w:rPr>
            </w:pPr>
            <w:r w:rsidRPr="004371B8">
              <w:rPr>
                <w:rFonts w:asciiTheme="minorHAnsi" w:hAnsiTheme="minorHAnsi" w:cstheme="minorHAnsi"/>
                <w:b/>
                <w:sz w:val="20"/>
                <w:szCs w:val="20"/>
              </w:rPr>
              <w:t>E-DII</w:t>
            </w:r>
          </w:p>
        </w:tc>
        <w:tc>
          <w:tcPr>
            <w:tcW w:w="1276" w:type="dxa"/>
            <w:tcBorders>
              <w:top w:val="single" w:sz="4" w:space="0" w:color="auto"/>
              <w:bottom w:val="single" w:sz="4" w:space="0" w:color="auto"/>
            </w:tcBorders>
            <w:shd w:val="clear" w:color="auto" w:fill="D9D9D9" w:themeFill="background1" w:themeFillShade="D9"/>
          </w:tcPr>
          <w:p w14:paraId="3E1BFC9D"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52B6EC0D"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4E8A8078"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326F5BF4"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752769BE"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04109085"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0A84E06A"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c>
          <w:tcPr>
            <w:tcW w:w="1191" w:type="dxa"/>
            <w:tcBorders>
              <w:top w:val="single" w:sz="4" w:space="0" w:color="auto"/>
              <w:bottom w:val="single" w:sz="4" w:space="0" w:color="auto"/>
            </w:tcBorders>
            <w:shd w:val="clear" w:color="auto" w:fill="D9D9D9" w:themeFill="background1" w:themeFillShade="D9"/>
          </w:tcPr>
          <w:p w14:paraId="26A1E86C" w14:textId="77777777" w:rsidR="00915441" w:rsidRPr="00E666AB" w:rsidRDefault="00915441" w:rsidP="00915441">
            <w:pPr>
              <w:pStyle w:val="NoSpacing"/>
              <w:spacing w:line="240" w:lineRule="auto"/>
              <w:jc w:val="center"/>
              <w:rPr>
                <w:rFonts w:asciiTheme="minorHAnsi" w:hAnsiTheme="minorHAnsi" w:cstheme="minorHAnsi"/>
                <w:sz w:val="18"/>
                <w:szCs w:val="18"/>
              </w:rPr>
            </w:pPr>
          </w:p>
        </w:tc>
      </w:tr>
      <w:tr w:rsidR="00915441" w:rsidRPr="00E666AB" w14:paraId="1817E3C8" w14:textId="77777777" w:rsidTr="00915441">
        <w:tc>
          <w:tcPr>
            <w:tcW w:w="2972" w:type="dxa"/>
            <w:tcBorders>
              <w:top w:val="single" w:sz="4" w:space="0" w:color="auto"/>
            </w:tcBorders>
            <w:vAlign w:val="center"/>
          </w:tcPr>
          <w:p w14:paraId="594334D2" w14:textId="38D36C11"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Number of dietary parameters used</w:t>
            </w:r>
          </w:p>
        </w:tc>
        <w:tc>
          <w:tcPr>
            <w:tcW w:w="1276" w:type="dxa"/>
            <w:tcBorders>
              <w:top w:val="single" w:sz="4" w:space="0" w:color="auto"/>
              <w:right w:val="single" w:sz="4" w:space="0" w:color="auto"/>
            </w:tcBorders>
            <w:vAlign w:val="center"/>
          </w:tcPr>
          <w:p w14:paraId="024E3FA6" w14:textId="49571899"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25.9</w:t>
            </w:r>
          </w:p>
        </w:tc>
        <w:tc>
          <w:tcPr>
            <w:tcW w:w="1191" w:type="dxa"/>
            <w:tcBorders>
              <w:top w:val="single" w:sz="4" w:space="0" w:color="auto"/>
              <w:left w:val="single" w:sz="4" w:space="0" w:color="auto"/>
            </w:tcBorders>
            <w:vAlign w:val="center"/>
          </w:tcPr>
          <w:p w14:paraId="0EEC713D" w14:textId="0B957AC1"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28</w:t>
            </w:r>
          </w:p>
        </w:tc>
        <w:tc>
          <w:tcPr>
            <w:tcW w:w="1191" w:type="dxa"/>
            <w:tcBorders>
              <w:top w:val="single" w:sz="4" w:space="0" w:color="auto"/>
            </w:tcBorders>
            <w:vAlign w:val="center"/>
          </w:tcPr>
          <w:p w14:paraId="1FC0F1E7" w14:textId="00930334"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25</w:t>
            </w:r>
          </w:p>
        </w:tc>
        <w:tc>
          <w:tcPr>
            <w:tcW w:w="1191" w:type="dxa"/>
            <w:tcBorders>
              <w:top w:val="single" w:sz="4" w:space="0" w:color="auto"/>
            </w:tcBorders>
            <w:vAlign w:val="center"/>
          </w:tcPr>
          <w:p w14:paraId="480CF300" w14:textId="22EE812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20</w:t>
            </w:r>
          </w:p>
        </w:tc>
        <w:tc>
          <w:tcPr>
            <w:tcW w:w="1191" w:type="dxa"/>
            <w:tcBorders>
              <w:top w:val="single" w:sz="4" w:space="0" w:color="auto"/>
            </w:tcBorders>
            <w:vAlign w:val="center"/>
          </w:tcPr>
          <w:p w14:paraId="33D316CD" w14:textId="32DCEBBE"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28</w:t>
            </w:r>
          </w:p>
        </w:tc>
        <w:tc>
          <w:tcPr>
            <w:tcW w:w="1191" w:type="dxa"/>
            <w:tcBorders>
              <w:top w:val="single" w:sz="4" w:space="0" w:color="auto"/>
            </w:tcBorders>
            <w:vAlign w:val="center"/>
          </w:tcPr>
          <w:p w14:paraId="441E7B1B" w14:textId="604C96B3"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28</w:t>
            </w:r>
          </w:p>
        </w:tc>
        <w:tc>
          <w:tcPr>
            <w:tcW w:w="1191" w:type="dxa"/>
            <w:tcBorders>
              <w:top w:val="single" w:sz="4" w:space="0" w:color="auto"/>
            </w:tcBorders>
            <w:vAlign w:val="center"/>
          </w:tcPr>
          <w:p w14:paraId="6065A355" w14:textId="753E3BD6"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28</w:t>
            </w:r>
          </w:p>
        </w:tc>
        <w:tc>
          <w:tcPr>
            <w:tcW w:w="1191" w:type="dxa"/>
            <w:tcBorders>
              <w:top w:val="single" w:sz="4" w:space="0" w:color="auto"/>
            </w:tcBorders>
            <w:vAlign w:val="center"/>
          </w:tcPr>
          <w:p w14:paraId="3637DCA1" w14:textId="6F8A6AF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24</w:t>
            </w:r>
          </w:p>
        </w:tc>
      </w:tr>
      <w:tr w:rsidR="00915441" w:rsidRPr="00E666AB" w14:paraId="123DA414" w14:textId="77777777" w:rsidTr="00DD1F66">
        <w:tc>
          <w:tcPr>
            <w:tcW w:w="2972" w:type="dxa"/>
            <w:tcBorders>
              <w:bottom w:val="single" w:sz="4" w:space="0" w:color="auto"/>
            </w:tcBorders>
            <w:vAlign w:val="center"/>
          </w:tcPr>
          <w:p w14:paraId="59F84099" w14:textId="77777777"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 xml:space="preserve">% </w:t>
            </w:r>
            <w:proofErr w:type="gramStart"/>
            <w:r w:rsidRPr="00915441">
              <w:rPr>
                <w:rFonts w:asciiTheme="minorHAnsi" w:hAnsiTheme="minorHAnsi" w:cstheme="minorHAnsi"/>
                <w:sz w:val="18"/>
                <w:szCs w:val="18"/>
              </w:rPr>
              <w:t>dietary</w:t>
            </w:r>
            <w:proofErr w:type="gramEnd"/>
            <w:r w:rsidRPr="00915441">
              <w:rPr>
                <w:rFonts w:asciiTheme="minorHAnsi" w:hAnsiTheme="minorHAnsi" w:cstheme="minorHAnsi"/>
                <w:sz w:val="18"/>
                <w:szCs w:val="18"/>
              </w:rPr>
              <w:t xml:space="preserve"> parameters used</w:t>
            </w:r>
          </w:p>
          <w:p w14:paraId="3CF6588B" w14:textId="0E5CFBAB" w:rsidR="00915441" w:rsidRPr="00915441" w:rsidRDefault="00915441" w:rsidP="00915441">
            <w:pPr>
              <w:pStyle w:val="NoSpacing"/>
              <w:spacing w:line="240" w:lineRule="auto"/>
              <w:rPr>
                <w:rFonts w:asciiTheme="minorHAnsi" w:hAnsiTheme="minorHAnsi" w:cstheme="minorHAnsi"/>
                <w:sz w:val="18"/>
                <w:szCs w:val="18"/>
              </w:rPr>
            </w:pPr>
            <w:r w:rsidRPr="00915441">
              <w:rPr>
                <w:rFonts w:asciiTheme="minorHAnsi" w:hAnsiTheme="minorHAnsi" w:cstheme="minorHAnsi"/>
                <w:sz w:val="18"/>
                <w:szCs w:val="18"/>
              </w:rPr>
              <w:t>/4</w:t>
            </w:r>
            <w:r w:rsidR="00E83522">
              <w:rPr>
                <w:rFonts w:asciiTheme="minorHAnsi" w:hAnsiTheme="minorHAnsi" w:cstheme="minorHAnsi"/>
                <w:sz w:val="18"/>
                <w:szCs w:val="18"/>
              </w:rPr>
              <w:t>4</w:t>
            </w:r>
            <w:r w:rsidRPr="00915441">
              <w:rPr>
                <w:rFonts w:asciiTheme="minorHAnsi" w:hAnsiTheme="minorHAnsi" w:cstheme="minorHAnsi"/>
                <w:sz w:val="18"/>
                <w:szCs w:val="18"/>
              </w:rPr>
              <w:t xml:space="preserve"> dietary parameters possible</w:t>
            </w:r>
            <w:r w:rsidR="00E83522">
              <w:rPr>
                <w:rFonts w:asciiTheme="minorHAnsi" w:hAnsiTheme="minorHAnsi" w:cstheme="minorHAnsi"/>
                <w:sz w:val="18"/>
                <w:szCs w:val="18"/>
              </w:rPr>
              <w:t xml:space="preserve"> (excluding energy intake)</w:t>
            </w:r>
          </w:p>
        </w:tc>
        <w:tc>
          <w:tcPr>
            <w:tcW w:w="1276" w:type="dxa"/>
            <w:tcBorders>
              <w:bottom w:val="single" w:sz="4" w:space="0" w:color="auto"/>
              <w:right w:val="single" w:sz="4" w:space="0" w:color="auto"/>
            </w:tcBorders>
            <w:vAlign w:val="center"/>
          </w:tcPr>
          <w:p w14:paraId="51AFB459" w14:textId="2D578B90"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58.9%</w:t>
            </w:r>
          </w:p>
        </w:tc>
        <w:tc>
          <w:tcPr>
            <w:tcW w:w="1191" w:type="dxa"/>
            <w:tcBorders>
              <w:left w:val="single" w:sz="4" w:space="0" w:color="auto"/>
              <w:bottom w:val="single" w:sz="4" w:space="0" w:color="auto"/>
            </w:tcBorders>
            <w:vAlign w:val="center"/>
          </w:tcPr>
          <w:p w14:paraId="5CA68ABB" w14:textId="2C375BA1"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63.6%</w:t>
            </w:r>
          </w:p>
        </w:tc>
        <w:tc>
          <w:tcPr>
            <w:tcW w:w="1191" w:type="dxa"/>
            <w:tcBorders>
              <w:bottom w:val="single" w:sz="4" w:space="0" w:color="auto"/>
            </w:tcBorders>
            <w:vAlign w:val="center"/>
          </w:tcPr>
          <w:p w14:paraId="7C24FDF3" w14:textId="62C302BB"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56.8%</w:t>
            </w:r>
          </w:p>
        </w:tc>
        <w:tc>
          <w:tcPr>
            <w:tcW w:w="1191" w:type="dxa"/>
            <w:tcBorders>
              <w:bottom w:val="single" w:sz="4" w:space="0" w:color="auto"/>
            </w:tcBorders>
            <w:vAlign w:val="center"/>
          </w:tcPr>
          <w:p w14:paraId="322F4133" w14:textId="6E4CB891"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45.5%</w:t>
            </w:r>
          </w:p>
        </w:tc>
        <w:tc>
          <w:tcPr>
            <w:tcW w:w="1191" w:type="dxa"/>
            <w:tcBorders>
              <w:bottom w:val="single" w:sz="4" w:space="0" w:color="auto"/>
            </w:tcBorders>
            <w:vAlign w:val="center"/>
          </w:tcPr>
          <w:p w14:paraId="59E506FC" w14:textId="10517D74"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63.6%</w:t>
            </w:r>
          </w:p>
        </w:tc>
        <w:tc>
          <w:tcPr>
            <w:tcW w:w="1191" w:type="dxa"/>
            <w:tcBorders>
              <w:bottom w:val="single" w:sz="4" w:space="0" w:color="auto"/>
            </w:tcBorders>
            <w:vAlign w:val="center"/>
          </w:tcPr>
          <w:p w14:paraId="4249D9FF" w14:textId="21467879"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63.6%</w:t>
            </w:r>
          </w:p>
        </w:tc>
        <w:tc>
          <w:tcPr>
            <w:tcW w:w="1191" w:type="dxa"/>
            <w:tcBorders>
              <w:bottom w:val="single" w:sz="4" w:space="0" w:color="auto"/>
            </w:tcBorders>
            <w:vAlign w:val="center"/>
          </w:tcPr>
          <w:p w14:paraId="263CED6C" w14:textId="27888FAD"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63.6%</w:t>
            </w:r>
          </w:p>
        </w:tc>
        <w:tc>
          <w:tcPr>
            <w:tcW w:w="1191" w:type="dxa"/>
            <w:tcBorders>
              <w:bottom w:val="single" w:sz="4" w:space="0" w:color="auto"/>
            </w:tcBorders>
            <w:vAlign w:val="center"/>
          </w:tcPr>
          <w:p w14:paraId="0A6CFD4A" w14:textId="3CFCB1E5" w:rsidR="00915441" w:rsidRPr="00E666AB" w:rsidRDefault="00915441" w:rsidP="00915441">
            <w:pPr>
              <w:pStyle w:val="NoSpacing"/>
              <w:spacing w:line="240" w:lineRule="auto"/>
              <w:jc w:val="center"/>
              <w:rPr>
                <w:rFonts w:asciiTheme="minorHAnsi" w:hAnsiTheme="minorHAnsi" w:cstheme="minorHAnsi"/>
                <w:sz w:val="18"/>
                <w:szCs w:val="18"/>
              </w:rPr>
            </w:pPr>
            <w:r w:rsidRPr="00E666AB">
              <w:rPr>
                <w:rFonts w:asciiTheme="minorHAnsi" w:hAnsiTheme="minorHAnsi" w:cstheme="minorHAnsi"/>
                <w:sz w:val="18"/>
                <w:szCs w:val="18"/>
              </w:rPr>
              <w:t>54.5%</w:t>
            </w:r>
          </w:p>
        </w:tc>
      </w:tr>
      <w:tr w:rsidR="00915441" w:rsidRPr="00E666AB" w14:paraId="1992DA65" w14:textId="77777777" w:rsidTr="00DD1F66">
        <w:tc>
          <w:tcPr>
            <w:tcW w:w="12585" w:type="dxa"/>
            <w:gridSpan w:val="9"/>
            <w:tcBorders>
              <w:top w:val="single" w:sz="4" w:space="0" w:color="auto"/>
            </w:tcBorders>
            <w:vAlign w:val="center"/>
          </w:tcPr>
          <w:p w14:paraId="5C5A9F42" w14:textId="3286331F" w:rsidR="00915441" w:rsidRPr="00045978" w:rsidRDefault="00915441" w:rsidP="00915441">
            <w:pPr>
              <w:pStyle w:val="NoSpacing"/>
              <w:spacing w:line="240" w:lineRule="auto"/>
              <w:jc w:val="left"/>
              <w:rPr>
                <w:sz w:val="16"/>
                <w:szCs w:val="16"/>
              </w:rPr>
            </w:pPr>
            <w:r w:rsidRPr="00045978">
              <w:rPr>
                <w:sz w:val="16"/>
                <w:szCs w:val="16"/>
              </w:rPr>
              <w:t xml:space="preserve">Abbreviations: DASH, Dietary Approaches to Stop Hypertension. E-DII, energy-adjusted Dietary Inflammatory Index. FFQ, </w:t>
            </w:r>
            <w:r w:rsidR="00C829B3">
              <w:rPr>
                <w:sz w:val="16"/>
                <w:szCs w:val="16"/>
              </w:rPr>
              <w:t>F</w:t>
            </w:r>
            <w:r w:rsidRPr="00045978">
              <w:rPr>
                <w:sz w:val="16"/>
                <w:szCs w:val="16"/>
              </w:rPr>
              <w:t xml:space="preserve">ood </w:t>
            </w:r>
            <w:r w:rsidR="00C829B3">
              <w:rPr>
                <w:sz w:val="16"/>
                <w:szCs w:val="16"/>
              </w:rPr>
              <w:t>F</w:t>
            </w:r>
            <w:r w:rsidRPr="00045978">
              <w:rPr>
                <w:sz w:val="16"/>
                <w:szCs w:val="16"/>
              </w:rPr>
              <w:t xml:space="preserve">requency </w:t>
            </w:r>
            <w:r w:rsidR="00C829B3">
              <w:rPr>
                <w:sz w:val="16"/>
                <w:szCs w:val="16"/>
              </w:rPr>
              <w:t>Q</w:t>
            </w:r>
            <w:r w:rsidRPr="00045978">
              <w:rPr>
                <w:sz w:val="16"/>
                <w:szCs w:val="16"/>
              </w:rPr>
              <w:t>uestionnaire.</w:t>
            </w:r>
          </w:p>
          <w:p w14:paraId="1279E7BF" w14:textId="052BAC22" w:rsidR="000E45A8" w:rsidRDefault="00915441" w:rsidP="000E45A8">
            <w:pPr>
              <w:pStyle w:val="NoSpacing"/>
              <w:spacing w:line="240" w:lineRule="auto"/>
              <w:jc w:val="left"/>
              <w:rPr>
                <w:sz w:val="16"/>
                <w:szCs w:val="16"/>
                <w:vertAlign w:val="superscript"/>
              </w:rPr>
            </w:pPr>
            <w:r w:rsidRPr="00045978">
              <w:rPr>
                <w:sz w:val="16"/>
                <w:szCs w:val="16"/>
              </w:rPr>
              <w:t>Values are frequencies and percentages (rounded to one decimal point)</w:t>
            </w:r>
          </w:p>
          <w:p w14:paraId="47760355" w14:textId="2256DD92" w:rsidR="00AB40EA" w:rsidRPr="00AB40EA" w:rsidRDefault="008027D0" w:rsidP="008027D0">
            <w:pPr>
              <w:pStyle w:val="NoSpacing"/>
              <w:spacing w:line="240" w:lineRule="auto"/>
              <w:jc w:val="left"/>
              <w:rPr>
                <w:sz w:val="16"/>
                <w:szCs w:val="16"/>
              </w:rPr>
            </w:pPr>
            <w:proofErr w:type="spellStart"/>
            <w:r>
              <w:rPr>
                <w:sz w:val="16"/>
                <w:szCs w:val="16"/>
                <w:vertAlign w:val="superscript"/>
              </w:rPr>
              <w:t>a</w:t>
            </w:r>
            <w:r w:rsidR="00AB40EA">
              <w:rPr>
                <w:sz w:val="16"/>
                <w:szCs w:val="16"/>
              </w:rPr>
              <w:t>For</w:t>
            </w:r>
            <w:proofErr w:type="spellEnd"/>
            <w:r w:rsidR="00AB40EA">
              <w:rPr>
                <w:sz w:val="16"/>
                <w:szCs w:val="16"/>
              </w:rPr>
              <w:t xml:space="preserve"> the ALPHABET column, values are means from the seven other columns/cohorts.</w:t>
            </w:r>
          </w:p>
          <w:p w14:paraId="1BFB7A63" w14:textId="156AB2AB" w:rsidR="00915441" w:rsidRPr="00FD7042" w:rsidRDefault="00AB40EA" w:rsidP="008027D0">
            <w:pPr>
              <w:pStyle w:val="NoSpacing"/>
              <w:spacing w:line="240" w:lineRule="auto"/>
              <w:jc w:val="left"/>
              <w:rPr>
                <w:sz w:val="22"/>
                <w:szCs w:val="22"/>
              </w:rPr>
            </w:pPr>
            <w:proofErr w:type="spellStart"/>
            <w:r>
              <w:rPr>
                <w:sz w:val="16"/>
                <w:szCs w:val="16"/>
                <w:vertAlign w:val="superscript"/>
              </w:rPr>
              <w:t>b</w:t>
            </w:r>
            <w:r w:rsidR="00915441" w:rsidRPr="00045978">
              <w:rPr>
                <w:sz w:val="16"/>
                <w:szCs w:val="16"/>
              </w:rPr>
              <w:t>By</w:t>
            </w:r>
            <w:proofErr w:type="spellEnd"/>
            <w:r w:rsidR="00915441" w:rsidRPr="00045978">
              <w:rPr>
                <w:sz w:val="16"/>
                <w:szCs w:val="16"/>
              </w:rPr>
              <w:t xml:space="preserve"> combining items on foods and items on types of milk consumed.</w:t>
            </w:r>
          </w:p>
        </w:tc>
      </w:tr>
    </w:tbl>
    <w:p w14:paraId="736B4588" w14:textId="2FFCC389" w:rsidR="00A47750" w:rsidRPr="00A47750" w:rsidRDefault="00A47750" w:rsidP="00143D7D">
      <w:pPr>
        <w:spacing w:after="200" w:line="276" w:lineRule="auto"/>
        <w:jc w:val="left"/>
        <w:rPr>
          <w:color w:val="FF0000"/>
          <w:sz w:val="24"/>
          <w:szCs w:val="24"/>
          <w:lang w:val="en-GB"/>
        </w:rPr>
      </w:pPr>
      <w:r>
        <w:rPr>
          <w:rFonts w:eastAsia="Times New Roman"/>
          <w:b/>
          <w:color w:val="0070C0"/>
          <w:lang w:eastAsia="en-GB"/>
        </w:rPr>
        <w:br w:type="page"/>
      </w:r>
    </w:p>
    <w:p w14:paraId="329633AD" w14:textId="7D9169CD" w:rsidR="00F021B0" w:rsidRDefault="00F021B0" w:rsidP="00F021B0">
      <w:pPr>
        <w:pStyle w:val="NoSpacing"/>
        <w:spacing w:line="276" w:lineRule="auto"/>
        <w:rPr>
          <w:sz w:val="22"/>
          <w:szCs w:val="22"/>
          <w:lang w:val="en-CA"/>
        </w:rPr>
      </w:pPr>
      <w:r>
        <w:rPr>
          <w:rFonts w:eastAsia="Times New Roman"/>
          <w:b/>
          <w:color w:val="0070C0"/>
          <w:sz w:val="22"/>
          <w:szCs w:val="22"/>
          <w:lang w:eastAsia="en-GB"/>
        </w:rPr>
        <w:lastRenderedPageBreak/>
        <w:t>Supplemental table S</w:t>
      </w:r>
      <w:r w:rsidR="00556DE1">
        <w:rPr>
          <w:rFonts w:eastAsia="Times New Roman"/>
          <w:b/>
          <w:color w:val="0070C0"/>
          <w:sz w:val="22"/>
          <w:szCs w:val="22"/>
          <w:lang w:eastAsia="en-GB"/>
        </w:rPr>
        <w:t>2</w:t>
      </w:r>
      <w:r>
        <w:rPr>
          <w:rFonts w:eastAsia="Times New Roman"/>
          <w:b/>
          <w:color w:val="0070C0"/>
          <w:sz w:val="22"/>
          <w:szCs w:val="22"/>
          <w:lang w:eastAsia="en-GB"/>
        </w:rPr>
        <w:t>.</w:t>
      </w:r>
      <w:r>
        <w:rPr>
          <w:rFonts w:eastAsia="Times New Roman"/>
          <w:color w:val="0070C0"/>
          <w:sz w:val="22"/>
          <w:szCs w:val="22"/>
          <w:lang w:eastAsia="en-GB"/>
        </w:rPr>
        <w:t xml:space="preserve"> </w:t>
      </w:r>
      <w:r>
        <w:rPr>
          <w:sz w:val="22"/>
          <w:szCs w:val="22"/>
        </w:rPr>
        <w:t>Missing/available data patterns by cohort and factors.</w:t>
      </w:r>
    </w:p>
    <w:tbl>
      <w:tblPr>
        <w:tblStyle w:val="TableGrid"/>
        <w:tblW w:w="12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6"/>
        <w:gridCol w:w="1308"/>
        <w:gridCol w:w="1276"/>
        <w:gridCol w:w="1417"/>
        <w:gridCol w:w="1276"/>
        <w:gridCol w:w="1417"/>
        <w:gridCol w:w="1276"/>
        <w:gridCol w:w="1276"/>
        <w:gridCol w:w="1417"/>
      </w:tblGrid>
      <w:tr w:rsidR="00F021B0" w14:paraId="2D4820AD" w14:textId="77777777" w:rsidTr="00F021B0">
        <w:tc>
          <w:tcPr>
            <w:tcW w:w="1806" w:type="dxa"/>
            <w:tcBorders>
              <w:top w:val="nil"/>
              <w:left w:val="nil"/>
              <w:bottom w:val="single" w:sz="4" w:space="0" w:color="auto"/>
              <w:right w:val="nil"/>
            </w:tcBorders>
            <w:vAlign w:val="center"/>
          </w:tcPr>
          <w:p w14:paraId="474945AB" w14:textId="77777777" w:rsidR="00F021B0" w:rsidRDefault="00F021B0">
            <w:pPr>
              <w:pStyle w:val="NoSpacing"/>
              <w:spacing w:line="240" w:lineRule="auto"/>
              <w:jc w:val="center"/>
              <w:rPr>
                <w:rFonts w:asciiTheme="minorHAnsi" w:hAnsiTheme="minorHAnsi" w:cstheme="minorHAnsi"/>
                <w:sz w:val="20"/>
                <w:szCs w:val="20"/>
              </w:rPr>
            </w:pPr>
          </w:p>
        </w:tc>
        <w:tc>
          <w:tcPr>
            <w:tcW w:w="1308" w:type="dxa"/>
            <w:tcBorders>
              <w:top w:val="nil"/>
              <w:left w:val="nil"/>
              <w:bottom w:val="single" w:sz="4" w:space="0" w:color="auto"/>
              <w:right w:val="nil"/>
            </w:tcBorders>
            <w:vAlign w:val="center"/>
            <w:hideMark/>
          </w:tcPr>
          <w:p w14:paraId="61029872"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ALSPAC</w:t>
            </w:r>
          </w:p>
        </w:tc>
        <w:tc>
          <w:tcPr>
            <w:tcW w:w="1276" w:type="dxa"/>
            <w:tcBorders>
              <w:top w:val="nil"/>
              <w:left w:val="nil"/>
              <w:bottom w:val="single" w:sz="4" w:space="0" w:color="auto"/>
              <w:right w:val="nil"/>
            </w:tcBorders>
            <w:vAlign w:val="center"/>
            <w:hideMark/>
          </w:tcPr>
          <w:p w14:paraId="3B9F39C3"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EDEN</w:t>
            </w:r>
          </w:p>
        </w:tc>
        <w:tc>
          <w:tcPr>
            <w:tcW w:w="1417" w:type="dxa"/>
            <w:tcBorders>
              <w:top w:val="nil"/>
              <w:left w:val="nil"/>
              <w:bottom w:val="single" w:sz="4" w:space="0" w:color="auto"/>
              <w:right w:val="nil"/>
            </w:tcBorders>
            <w:vAlign w:val="center"/>
            <w:hideMark/>
          </w:tcPr>
          <w:p w14:paraId="6677BA57"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Generation R</w:t>
            </w:r>
          </w:p>
        </w:tc>
        <w:tc>
          <w:tcPr>
            <w:tcW w:w="1276" w:type="dxa"/>
            <w:tcBorders>
              <w:top w:val="nil"/>
              <w:left w:val="nil"/>
              <w:bottom w:val="single" w:sz="4" w:space="0" w:color="auto"/>
              <w:right w:val="nil"/>
            </w:tcBorders>
            <w:vAlign w:val="center"/>
            <w:hideMark/>
          </w:tcPr>
          <w:p w14:paraId="1A3486E8"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Lifeways</w:t>
            </w:r>
          </w:p>
        </w:tc>
        <w:tc>
          <w:tcPr>
            <w:tcW w:w="1417" w:type="dxa"/>
            <w:tcBorders>
              <w:top w:val="nil"/>
              <w:left w:val="nil"/>
              <w:bottom w:val="single" w:sz="4" w:space="0" w:color="auto"/>
              <w:right w:val="nil"/>
            </w:tcBorders>
            <w:vAlign w:val="center"/>
            <w:hideMark/>
          </w:tcPr>
          <w:p w14:paraId="6C2829F3"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REPRO_PL</w:t>
            </w:r>
          </w:p>
        </w:tc>
        <w:tc>
          <w:tcPr>
            <w:tcW w:w="1276" w:type="dxa"/>
            <w:tcBorders>
              <w:top w:val="nil"/>
              <w:left w:val="nil"/>
              <w:bottom w:val="single" w:sz="4" w:space="0" w:color="auto"/>
              <w:right w:val="nil"/>
            </w:tcBorders>
            <w:vAlign w:val="center"/>
            <w:hideMark/>
          </w:tcPr>
          <w:p w14:paraId="5BDE4DE8"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ROLO</w:t>
            </w:r>
          </w:p>
        </w:tc>
        <w:tc>
          <w:tcPr>
            <w:tcW w:w="1276" w:type="dxa"/>
            <w:tcBorders>
              <w:top w:val="nil"/>
              <w:left w:val="nil"/>
              <w:bottom w:val="single" w:sz="4" w:space="0" w:color="auto"/>
              <w:right w:val="single" w:sz="4" w:space="0" w:color="auto"/>
            </w:tcBorders>
            <w:vAlign w:val="center"/>
            <w:hideMark/>
          </w:tcPr>
          <w:p w14:paraId="7A5F9638"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SWS</w:t>
            </w:r>
          </w:p>
        </w:tc>
        <w:tc>
          <w:tcPr>
            <w:tcW w:w="1417" w:type="dxa"/>
            <w:tcBorders>
              <w:top w:val="nil"/>
              <w:left w:val="single" w:sz="4" w:space="0" w:color="auto"/>
              <w:bottom w:val="single" w:sz="4" w:space="0" w:color="auto"/>
              <w:right w:val="nil"/>
            </w:tcBorders>
            <w:vAlign w:val="center"/>
            <w:hideMark/>
          </w:tcPr>
          <w:p w14:paraId="4012D37C" w14:textId="77777777" w:rsidR="00F021B0" w:rsidRDefault="00F021B0">
            <w:pPr>
              <w:pStyle w:val="NoSpacing"/>
              <w:spacing w:line="240" w:lineRule="auto"/>
              <w:jc w:val="center"/>
              <w:rPr>
                <w:rFonts w:asciiTheme="minorHAnsi" w:hAnsiTheme="minorHAnsi" w:cstheme="minorHAnsi"/>
                <w:b/>
                <w:sz w:val="20"/>
                <w:szCs w:val="20"/>
              </w:rPr>
            </w:pPr>
            <w:r>
              <w:rPr>
                <w:rFonts w:asciiTheme="minorHAnsi" w:hAnsiTheme="minorHAnsi" w:cstheme="minorHAnsi"/>
                <w:b/>
                <w:sz w:val="20"/>
                <w:szCs w:val="20"/>
              </w:rPr>
              <w:t>Total available by factor, % (n)</w:t>
            </w:r>
          </w:p>
        </w:tc>
      </w:tr>
      <w:tr w:rsidR="00F021B0" w14:paraId="668EE35C" w14:textId="77777777" w:rsidTr="00F021B0">
        <w:tc>
          <w:tcPr>
            <w:tcW w:w="12469" w:type="dxa"/>
            <w:gridSpan w:val="9"/>
            <w:tcBorders>
              <w:top w:val="single" w:sz="4" w:space="0" w:color="auto"/>
              <w:left w:val="nil"/>
              <w:bottom w:val="single" w:sz="4" w:space="0" w:color="auto"/>
              <w:right w:val="nil"/>
            </w:tcBorders>
            <w:shd w:val="clear" w:color="auto" w:fill="D9D9D9" w:themeFill="background1" w:themeFillShade="D9"/>
            <w:vAlign w:val="center"/>
            <w:hideMark/>
          </w:tcPr>
          <w:p w14:paraId="431A6484" w14:textId="77777777" w:rsidR="00F021B0" w:rsidRDefault="00C54395" w:rsidP="00C54395">
            <w:pPr>
              <w:pStyle w:val="NoSpacing"/>
              <w:spacing w:line="240" w:lineRule="auto"/>
              <w:jc w:val="left"/>
              <w:rPr>
                <w:rFonts w:asciiTheme="minorHAnsi" w:hAnsiTheme="minorHAnsi" w:cstheme="minorHAnsi"/>
                <w:b/>
                <w:sz w:val="20"/>
                <w:szCs w:val="20"/>
              </w:rPr>
            </w:pPr>
            <w:r>
              <w:rPr>
                <w:rFonts w:asciiTheme="minorHAnsi" w:hAnsiTheme="minorHAnsi" w:cstheme="minorHAnsi"/>
                <w:b/>
                <w:sz w:val="20"/>
                <w:szCs w:val="20"/>
              </w:rPr>
              <w:t>Maternal s</w:t>
            </w:r>
            <w:r w:rsidR="00F021B0">
              <w:rPr>
                <w:rFonts w:asciiTheme="minorHAnsi" w:hAnsiTheme="minorHAnsi" w:cstheme="minorHAnsi"/>
                <w:b/>
                <w:sz w:val="20"/>
                <w:szCs w:val="20"/>
              </w:rPr>
              <w:t>ociodemographic factors</w:t>
            </w:r>
          </w:p>
        </w:tc>
      </w:tr>
      <w:tr w:rsidR="00F021B0" w14:paraId="4B2C877E" w14:textId="77777777" w:rsidTr="00F021B0">
        <w:tc>
          <w:tcPr>
            <w:tcW w:w="1806" w:type="dxa"/>
            <w:tcBorders>
              <w:top w:val="single" w:sz="4" w:space="0" w:color="auto"/>
              <w:left w:val="nil"/>
              <w:bottom w:val="nil"/>
              <w:right w:val="nil"/>
            </w:tcBorders>
            <w:vAlign w:val="center"/>
            <w:hideMark/>
          </w:tcPr>
          <w:p w14:paraId="12B51E3C"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Age</w:t>
            </w:r>
          </w:p>
        </w:tc>
        <w:tc>
          <w:tcPr>
            <w:tcW w:w="1308" w:type="dxa"/>
            <w:tcBorders>
              <w:top w:val="single" w:sz="4" w:space="0" w:color="auto"/>
              <w:left w:val="nil"/>
              <w:bottom w:val="nil"/>
              <w:right w:val="nil"/>
            </w:tcBorders>
            <w:vAlign w:val="center"/>
            <w:hideMark/>
          </w:tcPr>
          <w:p w14:paraId="4955A72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single" w:sz="4" w:space="0" w:color="auto"/>
              <w:left w:val="nil"/>
              <w:bottom w:val="nil"/>
              <w:right w:val="nil"/>
            </w:tcBorders>
            <w:vAlign w:val="center"/>
            <w:hideMark/>
          </w:tcPr>
          <w:p w14:paraId="75FA8EA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c>
          <w:tcPr>
            <w:tcW w:w="1417" w:type="dxa"/>
            <w:tcBorders>
              <w:top w:val="single" w:sz="4" w:space="0" w:color="auto"/>
              <w:left w:val="nil"/>
              <w:bottom w:val="nil"/>
              <w:right w:val="nil"/>
            </w:tcBorders>
            <w:vAlign w:val="center"/>
            <w:hideMark/>
          </w:tcPr>
          <w:p w14:paraId="2840B1A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single" w:sz="4" w:space="0" w:color="auto"/>
              <w:left w:val="nil"/>
              <w:bottom w:val="nil"/>
              <w:right w:val="nil"/>
            </w:tcBorders>
            <w:vAlign w:val="center"/>
            <w:hideMark/>
          </w:tcPr>
          <w:p w14:paraId="54EC4B0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2.9%</w:t>
            </w:r>
          </w:p>
        </w:tc>
        <w:tc>
          <w:tcPr>
            <w:tcW w:w="1417" w:type="dxa"/>
            <w:tcBorders>
              <w:top w:val="single" w:sz="4" w:space="0" w:color="auto"/>
              <w:left w:val="nil"/>
              <w:bottom w:val="nil"/>
              <w:right w:val="nil"/>
            </w:tcBorders>
            <w:vAlign w:val="center"/>
            <w:hideMark/>
          </w:tcPr>
          <w:p w14:paraId="080732F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15.7%</w:t>
            </w:r>
          </w:p>
        </w:tc>
        <w:tc>
          <w:tcPr>
            <w:tcW w:w="1276" w:type="dxa"/>
            <w:tcBorders>
              <w:top w:val="single" w:sz="4" w:space="0" w:color="auto"/>
              <w:left w:val="nil"/>
              <w:bottom w:val="nil"/>
              <w:right w:val="nil"/>
            </w:tcBorders>
            <w:vAlign w:val="center"/>
            <w:hideMark/>
          </w:tcPr>
          <w:p w14:paraId="173A3AD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single" w:sz="4" w:space="0" w:color="auto"/>
              <w:left w:val="nil"/>
              <w:bottom w:val="nil"/>
              <w:right w:val="single" w:sz="4" w:space="0" w:color="auto"/>
            </w:tcBorders>
            <w:vAlign w:val="center"/>
            <w:hideMark/>
          </w:tcPr>
          <w:p w14:paraId="2FF11F0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0.1%</w:t>
            </w:r>
          </w:p>
        </w:tc>
        <w:tc>
          <w:tcPr>
            <w:tcW w:w="1417" w:type="dxa"/>
            <w:tcBorders>
              <w:top w:val="single" w:sz="4" w:space="0" w:color="auto"/>
              <w:left w:val="single" w:sz="4" w:space="0" w:color="auto"/>
              <w:bottom w:val="nil"/>
              <w:right w:val="nil"/>
            </w:tcBorders>
            <w:vAlign w:val="center"/>
            <w:hideMark/>
          </w:tcPr>
          <w:p w14:paraId="50403B3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98.8% (26,096)</w:t>
            </w:r>
          </w:p>
        </w:tc>
      </w:tr>
      <w:tr w:rsidR="00F021B0" w14:paraId="015E0E1B" w14:textId="77777777" w:rsidTr="00F021B0">
        <w:tc>
          <w:tcPr>
            <w:tcW w:w="1806" w:type="dxa"/>
            <w:vAlign w:val="center"/>
            <w:hideMark/>
          </w:tcPr>
          <w:p w14:paraId="0656D6CD"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Educational level</w:t>
            </w:r>
          </w:p>
        </w:tc>
        <w:tc>
          <w:tcPr>
            <w:tcW w:w="1308" w:type="dxa"/>
            <w:vAlign w:val="center"/>
            <w:hideMark/>
          </w:tcPr>
          <w:p w14:paraId="4C7B2AC6"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0.6%</w:t>
            </w:r>
          </w:p>
        </w:tc>
        <w:tc>
          <w:tcPr>
            <w:tcW w:w="1276" w:type="dxa"/>
            <w:vAlign w:val="center"/>
            <w:hideMark/>
          </w:tcPr>
          <w:p w14:paraId="2C24BF8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3.6%</w:t>
            </w:r>
          </w:p>
        </w:tc>
        <w:tc>
          <w:tcPr>
            <w:tcW w:w="1417" w:type="dxa"/>
            <w:vAlign w:val="center"/>
            <w:hideMark/>
          </w:tcPr>
          <w:p w14:paraId="18D4707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4.4%</w:t>
            </w:r>
          </w:p>
        </w:tc>
        <w:tc>
          <w:tcPr>
            <w:tcW w:w="1276" w:type="dxa"/>
            <w:vAlign w:val="center"/>
            <w:hideMark/>
          </w:tcPr>
          <w:p w14:paraId="28EB579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2.4%</w:t>
            </w:r>
          </w:p>
        </w:tc>
        <w:tc>
          <w:tcPr>
            <w:tcW w:w="1417" w:type="dxa"/>
            <w:vAlign w:val="center"/>
            <w:hideMark/>
          </w:tcPr>
          <w:p w14:paraId="678B942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vAlign w:val="center"/>
            <w:hideMark/>
          </w:tcPr>
          <w:p w14:paraId="70BF1EF0"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276" w:type="dxa"/>
            <w:tcBorders>
              <w:top w:val="nil"/>
              <w:left w:val="nil"/>
              <w:bottom w:val="nil"/>
              <w:right w:val="single" w:sz="4" w:space="0" w:color="auto"/>
            </w:tcBorders>
            <w:vAlign w:val="center"/>
            <w:hideMark/>
          </w:tcPr>
          <w:p w14:paraId="6F12D2AC"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1417" w:type="dxa"/>
            <w:tcBorders>
              <w:top w:val="nil"/>
              <w:left w:val="single" w:sz="4" w:space="0" w:color="auto"/>
              <w:bottom w:val="nil"/>
              <w:right w:val="nil"/>
            </w:tcBorders>
            <w:vAlign w:val="center"/>
            <w:hideMark/>
          </w:tcPr>
          <w:p w14:paraId="4029097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98.3% (25,953)</w:t>
            </w:r>
          </w:p>
        </w:tc>
      </w:tr>
      <w:tr w:rsidR="00F021B0" w14:paraId="6ADA1D2C" w14:textId="77777777" w:rsidTr="00F021B0">
        <w:tc>
          <w:tcPr>
            <w:tcW w:w="1806" w:type="dxa"/>
            <w:vAlign w:val="center"/>
            <w:hideMark/>
          </w:tcPr>
          <w:p w14:paraId="104FC16E"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Household income</w:t>
            </w:r>
          </w:p>
        </w:tc>
        <w:tc>
          <w:tcPr>
            <w:tcW w:w="1308" w:type="dxa"/>
            <w:vAlign w:val="center"/>
            <w:hideMark/>
          </w:tcPr>
          <w:p w14:paraId="5EBC6576"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23.1%</w:t>
            </w:r>
          </w:p>
        </w:tc>
        <w:tc>
          <w:tcPr>
            <w:tcW w:w="1276" w:type="dxa"/>
            <w:vAlign w:val="center"/>
            <w:hideMark/>
          </w:tcPr>
          <w:p w14:paraId="7C8D56AA"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3.4%</w:t>
            </w:r>
          </w:p>
        </w:tc>
        <w:tc>
          <w:tcPr>
            <w:tcW w:w="1417" w:type="dxa"/>
            <w:vAlign w:val="center"/>
            <w:hideMark/>
          </w:tcPr>
          <w:p w14:paraId="5542A46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17.1%</w:t>
            </w:r>
          </w:p>
        </w:tc>
        <w:tc>
          <w:tcPr>
            <w:tcW w:w="1276" w:type="dxa"/>
            <w:vAlign w:val="center"/>
            <w:hideMark/>
          </w:tcPr>
          <w:p w14:paraId="78A9EBF1"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10.3%</w:t>
            </w:r>
          </w:p>
        </w:tc>
        <w:tc>
          <w:tcPr>
            <w:tcW w:w="1417" w:type="dxa"/>
            <w:vAlign w:val="center"/>
            <w:hideMark/>
          </w:tcPr>
          <w:p w14:paraId="29CD654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SM</w:t>
            </w:r>
          </w:p>
        </w:tc>
        <w:tc>
          <w:tcPr>
            <w:tcW w:w="1276" w:type="dxa"/>
            <w:vAlign w:val="center"/>
            <w:hideMark/>
          </w:tcPr>
          <w:p w14:paraId="47B4126A"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SM</w:t>
            </w:r>
          </w:p>
        </w:tc>
        <w:tc>
          <w:tcPr>
            <w:tcW w:w="1276" w:type="dxa"/>
            <w:tcBorders>
              <w:top w:val="nil"/>
              <w:left w:val="nil"/>
              <w:bottom w:val="nil"/>
              <w:right w:val="single" w:sz="4" w:space="0" w:color="auto"/>
            </w:tcBorders>
            <w:vAlign w:val="center"/>
            <w:hideMark/>
          </w:tcPr>
          <w:p w14:paraId="6233455F"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SM</w:t>
            </w:r>
          </w:p>
        </w:tc>
        <w:tc>
          <w:tcPr>
            <w:tcW w:w="1417" w:type="dxa"/>
            <w:tcBorders>
              <w:top w:val="nil"/>
              <w:left w:val="single" w:sz="4" w:space="0" w:color="auto"/>
              <w:bottom w:val="nil"/>
              <w:right w:val="nil"/>
            </w:tcBorders>
            <w:vAlign w:val="center"/>
            <w:hideMark/>
          </w:tcPr>
          <w:p w14:paraId="63F937AF"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65.5% (17,296)</w:t>
            </w:r>
          </w:p>
        </w:tc>
      </w:tr>
      <w:tr w:rsidR="00F021B0" w14:paraId="201F0A1B" w14:textId="77777777" w:rsidTr="00F021B0">
        <w:tc>
          <w:tcPr>
            <w:tcW w:w="1806" w:type="dxa"/>
            <w:vAlign w:val="center"/>
            <w:hideMark/>
          </w:tcPr>
          <w:p w14:paraId="4C9E10B4"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Parity</w:t>
            </w:r>
          </w:p>
        </w:tc>
        <w:tc>
          <w:tcPr>
            <w:tcW w:w="1308" w:type="dxa"/>
            <w:vAlign w:val="center"/>
            <w:hideMark/>
          </w:tcPr>
          <w:p w14:paraId="66F39CA2"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c>
          <w:tcPr>
            <w:tcW w:w="1276" w:type="dxa"/>
            <w:vAlign w:val="center"/>
            <w:hideMark/>
          </w:tcPr>
          <w:p w14:paraId="2ACCEB7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3.9%</w:t>
            </w:r>
          </w:p>
        </w:tc>
        <w:tc>
          <w:tcPr>
            <w:tcW w:w="1417" w:type="dxa"/>
            <w:vAlign w:val="center"/>
            <w:hideMark/>
          </w:tcPr>
          <w:p w14:paraId="1272DED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0.4%</w:t>
            </w:r>
          </w:p>
        </w:tc>
        <w:tc>
          <w:tcPr>
            <w:tcW w:w="1276" w:type="dxa"/>
            <w:vAlign w:val="center"/>
            <w:hideMark/>
          </w:tcPr>
          <w:p w14:paraId="5BDAF1E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c>
          <w:tcPr>
            <w:tcW w:w="1417" w:type="dxa"/>
            <w:vAlign w:val="center"/>
            <w:hideMark/>
          </w:tcPr>
          <w:p w14:paraId="797F466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0.5%</w:t>
            </w:r>
          </w:p>
        </w:tc>
        <w:tc>
          <w:tcPr>
            <w:tcW w:w="1276" w:type="dxa"/>
            <w:vAlign w:val="center"/>
            <w:hideMark/>
          </w:tcPr>
          <w:p w14:paraId="22BC66DC"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nil"/>
              <w:left w:val="nil"/>
              <w:bottom w:val="nil"/>
              <w:right w:val="single" w:sz="4" w:space="0" w:color="auto"/>
            </w:tcBorders>
            <w:vAlign w:val="center"/>
            <w:hideMark/>
          </w:tcPr>
          <w:p w14:paraId="30C2DB91"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0.1%</w:t>
            </w:r>
          </w:p>
        </w:tc>
        <w:tc>
          <w:tcPr>
            <w:tcW w:w="1417" w:type="dxa"/>
            <w:tcBorders>
              <w:top w:val="nil"/>
              <w:left w:val="single" w:sz="4" w:space="0" w:color="auto"/>
              <w:bottom w:val="nil"/>
              <w:right w:val="nil"/>
            </w:tcBorders>
            <w:vAlign w:val="center"/>
            <w:hideMark/>
          </w:tcPr>
          <w:p w14:paraId="3E6E14C1"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97.8% (25,821)</w:t>
            </w:r>
          </w:p>
        </w:tc>
      </w:tr>
      <w:tr w:rsidR="00F021B0" w14:paraId="2317ADEE" w14:textId="77777777" w:rsidTr="00F021B0">
        <w:tc>
          <w:tcPr>
            <w:tcW w:w="1806" w:type="dxa"/>
            <w:vAlign w:val="center"/>
            <w:hideMark/>
          </w:tcPr>
          <w:p w14:paraId="61D3670D"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Birthplace/ethnicity</w:t>
            </w:r>
          </w:p>
        </w:tc>
        <w:tc>
          <w:tcPr>
            <w:tcW w:w="1308" w:type="dxa"/>
            <w:vAlign w:val="center"/>
            <w:hideMark/>
          </w:tcPr>
          <w:p w14:paraId="0625553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3.1%</w:t>
            </w:r>
          </w:p>
        </w:tc>
        <w:tc>
          <w:tcPr>
            <w:tcW w:w="1276" w:type="dxa"/>
            <w:vAlign w:val="center"/>
            <w:hideMark/>
          </w:tcPr>
          <w:p w14:paraId="6143ADC5"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9.3%</w:t>
            </w:r>
          </w:p>
        </w:tc>
        <w:tc>
          <w:tcPr>
            <w:tcW w:w="1417" w:type="dxa"/>
            <w:vAlign w:val="center"/>
            <w:hideMark/>
          </w:tcPr>
          <w:p w14:paraId="7C6E49A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276" w:type="dxa"/>
            <w:vAlign w:val="center"/>
            <w:hideMark/>
          </w:tcPr>
          <w:p w14:paraId="2E0BE1B6"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417" w:type="dxa"/>
            <w:vAlign w:val="center"/>
            <w:hideMark/>
          </w:tcPr>
          <w:p w14:paraId="18DEC16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vAlign w:val="center"/>
            <w:hideMark/>
          </w:tcPr>
          <w:p w14:paraId="34ADA445"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nil"/>
              <w:left w:val="nil"/>
              <w:bottom w:val="nil"/>
              <w:right w:val="single" w:sz="4" w:space="0" w:color="auto"/>
            </w:tcBorders>
            <w:vAlign w:val="center"/>
            <w:hideMark/>
          </w:tcPr>
          <w:p w14:paraId="0483B27A"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417" w:type="dxa"/>
            <w:tcBorders>
              <w:top w:val="nil"/>
              <w:left w:val="single" w:sz="4" w:space="0" w:color="auto"/>
              <w:bottom w:val="nil"/>
              <w:right w:val="nil"/>
            </w:tcBorders>
            <w:vAlign w:val="center"/>
            <w:hideMark/>
          </w:tcPr>
          <w:p w14:paraId="4B62A9C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97.4% (25,726)</w:t>
            </w:r>
          </w:p>
        </w:tc>
      </w:tr>
      <w:tr w:rsidR="00F021B0" w14:paraId="1ECB868F" w14:textId="77777777" w:rsidTr="00F021B0">
        <w:trPr>
          <w:trHeight w:val="57"/>
        </w:trPr>
        <w:tc>
          <w:tcPr>
            <w:tcW w:w="1806" w:type="dxa"/>
            <w:tcBorders>
              <w:top w:val="nil"/>
              <w:left w:val="nil"/>
              <w:bottom w:val="single" w:sz="4" w:space="0" w:color="auto"/>
              <w:right w:val="nil"/>
            </w:tcBorders>
            <w:vAlign w:val="center"/>
          </w:tcPr>
          <w:p w14:paraId="5E784240" w14:textId="77777777" w:rsidR="00F021B0" w:rsidRDefault="00F021B0">
            <w:pPr>
              <w:pStyle w:val="NoSpacing"/>
              <w:spacing w:line="240" w:lineRule="auto"/>
              <w:jc w:val="center"/>
              <w:rPr>
                <w:rFonts w:asciiTheme="minorHAnsi" w:hAnsiTheme="minorHAnsi" w:cstheme="minorHAnsi"/>
                <w:sz w:val="8"/>
                <w:szCs w:val="8"/>
              </w:rPr>
            </w:pPr>
          </w:p>
        </w:tc>
        <w:tc>
          <w:tcPr>
            <w:tcW w:w="1308" w:type="dxa"/>
            <w:tcBorders>
              <w:top w:val="nil"/>
              <w:left w:val="nil"/>
              <w:bottom w:val="single" w:sz="4" w:space="0" w:color="auto"/>
              <w:right w:val="nil"/>
            </w:tcBorders>
            <w:vAlign w:val="center"/>
          </w:tcPr>
          <w:p w14:paraId="46927355"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7B5F54CC"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13451CE9"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5D72C16D"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167367F0"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646726E5"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single" w:sz="4" w:space="0" w:color="auto"/>
            </w:tcBorders>
            <w:vAlign w:val="center"/>
          </w:tcPr>
          <w:p w14:paraId="644C0EAF"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single" w:sz="4" w:space="0" w:color="auto"/>
              <w:bottom w:val="single" w:sz="4" w:space="0" w:color="auto"/>
              <w:right w:val="nil"/>
            </w:tcBorders>
            <w:vAlign w:val="center"/>
          </w:tcPr>
          <w:p w14:paraId="54DC3434" w14:textId="77777777" w:rsidR="00F021B0" w:rsidRDefault="00F021B0">
            <w:pPr>
              <w:pStyle w:val="NoSpacing"/>
              <w:spacing w:line="240" w:lineRule="auto"/>
              <w:jc w:val="center"/>
              <w:rPr>
                <w:rFonts w:asciiTheme="minorHAnsi" w:hAnsiTheme="minorHAnsi" w:cstheme="minorHAnsi"/>
                <w:sz w:val="8"/>
                <w:szCs w:val="8"/>
              </w:rPr>
            </w:pPr>
          </w:p>
        </w:tc>
      </w:tr>
      <w:tr w:rsidR="00F021B0" w14:paraId="741FF7DE" w14:textId="77777777" w:rsidTr="00F021B0">
        <w:tc>
          <w:tcPr>
            <w:tcW w:w="12469" w:type="dxa"/>
            <w:gridSpan w:val="9"/>
            <w:tcBorders>
              <w:top w:val="single" w:sz="4" w:space="0" w:color="auto"/>
              <w:left w:val="nil"/>
              <w:bottom w:val="single" w:sz="4" w:space="0" w:color="auto"/>
              <w:right w:val="nil"/>
            </w:tcBorders>
            <w:shd w:val="clear" w:color="auto" w:fill="D9D9D9" w:themeFill="background1" w:themeFillShade="D9"/>
            <w:vAlign w:val="center"/>
            <w:hideMark/>
          </w:tcPr>
          <w:p w14:paraId="00F5E35C" w14:textId="77777777" w:rsidR="00F021B0" w:rsidRDefault="00F021B0">
            <w:pPr>
              <w:pStyle w:val="NoSpacing"/>
              <w:spacing w:line="240" w:lineRule="auto"/>
              <w:jc w:val="left"/>
              <w:rPr>
                <w:rFonts w:asciiTheme="minorHAnsi" w:hAnsiTheme="minorHAnsi" w:cstheme="minorHAnsi"/>
                <w:b/>
                <w:sz w:val="20"/>
                <w:szCs w:val="20"/>
              </w:rPr>
            </w:pPr>
            <w:r>
              <w:rPr>
                <w:rFonts w:asciiTheme="minorHAnsi" w:hAnsiTheme="minorHAnsi" w:cstheme="minorHAnsi"/>
                <w:b/>
                <w:sz w:val="20"/>
                <w:szCs w:val="20"/>
              </w:rPr>
              <w:t>Maternal health and behavioural factors</w:t>
            </w:r>
          </w:p>
        </w:tc>
      </w:tr>
      <w:tr w:rsidR="00F021B0" w14:paraId="69869F24" w14:textId="77777777" w:rsidTr="00F021B0">
        <w:tc>
          <w:tcPr>
            <w:tcW w:w="1806" w:type="dxa"/>
            <w:tcBorders>
              <w:top w:val="single" w:sz="4" w:space="0" w:color="auto"/>
              <w:left w:val="nil"/>
              <w:bottom w:val="nil"/>
              <w:right w:val="nil"/>
            </w:tcBorders>
            <w:vAlign w:val="center"/>
            <w:hideMark/>
          </w:tcPr>
          <w:p w14:paraId="0974E961"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Pre-pregnancy BMI</w:t>
            </w:r>
          </w:p>
        </w:tc>
        <w:tc>
          <w:tcPr>
            <w:tcW w:w="1308" w:type="dxa"/>
            <w:tcBorders>
              <w:top w:val="single" w:sz="4" w:space="0" w:color="auto"/>
              <w:left w:val="nil"/>
              <w:bottom w:val="nil"/>
              <w:right w:val="nil"/>
            </w:tcBorders>
            <w:vAlign w:val="center"/>
            <w:hideMark/>
          </w:tcPr>
          <w:p w14:paraId="6529D24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13.9%</w:t>
            </w:r>
          </w:p>
        </w:tc>
        <w:tc>
          <w:tcPr>
            <w:tcW w:w="1276" w:type="dxa"/>
            <w:tcBorders>
              <w:top w:val="single" w:sz="4" w:space="0" w:color="auto"/>
              <w:left w:val="nil"/>
              <w:bottom w:val="nil"/>
              <w:right w:val="nil"/>
            </w:tcBorders>
            <w:vAlign w:val="center"/>
            <w:hideMark/>
          </w:tcPr>
          <w:p w14:paraId="1074D5CC"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4.5%</w:t>
            </w:r>
          </w:p>
        </w:tc>
        <w:tc>
          <w:tcPr>
            <w:tcW w:w="1417" w:type="dxa"/>
            <w:tcBorders>
              <w:top w:val="single" w:sz="4" w:space="0" w:color="auto"/>
              <w:left w:val="nil"/>
              <w:bottom w:val="nil"/>
              <w:right w:val="nil"/>
            </w:tcBorders>
            <w:vAlign w:val="center"/>
            <w:hideMark/>
          </w:tcPr>
          <w:p w14:paraId="6D3AAB1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3.3%</w:t>
            </w:r>
          </w:p>
        </w:tc>
        <w:tc>
          <w:tcPr>
            <w:tcW w:w="1276" w:type="dxa"/>
            <w:tcBorders>
              <w:top w:val="single" w:sz="4" w:space="0" w:color="auto"/>
              <w:left w:val="nil"/>
              <w:bottom w:val="nil"/>
              <w:right w:val="nil"/>
            </w:tcBorders>
            <w:vAlign w:val="center"/>
            <w:hideMark/>
          </w:tcPr>
          <w:p w14:paraId="7EC2126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17.9%</w:t>
            </w:r>
          </w:p>
        </w:tc>
        <w:tc>
          <w:tcPr>
            <w:tcW w:w="1417" w:type="dxa"/>
            <w:tcBorders>
              <w:top w:val="single" w:sz="4" w:space="0" w:color="auto"/>
              <w:left w:val="nil"/>
              <w:bottom w:val="nil"/>
              <w:right w:val="nil"/>
            </w:tcBorders>
            <w:vAlign w:val="center"/>
            <w:hideMark/>
          </w:tcPr>
          <w:p w14:paraId="7648E83C"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1.2%</w:t>
            </w:r>
          </w:p>
        </w:tc>
        <w:tc>
          <w:tcPr>
            <w:tcW w:w="1276" w:type="dxa"/>
            <w:tcBorders>
              <w:top w:val="single" w:sz="4" w:space="0" w:color="auto"/>
              <w:left w:val="nil"/>
              <w:bottom w:val="nil"/>
              <w:right w:val="nil"/>
            </w:tcBorders>
            <w:vAlign w:val="center"/>
            <w:hideMark/>
          </w:tcPr>
          <w:p w14:paraId="6602388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1276" w:type="dxa"/>
            <w:tcBorders>
              <w:top w:val="single" w:sz="4" w:space="0" w:color="auto"/>
              <w:left w:val="nil"/>
              <w:bottom w:val="nil"/>
              <w:right w:val="single" w:sz="4" w:space="0" w:color="auto"/>
            </w:tcBorders>
            <w:vAlign w:val="center"/>
            <w:hideMark/>
          </w:tcPr>
          <w:p w14:paraId="7E3ED706"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0.6%</w:t>
            </w:r>
          </w:p>
        </w:tc>
        <w:tc>
          <w:tcPr>
            <w:tcW w:w="1417" w:type="dxa"/>
            <w:tcBorders>
              <w:top w:val="single" w:sz="4" w:space="0" w:color="auto"/>
              <w:left w:val="single" w:sz="4" w:space="0" w:color="auto"/>
              <w:bottom w:val="nil"/>
              <w:right w:val="nil"/>
            </w:tcBorders>
            <w:vAlign w:val="center"/>
            <w:hideMark/>
          </w:tcPr>
          <w:p w14:paraId="4BCBEE6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91.7% (24,211)</w:t>
            </w:r>
          </w:p>
        </w:tc>
      </w:tr>
      <w:tr w:rsidR="00F021B0" w14:paraId="33358E96" w14:textId="77777777" w:rsidTr="00F021B0">
        <w:tc>
          <w:tcPr>
            <w:tcW w:w="1806" w:type="dxa"/>
            <w:vAlign w:val="center"/>
            <w:hideMark/>
          </w:tcPr>
          <w:p w14:paraId="6C941638"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Smoking status during pregnancy</w:t>
            </w:r>
          </w:p>
        </w:tc>
        <w:tc>
          <w:tcPr>
            <w:tcW w:w="1308" w:type="dxa"/>
            <w:vAlign w:val="center"/>
            <w:hideMark/>
          </w:tcPr>
          <w:p w14:paraId="08256300"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2.8%</w:t>
            </w:r>
          </w:p>
        </w:tc>
        <w:tc>
          <w:tcPr>
            <w:tcW w:w="1276" w:type="dxa"/>
            <w:vAlign w:val="center"/>
            <w:hideMark/>
          </w:tcPr>
          <w:p w14:paraId="1D53A5D5"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3.2%</w:t>
            </w:r>
          </w:p>
        </w:tc>
        <w:tc>
          <w:tcPr>
            <w:tcW w:w="1417" w:type="dxa"/>
            <w:vAlign w:val="center"/>
            <w:hideMark/>
          </w:tcPr>
          <w:p w14:paraId="2D0DA40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9.8%</w:t>
            </w:r>
          </w:p>
        </w:tc>
        <w:tc>
          <w:tcPr>
            <w:tcW w:w="1276" w:type="dxa"/>
            <w:vAlign w:val="center"/>
            <w:hideMark/>
          </w:tcPr>
          <w:p w14:paraId="7F59D370"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0.3%</w:t>
            </w:r>
          </w:p>
        </w:tc>
        <w:tc>
          <w:tcPr>
            <w:tcW w:w="1417" w:type="dxa"/>
            <w:vAlign w:val="center"/>
            <w:hideMark/>
          </w:tcPr>
          <w:p w14:paraId="3411736A"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3.1%</w:t>
            </w:r>
          </w:p>
        </w:tc>
        <w:tc>
          <w:tcPr>
            <w:tcW w:w="1276" w:type="dxa"/>
            <w:vAlign w:val="center"/>
            <w:hideMark/>
          </w:tcPr>
          <w:p w14:paraId="1C856993"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nil"/>
              <w:left w:val="nil"/>
              <w:bottom w:val="nil"/>
              <w:right w:val="single" w:sz="4" w:space="0" w:color="auto"/>
            </w:tcBorders>
            <w:vAlign w:val="center"/>
            <w:hideMark/>
          </w:tcPr>
          <w:p w14:paraId="452FEB7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5.3%</w:t>
            </w:r>
          </w:p>
        </w:tc>
        <w:tc>
          <w:tcPr>
            <w:tcW w:w="1417" w:type="dxa"/>
            <w:tcBorders>
              <w:top w:val="nil"/>
              <w:left w:val="single" w:sz="4" w:space="0" w:color="auto"/>
              <w:bottom w:val="nil"/>
              <w:right w:val="nil"/>
            </w:tcBorders>
            <w:vAlign w:val="center"/>
            <w:hideMark/>
          </w:tcPr>
          <w:p w14:paraId="5A6A185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95.4% (25,186)</w:t>
            </w:r>
          </w:p>
        </w:tc>
      </w:tr>
      <w:tr w:rsidR="00F021B0" w14:paraId="02F452E6" w14:textId="77777777" w:rsidTr="00F021B0">
        <w:tc>
          <w:tcPr>
            <w:tcW w:w="1806" w:type="dxa"/>
            <w:vAlign w:val="center"/>
            <w:hideMark/>
          </w:tcPr>
          <w:p w14:paraId="28ABF26D" w14:textId="77777777"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Alcohol consumption during pregnancy</w:t>
            </w:r>
          </w:p>
        </w:tc>
        <w:tc>
          <w:tcPr>
            <w:tcW w:w="1308" w:type="dxa"/>
            <w:vAlign w:val="center"/>
            <w:hideMark/>
          </w:tcPr>
          <w:p w14:paraId="67800295"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vAlign w:val="center"/>
            <w:hideMark/>
          </w:tcPr>
          <w:p w14:paraId="34EFF6C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417" w:type="dxa"/>
            <w:vAlign w:val="center"/>
            <w:hideMark/>
          </w:tcPr>
          <w:p w14:paraId="74DC0D2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9.4%</w:t>
            </w:r>
          </w:p>
        </w:tc>
        <w:tc>
          <w:tcPr>
            <w:tcW w:w="1276" w:type="dxa"/>
            <w:vAlign w:val="center"/>
            <w:hideMark/>
          </w:tcPr>
          <w:p w14:paraId="38F1ACF2"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1417" w:type="dxa"/>
            <w:vAlign w:val="center"/>
            <w:hideMark/>
          </w:tcPr>
          <w:p w14:paraId="2A848BAB"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vAlign w:val="center"/>
            <w:hideMark/>
          </w:tcPr>
          <w:p w14:paraId="39EEEB19"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3.7%</w:t>
            </w:r>
          </w:p>
        </w:tc>
        <w:tc>
          <w:tcPr>
            <w:tcW w:w="1276" w:type="dxa"/>
            <w:tcBorders>
              <w:top w:val="nil"/>
              <w:left w:val="nil"/>
              <w:bottom w:val="nil"/>
              <w:right w:val="single" w:sz="4" w:space="0" w:color="auto"/>
            </w:tcBorders>
            <w:vAlign w:val="center"/>
            <w:hideMark/>
          </w:tcPr>
          <w:p w14:paraId="1DBDFEF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35.0%</w:t>
            </w:r>
          </w:p>
        </w:tc>
        <w:tc>
          <w:tcPr>
            <w:tcW w:w="1417" w:type="dxa"/>
            <w:tcBorders>
              <w:top w:val="nil"/>
              <w:left w:val="single" w:sz="4" w:space="0" w:color="auto"/>
              <w:bottom w:val="nil"/>
              <w:right w:val="nil"/>
            </w:tcBorders>
            <w:vAlign w:val="center"/>
            <w:hideMark/>
          </w:tcPr>
          <w:p w14:paraId="1CEB1E41"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93.4% (24,678)</w:t>
            </w:r>
          </w:p>
        </w:tc>
      </w:tr>
      <w:tr w:rsidR="00F021B0" w14:paraId="33786CC8" w14:textId="77777777" w:rsidTr="00F021B0">
        <w:tc>
          <w:tcPr>
            <w:tcW w:w="1806" w:type="dxa"/>
            <w:vAlign w:val="center"/>
            <w:hideMark/>
          </w:tcPr>
          <w:p w14:paraId="721CE644" w14:textId="261E2EFF" w:rsidR="00F021B0" w:rsidRDefault="00F021B0">
            <w:pPr>
              <w:pStyle w:val="NoSpacing"/>
              <w:spacing w:line="240" w:lineRule="auto"/>
              <w:jc w:val="left"/>
              <w:rPr>
                <w:rFonts w:asciiTheme="minorHAnsi" w:hAnsiTheme="minorHAnsi" w:cstheme="minorHAnsi"/>
                <w:sz w:val="20"/>
                <w:szCs w:val="20"/>
              </w:rPr>
            </w:pPr>
            <w:r>
              <w:rPr>
                <w:rFonts w:asciiTheme="minorHAnsi" w:hAnsiTheme="minorHAnsi" w:cstheme="minorHAnsi"/>
                <w:sz w:val="20"/>
                <w:szCs w:val="20"/>
              </w:rPr>
              <w:t xml:space="preserve">Physical activity </w:t>
            </w:r>
            <w:r w:rsidR="0012182E">
              <w:rPr>
                <w:rFonts w:asciiTheme="minorHAnsi" w:hAnsiTheme="minorHAnsi" w:cstheme="minorHAnsi"/>
                <w:sz w:val="20"/>
                <w:szCs w:val="20"/>
              </w:rPr>
              <w:t xml:space="preserve">level </w:t>
            </w:r>
            <w:r>
              <w:rPr>
                <w:rFonts w:asciiTheme="minorHAnsi" w:hAnsiTheme="minorHAnsi" w:cstheme="minorHAnsi"/>
                <w:sz w:val="20"/>
                <w:szCs w:val="20"/>
              </w:rPr>
              <w:t>during pregnancy</w:t>
            </w:r>
          </w:p>
        </w:tc>
        <w:tc>
          <w:tcPr>
            <w:tcW w:w="1308" w:type="dxa"/>
            <w:vAlign w:val="center"/>
            <w:hideMark/>
          </w:tcPr>
          <w:p w14:paraId="59BABF0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17.1%</w:t>
            </w:r>
          </w:p>
        </w:tc>
        <w:tc>
          <w:tcPr>
            <w:tcW w:w="1276" w:type="dxa"/>
            <w:vAlign w:val="center"/>
            <w:hideMark/>
          </w:tcPr>
          <w:p w14:paraId="6C4072B2"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3.1%</w:t>
            </w:r>
          </w:p>
        </w:tc>
        <w:tc>
          <w:tcPr>
            <w:tcW w:w="1417" w:type="dxa"/>
            <w:vAlign w:val="center"/>
            <w:hideMark/>
          </w:tcPr>
          <w:p w14:paraId="7F7D051B"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SM</w:t>
            </w:r>
          </w:p>
        </w:tc>
        <w:tc>
          <w:tcPr>
            <w:tcW w:w="1276" w:type="dxa"/>
            <w:vAlign w:val="center"/>
            <w:hideMark/>
          </w:tcPr>
          <w:p w14:paraId="7A39D31E"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17.5%</w:t>
            </w:r>
          </w:p>
        </w:tc>
        <w:tc>
          <w:tcPr>
            <w:tcW w:w="1417" w:type="dxa"/>
            <w:vAlign w:val="center"/>
            <w:hideMark/>
          </w:tcPr>
          <w:p w14:paraId="17651EE9"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33.8%</w:t>
            </w:r>
          </w:p>
        </w:tc>
        <w:tc>
          <w:tcPr>
            <w:tcW w:w="1276" w:type="dxa"/>
            <w:vAlign w:val="center"/>
            <w:hideMark/>
          </w:tcPr>
          <w:p w14:paraId="1D5F919C"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0.0%</w:t>
            </w:r>
          </w:p>
        </w:tc>
        <w:tc>
          <w:tcPr>
            <w:tcW w:w="1276" w:type="dxa"/>
            <w:tcBorders>
              <w:top w:val="nil"/>
              <w:left w:val="nil"/>
              <w:bottom w:val="nil"/>
              <w:right w:val="single" w:sz="4" w:space="0" w:color="auto"/>
            </w:tcBorders>
            <w:vAlign w:val="center"/>
            <w:hideMark/>
          </w:tcPr>
          <w:p w14:paraId="7661D3A7"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16.3%</w:t>
            </w:r>
          </w:p>
        </w:tc>
        <w:tc>
          <w:tcPr>
            <w:tcW w:w="1417" w:type="dxa"/>
            <w:tcBorders>
              <w:top w:val="nil"/>
              <w:left w:val="single" w:sz="4" w:space="0" w:color="auto"/>
              <w:bottom w:val="nil"/>
              <w:right w:val="nil"/>
            </w:tcBorders>
            <w:vAlign w:val="center"/>
            <w:hideMark/>
          </w:tcPr>
          <w:p w14:paraId="2201A089"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64.0% (16,908)</w:t>
            </w:r>
          </w:p>
        </w:tc>
      </w:tr>
      <w:tr w:rsidR="00F021B0" w14:paraId="42F4E01D" w14:textId="77777777" w:rsidTr="00F021B0">
        <w:trPr>
          <w:trHeight w:val="57"/>
        </w:trPr>
        <w:tc>
          <w:tcPr>
            <w:tcW w:w="1806" w:type="dxa"/>
            <w:tcBorders>
              <w:top w:val="nil"/>
              <w:left w:val="nil"/>
              <w:bottom w:val="single" w:sz="4" w:space="0" w:color="auto"/>
              <w:right w:val="nil"/>
            </w:tcBorders>
            <w:vAlign w:val="center"/>
          </w:tcPr>
          <w:p w14:paraId="2DF1F34C" w14:textId="77777777" w:rsidR="00F021B0" w:rsidRDefault="00F021B0">
            <w:pPr>
              <w:pStyle w:val="NoSpacing"/>
              <w:spacing w:line="240" w:lineRule="auto"/>
              <w:jc w:val="center"/>
              <w:rPr>
                <w:rFonts w:asciiTheme="minorHAnsi" w:hAnsiTheme="minorHAnsi" w:cstheme="minorHAnsi"/>
                <w:sz w:val="8"/>
                <w:szCs w:val="8"/>
              </w:rPr>
            </w:pPr>
          </w:p>
        </w:tc>
        <w:tc>
          <w:tcPr>
            <w:tcW w:w="1308" w:type="dxa"/>
            <w:tcBorders>
              <w:top w:val="nil"/>
              <w:left w:val="nil"/>
              <w:bottom w:val="single" w:sz="4" w:space="0" w:color="auto"/>
              <w:right w:val="nil"/>
            </w:tcBorders>
            <w:vAlign w:val="center"/>
          </w:tcPr>
          <w:p w14:paraId="360F7EC1"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0B7E8B48"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10B2027B"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1815DA70"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1969C58B"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09CC2A95"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single" w:sz="4" w:space="0" w:color="auto"/>
            </w:tcBorders>
            <w:vAlign w:val="center"/>
          </w:tcPr>
          <w:p w14:paraId="788A5BBC"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single" w:sz="4" w:space="0" w:color="auto"/>
              <w:bottom w:val="single" w:sz="4" w:space="0" w:color="auto"/>
              <w:right w:val="nil"/>
            </w:tcBorders>
            <w:vAlign w:val="center"/>
          </w:tcPr>
          <w:p w14:paraId="6EEE31AE" w14:textId="77777777" w:rsidR="00F021B0" w:rsidRDefault="00F021B0">
            <w:pPr>
              <w:pStyle w:val="NoSpacing"/>
              <w:spacing w:line="240" w:lineRule="auto"/>
              <w:jc w:val="center"/>
              <w:rPr>
                <w:rFonts w:asciiTheme="minorHAnsi" w:hAnsiTheme="minorHAnsi" w:cstheme="minorHAnsi"/>
                <w:sz w:val="8"/>
                <w:szCs w:val="8"/>
              </w:rPr>
            </w:pPr>
          </w:p>
        </w:tc>
      </w:tr>
      <w:tr w:rsidR="00F021B0" w14:paraId="4B2B1CEB" w14:textId="77777777" w:rsidTr="00F021B0">
        <w:tc>
          <w:tcPr>
            <w:tcW w:w="1806" w:type="dxa"/>
            <w:tcBorders>
              <w:top w:val="single" w:sz="4" w:space="0" w:color="auto"/>
              <w:left w:val="nil"/>
              <w:bottom w:val="nil"/>
              <w:right w:val="nil"/>
            </w:tcBorders>
            <w:vAlign w:val="center"/>
            <w:hideMark/>
          </w:tcPr>
          <w:p w14:paraId="474694C6" w14:textId="77777777" w:rsidR="00F021B0" w:rsidRDefault="00F021B0">
            <w:pPr>
              <w:pStyle w:val="NoSpacing"/>
              <w:spacing w:line="240" w:lineRule="auto"/>
              <w:jc w:val="left"/>
              <w:rPr>
                <w:rFonts w:asciiTheme="minorHAnsi" w:hAnsiTheme="minorHAnsi" w:cstheme="minorHAnsi"/>
                <w:b/>
                <w:sz w:val="20"/>
                <w:szCs w:val="20"/>
              </w:rPr>
            </w:pPr>
            <w:r>
              <w:rPr>
                <w:rFonts w:asciiTheme="minorHAnsi" w:hAnsiTheme="minorHAnsi" w:cstheme="minorHAnsi"/>
                <w:b/>
                <w:sz w:val="20"/>
                <w:szCs w:val="20"/>
              </w:rPr>
              <w:t xml:space="preserve">Total available by cohort for the main </w:t>
            </w:r>
            <w:proofErr w:type="spellStart"/>
            <w:r>
              <w:rPr>
                <w:rFonts w:asciiTheme="minorHAnsi" w:hAnsiTheme="minorHAnsi" w:cstheme="minorHAnsi"/>
                <w:b/>
                <w:sz w:val="20"/>
                <w:szCs w:val="20"/>
              </w:rPr>
              <w:t>analysis</w:t>
            </w:r>
            <w:r>
              <w:rPr>
                <w:rFonts w:asciiTheme="minorHAnsi" w:hAnsiTheme="minorHAnsi" w:cstheme="minorHAnsi"/>
                <w:b/>
                <w:sz w:val="20"/>
                <w:szCs w:val="20"/>
                <w:vertAlign w:val="superscript"/>
              </w:rPr>
              <w:t>a</w:t>
            </w:r>
            <w:proofErr w:type="spellEnd"/>
            <w:r>
              <w:rPr>
                <w:rFonts w:asciiTheme="minorHAnsi" w:hAnsiTheme="minorHAnsi" w:cstheme="minorHAnsi"/>
                <w:b/>
                <w:sz w:val="20"/>
                <w:szCs w:val="20"/>
              </w:rPr>
              <w:t>, % (n)</w:t>
            </w:r>
          </w:p>
        </w:tc>
        <w:tc>
          <w:tcPr>
            <w:tcW w:w="1308" w:type="dxa"/>
            <w:tcBorders>
              <w:top w:val="single" w:sz="4" w:space="0" w:color="auto"/>
              <w:left w:val="nil"/>
              <w:bottom w:val="nil"/>
              <w:right w:val="nil"/>
            </w:tcBorders>
            <w:vAlign w:val="center"/>
            <w:hideMark/>
          </w:tcPr>
          <w:p w14:paraId="79C63A6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80.3% (9,612)</w:t>
            </w:r>
          </w:p>
        </w:tc>
        <w:tc>
          <w:tcPr>
            <w:tcW w:w="1276" w:type="dxa"/>
            <w:tcBorders>
              <w:top w:val="single" w:sz="4" w:space="0" w:color="auto"/>
              <w:left w:val="nil"/>
              <w:bottom w:val="nil"/>
              <w:right w:val="nil"/>
            </w:tcBorders>
            <w:vAlign w:val="center"/>
            <w:hideMark/>
          </w:tcPr>
          <w:p w14:paraId="44BB96C0"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87.9% (1,739)</w:t>
            </w:r>
          </w:p>
        </w:tc>
        <w:tc>
          <w:tcPr>
            <w:tcW w:w="1417" w:type="dxa"/>
            <w:tcBorders>
              <w:top w:val="single" w:sz="4" w:space="0" w:color="auto"/>
              <w:left w:val="nil"/>
              <w:bottom w:val="nil"/>
              <w:right w:val="nil"/>
            </w:tcBorders>
            <w:vAlign w:val="center"/>
            <w:hideMark/>
          </w:tcPr>
          <w:p w14:paraId="6B931E09"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86.8% (5,419)</w:t>
            </w:r>
          </w:p>
        </w:tc>
        <w:tc>
          <w:tcPr>
            <w:tcW w:w="1276" w:type="dxa"/>
            <w:tcBorders>
              <w:top w:val="single" w:sz="4" w:space="0" w:color="auto"/>
              <w:left w:val="nil"/>
              <w:bottom w:val="nil"/>
              <w:right w:val="nil"/>
            </w:tcBorders>
            <w:vAlign w:val="center"/>
            <w:hideMark/>
          </w:tcPr>
          <w:p w14:paraId="05F43AC1"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76.8% (861)</w:t>
            </w:r>
          </w:p>
        </w:tc>
        <w:tc>
          <w:tcPr>
            <w:tcW w:w="1417" w:type="dxa"/>
            <w:tcBorders>
              <w:top w:val="single" w:sz="4" w:space="0" w:color="auto"/>
              <w:left w:val="nil"/>
              <w:bottom w:val="nil"/>
              <w:right w:val="nil"/>
            </w:tcBorders>
            <w:vAlign w:val="center"/>
            <w:hideMark/>
          </w:tcPr>
          <w:p w14:paraId="057EBEC8"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83.6% (1,098)</w:t>
            </w:r>
          </w:p>
        </w:tc>
        <w:tc>
          <w:tcPr>
            <w:tcW w:w="1276" w:type="dxa"/>
            <w:tcBorders>
              <w:top w:val="single" w:sz="4" w:space="0" w:color="auto"/>
              <w:left w:val="nil"/>
              <w:bottom w:val="nil"/>
              <w:right w:val="nil"/>
            </w:tcBorders>
            <w:vAlign w:val="center"/>
            <w:hideMark/>
          </w:tcPr>
          <w:p w14:paraId="6A69A8C4"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95.6% (603)</w:t>
            </w:r>
          </w:p>
        </w:tc>
        <w:tc>
          <w:tcPr>
            <w:tcW w:w="1276" w:type="dxa"/>
            <w:tcBorders>
              <w:top w:val="single" w:sz="4" w:space="0" w:color="auto"/>
              <w:left w:val="nil"/>
              <w:bottom w:val="nil"/>
              <w:right w:val="single" w:sz="4" w:space="0" w:color="auto"/>
            </w:tcBorders>
            <w:vAlign w:val="center"/>
            <w:hideMark/>
          </w:tcPr>
          <w:p w14:paraId="727C4430"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64.4% (2,031)</w:t>
            </w:r>
          </w:p>
        </w:tc>
        <w:tc>
          <w:tcPr>
            <w:tcW w:w="1417" w:type="dxa"/>
            <w:tcBorders>
              <w:top w:val="single" w:sz="4" w:space="0" w:color="auto"/>
              <w:left w:val="single" w:sz="4" w:space="0" w:color="auto"/>
              <w:bottom w:val="nil"/>
              <w:right w:val="nil"/>
            </w:tcBorders>
            <w:vAlign w:val="center"/>
            <w:hideMark/>
          </w:tcPr>
          <w:p w14:paraId="2450CF3D" w14:textId="77777777" w:rsidR="00F021B0" w:rsidRDefault="00F021B0">
            <w:pPr>
              <w:pStyle w:val="NoSpacing"/>
              <w:spacing w:line="240" w:lineRule="auto"/>
              <w:jc w:val="center"/>
              <w:rPr>
                <w:rFonts w:asciiTheme="minorHAnsi" w:hAnsiTheme="minorHAnsi" w:cstheme="minorHAnsi"/>
                <w:sz w:val="20"/>
                <w:szCs w:val="20"/>
              </w:rPr>
            </w:pPr>
            <w:r>
              <w:rPr>
                <w:rFonts w:asciiTheme="minorHAnsi" w:hAnsiTheme="minorHAnsi" w:cstheme="minorHAnsi"/>
                <w:sz w:val="20"/>
                <w:szCs w:val="20"/>
              </w:rPr>
              <w:t>80.9% (21,363)</w:t>
            </w:r>
          </w:p>
        </w:tc>
      </w:tr>
      <w:tr w:rsidR="00F021B0" w14:paraId="0782791A" w14:textId="77777777" w:rsidTr="00F021B0">
        <w:trPr>
          <w:trHeight w:val="57"/>
        </w:trPr>
        <w:tc>
          <w:tcPr>
            <w:tcW w:w="1806" w:type="dxa"/>
            <w:tcBorders>
              <w:top w:val="nil"/>
              <w:left w:val="nil"/>
              <w:bottom w:val="single" w:sz="4" w:space="0" w:color="auto"/>
              <w:right w:val="nil"/>
            </w:tcBorders>
            <w:vAlign w:val="center"/>
          </w:tcPr>
          <w:p w14:paraId="50014155" w14:textId="77777777" w:rsidR="00F021B0" w:rsidRDefault="00F021B0">
            <w:pPr>
              <w:pStyle w:val="NoSpacing"/>
              <w:spacing w:line="240" w:lineRule="auto"/>
              <w:jc w:val="center"/>
              <w:rPr>
                <w:rFonts w:asciiTheme="minorHAnsi" w:hAnsiTheme="minorHAnsi" w:cstheme="minorHAnsi"/>
                <w:sz w:val="8"/>
                <w:szCs w:val="8"/>
              </w:rPr>
            </w:pPr>
          </w:p>
        </w:tc>
        <w:tc>
          <w:tcPr>
            <w:tcW w:w="1308" w:type="dxa"/>
            <w:tcBorders>
              <w:top w:val="nil"/>
              <w:left w:val="nil"/>
              <w:bottom w:val="single" w:sz="4" w:space="0" w:color="auto"/>
              <w:right w:val="nil"/>
            </w:tcBorders>
            <w:vAlign w:val="center"/>
          </w:tcPr>
          <w:p w14:paraId="5B342B2D"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7B693A41"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0EECD8CF"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2F464728"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nil"/>
              <w:bottom w:val="single" w:sz="4" w:space="0" w:color="auto"/>
              <w:right w:val="nil"/>
            </w:tcBorders>
            <w:vAlign w:val="center"/>
          </w:tcPr>
          <w:p w14:paraId="362487B9"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nil"/>
            </w:tcBorders>
            <w:vAlign w:val="center"/>
          </w:tcPr>
          <w:p w14:paraId="327794E8" w14:textId="77777777" w:rsidR="00F021B0" w:rsidRDefault="00F021B0">
            <w:pPr>
              <w:pStyle w:val="NoSpacing"/>
              <w:spacing w:line="240" w:lineRule="auto"/>
              <w:jc w:val="center"/>
              <w:rPr>
                <w:rFonts w:asciiTheme="minorHAnsi" w:hAnsiTheme="minorHAnsi" w:cstheme="minorHAnsi"/>
                <w:sz w:val="8"/>
                <w:szCs w:val="8"/>
              </w:rPr>
            </w:pPr>
          </w:p>
        </w:tc>
        <w:tc>
          <w:tcPr>
            <w:tcW w:w="1276" w:type="dxa"/>
            <w:tcBorders>
              <w:top w:val="nil"/>
              <w:left w:val="nil"/>
              <w:bottom w:val="single" w:sz="4" w:space="0" w:color="auto"/>
              <w:right w:val="single" w:sz="4" w:space="0" w:color="auto"/>
            </w:tcBorders>
            <w:vAlign w:val="center"/>
          </w:tcPr>
          <w:p w14:paraId="309853CF" w14:textId="77777777" w:rsidR="00F021B0" w:rsidRDefault="00F021B0">
            <w:pPr>
              <w:pStyle w:val="NoSpacing"/>
              <w:spacing w:line="240" w:lineRule="auto"/>
              <w:jc w:val="center"/>
              <w:rPr>
                <w:rFonts w:asciiTheme="minorHAnsi" w:hAnsiTheme="minorHAnsi" w:cstheme="minorHAnsi"/>
                <w:sz w:val="8"/>
                <w:szCs w:val="8"/>
              </w:rPr>
            </w:pPr>
          </w:p>
        </w:tc>
        <w:tc>
          <w:tcPr>
            <w:tcW w:w="1417" w:type="dxa"/>
            <w:tcBorders>
              <w:top w:val="nil"/>
              <w:left w:val="single" w:sz="4" w:space="0" w:color="auto"/>
              <w:bottom w:val="single" w:sz="4" w:space="0" w:color="auto"/>
              <w:right w:val="nil"/>
            </w:tcBorders>
            <w:vAlign w:val="center"/>
          </w:tcPr>
          <w:p w14:paraId="5ED409A2" w14:textId="77777777" w:rsidR="00F021B0" w:rsidRDefault="00F021B0">
            <w:pPr>
              <w:pStyle w:val="NoSpacing"/>
              <w:spacing w:line="240" w:lineRule="auto"/>
              <w:jc w:val="center"/>
              <w:rPr>
                <w:rFonts w:asciiTheme="minorHAnsi" w:hAnsiTheme="minorHAnsi" w:cstheme="minorHAnsi"/>
                <w:sz w:val="8"/>
                <w:szCs w:val="8"/>
              </w:rPr>
            </w:pPr>
          </w:p>
        </w:tc>
      </w:tr>
      <w:tr w:rsidR="00F021B0" w14:paraId="4E43A493" w14:textId="77777777" w:rsidTr="00F021B0">
        <w:tc>
          <w:tcPr>
            <w:tcW w:w="12469" w:type="dxa"/>
            <w:gridSpan w:val="9"/>
            <w:tcBorders>
              <w:top w:val="single" w:sz="4" w:space="0" w:color="auto"/>
              <w:left w:val="nil"/>
              <w:bottom w:val="nil"/>
              <w:right w:val="nil"/>
            </w:tcBorders>
            <w:vAlign w:val="center"/>
            <w:hideMark/>
          </w:tcPr>
          <w:p w14:paraId="336C877A" w14:textId="1AC08BC7" w:rsidR="00F021B0" w:rsidRDefault="00F021B0">
            <w:pPr>
              <w:pStyle w:val="NoSpacing"/>
              <w:spacing w:line="240" w:lineRule="auto"/>
              <w:rPr>
                <w:sz w:val="16"/>
                <w:szCs w:val="16"/>
              </w:rPr>
            </w:pPr>
            <w:r>
              <w:rPr>
                <w:sz w:val="16"/>
                <w:szCs w:val="16"/>
              </w:rPr>
              <w:t xml:space="preserve">SM, </w:t>
            </w:r>
            <w:r w:rsidR="00C829B3">
              <w:rPr>
                <w:sz w:val="16"/>
                <w:szCs w:val="16"/>
              </w:rPr>
              <w:t>S</w:t>
            </w:r>
            <w:r>
              <w:rPr>
                <w:sz w:val="16"/>
                <w:szCs w:val="16"/>
              </w:rPr>
              <w:t xml:space="preserve">ystematically </w:t>
            </w:r>
            <w:r w:rsidR="00C829B3">
              <w:rPr>
                <w:sz w:val="16"/>
                <w:szCs w:val="16"/>
              </w:rPr>
              <w:t>M</w:t>
            </w:r>
            <w:r>
              <w:rPr>
                <w:sz w:val="16"/>
                <w:szCs w:val="16"/>
              </w:rPr>
              <w:t xml:space="preserve">issing. BMI, </w:t>
            </w:r>
            <w:r w:rsidR="00C829B3">
              <w:rPr>
                <w:sz w:val="16"/>
                <w:szCs w:val="16"/>
              </w:rPr>
              <w:t>B</w:t>
            </w:r>
            <w:r>
              <w:rPr>
                <w:sz w:val="16"/>
                <w:szCs w:val="16"/>
              </w:rPr>
              <w:t xml:space="preserve">ody </w:t>
            </w:r>
            <w:r w:rsidR="00C829B3">
              <w:rPr>
                <w:sz w:val="16"/>
                <w:szCs w:val="16"/>
              </w:rPr>
              <w:t>M</w:t>
            </w:r>
            <w:r>
              <w:rPr>
                <w:sz w:val="16"/>
                <w:szCs w:val="16"/>
              </w:rPr>
              <w:t xml:space="preserve">ass </w:t>
            </w:r>
            <w:r w:rsidR="00C829B3">
              <w:rPr>
                <w:sz w:val="16"/>
                <w:szCs w:val="16"/>
              </w:rPr>
              <w:t>I</w:t>
            </w:r>
            <w:r>
              <w:rPr>
                <w:sz w:val="16"/>
                <w:szCs w:val="16"/>
              </w:rPr>
              <w:t xml:space="preserve">ndex. </w:t>
            </w:r>
            <w:r>
              <w:rPr>
                <w:rFonts w:eastAsia="Times New Roman"/>
                <w:sz w:val="16"/>
                <w:szCs w:val="16"/>
                <w:lang w:eastAsia="en-GB"/>
              </w:rPr>
              <w:t xml:space="preserve">Values are </w:t>
            </w:r>
            <w:r>
              <w:rPr>
                <w:rFonts w:eastAsia="Times New Roman" w:cstheme="minorHAnsi"/>
                <w:b/>
                <w:sz w:val="16"/>
                <w:szCs w:val="16"/>
              </w:rPr>
              <w:t>%</w:t>
            </w:r>
            <w:r>
              <w:rPr>
                <w:rFonts w:cstheme="minorHAnsi"/>
                <w:sz w:val="16"/>
                <w:szCs w:val="16"/>
              </w:rPr>
              <w:t xml:space="preserve"> rounded to one decimal and frequencies (n).</w:t>
            </w:r>
          </w:p>
          <w:p w14:paraId="65963387" w14:textId="3B5080ED" w:rsidR="00F021B0" w:rsidRDefault="00F021B0">
            <w:pPr>
              <w:pStyle w:val="NoSpacing"/>
              <w:spacing w:line="240" w:lineRule="auto"/>
              <w:rPr>
                <w:rFonts w:asciiTheme="minorHAnsi" w:hAnsiTheme="minorHAnsi" w:cstheme="minorHAnsi"/>
                <w:sz w:val="16"/>
                <w:szCs w:val="16"/>
              </w:rPr>
            </w:pPr>
            <w:proofErr w:type="spellStart"/>
            <w:r>
              <w:rPr>
                <w:sz w:val="16"/>
                <w:szCs w:val="16"/>
                <w:vertAlign w:val="superscript"/>
              </w:rPr>
              <w:t>a</w:t>
            </w:r>
            <w:r>
              <w:rPr>
                <w:sz w:val="16"/>
                <w:szCs w:val="16"/>
              </w:rPr>
              <w:t>Main</w:t>
            </w:r>
            <w:proofErr w:type="spellEnd"/>
            <w:r>
              <w:rPr>
                <w:sz w:val="16"/>
                <w:szCs w:val="16"/>
              </w:rPr>
              <w:t xml:space="preserve"> analysis including the seven factors available in all cohorts: age, educational level, parity, birthplace/ethnicity, pre-pregnancy body mass index (BMI), smoking status during pregnancy, and alcohol consumption during pregnancy</w:t>
            </w:r>
            <w:r w:rsidR="00A427F1">
              <w:rPr>
                <w:rFonts w:eastAsia="Times New Roman"/>
                <w:color w:val="000000"/>
                <w:sz w:val="16"/>
                <w:szCs w:val="16"/>
                <w:lang w:eastAsia="en-GB"/>
              </w:rPr>
              <w:t>, and energy intake (for DASH analysis only).</w:t>
            </w:r>
          </w:p>
        </w:tc>
      </w:tr>
    </w:tbl>
    <w:p w14:paraId="140D6FC6" w14:textId="77777777" w:rsidR="00F021B0" w:rsidRPr="00496BDB" w:rsidRDefault="00F021B0" w:rsidP="00496BDB">
      <w:pPr>
        <w:spacing w:after="200" w:line="276" w:lineRule="auto"/>
        <w:jc w:val="left"/>
        <w:rPr>
          <w:color w:val="FF0000"/>
          <w:sz w:val="24"/>
          <w:szCs w:val="24"/>
          <w:lang w:val="en-GB"/>
        </w:rPr>
      </w:pPr>
      <w:r>
        <w:rPr>
          <w:color w:val="FF0000"/>
        </w:rPr>
        <w:br w:type="page"/>
      </w:r>
    </w:p>
    <w:tbl>
      <w:tblPr>
        <w:tblpPr w:leftFromText="180" w:rightFromText="180" w:bottomFromText="200" w:vertAnchor="page" w:horzAnchor="margin" w:tblpY="966"/>
        <w:tblW w:w="12328" w:type="dxa"/>
        <w:tblCellMar>
          <w:left w:w="28" w:type="dxa"/>
          <w:right w:w="28" w:type="dxa"/>
        </w:tblCellMar>
        <w:tblLook w:val="04A0" w:firstRow="1" w:lastRow="0" w:firstColumn="1" w:lastColumn="0" w:noHBand="0" w:noVBand="1"/>
      </w:tblPr>
      <w:tblGrid>
        <w:gridCol w:w="1276"/>
        <w:gridCol w:w="1013"/>
        <w:gridCol w:w="463"/>
        <w:gridCol w:w="504"/>
        <w:gridCol w:w="1134"/>
        <w:gridCol w:w="709"/>
        <w:gridCol w:w="567"/>
        <w:gridCol w:w="1134"/>
        <w:gridCol w:w="708"/>
        <w:gridCol w:w="567"/>
        <w:gridCol w:w="1134"/>
        <w:gridCol w:w="709"/>
        <w:gridCol w:w="567"/>
        <w:gridCol w:w="1134"/>
        <w:gridCol w:w="709"/>
      </w:tblGrid>
      <w:tr w:rsidR="00496BDB" w14:paraId="41222E89" w14:textId="77777777" w:rsidTr="00C54395">
        <w:trPr>
          <w:trHeight w:val="142"/>
        </w:trPr>
        <w:tc>
          <w:tcPr>
            <w:tcW w:w="12328" w:type="dxa"/>
            <w:gridSpan w:val="15"/>
            <w:tcBorders>
              <w:bottom w:val="single" w:sz="4" w:space="0" w:color="auto"/>
            </w:tcBorders>
            <w:noWrap/>
            <w:vAlign w:val="center"/>
          </w:tcPr>
          <w:p w14:paraId="6285C6A2" w14:textId="30724B9C" w:rsidR="00496BDB" w:rsidRPr="00C54395" w:rsidRDefault="00556DE1" w:rsidP="00C54395">
            <w:pPr>
              <w:pStyle w:val="NoSpacing"/>
              <w:spacing w:line="240" w:lineRule="auto"/>
              <w:rPr>
                <w:sz w:val="20"/>
                <w:szCs w:val="20"/>
                <w:lang w:val="en-CA"/>
              </w:rPr>
            </w:pPr>
            <w:r>
              <w:rPr>
                <w:rFonts w:eastAsia="Times New Roman"/>
                <w:b/>
                <w:color w:val="0070C0"/>
                <w:sz w:val="20"/>
                <w:szCs w:val="20"/>
                <w:lang w:eastAsia="en-GB"/>
              </w:rPr>
              <w:lastRenderedPageBreak/>
              <w:t>Supplemental table S</w:t>
            </w:r>
            <w:proofErr w:type="gramStart"/>
            <w:r>
              <w:rPr>
                <w:rFonts w:eastAsia="Times New Roman"/>
                <w:b/>
                <w:color w:val="0070C0"/>
                <w:sz w:val="20"/>
                <w:szCs w:val="20"/>
                <w:lang w:eastAsia="en-GB"/>
              </w:rPr>
              <w:t>3</w:t>
            </w:r>
            <w:r w:rsidR="00496BDB" w:rsidRPr="00C54395">
              <w:rPr>
                <w:rFonts w:eastAsia="Times New Roman"/>
                <w:b/>
                <w:color w:val="0070C0"/>
                <w:sz w:val="20"/>
                <w:szCs w:val="20"/>
                <w:lang w:eastAsia="en-GB"/>
              </w:rPr>
              <w:t>.</w:t>
            </w:r>
            <w:r w:rsidR="00496BDB" w:rsidRPr="00C54395">
              <w:rPr>
                <w:sz w:val="20"/>
                <w:szCs w:val="20"/>
              </w:rPr>
              <w:t>Comparison</w:t>
            </w:r>
            <w:proofErr w:type="gramEnd"/>
            <w:r w:rsidR="00496BDB" w:rsidRPr="00C54395">
              <w:rPr>
                <w:sz w:val="20"/>
                <w:szCs w:val="20"/>
              </w:rPr>
              <w:t xml:space="preserve"> of the results between the main analysis (MA) adjusted </w:t>
            </w:r>
            <w:r w:rsidR="006C324E">
              <w:rPr>
                <w:sz w:val="20"/>
                <w:szCs w:val="20"/>
              </w:rPr>
              <w:t>for</w:t>
            </w:r>
            <w:r w:rsidR="006C324E" w:rsidRPr="00C54395">
              <w:rPr>
                <w:sz w:val="20"/>
                <w:szCs w:val="20"/>
              </w:rPr>
              <w:t xml:space="preserve"> </w:t>
            </w:r>
            <w:r w:rsidR="00496BDB" w:rsidRPr="00C54395">
              <w:rPr>
                <w:sz w:val="20"/>
                <w:szCs w:val="20"/>
              </w:rPr>
              <w:t xml:space="preserve">the seven </w:t>
            </w:r>
            <w:r w:rsidR="000F47D2">
              <w:rPr>
                <w:sz w:val="20"/>
                <w:szCs w:val="20"/>
              </w:rPr>
              <w:t>predictors</w:t>
            </w:r>
            <w:r w:rsidR="00496BDB" w:rsidRPr="00C54395">
              <w:rPr>
                <w:sz w:val="20"/>
                <w:szCs w:val="20"/>
              </w:rPr>
              <w:t xml:space="preserve">, and the sensitivity analysis (SA) adjusted </w:t>
            </w:r>
            <w:r w:rsidR="006C324E">
              <w:rPr>
                <w:sz w:val="20"/>
                <w:szCs w:val="20"/>
              </w:rPr>
              <w:t>for</w:t>
            </w:r>
            <w:r w:rsidR="006C324E" w:rsidRPr="00C54395">
              <w:rPr>
                <w:sz w:val="20"/>
                <w:szCs w:val="20"/>
              </w:rPr>
              <w:t xml:space="preserve"> </w:t>
            </w:r>
            <w:r w:rsidR="00496BDB" w:rsidRPr="00C54395">
              <w:rPr>
                <w:sz w:val="20"/>
                <w:szCs w:val="20"/>
              </w:rPr>
              <w:t xml:space="preserve">the nine </w:t>
            </w:r>
            <w:r w:rsidR="000F47D2">
              <w:rPr>
                <w:sz w:val="20"/>
                <w:szCs w:val="20"/>
              </w:rPr>
              <w:t>predictors</w:t>
            </w:r>
            <w:r w:rsidR="00496BDB" w:rsidRPr="00C54395">
              <w:rPr>
                <w:sz w:val="20"/>
                <w:szCs w:val="20"/>
              </w:rPr>
              <w:t xml:space="preserve"> available for three cohorts – </w:t>
            </w:r>
            <w:r w:rsidR="00811D7E">
              <w:rPr>
                <w:sz w:val="20"/>
                <w:szCs w:val="20"/>
              </w:rPr>
              <w:t>a</w:t>
            </w:r>
            <w:r w:rsidR="00DD6A42">
              <w:rPr>
                <w:sz w:val="20"/>
                <w:szCs w:val="20"/>
              </w:rPr>
              <w:t xml:space="preserve">ssociations between predictors and </w:t>
            </w:r>
            <w:r w:rsidR="00496BDB" w:rsidRPr="00C54395">
              <w:rPr>
                <w:sz w:val="20"/>
                <w:szCs w:val="20"/>
              </w:rPr>
              <w:t>DASH score during pregnancy.</w:t>
            </w:r>
          </w:p>
        </w:tc>
      </w:tr>
      <w:tr w:rsidR="00F021B0" w14:paraId="1D9DD9D2" w14:textId="77777777" w:rsidTr="00B4630E">
        <w:trPr>
          <w:trHeight w:val="238"/>
        </w:trPr>
        <w:tc>
          <w:tcPr>
            <w:tcW w:w="1276" w:type="dxa"/>
            <w:tcBorders>
              <w:top w:val="single" w:sz="4" w:space="0" w:color="auto"/>
            </w:tcBorders>
            <w:noWrap/>
            <w:vAlign w:val="center"/>
            <w:hideMark/>
          </w:tcPr>
          <w:p w14:paraId="57601702" w14:textId="77777777" w:rsidR="00F021B0" w:rsidRDefault="00F021B0" w:rsidP="00C54395"/>
        </w:tc>
        <w:tc>
          <w:tcPr>
            <w:tcW w:w="1013" w:type="dxa"/>
            <w:tcBorders>
              <w:top w:val="single" w:sz="4" w:space="0" w:color="auto"/>
            </w:tcBorders>
            <w:noWrap/>
            <w:vAlign w:val="center"/>
            <w:hideMark/>
          </w:tcPr>
          <w:p w14:paraId="1C5F8E61" w14:textId="77777777" w:rsidR="00F021B0" w:rsidRDefault="00F021B0" w:rsidP="00C54395">
            <w:pPr>
              <w:spacing w:line="276" w:lineRule="auto"/>
              <w:jc w:val="left"/>
              <w:rPr>
                <w:rFonts w:asciiTheme="minorHAnsi" w:hAnsiTheme="minorHAnsi" w:cstheme="minorBidi"/>
                <w:sz w:val="20"/>
                <w:szCs w:val="20"/>
                <w:lang w:val="en-GB" w:eastAsia="en-GB"/>
              </w:rPr>
            </w:pPr>
          </w:p>
        </w:tc>
        <w:tc>
          <w:tcPr>
            <w:tcW w:w="463" w:type="dxa"/>
            <w:tcBorders>
              <w:top w:val="single" w:sz="4" w:space="0" w:color="auto"/>
              <w:left w:val="nil"/>
              <w:bottom w:val="nil"/>
              <w:right w:val="single" w:sz="4" w:space="0" w:color="auto"/>
            </w:tcBorders>
            <w:noWrap/>
            <w:vAlign w:val="center"/>
            <w:hideMark/>
          </w:tcPr>
          <w:p w14:paraId="18E5F33C" w14:textId="77777777" w:rsidR="00F021B0" w:rsidRDefault="00F021B0" w:rsidP="00C54395">
            <w:pPr>
              <w:spacing w:line="276" w:lineRule="auto"/>
              <w:jc w:val="left"/>
              <w:rPr>
                <w:rFonts w:asciiTheme="minorHAnsi" w:hAnsiTheme="minorHAnsi" w:cstheme="minorBidi"/>
                <w:sz w:val="20"/>
                <w:szCs w:val="20"/>
                <w:lang w:val="en-GB" w:eastAsia="en-GB"/>
              </w:rPr>
            </w:pPr>
          </w:p>
        </w:tc>
        <w:tc>
          <w:tcPr>
            <w:tcW w:w="2347" w:type="dxa"/>
            <w:gridSpan w:val="3"/>
            <w:tcBorders>
              <w:top w:val="single" w:sz="4" w:space="0" w:color="auto"/>
              <w:left w:val="single" w:sz="4" w:space="0" w:color="auto"/>
              <w:bottom w:val="nil"/>
              <w:right w:val="single" w:sz="4" w:space="0" w:color="auto"/>
            </w:tcBorders>
            <w:noWrap/>
            <w:vAlign w:val="center"/>
            <w:hideMark/>
          </w:tcPr>
          <w:p w14:paraId="48B11006" w14:textId="77777777" w:rsidR="00F021B0" w:rsidRDefault="00F021B0" w:rsidP="00C54395">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ALSPAC</w:t>
            </w:r>
          </w:p>
        </w:tc>
        <w:tc>
          <w:tcPr>
            <w:tcW w:w="2409" w:type="dxa"/>
            <w:gridSpan w:val="3"/>
            <w:tcBorders>
              <w:top w:val="single" w:sz="4" w:space="0" w:color="auto"/>
              <w:left w:val="single" w:sz="4" w:space="0" w:color="auto"/>
              <w:bottom w:val="nil"/>
              <w:right w:val="single" w:sz="4" w:space="0" w:color="auto"/>
            </w:tcBorders>
            <w:noWrap/>
            <w:vAlign w:val="center"/>
            <w:hideMark/>
          </w:tcPr>
          <w:p w14:paraId="4BC09E1B" w14:textId="77777777" w:rsidR="00F021B0" w:rsidRDefault="00F021B0" w:rsidP="00C54395">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EDEN</w:t>
            </w:r>
          </w:p>
        </w:tc>
        <w:tc>
          <w:tcPr>
            <w:tcW w:w="2410" w:type="dxa"/>
            <w:gridSpan w:val="3"/>
            <w:tcBorders>
              <w:top w:val="single" w:sz="4" w:space="0" w:color="auto"/>
              <w:left w:val="single" w:sz="4" w:space="0" w:color="auto"/>
              <w:bottom w:val="nil"/>
              <w:right w:val="single" w:sz="4" w:space="0" w:color="auto"/>
            </w:tcBorders>
            <w:noWrap/>
            <w:vAlign w:val="center"/>
            <w:hideMark/>
          </w:tcPr>
          <w:p w14:paraId="377E492D" w14:textId="77777777" w:rsidR="00F021B0" w:rsidRDefault="00F021B0" w:rsidP="00C54395">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Lifeways</w:t>
            </w:r>
          </w:p>
        </w:tc>
        <w:tc>
          <w:tcPr>
            <w:tcW w:w="2410" w:type="dxa"/>
            <w:gridSpan w:val="3"/>
            <w:tcBorders>
              <w:top w:val="single" w:sz="4" w:space="0" w:color="auto"/>
              <w:left w:val="single" w:sz="4" w:space="0" w:color="auto"/>
              <w:bottom w:val="nil"/>
              <w:right w:val="nil"/>
            </w:tcBorders>
            <w:noWrap/>
            <w:vAlign w:val="center"/>
            <w:hideMark/>
          </w:tcPr>
          <w:p w14:paraId="02CA1540" w14:textId="77777777" w:rsidR="00F021B0" w:rsidRDefault="00F021B0" w:rsidP="00C54395">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Pooled</w:t>
            </w:r>
          </w:p>
        </w:tc>
      </w:tr>
      <w:tr w:rsidR="00F021B0" w14:paraId="7851C9EC" w14:textId="77777777" w:rsidTr="00C54395">
        <w:trPr>
          <w:trHeight w:val="215"/>
        </w:trPr>
        <w:tc>
          <w:tcPr>
            <w:tcW w:w="1276" w:type="dxa"/>
            <w:tcBorders>
              <w:top w:val="nil"/>
              <w:left w:val="nil"/>
              <w:bottom w:val="single" w:sz="4" w:space="0" w:color="auto"/>
              <w:right w:val="nil"/>
            </w:tcBorders>
            <w:noWrap/>
            <w:vAlign w:val="center"/>
            <w:hideMark/>
          </w:tcPr>
          <w:p w14:paraId="4BBA0F27" w14:textId="77777777" w:rsidR="00F021B0" w:rsidRDefault="00F021B0" w:rsidP="00C54395">
            <w:pPr>
              <w:rPr>
                <w:rFonts w:ascii="Calibri" w:eastAsia="Times New Roman" w:hAnsi="Calibri" w:cs="Calibri"/>
                <w:b/>
                <w:color w:val="000000"/>
                <w:sz w:val="20"/>
                <w:szCs w:val="20"/>
                <w:lang w:val="en-GB" w:eastAsia="en-GB"/>
              </w:rPr>
            </w:pPr>
          </w:p>
        </w:tc>
        <w:tc>
          <w:tcPr>
            <w:tcW w:w="1013" w:type="dxa"/>
            <w:tcBorders>
              <w:top w:val="nil"/>
              <w:left w:val="nil"/>
              <w:bottom w:val="single" w:sz="4" w:space="0" w:color="auto"/>
              <w:right w:val="nil"/>
            </w:tcBorders>
            <w:noWrap/>
            <w:vAlign w:val="center"/>
            <w:hideMark/>
          </w:tcPr>
          <w:p w14:paraId="3BE42F0C" w14:textId="77777777" w:rsidR="00F021B0" w:rsidRDefault="00F021B0" w:rsidP="00C54395">
            <w:pPr>
              <w:spacing w:line="276" w:lineRule="auto"/>
              <w:jc w:val="left"/>
              <w:rPr>
                <w:rFonts w:asciiTheme="minorHAnsi" w:hAnsiTheme="minorHAnsi" w:cstheme="minorBidi"/>
                <w:sz w:val="20"/>
                <w:szCs w:val="20"/>
                <w:lang w:val="en-GB" w:eastAsia="en-GB"/>
              </w:rPr>
            </w:pPr>
          </w:p>
        </w:tc>
        <w:tc>
          <w:tcPr>
            <w:tcW w:w="463" w:type="dxa"/>
            <w:tcBorders>
              <w:top w:val="nil"/>
              <w:left w:val="nil"/>
              <w:bottom w:val="single" w:sz="4" w:space="0" w:color="auto"/>
              <w:right w:val="single" w:sz="4" w:space="0" w:color="auto"/>
            </w:tcBorders>
            <w:noWrap/>
            <w:vAlign w:val="center"/>
            <w:hideMark/>
          </w:tcPr>
          <w:p w14:paraId="3BEDBE12" w14:textId="77777777" w:rsidR="00F021B0" w:rsidRDefault="00F021B0" w:rsidP="00C54395">
            <w:pPr>
              <w:spacing w:line="276" w:lineRule="auto"/>
              <w:jc w:val="left"/>
              <w:rPr>
                <w:rFonts w:asciiTheme="minorHAnsi" w:hAnsiTheme="minorHAnsi" w:cstheme="minorBidi"/>
                <w:sz w:val="20"/>
                <w:szCs w:val="20"/>
                <w:lang w:val="en-GB" w:eastAsia="en-GB"/>
              </w:rPr>
            </w:pPr>
          </w:p>
        </w:tc>
        <w:tc>
          <w:tcPr>
            <w:tcW w:w="504" w:type="dxa"/>
            <w:tcBorders>
              <w:top w:val="nil"/>
              <w:left w:val="single" w:sz="4" w:space="0" w:color="auto"/>
              <w:bottom w:val="single" w:sz="4" w:space="0" w:color="auto"/>
              <w:right w:val="nil"/>
            </w:tcBorders>
            <w:noWrap/>
            <w:vAlign w:val="center"/>
            <w:hideMark/>
          </w:tcPr>
          <w:p w14:paraId="2AA182CB"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11237FD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single" w:sz="4" w:space="0" w:color="auto"/>
            </w:tcBorders>
            <w:noWrap/>
            <w:vAlign w:val="center"/>
            <w:hideMark/>
          </w:tcPr>
          <w:p w14:paraId="19EB0EC7" w14:textId="77777777" w:rsidR="00F021B0" w:rsidRDefault="00F021B0" w:rsidP="00C54395">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69A2B55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2212DA24"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8" w:type="dxa"/>
            <w:tcBorders>
              <w:top w:val="nil"/>
              <w:left w:val="nil"/>
              <w:bottom w:val="single" w:sz="4" w:space="0" w:color="auto"/>
              <w:right w:val="single" w:sz="4" w:space="0" w:color="auto"/>
            </w:tcBorders>
            <w:noWrap/>
            <w:vAlign w:val="center"/>
            <w:hideMark/>
          </w:tcPr>
          <w:p w14:paraId="48475844" w14:textId="77777777" w:rsidR="00F021B0" w:rsidRDefault="00F021B0" w:rsidP="00C54395">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74120397"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72209E5B"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single" w:sz="4" w:space="0" w:color="auto"/>
            </w:tcBorders>
            <w:noWrap/>
            <w:vAlign w:val="center"/>
            <w:hideMark/>
          </w:tcPr>
          <w:p w14:paraId="6867F57A" w14:textId="77777777" w:rsidR="00F021B0" w:rsidRDefault="00F021B0" w:rsidP="00C54395">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7741433A"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1DBCF638"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nil"/>
            </w:tcBorders>
            <w:noWrap/>
            <w:vAlign w:val="center"/>
            <w:hideMark/>
          </w:tcPr>
          <w:p w14:paraId="753E766A"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w:t>
            </w:r>
            <w:r>
              <w:rPr>
                <w:rFonts w:ascii="Calibri" w:eastAsia="Times New Roman" w:hAnsi="Calibri" w:cs="Calibri"/>
                <w:color w:val="000000"/>
                <w:sz w:val="18"/>
                <w:szCs w:val="18"/>
                <w:vertAlign w:val="superscript"/>
                <w:lang w:val="en-GB" w:eastAsia="en-GB"/>
              </w:rPr>
              <w:t>2</w:t>
            </w:r>
            <w:r>
              <w:rPr>
                <w:rFonts w:ascii="Calibri" w:eastAsia="Times New Roman" w:hAnsi="Calibri" w:cs="Calibri"/>
                <w:color w:val="000000"/>
                <w:sz w:val="18"/>
                <w:szCs w:val="18"/>
                <w:lang w:val="en-GB" w:eastAsia="en-GB"/>
              </w:rPr>
              <w:t>(%)</w:t>
            </w:r>
          </w:p>
        </w:tc>
      </w:tr>
      <w:tr w:rsidR="00F021B0" w14:paraId="7AEFDA23" w14:textId="77777777" w:rsidTr="00C54395">
        <w:trPr>
          <w:trHeight w:val="20"/>
        </w:trPr>
        <w:tc>
          <w:tcPr>
            <w:tcW w:w="12328" w:type="dxa"/>
            <w:gridSpan w:val="15"/>
            <w:tcBorders>
              <w:top w:val="single" w:sz="4" w:space="0" w:color="auto"/>
              <w:left w:val="nil"/>
              <w:bottom w:val="single" w:sz="4" w:space="0" w:color="auto"/>
              <w:right w:val="nil"/>
            </w:tcBorders>
            <w:shd w:val="clear" w:color="auto" w:fill="D9D9D9" w:themeFill="background1" w:themeFillShade="D9"/>
            <w:noWrap/>
            <w:vAlign w:val="center"/>
            <w:hideMark/>
          </w:tcPr>
          <w:p w14:paraId="74BC6807" w14:textId="4C42C60A" w:rsidR="00C54395" w:rsidRDefault="00F021B0" w:rsidP="00C54395">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 xml:space="preserve">Maternal sociodemographic </w:t>
            </w:r>
            <w:r w:rsidR="00F37692">
              <w:rPr>
                <w:rFonts w:ascii="Calibri" w:eastAsia="Times New Roman" w:hAnsi="Calibri" w:cs="Calibri"/>
                <w:b/>
                <w:color w:val="000000"/>
                <w:sz w:val="20"/>
                <w:szCs w:val="20"/>
                <w:lang w:val="en-GB" w:eastAsia="en-GB"/>
              </w:rPr>
              <w:t>predic</w:t>
            </w:r>
            <w:r>
              <w:rPr>
                <w:rFonts w:ascii="Calibri" w:eastAsia="Times New Roman" w:hAnsi="Calibri" w:cs="Calibri"/>
                <w:b/>
                <w:color w:val="000000"/>
                <w:sz w:val="20"/>
                <w:szCs w:val="20"/>
                <w:lang w:val="en-GB" w:eastAsia="en-GB"/>
              </w:rPr>
              <w:t>tors</w:t>
            </w:r>
          </w:p>
        </w:tc>
      </w:tr>
      <w:tr w:rsidR="00F021B0" w14:paraId="5E27D1F6" w14:textId="77777777" w:rsidTr="00C54395">
        <w:trPr>
          <w:trHeight w:val="215"/>
        </w:trPr>
        <w:tc>
          <w:tcPr>
            <w:tcW w:w="1276" w:type="dxa"/>
            <w:tcBorders>
              <w:top w:val="single" w:sz="4" w:space="0" w:color="auto"/>
              <w:left w:val="nil"/>
              <w:bottom w:val="nil"/>
              <w:right w:val="nil"/>
            </w:tcBorders>
            <w:noWrap/>
            <w:vAlign w:val="center"/>
            <w:hideMark/>
          </w:tcPr>
          <w:p w14:paraId="5E906BD2"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Age</w:t>
            </w:r>
            <w:r>
              <w:rPr>
                <w:rFonts w:ascii="Calibri" w:eastAsia="Times New Roman" w:hAnsi="Calibri" w:cs="Calibri"/>
                <w:color w:val="000000"/>
                <w:sz w:val="18"/>
                <w:szCs w:val="18"/>
                <w:lang w:val="en-GB" w:eastAsia="en-GB"/>
              </w:rPr>
              <w:t xml:space="preserve"> (Years)</w:t>
            </w:r>
          </w:p>
        </w:tc>
        <w:tc>
          <w:tcPr>
            <w:tcW w:w="1013" w:type="dxa"/>
            <w:tcBorders>
              <w:top w:val="single" w:sz="4" w:space="0" w:color="auto"/>
              <w:left w:val="nil"/>
              <w:bottom w:val="nil"/>
              <w:right w:val="nil"/>
            </w:tcBorders>
            <w:noWrap/>
            <w:vAlign w:val="center"/>
            <w:hideMark/>
          </w:tcPr>
          <w:p w14:paraId="658541E9" w14:textId="77777777" w:rsidR="00F021B0" w:rsidRDefault="00F021B0" w:rsidP="00C54395">
            <w:pPr>
              <w:rPr>
                <w:rFonts w:ascii="Calibri" w:eastAsia="Times New Roman" w:hAnsi="Calibri" w:cs="Calibri"/>
                <w:color w:val="000000"/>
                <w:sz w:val="18"/>
                <w:szCs w:val="18"/>
                <w:lang w:val="en-GB" w:eastAsia="en-GB"/>
              </w:rPr>
            </w:pPr>
          </w:p>
        </w:tc>
        <w:tc>
          <w:tcPr>
            <w:tcW w:w="463" w:type="dxa"/>
            <w:tcBorders>
              <w:top w:val="single" w:sz="4" w:space="0" w:color="auto"/>
              <w:left w:val="nil"/>
              <w:bottom w:val="nil"/>
              <w:right w:val="single" w:sz="4" w:space="0" w:color="auto"/>
            </w:tcBorders>
            <w:noWrap/>
            <w:vAlign w:val="center"/>
            <w:hideMark/>
          </w:tcPr>
          <w:p w14:paraId="443E73B1"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single" w:sz="4" w:space="0" w:color="auto"/>
              <w:left w:val="single" w:sz="4" w:space="0" w:color="auto"/>
              <w:bottom w:val="nil"/>
              <w:right w:val="nil"/>
            </w:tcBorders>
            <w:noWrap/>
            <w:vAlign w:val="center"/>
            <w:hideMark/>
          </w:tcPr>
          <w:p w14:paraId="2AE9244B"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tcBorders>
              <w:top w:val="single" w:sz="4" w:space="0" w:color="auto"/>
              <w:left w:val="nil"/>
              <w:bottom w:val="nil"/>
              <w:right w:val="nil"/>
            </w:tcBorders>
            <w:noWrap/>
            <w:vAlign w:val="center"/>
            <w:hideMark/>
          </w:tcPr>
          <w:p w14:paraId="4D2226AA"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(0.13, 0.16)</w:t>
            </w:r>
          </w:p>
        </w:tc>
        <w:tc>
          <w:tcPr>
            <w:tcW w:w="709" w:type="dxa"/>
            <w:tcBorders>
              <w:top w:val="single" w:sz="4" w:space="0" w:color="auto"/>
              <w:left w:val="nil"/>
              <w:bottom w:val="nil"/>
              <w:right w:val="single" w:sz="4" w:space="0" w:color="auto"/>
            </w:tcBorders>
            <w:noWrap/>
            <w:vAlign w:val="center"/>
            <w:hideMark/>
          </w:tcPr>
          <w:p w14:paraId="3232244C"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22.4%</w:t>
            </w:r>
          </w:p>
        </w:tc>
        <w:tc>
          <w:tcPr>
            <w:tcW w:w="567" w:type="dxa"/>
            <w:tcBorders>
              <w:top w:val="single" w:sz="4" w:space="0" w:color="auto"/>
              <w:left w:val="single" w:sz="4" w:space="0" w:color="auto"/>
              <w:bottom w:val="nil"/>
              <w:right w:val="nil"/>
            </w:tcBorders>
            <w:noWrap/>
            <w:vAlign w:val="center"/>
            <w:hideMark/>
          </w:tcPr>
          <w:p w14:paraId="48A73799"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tcBorders>
              <w:top w:val="single" w:sz="4" w:space="0" w:color="auto"/>
              <w:left w:val="nil"/>
              <w:bottom w:val="nil"/>
              <w:right w:val="nil"/>
            </w:tcBorders>
            <w:noWrap/>
            <w:vAlign w:val="center"/>
            <w:hideMark/>
          </w:tcPr>
          <w:p w14:paraId="520CC711"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(0.13, 0.22)</w:t>
            </w:r>
          </w:p>
        </w:tc>
        <w:tc>
          <w:tcPr>
            <w:tcW w:w="708" w:type="dxa"/>
            <w:tcBorders>
              <w:top w:val="single" w:sz="4" w:space="0" w:color="auto"/>
              <w:left w:val="nil"/>
              <w:bottom w:val="nil"/>
              <w:right w:val="single" w:sz="4" w:space="0" w:color="auto"/>
            </w:tcBorders>
            <w:noWrap/>
            <w:vAlign w:val="center"/>
            <w:hideMark/>
          </w:tcPr>
          <w:p w14:paraId="4F3DB2E3"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14.7%</w:t>
            </w:r>
          </w:p>
        </w:tc>
        <w:tc>
          <w:tcPr>
            <w:tcW w:w="567" w:type="dxa"/>
            <w:tcBorders>
              <w:top w:val="single" w:sz="4" w:space="0" w:color="auto"/>
              <w:left w:val="single" w:sz="4" w:space="0" w:color="auto"/>
              <w:bottom w:val="nil"/>
              <w:right w:val="nil"/>
            </w:tcBorders>
            <w:noWrap/>
            <w:vAlign w:val="center"/>
            <w:hideMark/>
          </w:tcPr>
          <w:p w14:paraId="0D0494E5"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tcBorders>
              <w:top w:val="single" w:sz="4" w:space="0" w:color="auto"/>
              <w:left w:val="nil"/>
              <w:bottom w:val="nil"/>
              <w:right w:val="nil"/>
            </w:tcBorders>
            <w:noWrap/>
            <w:vAlign w:val="center"/>
            <w:hideMark/>
          </w:tcPr>
          <w:p w14:paraId="03D0D449"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(0.12, 0.23)</w:t>
            </w:r>
          </w:p>
        </w:tc>
        <w:tc>
          <w:tcPr>
            <w:tcW w:w="709" w:type="dxa"/>
            <w:tcBorders>
              <w:top w:val="single" w:sz="4" w:space="0" w:color="auto"/>
              <w:left w:val="nil"/>
              <w:bottom w:val="nil"/>
              <w:right w:val="single" w:sz="4" w:space="0" w:color="auto"/>
            </w:tcBorders>
            <w:noWrap/>
            <w:vAlign w:val="center"/>
            <w:hideMark/>
          </w:tcPr>
          <w:p w14:paraId="7D6CA5BE"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11.8%</w:t>
            </w:r>
          </w:p>
        </w:tc>
        <w:tc>
          <w:tcPr>
            <w:tcW w:w="567" w:type="dxa"/>
            <w:tcBorders>
              <w:top w:val="single" w:sz="4" w:space="0" w:color="auto"/>
              <w:left w:val="single" w:sz="4" w:space="0" w:color="auto"/>
              <w:bottom w:val="nil"/>
              <w:right w:val="nil"/>
            </w:tcBorders>
            <w:noWrap/>
            <w:vAlign w:val="center"/>
            <w:hideMark/>
          </w:tcPr>
          <w:p w14:paraId="4C1F7730"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0.16</w:t>
            </w:r>
          </w:p>
        </w:tc>
        <w:tc>
          <w:tcPr>
            <w:tcW w:w="1134" w:type="dxa"/>
            <w:tcBorders>
              <w:top w:val="single" w:sz="4" w:space="0" w:color="auto"/>
              <w:left w:val="nil"/>
              <w:bottom w:val="nil"/>
              <w:right w:val="nil"/>
            </w:tcBorders>
            <w:noWrap/>
            <w:vAlign w:val="center"/>
            <w:hideMark/>
          </w:tcPr>
          <w:p w14:paraId="6E2C4E5E"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(0.14, 0.19)</w:t>
            </w:r>
          </w:p>
        </w:tc>
        <w:tc>
          <w:tcPr>
            <w:tcW w:w="709" w:type="dxa"/>
            <w:tcBorders>
              <w:top w:val="single" w:sz="4" w:space="0" w:color="auto"/>
              <w:left w:val="nil"/>
              <w:bottom w:val="nil"/>
              <w:right w:val="nil"/>
            </w:tcBorders>
            <w:noWrap/>
            <w:vAlign w:val="center"/>
            <w:hideMark/>
          </w:tcPr>
          <w:p w14:paraId="34C75580"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67.4%</w:t>
            </w:r>
          </w:p>
        </w:tc>
      </w:tr>
      <w:tr w:rsidR="00F021B0" w14:paraId="6A2FB230" w14:textId="77777777" w:rsidTr="00C54395">
        <w:trPr>
          <w:trHeight w:val="215"/>
        </w:trPr>
        <w:tc>
          <w:tcPr>
            <w:tcW w:w="1276" w:type="dxa"/>
            <w:tcBorders>
              <w:top w:val="nil"/>
              <w:left w:val="nil"/>
              <w:bottom w:val="single" w:sz="4" w:space="0" w:color="auto"/>
              <w:right w:val="nil"/>
            </w:tcBorders>
            <w:noWrap/>
            <w:vAlign w:val="center"/>
            <w:hideMark/>
          </w:tcPr>
          <w:p w14:paraId="38AEA8A1" w14:textId="77777777" w:rsidR="00F021B0" w:rsidRDefault="00F021B0" w:rsidP="00C54395">
            <w:pPr>
              <w:rPr>
                <w:rFonts w:ascii="Calibri" w:eastAsia="Times New Roman" w:hAnsi="Calibri" w:cs="Calibri"/>
                <w:color w:val="000000"/>
                <w:sz w:val="18"/>
                <w:szCs w:val="18"/>
                <w:lang w:val="en-GB" w:eastAsia="en-GB"/>
              </w:rPr>
            </w:pPr>
          </w:p>
        </w:tc>
        <w:tc>
          <w:tcPr>
            <w:tcW w:w="1013" w:type="dxa"/>
            <w:tcBorders>
              <w:top w:val="nil"/>
              <w:left w:val="nil"/>
              <w:bottom w:val="single" w:sz="4" w:space="0" w:color="auto"/>
              <w:right w:val="nil"/>
            </w:tcBorders>
            <w:noWrap/>
            <w:vAlign w:val="center"/>
            <w:hideMark/>
          </w:tcPr>
          <w:p w14:paraId="1F87EF4C" w14:textId="77777777" w:rsidR="00F021B0" w:rsidRDefault="00F021B0" w:rsidP="00C54395">
            <w:pPr>
              <w:spacing w:line="276" w:lineRule="auto"/>
              <w:jc w:val="left"/>
              <w:rPr>
                <w:rFonts w:asciiTheme="minorHAnsi" w:hAnsiTheme="minorHAnsi" w:cstheme="minorBidi"/>
                <w:sz w:val="20"/>
                <w:szCs w:val="20"/>
                <w:lang w:val="en-GB" w:eastAsia="en-GB"/>
              </w:rPr>
            </w:pPr>
          </w:p>
        </w:tc>
        <w:tc>
          <w:tcPr>
            <w:tcW w:w="463" w:type="dxa"/>
            <w:tcBorders>
              <w:top w:val="nil"/>
              <w:left w:val="nil"/>
              <w:bottom w:val="single" w:sz="4" w:space="0" w:color="auto"/>
              <w:right w:val="single" w:sz="4" w:space="0" w:color="auto"/>
            </w:tcBorders>
            <w:noWrap/>
            <w:vAlign w:val="center"/>
            <w:hideMark/>
          </w:tcPr>
          <w:p w14:paraId="3CF40309"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78255498"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4B2B53BD"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(0.13, 0.17)</w:t>
            </w:r>
          </w:p>
        </w:tc>
        <w:tc>
          <w:tcPr>
            <w:tcW w:w="709" w:type="dxa"/>
            <w:tcBorders>
              <w:top w:val="nil"/>
              <w:left w:val="nil"/>
              <w:bottom w:val="nil"/>
              <w:right w:val="single" w:sz="4" w:space="0" w:color="auto"/>
            </w:tcBorders>
            <w:noWrap/>
            <w:vAlign w:val="center"/>
            <w:hideMark/>
          </w:tcPr>
          <w:p w14:paraId="583851B3"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74.3%</w:t>
            </w:r>
          </w:p>
        </w:tc>
        <w:tc>
          <w:tcPr>
            <w:tcW w:w="567" w:type="dxa"/>
            <w:tcBorders>
              <w:top w:val="nil"/>
              <w:left w:val="single" w:sz="4" w:space="0" w:color="auto"/>
              <w:bottom w:val="nil"/>
              <w:right w:val="nil"/>
            </w:tcBorders>
            <w:noWrap/>
            <w:vAlign w:val="center"/>
            <w:hideMark/>
          </w:tcPr>
          <w:p w14:paraId="03A32A48"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noWrap/>
            <w:vAlign w:val="center"/>
            <w:hideMark/>
          </w:tcPr>
          <w:p w14:paraId="2599AF0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(0.12, 0.21)</w:t>
            </w:r>
          </w:p>
        </w:tc>
        <w:tc>
          <w:tcPr>
            <w:tcW w:w="708" w:type="dxa"/>
            <w:tcBorders>
              <w:top w:val="nil"/>
              <w:left w:val="nil"/>
              <w:bottom w:val="nil"/>
              <w:right w:val="single" w:sz="4" w:space="0" w:color="auto"/>
            </w:tcBorders>
            <w:noWrap/>
            <w:vAlign w:val="center"/>
            <w:hideMark/>
          </w:tcPr>
          <w:p w14:paraId="13DB583D"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16.9%</w:t>
            </w:r>
          </w:p>
        </w:tc>
        <w:tc>
          <w:tcPr>
            <w:tcW w:w="567" w:type="dxa"/>
            <w:tcBorders>
              <w:top w:val="nil"/>
              <w:left w:val="single" w:sz="4" w:space="0" w:color="auto"/>
              <w:bottom w:val="nil"/>
              <w:right w:val="nil"/>
            </w:tcBorders>
            <w:noWrap/>
            <w:vAlign w:val="center"/>
            <w:hideMark/>
          </w:tcPr>
          <w:p w14:paraId="60D4C957"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noWrap/>
            <w:vAlign w:val="center"/>
            <w:hideMark/>
          </w:tcPr>
          <w:p w14:paraId="5E3CFCC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(0.11, 0.23)</w:t>
            </w:r>
          </w:p>
        </w:tc>
        <w:tc>
          <w:tcPr>
            <w:tcW w:w="709" w:type="dxa"/>
            <w:tcBorders>
              <w:top w:val="nil"/>
              <w:left w:val="nil"/>
              <w:bottom w:val="nil"/>
              <w:right w:val="single" w:sz="4" w:space="0" w:color="auto"/>
            </w:tcBorders>
            <w:noWrap/>
            <w:vAlign w:val="center"/>
            <w:hideMark/>
          </w:tcPr>
          <w:p w14:paraId="64B92C09"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8.7%</w:t>
            </w:r>
          </w:p>
        </w:tc>
        <w:tc>
          <w:tcPr>
            <w:tcW w:w="567" w:type="dxa"/>
            <w:tcBorders>
              <w:top w:val="nil"/>
              <w:left w:val="single" w:sz="4" w:space="0" w:color="auto"/>
              <w:bottom w:val="nil"/>
              <w:right w:val="nil"/>
            </w:tcBorders>
            <w:noWrap/>
            <w:vAlign w:val="center"/>
            <w:hideMark/>
          </w:tcPr>
          <w:p w14:paraId="2EDB50C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2EB5BCC7"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(0.14, 0.17)</w:t>
            </w:r>
          </w:p>
        </w:tc>
        <w:tc>
          <w:tcPr>
            <w:tcW w:w="709" w:type="dxa"/>
            <w:noWrap/>
            <w:vAlign w:val="center"/>
            <w:hideMark/>
          </w:tcPr>
          <w:p w14:paraId="0D17EEC5"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755DCE" w14:paraId="7D6F1DA6" w14:textId="77777777" w:rsidTr="00F5229F">
        <w:trPr>
          <w:trHeight w:val="215"/>
        </w:trPr>
        <w:tc>
          <w:tcPr>
            <w:tcW w:w="1276" w:type="dxa"/>
            <w:vMerge w:val="restart"/>
            <w:tcBorders>
              <w:top w:val="single" w:sz="4" w:space="0" w:color="auto"/>
              <w:left w:val="nil"/>
              <w:bottom w:val="single" w:sz="4" w:space="0" w:color="auto"/>
              <w:right w:val="nil"/>
            </w:tcBorders>
            <w:noWrap/>
            <w:hideMark/>
          </w:tcPr>
          <w:p w14:paraId="42D3C53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Educational level</w:t>
            </w:r>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51427AE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Low</w:t>
            </w:r>
          </w:p>
        </w:tc>
        <w:tc>
          <w:tcPr>
            <w:tcW w:w="463" w:type="dxa"/>
            <w:tcBorders>
              <w:top w:val="single" w:sz="4" w:space="0" w:color="auto"/>
              <w:left w:val="nil"/>
              <w:bottom w:val="nil"/>
              <w:right w:val="single" w:sz="4" w:space="0" w:color="auto"/>
            </w:tcBorders>
            <w:noWrap/>
            <w:vAlign w:val="center"/>
            <w:hideMark/>
          </w:tcPr>
          <w:p w14:paraId="7E72675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05F2F92E"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-2.41</w:t>
            </w:r>
          </w:p>
        </w:tc>
        <w:tc>
          <w:tcPr>
            <w:tcW w:w="1134" w:type="dxa"/>
            <w:noWrap/>
            <w:vAlign w:val="center"/>
            <w:hideMark/>
          </w:tcPr>
          <w:p w14:paraId="554E105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(-2.67, -2.14)</w:t>
            </w:r>
          </w:p>
        </w:tc>
        <w:tc>
          <w:tcPr>
            <w:tcW w:w="709" w:type="dxa"/>
            <w:tcBorders>
              <w:top w:val="nil"/>
              <w:left w:val="nil"/>
              <w:bottom w:val="nil"/>
              <w:right w:val="single" w:sz="4" w:space="0" w:color="auto"/>
            </w:tcBorders>
            <w:noWrap/>
            <w:vAlign w:val="center"/>
            <w:hideMark/>
          </w:tcPr>
          <w:p w14:paraId="2ED576A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22.8%</w:t>
            </w:r>
          </w:p>
        </w:tc>
        <w:tc>
          <w:tcPr>
            <w:tcW w:w="567" w:type="dxa"/>
            <w:tcBorders>
              <w:top w:val="nil"/>
              <w:left w:val="single" w:sz="4" w:space="0" w:color="auto"/>
              <w:bottom w:val="nil"/>
              <w:right w:val="nil"/>
            </w:tcBorders>
            <w:noWrap/>
            <w:vAlign w:val="center"/>
            <w:hideMark/>
          </w:tcPr>
          <w:p w14:paraId="4E36B6F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-2.62</w:t>
            </w:r>
          </w:p>
        </w:tc>
        <w:tc>
          <w:tcPr>
            <w:tcW w:w="1134" w:type="dxa"/>
            <w:noWrap/>
            <w:vAlign w:val="center"/>
            <w:hideMark/>
          </w:tcPr>
          <w:p w14:paraId="2416260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(-3.41, -1.82)</w:t>
            </w:r>
          </w:p>
        </w:tc>
        <w:tc>
          <w:tcPr>
            <w:tcW w:w="708" w:type="dxa"/>
            <w:tcBorders>
              <w:top w:val="nil"/>
              <w:left w:val="nil"/>
              <w:bottom w:val="nil"/>
              <w:right w:val="single" w:sz="4" w:space="0" w:color="auto"/>
            </w:tcBorders>
            <w:noWrap/>
            <w:vAlign w:val="center"/>
            <w:hideMark/>
          </w:tcPr>
          <w:p w14:paraId="00BEB86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12.6%</w:t>
            </w:r>
          </w:p>
        </w:tc>
        <w:tc>
          <w:tcPr>
            <w:tcW w:w="567" w:type="dxa"/>
            <w:tcBorders>
              <w:top w:val="nil"/>
              <w:left w:val="single" w:sz="4" w:space="0" w:color="auto"/>
              <w:bottom w:val="nil"/>
              <w:right w:val="nil"/>
            </w:tcBorders>
            <w:noWrap/>
            <w:vAlign w:val="center"/>
            <w:hideMark/>
          </w:tcPr>
          <w:p w14:paraId="2FB46484"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-1.74</w:t>
            </w:r>
          </w:p>
        </w:tc>
        <w:tc>
          <w:tcPr>
            <w:tcW w:w="1134" w:type="dxa"/>
            <w:noWrap/>
            <w:vAlign w:val="center"/>
            <w:hideMark/>
          </w:tcPr>
          <w:p w14:paraId="3680D86C"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(-2.59, -0.89)</w:t>
            </w:r>
          </w:p>
        </w:tc>
        <w:tc>
          <w:tcPr>
            <w:tcW w:w="709" w:type="dxa"/>
            <w:tcBorders>
              <w:top w:val="nil"/>
              <w:left w:val="nil"/>
              <w:bottom w:val="nil"/>
              <w:right w:val="single" w:sz="4" w:space="0" w:color="auto"/>
            </w:tcBorders>
            <w:noWrap/>
            <w:vAlign w:val="center"/>
            <w:hideMark/>
          </w:tcPr>
          <w:p w14:paraId="07FB7C9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11.8%</w:t>
            </w:r>
          </w:p>
        </w:tc>
        <w:tc>
          <w:tcPr>
            <w:tcW w:w="567" w:type="dxa"/>
            <w:tcBorders>
              <w:top w:val="nil"/>
              <w:left w:val="single" w:sz="4" w:space="0" w:color="auto"/>
              <w:bottom w:val="nil"/>
              <w:right w:val="nil"/>
            </w:tcBorders>
            <w:noWrap/>
            <w:vAlign w:val="center"/>
            <w:hideMark/>
          </w:tcPr>
          <w:p w14:paraId="55E87F3B"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-2.58</w:t>
            </w:r>
          </w:p>
        </w:tc>
        <w:tc>
          <w:tcPr>
            <w:tcW w:w="1134" w:type="dxa"/>
            <w:noWrap/>
            <w:vAlign w:val="center"/>
            <w:hideMark/>
          </w:tcPr>
          <w:p w14:paraId="5365DF5C"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(-2.98, -2.18)</w:t>
            </w:r>
          </w:p>
        </w:tc>
        <w:tc>
          <w:tcPr>
            <w:tcW w:w="709" w:type="dxa"/>
            <w:noWrap/>
            <w:vAlign w:val="center"/>
            <w:hideMark/>
          </w:tcPr>
          <w:p w14:paraId="0636BFF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67.1%</w:t>
            </w:r>
          </w:p>
        </w:tc>
      </w:tr>
      <w:tr w:rsidR="00755DCE" w14:paraId="30F16665"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2AD16EF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3F9B4875"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43378FF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459AB9F1"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-2.34</w:t>
            </w:r>
          </w:p>
        </w:tc>
        <w:tc>
          <w:tcPr>
            <w:tcW w:w="1134" w:type="dxa"/>
            <w:noWrap/>
            <w:vAlign w:val="center"/>
            <w:hideMark/>
          </w:tcPr>
          <w:p w14:paraId="5BDC29C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(-2.66, -2.01)</w:t>
            </w:r>
          </w:p>
        </w:tc>
        <w:tc>
          <w:tcPr>
            <w:tcW w:w="709" w:type="dxa"/>
            <w:tcBorders>
              <w:top w:val="nil"/>
              <w:left w:val="nil"/>
              <w:bottom w:val="nil"/>
              <w:right w:val="single" w:sz="4" w:space="0" w:color="auto"/>
            </w:tcBorders>
            <w:noWrap/>
            <w:vAlign w:val="center"/>
            <w:hideMark/>
          </w:tcPr>
          <w:p w14:paraId="283B2E8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50.6%</w:t>
            </w:r>
          </w:p>
        </w:tc>
        <w:tc>
          <w:tcPr>
            <w:tcW w:w="567" w:type="dxa"/>
            <w:tcBorders>
              <w:top w:val="nil"/>
              <w:left w:val="single" w:sz="4" w:space="0" w:color="auto"/>
              <w:bottom w:val="nil"/>
              <w:right w:val="nil"/>
            </w:tcBorders>
            <w:noWrap/>
            <w:vAlign w:val="center"/>
            <w:hideMark/>
          </w:tcPr>
          <w:p w14:paraId="0174C13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-2.18</w:t>
            </w:r>
          </w:p>
        </w:tc>
        <w:tc>
          <w:tcPr>
            <w:tcW w:w="1134" w:type="dxa"/>
            <w:noWrap/>
            <w:vAlign w:val="center"/>
            <w:hideMark/>
          </w:tcPr>
          <w:p w14:paraId="7725427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(-3.00, -1.35)</w:t>
            </w:r>
          </w:p>
        </w:tc>
        <w:tc>
          <w:tcPr>
            <w:tcW w:w="708" w:type="dxa"/>
            <w:tcBorders>
              <w:top w:val="nil"/>
              <w:left w:val="nil"/>
              <w:bottom w:val="nil"/>
              <w:right w:val="single" w:sz="4" w:space="0" w:color="auto"/>
            </w:tcBorders>
            <w:noWrap/>
            <w:vAlign w:val="center"/>
            <w:hideMark/>
          </w:tcPr>
          <w:p w14:paraId="6B73566C"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27.3%</w:t>
            </w:r>
          </w:p>
        </w:tc>
        <w:tc>
          <w:tcPr>
            <w:tcW w:w="567" w:type="dxa"/>
            <w:tcBorders>
              <w:top w:val="nil"/>
              <w:left w:val="single" w:sz="4" w:space="0" w:color="auto"/>
              <w:bottom w:val="nil"/>
              <w:right w:val="nil"/>
            </w:tcBorders>
            <w:noWrap/>
            <w:vAlign w:val="center"/>
            <w:hideMark/>
          </w:tcPr>
          <w:p w14:paraId="42C76365"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-1.22</w:t>
            </w:r>
          </w:p>
        </w:tc>
        <w:tc>
          <w:tcPr>
            <w:tcW w:w="1134" w:type="dxa"/>
            <w:noWrap/>
            <w:vAlign w:val="center"/>
            <w:hideMark/>
          </w:tcPr>
          <w:p w14:paraId="763D04C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(-2.21, -0.23)</w:t>
            </w:r>
          </w:p>
        </w:tc>
        <w:tc>
          <w:tcPr>
            <w:tcW w:w="709" w:type="dxa"/>
            <w:tcBorders>
              <w:top w:val="nil"/>
              <w:left w:val="nil"/>
              <w:bottom w:val="nil"/>
              <w:right w:val="single" w:sz="4" w:space="0" w:color="auto"/>
            </w:tcBorders>
            <w:noWrap/>
            <w:vAlign w:val="center"/>
            <w:hideMark/>
          </w:tcPr>
          <w:p w14:paraId="1DEC9C5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22.1%</w:t>
            </w:r>
          </w:p>
        </w:tc>
        <w:tc>
          <w:tcPr>
            <w:tcW w:w="567" w:type="dxa"/>
            <w:tcBorders>
              <w:top w:val="nil"/>
              <w:left w:val="single" w:sz="4" w:space="0" w:color="auto"/>
              <w:bottom w:val="nil"/>
              <w:right w:val="nil"/>
            </w:tcBorders>
            <w:noWrap/>
            <w:vAlign w:val="center"/>
            <w:hideMark/>
          </w:tcPr>
          <w:p w14:paraId="19364D83"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-2.05</w:t>
            </w:r>
          </w:p>
        </w:tc>
        <w:tc>
          <w:tcPr>
            <w:tcW w:w="1134" w:type="dxa"/>
            <w:noWrap/>
            <w:vAlign w:val="center"/>
            <w:hideMark/>
          </w:tcPr>
          <w:p w14:paraId="53484BE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(-2.63, -1.46)</w:t>
            </w:r>
          </w:p>
        </w:tc>
        <w:tc>
          <w:tcPr>
            <w:tcW w:w="709" w:type="dxa"/>
            <w:noWrap/>
            <w:vAlign w:val="center"/>
            <w:hideMark/>
          </w:tcPr>
          <w:p w14:paraId="1794579A"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54.7%</w:t>
            </w:r>
          </w:p>
        </w:tc>
      </w:tr>
      <w:tr w:rsidR="00755DCE" w14:paraId="277AF576"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7F1F40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582C7BE0"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63" w:type="dxa"/>
            <w:tcBorders>
              <w:top w:val="single" w:sz="4" w:space="0" w:color="auto"/>
              <w:left w:val="nil"/>
              <w:bottom w:val="nil"/>
              <w:right w:val="single" w:sz="4" w:space="0" w:color="auto"/>
            </w:tcBorders>
            <w:noWrap/>
            <w:vAlign w:val="center"/>
            <w:hideMark/>
          </w:tcPr>
          <w:p w14:paraId="3D99227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36CBB36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-1.46</w:t>
            </w:r>
          </w:p>
        </w:tc>
        <w:tc>
          <w:tcPr>
            <w:tcW w:w="1134" w:type="dxa"/>
            <w:noWrap/>
            <w:vAlign w:val="center"/>
            <w:hideMark/>
          </w:tcPr>
          <w:p w14:paraId="3FAF3D08"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(-1.69, -1.23)</w:t>
            </w:r>
          </w:p>
        </w:tc>
        <w:tc>
          <w:tcPr>
            <w:tcW w:w="709" w:type="dxa"/>
            <w:tcBorders>
              <w:top w:val="nil"/>
              <w:left w:val="nil"/>
              <w:bottom w:val="nil"/>
              <w:right w:val="single" w:sz="4" w:space="0" w:color="auto"/>
            </w:tcBorders>
            <w:noWrap/>
            <w:vAlign w:val="center"/>
            <w:hideMark/>
          </w:tcPr>
          <w:p w14:paraId="40C52CF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18.1%</w:t>
            </w:r>
          </w:p>
        </w:tc>
        <w:tc>
          <w:tcPr>
            <w:tcW w:w="567" w:type="dxa"/>
            <w:tcBorders>
              <w:top w:val="nil"/>
              <w:left w:val="single" w:sz="4" w:space="0" w:color="auto"/>
              <w:bottom w:val="nil"/>
              <w:right w:val="nil"/>
            </w:tcBorders>
            <w:noWrap/>
            <w:vAlign w:val="center"/>
            <w:hideMark/>
          </w:tcPr>
          <w:p w14:paraId="675B613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-1.53</w:t>
            </w:r>
          </w:p>
        </w:tc>
        <w:tc>
          <w:tcPr>
            <w:tcW w:w="1134" w:type="dxa"/>
            <w:noWrap/>
            <w:vAlign w:val="center"/>
            <w:hideMark/>
          </w:tcPr>
          <w:p w14:paraId="37AC5DA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(-1.95, -1.11)</w:t>
            </w:r>
          </w:p>
        </w:tc>
        <w:tc>
          <w:tcPr>
            <w:tcW w:w="708" w:type="dxa"/>
            <w:tcBorders>
              <w:top w:val="nil"/>
              <w:left w:val="nil"/>
              <w:bottom w:val="nil"/>
              <w:right w:val="single" w:sz="4" w:space="0" w:color="auto"/>
            </w:tcBorders>
            <w:noWrap/>
            <w:vAlign w:val="center"/>
            <w:hideMark/>
          </w:tcPr>
          <w:p w14:paraId="6A90D89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15.3%</w:t>
            </w:r>
          </w:p>
        </w:tc>
        <w:tc>
          <w:tcPr>
            <w:tcW w:w="567" w:type="dxa"/>
            <w:tcBorders>
              <w:top w:val="nil"/>
              <w:left w:val="single" w:sz="4" w:space="0" w:color="auto"/>
              <w:bottom w:val="nil"/>
              <w:right w:val="nil"/>
            </w:tcBorders>
            <w:noWrap/>
            <w:vAlign w:val="center"/>
            <w:hideMark/>
          </w:tcPr>
          <w:p w14:paraId="51D29A75"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-1.48</w:t>
            </w:r>
          </w:p>
        </w:tc>
        <w:tc>
          <w:tcPr>
            <w:tcW w:w="1134" w:type="dxa"/>
            <w:noWrap/>
            <w:vAlign w:val="center"/>
            <w:hideMark/>
          </w:tcPr>
          <w:p w14:paraId="177C66C7"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(-2.12, -0.85)</w:t>
            </w:r>
          </w:p>
        </w:tc>
        <w:tc>
          <w:tcPr>
            <w:tcW w:w="709" w:type="dxa"/>
            <w:tcBorders>
              <w:top w:val="nil"/>
              <w:left w:val="nil"/>
              <w:bottom w:val="nil"/>
              <w:right w:val="single" w:sz="4" w:space="0" w:color="auto"/>
            </w:tcBorders>
            <w:noWrap/>
            <w:vAlign w:val="center"/>
            <w:hideMark/>
          </w:tcPr>
          <w:p w14:paraId="1A7FA5D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11.9%</w:t>
            </w:r>
          </w:p>
        </w:tc>
        <w:tc>
          <w:tcPr>
            <w:tcW w:w="567" w:type="dxa"/>
            <w:tcBorders>
              <w:top w:val="nil"/>
              <w:left w:val="single" w:sz="4" w:space="0" w:color="auto"/>
              <w:bottom w:val="nil"/>
              <w:right w:val="nil"/>
            </w:tcBorders>
            <w:noWrap/>
            <w:vAlign w:val="center"/>
            <w:hideMark/>
          </w:tcPr>
          <w:p w14:paraId="2E097F12"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-1.33</w:t>
            </w:r>
          </w:p>
        </w:tc>
        <w:tc>
          <w:tcPr>
            <w:tcW w:w="1134" w:type="dxa"/>
            <w:noWrap/>
            <w:vAlign w:val="center"/>
            <w:hideMark/>
          </w:tcPr>
          <w:p w14:paraId="3D5CB33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(-1.67, -0.98)</w:t>
            </w:r>
          </w:p>
        </w:tc>
        <w:tc>
          <w:tcPr>
            <w:tcW w:w="709" w:type="dxa"/>
            <w:noWrap/>
            <w:vAlign w:val="center"/>
            <w:hideMark/>
          </w:tcPr>
          <w:p w14:paraId="28538751"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80.0%</w:t>
            </w:r>
          </w:p>
        </w:tc>
      </w:tr>
      <w:tr w:rsidR="00755DCE" w14:paraId="1FCD60B3"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3276AD6"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0A3A6BB6"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7E42E20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66E6409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-1.40</w:t>
            </w:r>
          </w:p>
        </w:tc>
        <w:tc>
          <w:tcPr>
            <w:tcW w:w="1134" w:type="dxa"/>
            <w:noWrap/>
            <w:vAlign w:val="center"/>
            <w:hideMark/>
          </w:tcPr>
          <w:p w14:paraId="2A48F271"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(-1.66, -1.13)</w:t>
            </w:r>
          </w:p>
        </w:tc>
        <w:tc>
          <w:tcPr>
            <w:tcW w:w="709" w:type="dxa"/>
            <w:tcBorders>
              <w:top w:val="nil"/>
              <w:left w:val="nil"/>
              <w:bottom w:val="nil"/>
              <w:right w:val="single" w:sz="4" w:space="0" w:color="auto"/>
            </w:tcBorders>
            <w:noWrap/>
            <w:vAlign w:val="center"/>
            <w:hideMark/>
          </w:tcPr>
          <w:p w14:paraId="4B89B01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67.6%</w:t>
            </w:r>
          </w:p>
        </w:tc>
        <w:tc>
          <w:tcPr>
            <w:tcW w:w="567" w:type="dxa"/>
            <w:tcBorders>
              <w:top w:val="nil"/>
              <w:left w:val="single" w:sz="4" w:space="0" w:color="auto"/>
              <w:bottom w:val="nil"/>
              <w:right w:val="nil"/>
            </w:tcBorders>
            <w:noWrap/>
            <w:vAlign w:val="center"/>
            <w:hideMark/>
          </w:tcPr>
          <w:p w14:paraId="7C364B4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-1.36</w:t>
            </w:r>
          </w:p>
        </w:tc>
        <w:tc>
          <w:tcPr>
            <w:tcW w:w="1134" w:type="dxa"/>
            <w:noWrap/>
            <w:vAlign w:val="center"/>
            <w:hideMark/>
          </w:tcPr>
          <w:p w14:paraId="49F307EF"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(-1.81, -0.91)</w:t>
            </w:r>
          </w:p>
        </w:tc>
        <w:tc>
          <w:tcPr>
            <w:tcW w:w="708" w:type="dxa"/>
            <w:tcBorders>
              <w:top w:val="nil"/>
              <w:left w:val="nil"/>
              <w:bottom w:val="nil"/>
              <w:right w:val="single" w:sz="4" w:space="0" w:color="auto"/>
            </w:tcBorders>
            <w:noWrap/>
            <w:vAlign w:val="center"/>
            <w:hideMark/>
          </w:tcPr>
          <w:p w14:paraId="0B84428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22.9%</w:t>
            </w:r>
          </w:p>
        </w:tc>
        <w:tc>
          <w:tcPr>
            <w:tcW w:w="567" w:type="dxa"/>
            <w:tcBorders>
              <w:top w:val="nil"/>
              <w:left w:val="single" w:sz="4" w:space="0" w:color="auto"/>
              <w:bottom w:val="nil"/>
              <w:right w:val="nil"/>
            </w:tcBorders>
            <w:noWrap/>
            <w:vAlign w:val="center"/>
            <w:hideMark/>
          </w:tcPr>
          <w:p w14:paraId="6BF9F62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-1.23</w:t>
            </w:r>
          </w:p>
        </w:tc>
        <w:tc>
          <w:tcPr>
            <w:tcW w:w="1134" w:type="dxa"/>
            <w:noWrap/>
            <w:vAlign w:val="center"/>
            <w:hideMark/>
          </w:tcPr>
          <w:p w14:paraId="6F66568B"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(-1.93, -0.52)</w:t>
            </w:r>
          </w:p>
        </w:tc>
        <w:tc>
          <w:tcPr>
            <w:tcW w:w="709" w:type="dxa"/>
            <w:tcBorders>
              <w:top w:val="nil"/>
              <w:left w:val="nil"/>
              <w:bottom w:val="nil"/>
              <w:right w:val="single" w:sz="4" w:space="0" w:color="auto"/>
            </w:tcBorders>
            <w:noWrap/>
            <w:vAlign w:val="center"/>
            <w:hideMark/>
          </w:tcPr>
          <w:p w14:paraId="4412FADF"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w:t>
            </w:r>
          </w:p>
        </w:tc>
        <w:tc>
          <w:tcPr>
            <w:tcW w:w="567" w:type="dxa"/>
            <w:tcBorders>
              <w:top w:val="nil"/>
              <w:left w:val="single" w:sz="4" w:space="0" w:color="auto"/>
              <w:bottom w:val="nil"/>
              <w:right w:val="nil"/>
            </w:tcBorders>
            <w:noWrap/>
            <w:vAlign w:val="center"/>
            <w:hideMark/>
          </w:tcPr>
          <w:p w14:paraId="272F17E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-1.37</w:t>
            </w:r>
          </w:p>
        </w:tc>
        <w:tc>
          <w:tcPr>
            <w:tcW w:w="1134" w:type="dxa"/>
            <w:noWrap/>
            <w:vAlign w:val="center"/>
            <w:hideMark/>
          </w:tcPr>
          <w:p w14:paraId="54B4B90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(-1.59, -1.15)</w:t>
            </w:r>
          </w:p>
        </w:tc>
        <w:tc>
          <w:tcPr>
            <w:tcW w:w="709" w:type="dxa"/>
            <w:noWrap/>
            <w:vAlign w:val="center"/>
            <w:hideMark/>
          </w:tcPr>
          <w:p w14:paraId="342C3A82"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755DCE" w14:paraId="665085D9" w14:textId="77777777" w:rsidTr="00F5229F">
        <w:trPr>
          <w:trHeight w:val="215"/>
        </w:trPr>
        <w:tc>
          <w:tcPr>
            <w:tcW w:w="1276" w:type="dxa"/>
            <w:vMerge w:val="restart"/>
            <w:tcBorders>
              <w:top w:val="single" w:sz="4" w:space="0" w:color="auto"/>
              <w:left w:val="nil"/>
              <w:bottom w:val="single" w:sz="4" w:space="0" w:color="auto"/>
              <w:right w:val="nil"/>
            </w:tcBorders>
            <w:noWrap/>
            <w:hideMark/>
          </w:tcPr>
          <w:p w14:paraId="250373D8" w14:textId="17C637EE"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 xml:space="preserve">Household </w:t>
            </w:r>
            <w:proofErr w:type="spellStart"/>
            <w:r>
              <w:rPr>
                <w:rFonts w:ascii="Calibri" w:eastAsia="Times New Roman" w:hAnsi="Calibri" w:cs="Calibri"/>
                <w:b/>
                <w:color w:val="000000"/>
                <w:sz w:val="18"/>
                <w:szCs w:val="18"/>
                <w:lang w:val="en-GB" w:eastAsia="en-GB"/>
              </w:rPr>
              <w:t>income</w:t>
            </w:r>
            <w:r w:rsidR="002E7ED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107FDD8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Low</w:t>
            </w:r>
          </w:p>
        </w:tc>
        <w:tc>
          <w:tcPr>
            <w:tcW w:w="463" w:type="dxa"/>
            <w:tcBorders>
              <w:top w:val="single" w:sz="4" w:space="0" w:color="auto"/>
              <w:left w:val="nil"/>
              <w:bottom w:val="nil"/>
              <w:right w:val="single" w:sz="4" w:space="0" w:color="auto"/>
            </w:tcBorders>
            <w:noWrap/>
            <w:vAlign w:val="center"/>
            <w:hideMark/>
          </w:tcPr>
          <w:p w14:paraId="1461E5B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0AB5C83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w:t>
            </w:r>
          </w:p>
        </w:tc>
        <w:tc>
          <w:tcPr>
            <w:tcW w:w="1134" w:type="dxa"/>
            <w:noWrap/>
            <w:vAlign w:val="center"/>
            <w:hideMark/>
          </w:tcPr>
          <w:p w14:paraId="7ACEA4B1"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(-0.56, -0.10)</w:t>
            </w:r>
          </w:p>
        </w:tc>
        <w:tc>
          <w:tcPr>
            <w:tcW w:w="709" w:type="dxa"/>
            <w:tcBorders>
              <w:top w:val="nil"/>
              <w:left w:val="nil"/>
              <w:bottom w:val="nil"/>
              <w:right w:val="single" w:sz="4" w:space="0" w:color="auto"/>
            </w:tcBorders>
            <w:noWrap/>
            <w:vAlign w:val="center"/>
            <w:hideMark/>
          </w:tcPr>
          <w:p w14:paraId="64911BC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49.1%</w:t>
            </w:r>
          </w:p>
        </w:tc>
        <w:tc>
          <w:tcPr>
            <w:tcW w:w="567" w:type="dxa"/>
            <w:tcBorders>
              <w:top w:val="nil"/>
              <w:left w:val="single" w:sz="4" w:space="0" w:color="auto"/>
              <w:bottom w:val="nil"/>
              <w:right w:val="nil"/>
            </w:tcBorders>
            <w:noWrap/>
            <w:vAlign w:val="center"/>
            <w:hideMark/>
          </w:tcPr>
          <w:p w14:paraId="2DE3765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0A3FA14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(-0.88, 0.24)</w:t>
            </w:r>
          </w:p>
        </w:tc>
        <w:tc>
          <w:tcPr>
            <w:tcW w:w="708" w:type="dxa"/>
            <w:tcBorders>
              <w:top w:val="nil"/>
              <w:left w:val="nil"/>
              <w:bottom w:val="nil"/>
              <w:right w:val="single" w:sz="4" w:space="0" w:color="auto"/>
            </w:tcBorders>
            <w:noWrap/>
            <w:vAlign w:val="center"/>
            <w:hideMark/>
          </w:tcPr>
          <w:p w14:paraId="461BDB91"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15.9%</w:t>
            </w:r>
          </w:p>
        </w:tc>
        <w:tc>
          <w:tcPr>
            <w:tcW w:w="567" w:type="dxa"/>
            <w:tcBorders>
              <w:top w:val="nil"/>
              <w:left w:val="single" w:sz="4" w:space="0" w:color="auto"/>
              <w:bottom w:val="nil"/>
              <w:right w:val="nil"/>
            </w:tcBorders>
            <w:noWrap/>
            <w:vAlign w:val="center"/>
            <w:hideMark/>
          </w:tcPr>
          <w:p w14:paraId="35C3264A"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-1.15</w:t>
            </w:r>
          </w:p>
        </w:tc>
        <w:tc>
          <w:tcPr>
            <w:tcW w:w="1134" w:type="dxa"/>
            <w:noWrap/>
            <w:vAlign w:val="center"/>
            <w:hideMark/>
          </w:tcPr>
          <w:p w14:paraId="1AA0ABD8"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(-1.98, -0.33)</w:t>
            </w:r>
          </w:p>
        </w:tc>
        <w:tc>
          <w:tcPr>
            <w:tcW w:w="709" w:type="dxa"/>
            <w:tcBorders>
              <w:top w:val="nil"/>
              <w:left w:val="nil"/>
              <w:bottom w:val="nil"/>
              <w:right w:val="single" w:sz="4" w:space="0" w:color="auto"/>
            </w:tcBorders>
            <w:noWrap/>
            <w:vAlign w:val="center"/>
            <w:hideMark/>
          </w:tcPr>
          <w:p w14:paraId="20ED317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8.2%</w:t>
            </w:r>
          </w:p>
        </w:tc>
        <w:tc>
          <w:tcPr>
            <w:tcW w:w="567" w:type="dxa"/>
            <w:tcBorders>
              <w:top w:val="nil"/>
              <w:left w:val="single" w:sz="4" w:space="0" w:color="auto"/>
              <w:bottom w:val="nil"/>
              <w:right w:val="nil"/>
            </w:tcBorders>
            <w:noWrap/>
            <w:vAlign w:val="center"/>
            <w:hideMark/>
          </w:tcPr>
          <w:p w14:paraId="468FA4AE"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-0.46</w:t>
            </w:r>
          </w:p>
        </w:tc>
        <w:tc>
          <w:tcPr>
            <w:tcW w:w="1134" w:type="dxa"/>
            <w:noWrap/>
            <w:vAlign w:val="center"/>
            <w:hideMark/>
          </w:tcPr>
          <w:p w14:paraId="0FAD8A1F"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(-0.70, -0.21)</w:t>
            </w:r>
          </w:p>
        </w:tc>
        <w:tc>
          <w:tcPr>
            <w:tcW w:w="709" w:type="dxa"/>
            <w:noWrap/>
            <w:vAlign w:val="center"/>
            <w:hideMark/>
          </w:tcPr>
          <w:p w14:paraId="0F9871C0"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28.1%</w:t>
            </w:r>
          </w:p>
        </w:tc>
      </w:tr>
      <w:tr w:rsidR="00755DCE" w14:paraId="17170334"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A2BD16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3E0CB0F6"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07ED99B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412F0534"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-0.39</w:t>
            </w:r>
          </w:p>
        </w:tc>
        <w:tc>
          <w:tcPr>
            <w:tcW w:w="1134" w:type="dxa"/>
            <w:noWrap/>
            <w:vAlign w:val="center"/>
            <w:hideMark/>
          </w:tcPr>
          <w:p w14:paraId="43E7822B"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(-0.63, -0.14)</w:t>
            </w:r>
          </w:p>
        </w:tc>
        <w:tc>
          <w:tcPr>
            <w:tcW w:w="709" w:type="dxa"/>
            <w:tcBorders>
              <w:top w:val="nil"/>
              <w:left w:val="nil"/>
              <w:bottom w:val="nil"/>
              <w:right w:val="single" w:sz="4" w:space="0" w:color="auto"/>
            </w:tcBorders>
            <w:noWrap/>
            <w:vAlign w:val="center"/>
            <w:hideMark/>
          </w:tcPr>
          <w:p w14:paraId="2379832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70.0%</w:t>
            </w:r>
          </w:p>
        </w:tc>
        <w:tc>
          <w:tcPr>
            <w:tcW w:w="567" w:type="dxa"/>
            <w:tcBorders>
              <w:top w:val="nil"/>
              <w:left w:val="single" w:sz="4" w:space="0" w:color="auto"/>
              <w:bottom w:val="nil"/>
              <w:right w:val="nil"/>
            </w:tcBorders>
            <w:noWrap/>
            <w:vAlign w:val="center"/>
            <w:hideMark/>
          </w:tcPr>
          <w:p w14:paraId="07A8B58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6E49A1E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(-0.87, 0.23)</w:t>
            </w:r>
          </w:p>
        </w:tc>
        <w:tc>
          <w:tcPr>
            <w:tcW w:w="708" w:type="dxa"/>
            <w:tcBorders>
              <w:top w:val="nil"/>
              <w:left w:val="nil"/>
              <w:bottom w:val="nil"/>
              <w:right w:val="single" w:sz="4" w:space="0" w:color="auto"/>
            </w:tcBorders>
            <w:noWrap/>
            <w:vAlign w:val="center"/>
            <w:hideMark/>
          </w:tcPr>
          <w:p w14:paraId="19D5509F"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20.9%</w:t>
            </w:r>
          </w:p>
        </w:tc>
        <w:tc>
          <w:tcPr>
            <w:tcW w:w="567" w:type="dxa"/>
            <w:tcBorders>
              <w:top w:val="nil"/>
              <w:left w:val="single" w:sz="4" w:space="0" w:color="auto"/>
              <w:bottom w:val="nil"/>
              <w:right w:val="nil"/>
            </w:tcBorders>
            <w:noWrap/>
            <w:vAlign w:val="center"/>
            <w:hideMark/>
          </w:tcPr>
          <w:p w14:paraId="2782A9AC"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-1.07</w:t>
            </w:r>
          </w:p>
        </w:tc>
        <w:tc>
          <w:tcPr>
            <w:tcW w:w="1134" w:type="dxa"/>
            <w:noWrap/>
            <w:vAlign w:val="center"/>
            <w:hideMark/>
          </w:tcPr>
          <w:p w14:paraId="5AB3F10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(-1.95, -0.20)</w:t>
            </w:r>
          </w:p>
        </w:tc>
        <w:tc>
          <w:tcPr>
            <w:tcW w:w="709" w:type="dxa"/>
            <w:tcBorders>
              <w:top w:val="nil"/>
              <w:left w:val="nil"/>
              <w:bottom w:val="nil"/>
              <w:right w:val="single" w:sz="4" w:space="0" w:color="auto"/>
            </w:tcBorders>
            <w:noWrap/>
            <w:vAlign w:val="center"/>
            <w:hideMark/>
          </w:tcPr>
          <w:p w14:paraId="443215DF"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9.0%</w:t>
            </w:r>
          </w:p>
        </w:tc>
        <w:tc>
          <w:tcPr>
            <w:tcW w:w="567" w:type="dxa"/>
            <w:tcBorders>
              <w:top w:val="nil"/>
              <w:left w:val="single" w:sz="4" w:space="0" w:color="auto"/>
              <w:bottom w:val="nil"/>
              <w:right w:val="nil"/>
            </w:tcBorders>
            <w:noWrap/>
            <w:vAlign w:val="center"/>
            <w:hideMark/>
          </w:tcPr>
          <w:p w14:paraId="507DE9AC"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-0.43</w:t>
            </w:r>
          </w:p>
        </w:tc>
        <w:tc>
          <w:tcPr>
            <w:tcW w:w="1134" w:type="dxa"/>
            <w:noWrap/>
            <w:vAlign w:val="center"/>
            <w:hideMark/>
          </w:tcPr>
          <w:p w14:paraId="097A4746"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(-0.70, -0.16)</w:t>
            </w:r>
          </w:p>
        </w:tc>
        <w:tc>
          <w:tcPr>
            <w:tcW w:w="709" w:type="dxa"/>
            <w:noWrap/>
            <w:vAlign w:val="center"/>
            <w:hideMark/>
          </w:tcPr>
          <w:p w14:paraId="330D0F7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14.7%</w:t>
            </w:r>
          </w:p>
        </w:tc>
      </w:tr>
      <w:tr w:rsidR="00755DCE" w14:paraId="2F46982F"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68E2937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57412C0D"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63" w:type="dxa"/>
            <w:tcBorders>
              <w:top w:val="single" w:sz="4" w:space="0" w:color="auto"/>
              <w:left w:val="nil"/>
              <w:bottom w:val="nil"/>
              <w:right w:val="single" w:sz="4" w:space="0" w:color="auto"/>
            </w:tcBorders>
            <w:noWrap/>
            <w:vAlign w:val="center"/>
            <w:hideMark/>
          </w:tcPr>
          <w:p w14:paraId="7A43E26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1951C15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70740A4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(-0.35, 0.07)</w:t>
            </w:r>
          </w:p>
        </w:tc>
        <w:tc>
          <w:tcPr>
            <w:tcW w:w="709" w:type="dxa"/>
            <w:tcBorders>
              <w:top w:val="nil"/>
              <w:left w:val="nil"/>
              <w:bottom w:val="nil"/>
              <w:right w:val="single" w:sz="4" w:space="0" w:color="auto"/>
            </w:tcBorders>
            <w:noWrap/>
            <w:vAlign w:val="center"/>
            <w:hideMark/>
          </w:tcPr>
          <w:p w14:paraId="2EBB9C3D"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39.6%</w:t>
            </w:r>
          </w:p>
        </w:tc>
        <w:tc>
          <w:tcPr>
            <w:tcW w:w="567" w:type="dxa"/>
            <w:tcBorders>
              <w:top w:val="nil"/>
              <w:left w:val="single" w:sz="4" w:space="0" w:color="auto"/>
              <w:bottom w:val="nil"/>
              <w:right w:val="nil"/>
            </w:tcBorders>
            <w:noWrap/>
            <w:vAlign w:val="center"/>
            <w:hideMark/>
          </w:tcPr>
          <w:p w14:paraId="6E65A49A"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4C689CFC"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(-0.85, 0.21)</w:t>
            </w:r>
          </w:p>
        </w:tc>
        <w:tc>
          <w:tcPr>
            <w:tcW w:w="708" w:type="dxa"/>
            <w:tcBorders>
              <w:top w:val="nil"/>
              <w:left w:val="nil"/>
              <w:bottom w:val="nil"/>
              <w:right w:val="single" w:sz="4" w:space="0" w:color="auto"/>
            </w:tcBorders>
            <w:noWrap/>
            <w:vAlign w:val="center"/>
            <w:hideMark/>
          </w:tcPr>
          <w:p w14:paraId="645B3EE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19.5%</w:t>
            </w:r>
          </w:p>
        </w:tc>
        <w:tc>
          <w:tcPr>
            <w:tcW w:w="567" w:type="dxa"/>
            <w:tcBorders>
              <w:top w:val="nil"/>
              <w:left w:val="single" w:sz="4" w:space="0" w:color="auto"/>
              <w:bottom w:val="nil"/>
              <w:right w:val="nil"/>
            </w:tcBorders>
            <w:noWrap/>
            <w:vAlign w:val="center"/>
            <w:hideMark/>
          </w:tcPr>
          <w:p w14:paraId="1B88BEB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-1.08</w:t>
            </w:r>
          </w:p>
        </w:tc>
        <w:tc>
          <w:tcPr>
            <w:tcW w:w="1134" w:type="dxa"/>
            <w:noWrap/>
            <w:vAlign w:val="center"/>
            <w:hideMark/>
          </w:tcPr>
          <w:p w14:paraId="680A59E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(-1.90, -0.25)</w:t>
            </w:r>
          </w:p>
        </w:tc>
        <w:tc>
          <w:tcPr>
            <w:tcW w:w="709" w:type="dxa"/>
            <w:tcBorders>
              <w:top w:val="nil"/>
              <w:left w:val="nil"/>
              <w:bottom w:val="nil"/>
              <w:right w:val="single" w:sz="4" w:space="0" w:color="auto"/>
            </w:tcBorders>
            <w:noWrap/>
            <w:vAlign w:val="center"/>
            <w:hideMark/>
          </w:tcPr>
          <w:p w14:paraId="7028262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10.6%</w:t>
            </w:r>
          </w:p>
        </w:tc>
        <w:tc>
          <w:tcPr>
            <w:tcW w:w="567" w:type="dxa"/>
            <w:tcBorders>
              <w:top w:val="nil"/>
              <w:left w:val="single" w:sz="4" w:space="0" w:color="auto"/>
              <w:bottom w:val="nil"/>
              <w:right w:val="nil"/>
            </w:tcBorders>
            <w:noWrap/>
            <w:vAlign w:val="center"/>
            <w:hideMark/>
          </w:tcPr>
          <w:p w14:paraId="4F4C45D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-0.21</w:t>
            </w:r>
          </w:p>
        </w:tc>
        <w:tc>
          <w:tcPr>
            <w:tcW w:w="1134" w:type="dxa"/>
            <w:noWrap/>
            <w:vAlign w:val="center"/>
            <w:hideMark/>
          </w:tcPr>
          <w:p w14:paraId="3C2102D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(-0.52, 0.09)</w:t>
            </w:r>
          </w:p>
        </w:tc>
        <w:tc>
          <w:tcPr>
            <w:tcW w:w="709" w:type="dxa"/>
            <w:noWrap/>
            <w:vAlign w:val="center"/>
            <w:hideMark/>
          </w:tcPr>
          <w:p w14:paraId="59766D2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55.6%</w:t>
            </w:r>
          </w:p>
        </w:tc>
      </w:tr>
      <w:tr w:rsidR="00755DCE" w14:paraId="6F3D4295"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42491831"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0931F6D5"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5CD6F37D"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3D47DF66"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w:t>
            </w:r>
          </w:p>
        </w:tc>
        <w:tc>
          <w:tcPr>
            <w:tcW w:w="1134" w:type="dxa"/>
            <w:noWrap/>
            <w:vAlign w:val="center"/>
            <w:hideMark/>
          </w:tcPr>
          <w:p w14:paraId="09520F7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 0.04)</w:t>
            </w:r>
          </w:p>
        </w:tc>
        <w:tc>
          <w:tcPr>
            <w:tcW w:w="709" w:type="dxa"/>
            <w:tcBorders>
              <w:top w:val="nil"/>
              <w:left w:val="nil"/>
              <w:bottom w:val="nil"/>
              <w:right w:val="single" w:sz="4" w:space="0" w:color="auto"/>
            </w:tcBorders>
            <w:noWrap/>
            <w:vAlign w:val="center"/>
            <w:hideMark/>
          </w:tcPr>
          <w:p w14:paraId="2C291A8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60.3%</w:t>
            </w:r>
          </w:p>
        </w:tc>
        <w:tc>
          <w:tcPr>
            <w:tcW w:w="567" w:type="dxa"/>
            <w:tcBorders>
              <w:top w:val="nil"/>
              <w:left w:val="single" w:sz="4" w:space="0" w:color="auto"/>
              <w:bottom w:val="nil"/>
              <w:right w:val="nil"/>
            </w:tcBorders>
            <w:noWrap/>
            <w:vAlign w:val="center"/>
            <w:hideMark/>
          </w:tcPr>
          <w:p w14:paraId="3FEBB15E"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-0.36</w:t>
            </w:r>
          </w:p>
        </w:tc>
        <w:tc>
          <w:tcPr>
            <w:tcW w:w="1134" w:type="dxa"/>
            <w:noWrap/>
            <w:vAlign w:val="center"/>
            <w:hideMark/>
          </w:tcPr>
          <w:p w14:paraId="5000347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(-0.89, 0.17)</w:t>
            </w:r>
          </w:p>
        </w:tc>
        <w:tc>
          <w:tcPr>
            <w:tcW w:w="708" w:type="dxa"/>
            <w:tcBorders>
              <w:top w:val="nil"/>
              <w:left w:val="nil"/>
              <w:bottom w:val="nil"/>
              <w:right w:val="single" w:sz="4" w:space="0" w:color="auto"/>
            </w:tcBorders>
            <w:noWrap/>
            <w:vAlign w:val="center"/>
            <w:hideMark/>
          </w:tcPr>
          <w:p w14:paraId="32E8D65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27.3%</w:t>
            </w:r>
          </w:p>
        </w:tc>
        <w:tc>
          <w:tcPr>
            <w:tcW w:w="567" w:type="dxa"/>
            <w:tcBorders>
              <w:top w:val="nil"/>
              <w:left w:val="single" w:sz="4" w:space="0" w:color="auto"/>
              <w:bottom w:val="nil"/>
              <w:right w:val="nil"/>
            </w:tcBorders>
            <w:noWrap/>
            <w:vAlign w:val="center"/>
            <w:hideMark/>
          </w:tcPr>
          <w:p w14:paraId="297310FC"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-0.98</w:t>
            </w:r>
          </w:p>
        </w:tc>
        <w:tc>
          <w:tcPr>
            <w:tcW w:w="1134" w:type="dxa"/>
            <w:noWrap/>
            <w:vAlign w:val="center"/>
            <w:hideMark/>
          </w:tcPr>
          <w:p w14:paraId="3E5F5D6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(-1.86, -0.09)</w:t>
            </w:r>
          </w:p>
        </w:tc>
        <w:tc>
          <w:tcPr>
            <w:tcW w:w="709" w:type="dxa"/>
            <w:tcBorders>
              <w:top w:val="nil"/>
              <w:left w:val="nil"/>
              <w:bottom w:val="nil"/>
              <w:right w:val="single" w:sz="4" w:space="0" w:color="auto"/>
            </w:tcBorders>
            <w:noWrap/>
            <w:vAlign w:val="center"/>
            <w:hideMark/>
          </w:tcPr>
          <w:p w14:paraId="6B8FFC2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12.4%</w:t>
            </w:r>
          </w:p>
        </w:tc>
        <w:tc>
          <w:tcPr>
            <w:tcW w:w="567" w:type="dxa"/>
            <w:tcBorders>
              <w:top w:val="nil"/>
              <w:left w:val="single" w:sz="4" w:space="0" w:color="auto"/>
              <w:bottom w:val="nil"/>
              <w:right w:val="nil"/>
            </w:tcBorders>
            <w:noWrap/>
            <w:vAlign w:val="center"/>
            <w:hideMark/>
          </w:tcPr>
          <w:p w14:paraId="0DCA6BE5"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w:t>
            </w:r>
          </w:p>
        </w:tc>
        <w:tc>
          <w:tcPr>
            <w:tcW w:w="1134" w:type="dxa"/>
            <w:noWrap/>
            <w:vAlign w:val="center"/>
            <w:hideMark/>
          </w:tcPr>
          <w:p w14:paraId="2999FB5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 0.01)</w:t>
            </w:r>
          </w:p>
        </w:tc>
        <w:tc>
          <w:tcPr>
            <w:tcW w:w="709" w:type="dxa"/>
            <w:noWrap/>
            <w:vAlign w:val="center"/>
            <w:hideMark/>
          </w:tcPr>
          <w:p w14:paraId="134C3FE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37.0%</w:t>
            </w:r>
          </w:p>
        </w:tc>
      </w:tr>
      <w:tr w:rsidR="00F021B0" w14:paraId="17F2F586" w14:textId="77777777" w:rsidTr="00C54395">
        <w:trPr>
          <w:trHeight w:val="215"/>
        </w:trPr>
        <w:tc>
          <w:tcPr>
            <w:tcW w:w="2289" w:type="dxa"/>
            <w:gridSpan w:val="2"/>
            <w:vMerge w:val="restart"/>
            <w:tcBorders>
              <w:top w:val="single" w:sz="4" w:space="0" w:color="auto"/>
              <w:left w:val="nil"/>
              <w:bottom w:val="single" w:sz="4" w:space="0" w:color="auto"/>
              <w:right w:val="nil"/>
            </w:tcBorders>
            <w:noWrap/>
            <w:hideMark/>
          </w:tcPr>
          <w:p w14:paraId="1C304604"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Parity</w:t>
            </w:r>
            <w:r>
              <w:rPr>
                <w:rFonts w:ascii="Calibri" w:eastAsia="Times New Roman" w:hAnsi="Calibri" w:cs="Calibri"/>
                <w:color w:val="000000"/>
                <w:sz w:val="18"/>
                <w:szCs w:val="18"/>
                <w:lang w:val="en-GB" w:eastAsia="en-GB"/>
              </w:rPr>
              <w:t xml:space="preserve"> (Nulliparous)</w:t>
            </w:r>
          </w:p>
        </w:tc>
        <w:tc>
          <w:tcPr>
            <w:tcW w:w="463" w:type="dxa"/>
            <w:tcBorders>
              <w:top w:val="single" w:sz="4" w:space="0" w:color="auto"/>
              <w:left w:val="nil"/>
              <w:bottom w:val="nil"/>
              <w:right w:val="single" w:sz="4" w:space="0" w:color="auto"/>
            </w:tcBorders>
            <w:noWrap/>
            <w:vAlign w:val="center"/>
            <w:hideMark/>
          </w:tcPr>
          <w:p w14:paraId="02FAD2E9"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6B79E4BF"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3E4964C2"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 0.00)</w:t>
            </w:r>
          </w:p>
        </w:tc>
        <w:tc>
          <w:tcPr>
            <w:tcW w:w="709" w:type="dxa"/>
            <w:tcBorders>
              <w:top w:val="nil"/>
              <w:left w:val="nil"/>
              <w:bottom w:val="nil"/>
              <w:right w:val="single" w:sz="4" w:space="0" w:color="auto"/>
            </w:tcBorders>
            <w:noWrap/>
            <w:vAlign w:val="center"/>
            <w:hideMark/>
          </w:tcPr>
          <w:p w14:paraId="20AB2A24"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19.9%</w:t>
            </w:r>
          </w:p>
        </w:tc>
        <w:tc>
          <w:tcPr>
            <w:tcW w:w="567" w:type="dxa"/>
            <w:tcBorders>
              <w:top w:val="nil"/>
              <w:left w:val="single" w:sz="4" w:space="0" w:color="auto"/>
              <w:bottom w:val="nil"/>
              <w:right w:val="nil"/>
            </w:tcBorders>
            <w:noWrap/>
            <w:vAlign w:val="center"/>
            <w:hideMark/>
          </w:tcPr>
          <w:p w14:paraId="617C5B60"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-0.79</w:t>
            </w:r>
          </w:p>
        </w:tc>
        <w:tc>
          <w:tcPr>
            <w:tcW w:w="1134" w:type="dxa"/>
            <w:noWrap/>
            <w:vAlign w:val="center"/>
            <w:hideMark/>
          </w:tcPr>
          <w:p w14:paraId="7ACA69D5"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(-1.21, -0.37)</w:t>
            </w:r>
          </w:p>
        </w:tc>
        <w:tc>
          <w:tcPr>
            <w:tcW w:w="708" w:type="dxa"/>
            <w:tcBorders>
              <w:top w:val="nil"/>
              <w:left w:val="nil"/>
              <w:bottom w:val="nil"/>
              <w:right w:val="single" w:sz="4" w:space="0" w:color="auto"/>
            </w:tcBorders>
            <w:noWrap/>
            <w:vAlign w:val="center"/>
            <w:hideMark/>
          </w:tcPr>
          <w:p w14:paraId="424B092A"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16.4%</w:t>
            </w:r>
          </w:p>
        </w:tc>
        <w:tc>
          <w:tcPr>
            <w:tcW w:w="567" w:type="dxa"/>
            <w:tcBorders>
              <w:top w:val="nil"/>
              <w:left w:val="single" w:sz="4" w:space="0" w:color="auto"/>
              <w:bottom w:val="nil"/>
              <w:right w:val="nil"/>
            </w:tcBorders>
            <w:noWrap/>
            <w:vAlign w:val="center"/>
            <w:hideMark/>
          </w:tcPr>
          <w:p w14:paraId="53AB629A"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-1.53</w:t>
            </w:r>
          </w:p>
        </w:tc>
        <w:tc>
          <w:tcPr>
            <w:tcW w:w="1134" w:type="dxa"/>
            <w:noWrap/>
            <w:vAlign w:val="center"/>
            <w:hideMark/>
          </w:tcPr>
          <w:p w14:paraId="70F29FAF"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(-2.16, -0.89)</w:t>
            </w:r>
          </w:p>
        </w:tc>
        <w:tc>
          <w:tcPr>
            <w:tcW w:w="709" w:type="dxa"/>
            <w:tcBorders>
              <w:top w:val="nil"/>
              <w:left w:val="nil"/>
              <w:bottom w:val="nil"/>
              <w:right w:val="single" w:sz="4" w:space="0" w:color="auto"/>
            </w:tcBorders>
            <w:noWrap/>
            <w:vAlign w:val="center"/>
            <w:hideMark/>
          </w:tcPr>
          <w:p w14:paraId="26E4F270"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13.0%</w:t>
            </w:r>
          </w:p>
        </w:tc>
        <w:tc>
          <w:tcPr>
            <w:tcW w:w="567" w:type="dxa"/>
            <w:tcBorders>
              <w:top w:val="nil"/>
              <w:left w:val="single" w:sz="4" w:space="0" w:color="auto"/>
              <w:bottom w:val="nil"/>
              <w:right w:val="nil"/>
            </w:tcBorders>
            <w:noWrap/>
            <w:vAlign w:val="center"/>
            <w:hideMark/>
          </w:tcPr>
          <w:p w14:paraId="383581E3"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-0.71</w:t>
            </w:r>
          </w:p>
        </w:tc>
        <w:tc>
          <w:tcPr>
            <w:tcW w:w="1134" w:type="dxa"/>
            <w:noWrap/>
            <w:vAlign w:val="center"/>
            <w:hideMark/>
          </w:tcPr>
          <w:p w14:paraId="77C4BB13"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(-1.09, -0.33)</w:t>
            </w:r>
          </w:p>
        </w:tc>
        <w:tc>
          <w:tcPr>
            <w:tcW w:w="709" w:type="dxa"/>
            <w:noWrap/>
            <w:vAlign w:val="center"/>
            <w:hideMark/>
          </w:tcPr>
          <w:p w14:paraId="5149D165"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87.8%</w:t>
            </w:r>
          </w:p>
        </w:tc>
      </w:tr>
      <w:tr w:rsidR="00F021B0" w14:paraId="6FAC4D84" w14:textId="77777777" w:rsidTr="00C54395">
        <w:trPr>
          <w:trHeight w:val="215"/>
        </w:trPr>
        <w:tc>
          <w:tcPr>
            <w:tcW w:w="0" w:type="auto"/>
            <w:gridSpan w:val="2"/>
            <w:vMerge/>
            <w:tcBorders>
              <w:top w:val="single" w:sz="4" w:space="0" w:color="auto"/>
              <w:left w:val="nil"/>
              <w:bottom w:val="single" w:sz="4" w:space="0" w:color="auto"/>
              <w:right w:val="nil"/>
            </w:tcBorders>
            <w:vAlign w:val="center"/>
            <w:hideMark/>
          </w:tcPr>
          <w:p w14:paraId="5EC1C362"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4A717F29"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7F282BB2"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w:t>
            </w:r>
          </w:p>
        </w:tc>
        <w:tc>
          <w:tcPr>
            <w:tcW w:w="1134" w:type="dxa"/>
            <w:noWrap/>
            <w:vAlign w:val="center"/>
            <w:hideMark/>
          </w:tcPr>
          <w:p w14:paraId="432149C5"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(-0.30, 0.08)</w:t>
            </w:r>
          </w:p>
        </w:tc>
        <w:tc>
          <w:tcPr>
            <w:tcW w:w="709" w:type="dxa"/>
            <w:tcBorders>
              <w:top w:val="nil"/>
              <w:left w:val="nil"/>
              <w:bottom w:val="nil"/>
              <w:right w:val="single" w:sz="4" w:space="0" w:color="auto"/>
            </w:tcBorders>
            <w:noWrap/>
            <w:vAlign w:val="center"/>
            <w:hideMark/>
          </w:tcPr>
          <w:p w14:paraId="6F17D904"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37.4%</w:t>
            </w:r>
          </w:p>
        </w:tc>
        <w:tc>
          <w:tcPr>
            <w:tcW w:w="567" w:type="dxa"/>
            <w:tcBorders>
              <w:top w:val="nil"/>
              <w:left w:val="single" w:sz="4" w:space="0" w:color="auto"/>
              <w:bottom w:val="nil"/>
              <w:right w:val="nil"/>
            </w:tcBorders>
            <w:noWrap/>
            <w:vAlign w:val="center"/>
            <w:hideMark/>
          </w:tcPr>
          <w:p w14:paraId="00ED4F1D"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-0.75</w:t>
            </w:r>
          </w:p>
        </w:tc>
        <w:tc>
          <w:tcPr>
            <w:tcW w:w="1134" w:type="dxa"/>
            <w:noWrap/>
            <w:vAlign w:val="center"/>
            <w:hideMark/>
          </w:tcPr>
          <w:p w14:paraId="2B00CB4D"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(-1.16, -0.33)</w:t>
            </w:r>
          </w:p>
        </w:tc>
        <w:tc>
          <w:tcPr>
            <w:tcW w:w="708" w:type="dxa"/>
            <w:tcBorders>
              <w:top w:val="nil"/>
              <w:left w:val="nil"/>
              <w:bottom w:val="nil"/>
              <w:right w:val="single" w:sz="4" w:space="0" w:color="auto"/>
            </w:tcBorders>
            <w:noWrap/>
            <w:vAlign w:val="center"/>
            <w:hideMark/>
          </w:tcPr>
          <w:p w14:paraId="5884128D"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34.2%</w:t>
            </w:r>
          </w:p>
        </w:tc>
        <w:tc>
          <w:tcPr>
            <w:tcW w:w="567" w:type="dxa"/>
            <w:tcBorders>
              <w:top w:val="nil"/>
              <w:left w:val="single" w:sz="4" w:space="0" w:color="auto"/>
              <w:bottom w:val="nil"/>
              <w:right w:val="nil"/>
            </w:tcBorders>
            <w:noWrap/>
            <w:vAlign w:val="center"/>
            <w:hideMark/>
          </w:tcPr>
          <w:p w14:paraId="5DC89ECC"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-1.56</w:t>
            </w:r>
          </w:p>
        </w:tc>
        <w:tc>
          <w:tcPr>
            <w:tcW w:w="1134" w:type="dxa"/>
            <w:noWrap/>
            <w:vAlign w:val="center"/>
            <w:hideMark/>
          </w:tcPr>
          <w:p w14:paraId="7480EC18"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(-2.26, -0.85)</w:t>
            </w:r>
          </w:p>
        </w:tc>
        <w:tc>
          <w:tcPr>
            <w:tcW w:w="709" w:type="dxa"/>
            <w:tcBorders>
              <w:top w:val="nil"/>
              <w:left w:val="nil"/>
              <w:bottom w:val="nil"/>
              <w:right w:val="single" w:sz="4" w:space="0" w:color="auto"/>
            </w:tcBorders>
            <w:noWrap/>
            <w:vAlign w:val="center"/>
            <w:hideMark/>
          </w:tcPr>
          <w:p w14:paraId="10EE5BD1"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28.5%</w:t>
            </w:r>
          </w:p>
        </w:tc>
        <w:tc>
          <w:tcPr>
            <w:tcW w:w="567" w:type="dxa"/>
            <w:tcBorders>
              <w:top w:val="nil"/>
              <w:left w:val="single" w:sz="4" w:space="0" w:color="auto"/>
              <w:bottom w:val="nil"/>
              <w:right w:val="nil"/>
            </w:tcBorders>
            <w:noWrap/>
            <w:vAlign w:val="center"/>
            <w:hideMark/>
          </w:tcPr>
          <w:p w14:paraId="2345279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-0.74</w:t>
            </w:r>
          </w:p>
        </w:tc>
        <w:tc>
          <w:tcPr>
            <w:tcW w:w="1134" w:type="dxa"/>
            <w:noWrap/>
            <w:vAlign w:val="center"/>
            <w:hideMark/>
          </w:tcPr>
          <w:p w14:paraId="2F0C63F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(-1.48, 0.00)</w:t>
            </w:r>
          </w:p>
        </w:tc>
        <w:tc>
          <w:tcPr>
            <w:tcW w:w="709" w:type="dxa"/>
            <w:noWrap/>
            <w:vAlign w:val="center"/>
            <w:hideMark/>
          </w:tcPr>
          <w:p w14:paraId="096480C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90.2%</w:t>
            </w:r>
          </w:p>
        </w:tc>
      </w:tr>
      <w:tr w:rsidR="00F021B0" w14:paraId="1A230EC1" w14:textId="77777777" w:rsidTr="00C54395">
        <w:trPr>
          <w:trHeight w:val="215"/>
        </w:trPr>
        <w:tc>
          <w:tcPr>
            <w:tcW w:w="2289" w:type="dxa"/>
            <w:gridSpan w:val="2"/>
            <w:vMerge w:val="restart"/>
            <w:tcBorders>
              <w:top w:val="single" w:sz="4" w:space="0" w:color="auto"/>
              <w:left w:val="nil"/>
              <w:bottom w:val="single" w:sz="4" w:space="0" w:color="auto"/>
              <w:right w:val="nil"/>
            </w:tcBorders>
            <w:noWrap/>
            <w:hideMark/>
          </w:tcPr>
          <w:p w14:paraId="4026C64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Birthplace/ethnicity</w:t>
            </w:r>
            <w:r>
              <w:rPr>
                <w:rFonts w:ascii="Calibri" w:eastAsia="Times New Roman" w:hAnsi="Calibri" w:cs="Calibri"/>
                <w:color w:val="000000"/>
                <w:sz w:val="18"/>
                <w:szCs w:val="18"/>
                <w:lang w:val="en-GB" w:eastAsia="en-GB"/>
              </w:rPr>
              <w:t xml:space="preserve"> (European-born/White)</w:t>
            </w:r>
          </w:p>
        </w:tc>
        <w:tc>
          <w:tcPr>
            <w:tcW w:w="463" w:type="dxa"/>
            <w:tcBorders>
              <w:top w:val="single" w:sz="4" w:space="0" w:color="auto"/>
              <w:left w:val="nil"/>
              <w:bottom w:val="nil"/>
              <w:right w:val="single" w:sz="4" w:space="0" w:color="auto"/>
            </w:tcBorders>
            <w:noWrap/>
            <w:vAlign w:val="center"/>
            <w:hideMark/>
          </w:tcPr>
          <w:p w14:paraId="2A90647C"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006BBDB8"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1.11</w:t>
            </w:r>
          </w:p>
        </w:tc>
        <w:tc>
          <w:tcPr>
            <w:tcW w:w="1134" w:type="dxa"/>
            <w:noWrap/>
            <w:vAlign w:val="center"/>
            <w:hideMark/>
          </w:tcPr>
          <w:p w14:paraId="4059F90F"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(0.75, 1.47)</w:t>
            </w:r>
          </w:p>
        </w:tc>
        <w:tc>
          <w:tcPr>
            <w:tcW w:w="709" w:type="dxa"/>
            <w:tcBorders>
              <w:top w:val="nil"/>
              <w:left w:val="nil"/>
              <w:bottom w:val="nil"/>
              <w:right w:val="single" w:sz="4" w:space="0" w:color="auto"/>
            </w:tcBorders>
            <w:noWrap/>
            <w:vAlign w:val="center"/>
            <w:hideMark/>
          </w:tcPr>
          <w:p w14:paraId="56B49DA6"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26.1%</w:t>
            </w:r>
          </w:p>
        </w:tc>
        <w:tc>
          <w:tcPr>
            <w:tcW w:w="567" w:type="dxa"/>
            <w:tcBorders>
              <w:top w:val="nil"/>
              <w:left w:val="single" w:sz="4" w:space="0" w:color="auto"/>
              <w:bottom w:val="nil"/>
              <w:right w:val="nil"/>
            </w:tcBorders>
            <w:noWrap/>
            <w:vAlign w:val="center"/>
            <w:hideMark/>
          </w:tcPr>
          <w:p w14:paraId="6A10CF8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0.94</w:t>
            </w:r>
          </w:p>
        </w:tc>
        <w:tc>
          <w:tcPr>
            <w:tcW w:w="1134" w:type="dxa"/>
            <w:noWrap/>
            <w:vAlign w:val="center"/>
            <w:hideMark/>
          </w:tcPr>
          <w:p w14:paraId="21F57EC7"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 1.91)</w:t>
            </w:r>
          </w:p>
        </w:tc>
        <w:tc>
          <w:tcPr>
            <w:tcW w:w="708" w:type="dxa"/>
            <w:tcBorders>
              <w:top w:val="nil"/>
              <w:left w:val="nil"/>
              <w:bottom w:val="nil"/>
              <w:right w:val="single" w:sz="4" w:space="0" w:color="auto"/>
            </w:tcBorders>
            <w:noWrap/>
            <w:vAlign w:val="center"/>
            <w:hideMark/>
          </w:tcPr>
          <w:p w14:paraId="620D55E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19.2%</w:t>
            </w:r>
          </w:p>
        </w:tc>
        <w:tc>
          <w:tcPr>
            <w:tcW w:w="2410" w:type="dxa"/>
            <w:gridSpan w:val="3"/>
            <w:tcBorders>
              <w:top w:val="nil"/>
              <w:left w:val="single" w:sz="4" w:space="0" w:color="auto"/>
              <w:bottom w:val="nil"/>
              <w:right w:val="single" w:sz="4" w:space="0" w:color="auto"/>
            </w:tcBorders>
            <w:noWrap/>
            <w:vAlign w:val="center"/>
            <w:hideMark/>
          </w:tcPr>
          <w:p w14:paraId="34A4A4C8" w14:textId="77777777" w:rsidR="00F021B0" w:rsidRDefault="00F021B0" w:rsidP="00C54395">
            <w:pPr>
              <w:spacing w:line="276" w:lineRule="auto"/>
              <w:rPr>
                <w:rFonts w:ascii="Calibri" w:eastAsia="Times New Roman" w:hAnsi="Calibri" w:cs="Calibri"/>
                <w:sz w:val="18"/>
                <w:szCs w:val="18"/>
                <w:lang w:val="en-GB" w:eastAsia="en-GB"/>
              </w:rPr>
            </w:pPr>
            <w:r>
              <w:rPr>
                <w:rFonts w:ascii="Calibri" w:eastAsia="Times New Roman" w:hAnsi="Calibri" w:cs="Calibri"/>
                <w:color w:val="000000"/>
                <w:sz w:val="18"/>
                <w:szCs w:val="18"/>
                <w:lang w:val="en-GB" w:eastAsia="en-GB"/>
              </w:rPr>
              <w:t>RC</w:t>
            </w:r>
          </w:p>
        </w:tc>
        <w:tc>
          <w:tcPr>
            <w:tcW w:w="567" w:type="dxa"/>
            <w:tcBorders>
              <w:top w:val="nil"/>
              <w:left w:val="single" w:sz="4" w:space="0" w:color="auto"/>
              <w:bottom w:val="nil"/>
              <w:right w:val="nil"/>
            </w:tcBorders>
            <w:noWrap/>
            <w:vAlign w:val="center"/>
            <w:hideMark/>
          </w:tcPr>
          <w:p w14:paraId="2B5252CA"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0.68</w:t>
            </w:r>
          </w:p>
        </w:tc>
        <w:tc>
          <w:tcPr>
            <w:tcW w:w="1134" w:type="dxa"/>
            <w:noWrap/>
            <w:vAlign w:val="center"/>
            <w:hideMark/>
          </w:tcPr>
          <w:p w14:paraId="103EE9D3"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1.45)</w:t>
            </w:r>
          </w:p>
        </w:tc>
        <w:tc>
          <w:tcPr>
            <w:tcW w:w="709" w:type="dxa"/>
            <w:noWrap/>
            <w:vAlign w:val="center"/>
            <w:hideMark/>
          </w:tcPr>
          <w:p w14:paraId="589D0058"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88.0%</w:t>
            </w:r>
          </w:p>
        </w:tc>
      </w:tr>
      <w:tr w:rsidR="00F021B0" w14:paraId="4A9B8AC6" w14:textId="77777777" w:rsidTr="00C54395">
        <w:trPr>
          <w:trHeight w:val="215"/>
        </w:trPr>
        <w:tc>
          <w:tcPr>
            <w:tcW w:w="0" w:type="auto"/>
            <w:gridSpan w:val="2"/>
            <w:vMerge/>
            <w:tcBorders>
              <w:top w:val="single" w:sz="4" w:space="0" w:color="auto"/>
              <w:left w:val="nil"/>
              <w:bottom w:val="single" w:sz="4" w:space="0" w:color="auto"/>
              <w:right w:val="nil"/>
            </w:tcBorders>
            <w:vAlign w:val="center"/>
            <w:hideMark/>
          </w:tcPr>
          <w:p w14:paraId="4DF9D356"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042D6030"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single" w:sz="4" w:space="0" w:color="auto"/>
              <w:right w:val="nil"/>
            </w:tcBorders>
            <w:noWrap/>
            <w:vAlign w:val="center"/>
            <w:hideMark/>
          </w:tcPr>
          <w:p w14:paraId="5BCFD20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1.09</w:t>
            </w:r>
          </w:p>
        </w:tc>
        <w:tc>
          <w:tcPr>
            <w:tcW w:w="1134" w:type="dxa"/>
            <w:tcBorders>
              <w:top w:val="nil"/>
              <w:left w:val="nil"/>
              <w:bottom w:val="single" w:sz="4" w:space="0" w:color="auto"/>
              <w:right w:val="nil"/>
            </w:tcBorders>
            <w:noWrap/>
            <w:vAlign w:val="center"/>
            <w:hideMark/>
          </w:tcPr>
          <w:p w14:paraId="4EB9200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(0.61, 1.57)</w:t>
            </w:r>
          </w:p>
        </w:tc>
        <w:tc>
          <w:tcPr>
            <w:tcW w:w="709" w:type="dxa"/>
            <w:tcBorders>
              <w:top w:val="nil"/>
              <w:left w:val="nil"/>
              <w:bottom w:val="single" w:sz="4" w:space="0" w:color="auto"/>
              <w:right w:val="single" w:sz="4" w:space="0" w:color="auto"/>
            </w:tcBorders>
            <w:noWrap/>
            <w:vAlign w:val="center"/>
            <w:hideMark/>
          </w:tcPr>
          <w:p w14:paraId="2F0F4D78"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80.6%</w:t>
            </w:r>
          </w:p>
        </w:tc>
        <w:tc>
          <w:tcPr>
            <w:tcW w:w="567" w:type="dxa"/>
            <w:tcBorders>
              <w:top w:val="nil"/>
              <w:left w:val="single" w:sz="4" w:space="0" w:color="auto"/>
              <w:bottom w:val="single" w:sz="4" w:space="0" w:color="auto"/>
              <w:right w:val="nil"/>
            </w:tcBorders>
            <w:noWrap/>
            <w:vAlign w:val="center"/>
            <w:hideMark/>
          </w:tcPr>
          <w:p w14:paraId="791BB7A7"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1.19</w:t>
            </w:r>
          </w:p>
        </w:tc>
        <w:tc>
          <w:tcPr>
            <w:tcW w:w="1134" w:type="dxa"/>
            <w:tcBorders>
              <w:top w:val="nil"/>
              <w:left w:val="nil"/>
              <w:bottom w:val="single" w:sz="4" w:space="0" w:color="auto"/>
              <w:right w:val="nil"/>
            </w:tcBorders>
            <w:noWrap/>
            <w:vAlign w:val="center"/>
            <w:hideMark/>
          </w:tcPr>
          <w:p w14:paraId="3761715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(0.21, 2.17)</w:t>
            </w:r>
          </w:p>
        </w:tc>
        <w:tc>
          <w:tcPr>
            <w:tcW w:w="708" w:type="dxa"/>
            <w:tcBorders>
              <w:top w:val="nil"/>
              <w:left w:val="nil"/>
              <w:bottom w:val="single" w:sz="4" w:space="0" w:color="auto"/>
              <w:right w:val="single" w:sz="4" w:space="0" w:color="auto"/>
            </w:tcBorders>
            <w:noWrap/>
            <w:vAlign w:val="center"/>
            <w:hideMark/>
          </w:tcPr>
          <w:p w14:paraId="3044D66A"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19.4%</w:t>
            </w:r>
          </w:p>
        </w:tc>
        <w:tc>
          <w:tcPr>
            <w:tcW w:w="2410" w:type="dxa"/>
            <w:gridSpan w:val="3"/>
            <w:tcBorders>
              <w:top w:val="nil"/>
              <w:left w:val="single" w:sz="4" w:space="0" w:color="auto"/>
              <w:bottom w:val="single" w:sz="4" w:space="0" w:color="auto"/>
              <w:right w:val="single" w:sz="4" w:space="0" w:color="auto"/>
            </w:tcBorders>
            <w:noWrap/>
            <w:vAlign w:val="center"/>
            <w:hideMark/>
          </w:tcPr>
          <w:p w14:paraId="5BE27DDE" w14:textId="77777777" w:rsidR="00F021B0" w:rsidRDefault="00F021B0" w:rsidP="00C54395">
            <w:pPr>
              <w:spacing w:line="276" w:lineRule="auto"/>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RC</w:t>
            </w:r>
          </w:p>
        </w:tc>
        <w:tc>
          <w:tcPr>
            <w:tcW w:w="567" w:type="dxa"/>
            <w:tcBorders>
              <w:top w:val="nil"/>
              <w:left w:val="single" w:sz="4" w:space="0" w:color="auto"/>
              <w:bottom w:val="single" w:sz="4" w:space="0" w:color="auto"/>
              <w:right w:val="nil"/>
            </w:tcBorders>
            <w:noWrap/>
            <w:vAlign w:val="center"/>
            <w:hideMark/>
          </w:tcPr>
          <w:p w14:paraId="1B0393EE"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1.11</w:t>
            </w:r>
          </w:p>
        </w:tc>
        <w:tc>
          <w:tcPr>
            <w:tcW w:w="1134" w:type="dxa"/>
            <w:tcBorders>
              <w:top w:val="nil"/>
              <w:left w:val="nil"/>
              <w:bottom w:val="single" w:sz="4" w:space="0" w:color="auto"/>
              <w:right w:val="nil"/>
            </w:tcBorders>
            <w:noWrap/>
            <w:vAlign w:val="center"/>
            <w:hideMark/>
          </w:tcPr>
          <w:p w14:paraId="734EC29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(0.68, 1.54)</w:t>
            </w:r>
          </w:p>
        </w:tc>
        <w:tc>
          <w:tcPr>
            <w:tcW w:w="709" w:type="dxa"/>
            <w:tcBorders>
              <w:top w:val="nil"/>
              <w:left w:val="nil"/>
              <w:bottom w:val="single" w:sz="4" w:space="0" w:color="auto"/>
              <w:right w:val="nil"/>
            </w:tcBorders>
            <w:noWrap/>
            <w:vAlign w:val="center"/>
            <w:hideMark/>
          </w:tcPr>
          <w:p w14:paraId="2F8CE0DF"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F021B0" w14:paraId="2BABFC17" w14:textId="77777777" w:rsidTr="00C54395">
        <w:trPr>
          <w:trHeight w:val="203"/>
        </w:trPr>
        <w:tc>
          <w:tcPr>
            <w:tcW w:w="12328" w:type="dxa"/>
            <w:gridSpan w:val="15"/>
            <w:tcBorders>
              <w:top w:val="single" w:sz="4" w:space="0" w:color="auto"/>
              <w:left w:val="nil"/>
              <w:bottom w:val="single" w:sz="4" w:space="0" w:color="auto"/>
              <w:right w:val="nil"/>
            </w:tcBorders>
            <w:shd w:val="clear" w:color="auto" w:fill="D9D9D9" w:themeFill="background1" w:themeFillShade="D9"/>
            <w:noWrap/>
            <w:vAlign w:val="center"/>
            <w:hideMark/>
          </w:tcPr>
          <w:p w14:paraId="4C27BDDF" w14:textId="559F95A4" w:rsidR="00F021B0" w:rsidRDefault="00F021B0" w:rsidP="00C54395">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 xml:space="preserve">Maternal health and behavioural </w:t>
            </w:r>
            <w:r w:rsidR="00F37692">
              <w:rPr>
                <w:rFonts w:ascii="Calibri" w:eastAsia="Times New Roman" w:hAnsi="Calibri" w:cs="Calibri"/>
                <w:b/>
                <w:color w:val="000000"/>
                <w:sz w:val="20"/>
                <w:szCs w:val="20"/>
                <w:lang w:val="en-GB" w:eastAsia="en-GB"/>
              </w:rPr>
              <w:t>predic</w:t>
            </w:r>
            <w:r>
              <w:rPr>
                <w:rFonts w:ascii="Calibri" w:eastAsia="Times New Roman" w:hAnsi="Calibri" w:cs="Calibri"/>
                <w:b/>
                <w:color w:val="000000"/>
                <w:sz w:val="20"/>
                <w:szCs w:val="20"/>
                <w:lang w:val="en-GB" w:eastAsia="en-GB"/>
              </w:rPr>
              <w:t>tors</w:t>
            </w:r>
          </w:p>
        </w:tc>
      </w:tr>
      <w:tr w:rsidR="00755DCE" w14:paraId="166757FA" w14:textId="77777777" w:rsidTr="00F5229F">
        <w:trPr>
          <w:trHeight w:val="215"/>
        </w:trPr>
        <w:tc>
          <w:tcPr>
            <w:tcW w:w="1276" w:type="dxa"/>
            <w:vMerge w:val="restart"/>
            <w:tcBorders>
              <w:top w:val="single" w:sz="4" w:space="0" w:color="auto"/>
              <w:left w:val="nil"/>
              <w:bottom w:val="single" w:sz="4" w:space="0" w:color="auto"/>
              <w:right w:val="nil"/>
            </w:tcBorders>
            <w:noWrap/>
            <w:hideMark/>
          </w:tcPr>
          <w:p w14:paraId="7FF2BD4B" w14:textId="77777777" w:rsidR="00755DCE" w:rsidRDefault="00755DCE"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Pre-pregnancy BMI</w:t>
            </w:r>
            <w:r>
              <w:rPr>
                <w:rFonts w:ascii="Calibri" w:eastAsia="Times New Roman" w:hAnsi="Calibri" w:cs="Calibri"/>
                <w:color w:val="000000"/>
                <w:sz w:val="18"/>
                <w:szCs w:val="18"/>
                <w:lang w:val="en-GB" w:eastAsia="en-GB"/>
              </w:rPr>
              <w:t xml:space="preserve"> (Normal)</w:t>
            </w:r>
          </w:p>
        </w:tc>
        <w:tc>
          <w:tcPr>
            <w:tcW w:w="1013" w:type="dxa"/>
            <w:vMerge w:val="restart"/>
            <w:tcBorders>
              <w:top w:val="single" w:sz="4" w:space="0" w:color="auto"/>
              <w:left w:val="nil"/>
              <w:right w:val="nil"/>
            </w:tcBorders>
            <w:noWrap/>
            <w:vAlign w:val="center"/>
            <w:hideMark/>
          </w:tcPr>
          <w:p w14:paraId="1E54D64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Underweight</w:t>
            </w:r>
          </w:p>
        </w:tc>
        <w:tc>
          <w:tcPr>
            <w:tcW w:w="463" w:type="dxa"/>
            <w:tcBorders>
              <w:top w:val="single" w:sz="4" w:space="0" w:color="auto"/>
              <w:left w:val="nil"/>
              <w:bottom w:val="nil"/>
              <w:right w:val="single" w:sz="4" w:space="0" w:color="auto"/>
            </w:tcBorders>
            <w:noWrap/>
            <w:vAlign w:val="center"/>
            <w:hideMark/>
          </w:tcPr>
          <w:p w14:paraId="37ACB77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single" w:sz="4" w:space="0" w:color="auto"/>
              <w:left w:val="single" w:sz="4" w:space="0" w:color="auto"/>
              <w:bottom w:val="nil"/>
              <w:right w:val="nil"/>
            </w:tcBorders>
            <w:noWrap/>
            <w:vAlign w:val="center"/>
            <w:hideMark/>
          </w:tcPr>
          <w:p w14:paraId="7806EBA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0.61</w:t>
            </w:r>
          </w:p>
        </w:tc>
        <w:tc>
          <w:tcPr>
            <w:tcW w:w="1134" w:type="dxa"/>
            <w:tcBorders>
              <w:top w:val="single" w:sz="4" w:space="0" w:color="auto"/>
              <w:left w:val="nil"/>
              <w:bottom w:val="nil"/>
              <w:right w:val="nil"/>
            </w:tcBorders>
            <w:noWrap/>
            <w:vAlign w:val="center"/>
            <w:hideMark/>
          </w:tcPr>
          <w:p w14:paraId="3C8B51F1"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(0.38, 0.85)</w:t>
            </w:r>
          </w:p>
        </w:tc>
        <w:tc>
          <w:tcPr>
            <w:tcW w:w="709" w:type="dxa"/>
            <w:tcBorders>
              <w:top w:val="single" w:sz="4" w:space="0" w:color="auto"/>
              <w:left w:val="nil"/>
              <w:bottom w:val="nil"/>
              <w:right w:val="single" w:sz="4" w:space="0" w:color="auto"/>
            </w:tcBorders>
            <w:noWrap/>
            <w:vAlign w:val="center"/>
            <w:hideMark/>
          </w:tcPr>
          <w:p w14:paraId="47D3502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23.3%</w:t>
            </w:r>
          </w:p>
        </w:tc>
        <w:tc>
          <w:tcPr>
            <w:tcW w:w="567" w:type="dxa"/>
            <w:tcBorders>
              <w:top w:val="single" w:sz="4" w:space="0" w:color="auto"/>
              <w:left w:val="single" w:sz="4" w:space="0" w:color="auto"/>
              <w:bottom w:val="nil"/>
              <w:right w:val="nil"/>
            </w:tcBorders>
            <w:noWrap/>
            <w:vAlign w:val="center"/>
            <w:hideMark/>
          </w:tcPr>
          <w:p w14:paraId="10B704EC"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-0.91</w:t>
            </w:r>
          </w:p>
        </w:tc>
        <w:tc>
          <w:tcPr>
            <w:tcW w:w="1134" w:type="dxa"/>
            <w:tcBorders>
              <w:top w:val="single" w:sz="4" w:space="0" w:color="auto"/>
              <w:left w:val="nil"/>
              <w:bottom w:val="nil"/>
              <w:right w:val="nil"/>
            </w:tcBorders>
            <w:noWrap/>
            <w:vAlign w:val="center"/>
            <w:hideMark/>
          </w:tcPr>
          <w:p w14:paraId="584484E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(-1.61, -0.20)</w:t>
            </w:r>
          </w:p>
        </w:tc>
        <w:tc>
          <w:tcPr>
            <w:tcW w:w="708" w:type="dxa"/>
            <w:tcBorders>
              <w:top w:val="single" w:sz="4" w:space="0" w:color="auto"/>
              <w:left w:val="nil"/>
              <w:bottom w:val="nil"/>
              <w:right w:val="single" w:sz="4" w:space="0" w:color="auto"/>
            </w:tcBorders>
            <w:noWrap/>
            <w:vAlign w:val="center"/>
            <w:hideMark/>
          </w:tcPr>
          <w:p w14:paraId="57ABBAC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18.5%</w:t>
            </w:r>
          </w:p>
        </w:tc>
        <w:tc>
          <w:tcPr>
            <w:tcW w:w="567" w:type="dxa"/>
            <w:tcBorders>
              <w:top w:val="single" w:sz="4" w:space="0" w:color="auto"/>
              <w:left w:val="single" w:sz="4" w:space="0" w:color="auto"/>
              <w:bottom w:val="nil"/>
              <w:right w:val="nil"/>
            </w:tcBorders>
            <w:noWrap/>
            <w:vAlign w:val="center"/>
            <w:hideMark/>
          </w:tcPr>
          <w:p w14:paraId="722A5AB5"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-0.77</w:t>
            </w:r>
          </w:p>
        </w:tc>
        <w:tc>
          <w:tcPr>
            <w:tcW w:w="1134" w:type="dxa"/>
            <w:tcBorders>
              <w:top w:val="single" w:sz="4" w:space="0" w:color="auto"/>
              <w:left w:val="nil"/>
              <w:bottom w:val="nil"/>
              <w:right w:val="nil"/>
            </w:tcBorders>
            <w:noWrap/>
            <w:vAlign w:val="center"/>
            <w:hideMark/>
          </w:tcPr>
          <w:p w14:paraId="5DE6C4D8"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(-2.42, 0.88)</w:t>
            </w:r>
          </w:p>
        </w:tc>
        <w:tc>
          <w:tcPr>
            <w:tcW w:w="709" w:type="dxa"/>
            <w:tcBorders>
              <w:top w:val="single" w:sz="4" w:space="0" w:color="auto"/>
              <w:left w:val="nil"/>
              <w:bottom w:val="nil"/>
              <w:right w:val="single" w:sz="4" w:space="0" w:color="auto"/>
            </w:tcBorders>
            <w:noWrap/>
            <w:vAlign w:val="center"/>
            <w:hideMark/>
          </w:tcPr>
          <w:p w14:paraId="791A6C4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9.1%</w:t>
            </w:r>
          </w:p>
        </w:tc>
        <w:tc>
          <w:tcPr>
            <w:tcW w:w="567" w:type="dxa"/>
            <w:tcBorders>
              <w:top w:val="single" w:sz="4" w:space="0" w:color="auto"/>
              <w:left w:val="single" w:sz="4" w:space="0" w:color="auto"/>
              <w:bottom w:val="nil"/>
              <w:right w:val="nil"/>
            </w:tcBorders>
            <w:noWrap/>
            <w:vAlign w:val="center"/>
            <w:hideMark/>
          </w:tcPr>
          <w:p w14:paraId="05B9E46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w:t>
            </w:r>
          </w:p>
        </w:tc>
        <w:tc>
          <w:tcPr>
            <w:tcW w:w="1134" w:type="dxa"/>
            <w:tcBorders>
              <w:top w:val="single" w:sz="4" w:space="0" w:color="auto"/>
              <w:left w:val="nil"/>
              <w:bottom w:val="nil"/>
              <w:right w:val="nil"/>
            </w:tcBorders>
            <w:noWrap/>
            <w:vAlign w:val="center"/>
            <w:hideMark/>
          </w:tcPr>
          <w:p w14:paraId="477AEA0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(-0.82, 0.43)</w:t>
            </w:r>
          </w:p>
        </w:tc>
        <w:tc>
          <w:tcPr>
            <w:tcW w:w="709" w:type="dxa"/>
            <w:tcBorders>
              <w:top w:val="single" w:sz="4" w:space="0" w:color="auto"/>
              <w:left w:val="nil"/>
              <w:bottom w:val="nil"/>
              <w:right w:val="nil"/>
            </w:tcBorders>
            <w:noWrap/>
            <w:vAlign w:val="center"/>
            <w:hideMark/>
          </w:tcPr>
          <w:p w14:paraId="5171D0E2"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76.2%</w:t>
            </w:r>
          </w:p>
        </w:tc>
      </w:tr>
      <w:tr w:rsidR="00755DCE" w14:paraId="2CF9277B"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15A6DE8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3DB47AB3"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4FD3F6B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11AC0A6C"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0.70</w:t>
            </w:r>
          </w:p>
        </w:tc>
        <w:tc>
          <w:tcPr>
            <w:tcW w:w="1134" w:type="dxa"/>
            <w:noWrap/>
            <w:vAlign w:val="center"/>
            <w:hideMark/>
          </w:tcPr>
          <w:p w14:paraId="1018791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(0.42, 0.98)</w:t>
            </w:r>
          </w:p>
        </w:tc>
        <w:tc>
          <w:tcPr>
            <w:tcW w:w="709" w:type="dxa"/>
            <w:tcBorders>
              <w:top w:val="nil"/>
              <w:left w:val="nil"/>
              <w:bottom w:val="nil"/>
              <w:right w:val="single" w:sz="4" w:space="0" w:color="auto"/>
            </w:tcBorders>
            <w:noWrap/>
            <w:vAlign w:val="center"/>
            <w:hideMark/>
          </w:tcPr>
          <w:p w14:paraId="15EA7FD6"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42.1%</w:t>
            </w:r>
          </w:p>
        </w:tc>
        <w:tc>
          <w:tcPr>
            <w:tcW w:w="567" w:type="dxa"/>
            <w:tcBorders>
              <w:top w:val="nil"/>
              <w:left w:val="single" w:sz="4" w:space="0" w:color="auto"/>
              <w:bottom w:val="nil"/>
              <w:right w:val="nil"/>
            </w:tcBorders>
            <w:noWrap/>
            <w:vAlign w:val="center"/>
            <w:hideMark/>
          </w:tcPr>
          <w:p w14:paraId="603700B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-0.83</w:t>
            </w:r>
          </w:p>
        </w:tc>
        <w:tc>
          <w:tcPr>
            <w:tcW w:w="1134" w:type="dxa"/>
            <w:noWrap/>
            <w:vAlign w:val="center"/>
            <w:hideMark/>
          </w:tcPr>
          <w:p w14:paraId="392373B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(-1.53, -0.13)</w:t>
            </w:r>
          </w:p>
        </w:tc>
        <w:tc>
          <w:tcPr>
            <w:tcW w:w="708" w:type="dxa"/>
            <w:tcBorders>
              <w:top w:val="nil"/>
              <w:left w:val="nil"/>
              <w:bottom w:val="nil"/>
              <w:right w:val="single" w:sz="4" w:space="0" w:color="auto"/>
            </w:tcBorders>
            <w:noWrap/>
            <w:vAlign w:val="center"/>
            <w:hideMark/>
          </w:tcPr>
          <w:p w14:paraId="201B7B1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37.9%</w:t>
            </w:r>
          </w:p>
        </w:tc>
        <w:tc>
          <w:tcPr>
            <w:tcW w:w="567" w:type="dxa"/>
            <w:tcBorders>
              <w:top w:val="nil"/>
              <w:left w:val="single" w:sz="4" w:space="0" w:color="auto"/>
              <w:bottom w:val="nil"/>
              <w:right w:val="nil"/>
            </w:tcBorders>
            <w:noWrap/>
            <w:vAlign w:val="center"/>
            <w:hideMark/>
          </w:tcPr>
          <w:p w14:paraId="594DF6F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1F09861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(-2.15, 1.90)</w:t>
            </w:r>
          </w:p>
        </w:tc>
        <w:tc>
          <w:tcPr>
            <w:tcW w:w="709" w:type="dxa"/>
            <w:tcBorders>
              <w:top w:val="nil"/>
              <w:left w:val="nil"/>
              <w:bottom w:val="nil"/>
              <w:right w:val="single" w:sz="4" w:space="0" w:color="auto"/>
            </w:tcBorders>
            <w:noWrap/>
            <w:vAlign w:val="center"/>
            <w:hideMark/>
          </w:tcPr>
          <w:p w14:paraId="4B698741"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20.0%</w:t>
            </w:r>
          </w:p>
        </w:tc>
        <w:tc>
          <w:tcPr>
            <w:tcW w:w="567" w:type="dxa"/>
            <w:tcBorders>
              <w:top w:val="nil"/>
              <w:left w:val="single" w:sz="4" w:space="0" w:color="auto"/>
              <w:bottom w:val="nil"/>
              <w:right w:val="nil"/>
            </w:tcBorders>
            <w:noWrap/>
            <w:vAlign w:val="center"/>
            <w:hideMark/>
          </w:tcPr>
          <w:p w14:paraId="2A76A839"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-0.05</w:t>
            </w:r>
          </w:p>
        </w:tc>
        <w:tc>
          <w:tcPr>
            <w:tcW w:w="1134" w:type="dxa"/>
            <w:noWrap/>
            <w:vAlign w:val="center"/>
            <w:hideMark/>
          </w:tcPr>
          <w:p w14:paraId="252063DB"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(-1.29, 1.20)</w:t>
            </w:r>
          </w:p>
        </w:tc>
        <w:tc>
          <w:tcPr>
            <w:tcW w:w="709" w:type="dxa"/>
            <w:noWrap/>
            <w:vAlign w:val="center"/>
            <w:hideMark/>
          </w:tcPr>
          <w:p w14:paraId="66A3978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87.6%</w:t>
            </w:r>
          </w:p>
        </w:tc>
      </w:tr>
      <w:tr w:rsidR="00755DCE" w14:paraId="47703546"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6D6C62D0"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7217AA30"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Overweight</w:t>
            </w:r>
          </w:p>
        </w:tc>
        <w:tc>
          <w:tcPr>
            <w:tcW w:w="463" w:type="dxa"/>
            <w:tcBorders>
              <w:top w:val="single" w:sz="4" w:space="0" w:color="auto"/>
              <w:left w:val="nil"/>
              <w:bottom w:val="nil"/>
              <w:right w:val="single" w:sz="4" w:space="0" w:color="auto"/>
            </w:tcBorders>
            <w:noWrap/>
            <w:vAlign w:val="center"/>
            <w:hideMark/>
          </w:tcPr>
          <w:p w14:paraId="10E8F18C"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53872FF2"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w:t>
            </w:r>
          </w:p>
        </w:tc>
        <w:tc>
          <w:tcPr>
            <w:tcW w:w="1134" w:type="dxa"/>
            <w:noWrap/>
            <w:vAlign w:val="center"/>
            <w:hideMark/>
          </w:tcPr>
          <w:p w14:paraId="0447379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(-0.89, -0.46)</w:t>
            </w:r>
          </w:p>
        </w:tc>
        <w:tc>
          <w:tcPr>
            <w:tcW w:w="709" w:type="dxa"/>
            <w:tcBorders>
              <w:top w:val="nil"/>
              <w:left w:val="nil"/>
              <w:bottom w:val="nil"/>
              <w:right w:val="single" w:sz="4" w:space="0" w:color="auto"/>
            </w:tcBorders>
            <w:noWrap/>
            <w:vAlign w:val="center"/>
            <w:hideMark/>
          </w:tcPr>
          <w:p w14:paraId="3B2BC20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20.3%</w:t>
            </w:r>
          </w:p>
        </w:tc>
        <w:tc>
          <w:tcPr>
            <w:tcW w:w="567" w:type="dxa"/>
            <w:tcBorders>
              <w:top w:val="nil"/>
              <w:left w:val="single" w:sz="4" w:space="0" w:color="auto"/>
              <w:bottom w:val="nil"/>
              <w:right w:val="nil"/>
            </w:tcBorders>
            <w:noWrap/>
            <w:vAlign w:val="center"/>
            <w:hideMark/>
          </w:tcPr>
          <w:p w14:paraId="18BEF576"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noWrap/>
            <w:vAlign w:val="center"/>
            <w:hideMark/>
          </w:tcPr>
          <w:p w14:paraId="70DB79D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(-0.59, 0.43)</w:t>
            </w:r>
          </w:p>
        </w:tc>
        <w:tc>
          <w:tcPr>
            <w:tcW w:w="708" w:type="dxa"/>
            <w:tcBorders>
              <w:top w:val="nil"/>
              <w:left w:val="nil"/>
              <w:bottom w:val="nil"/>
              <w:right w:val="single" w:sz="4" w:space="0" w:color="auto"/>
            </w:tcBorders>
            <w:noWrap/>
            <w:vAlign w:val="center"/>
            <w:hideMark/>
          </w:tcPr>
          <w:p w14:paraId="2EDD51D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13.9%</w:t>
            </w:r>
          </w:p>
        </w:tc>
        <w:tc>
          <w:tcPr>
            <w:tcW w:w="567" w:type="dxa"/>
            <w:tcBorders>
              <w:top w:val="nil"/>
              <w:left w:val="single" w:sz="4" w:space="0" w:color="auto"/>
              <w:bottom w:val="nil"/>
              <w:right w:val="nil"/>
            </w:tcBorders>
            <w:noWrap/>
            <w:vAlign w:val="center"/>
            <w:hideMark/>
          </w:tcPr>
          <w:p w14:paraId="7B999C5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w:t>
            </w:r>
          </w:p>
        </w:tc>
        <w:tc>
          <w:tcPr>
            <w:tcW w:w="1134" w:type="dxa"/>
            <w:noWrap/>
            <w:vAlign w:val="center"/>
            <w:hideMark/>
          </w:tcPr>
          <w:p w14:paraId="4F0EA8E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(-0.90, 0.53)</w:t>
            </w:r>
          </w:p>
        </w:tc>
        <w:tc>
          <w:tcPr>
            <w:tcW w:w="709" w:type="dxa"/>
            <w:tcBorders>
              <w:top w:val="nil"/>
              <w:left w:val="nil"/>
              <w:bottom w:val="nil"/>
              <w:right w:val="single" w:sz="4" w:space="0" w:color="auto"/>
            </w:tcBorders>
            <w:noWrap/>
            <w:vAlign w:val="center"/>
            <w:hideMark/>
          </w:tcPr>
          <w:p w14:paraId="0072082D"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10.1%</w:t>
            </w:r>
          </w:p>
        </w:tc>
        <w:tc>
          <w:tcPr>
            <w:tcW w:w="567" w:type="dxa"/>
            <w:tcBorders>
              <w:top w:val="nil"/>
              <w:left w:val="single" w:sz="4" w:space="0" w:color="auto"/>
              <w:bottom w:val="nil"/>
              <w:right w:val="nil"/>
            </w:tcBorders>
            <w:noWrap/>
            <w:vAlign w:val="center"/>
            <w:hideMark/>
          </w:tcPr>
          <w:p w14:paraId="31B0558E"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w:t>
            </w:r>
          </w:p>
        </w:tc>
        <w:tc>
          <w:tcPr>
            <w:tcW w:w="1134" w:type="dxa"/>
            <w:noWrap/>
            <w:vAlign w:val="center"/>
            <w:hideMark/>
          </w:tcPr>
          <w:p w14:paraId="54CEECB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(-0.49, 0.12)</w:t>
            </w:r>
          </w:p>
        </w:tc>
        <w:tc>
          <w:tcPr>
            <w:tcW w:w="709" w:type="dxa"/>
            <w:noWrap/>
            <w:vAlign w:val="center"/>
            <w:hideMark/>
          </w:tcPr>
          <w:p w14:paraId="215B524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71.8%</w:t>
            </w:r>
          </w:p>
        </w:tc>
      </w:tr>
      <w:tr w:rsidR="00755DCE" w14:paraId="105F3DB0"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6B8A336"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645A0DDB"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6DD2701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3D22DA8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w:t>
            </w:r>
          </w:p>
        </w:tc>
        <w:tc>
          <w:tcPr>
            <w:tcW w:w="1134" w:type="dxa"/>
            <w:noWrap/>
            <w:vAlign w:val="center"/>
            <w:hideMark/>
          </w:tcPr>
          <w:p w14:paraId="7D27360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(-0.93, -0.41)</w:t>
            </w:r>
          </w:p>
        </w:tc>
        <w:tc>
          <w:tcPr>
            <w:tcW w:w="709" w:type="dxa"/>
            <w:tcBorders>
              <w:top w:val="nil"/>
              <w:left w:val="nil"/>
              <w:bottom w:val="nil"/>
              <w:right w:val="single" w:sz="4" w:space="0" w:color="auto"/>
            </w:tcBorders>
            <w:noWrap/>
            <w:vAlign w:val="center"/>
            <w:hideMark/>
          </w:tcPr>
          <w:p w14:paraId="645180F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43.5%</w:t>
            </w:r>
          </w:p>
        </w:tc>
        <w:tc>
          <w:tcPr>
            <w:tcW w:w="567" w:type="dxa"/>
            <w:tcBorders>
              <w:top w:val="nil"/>
              <w:left w:val="single" w:sz="4" w:space="0" w:color="auto"/>
              <w:bottom w:val="nil"/>
              <w:right w:val="nil"/>
            </w:tcBorders>
            <w:noWrap/>
            <w:vAlign w:val="center"/>
            <w:hideMark/>
          </w:tcPr>
          <w:p w14:paraId="25CD617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0.00</w:t>
            </w:r>
          </w:p>
        </w:tc>
        <w:tc>
          <w:tcPr>
            <w:tcW w:w="1134" w:type="dxa"/>
            <w:noWrap/>
            <w:vAlign w:val="center"/>
            <w:hideMark/>
          </w:tcPr>
          <w:p w14:paraId="5320F4FC"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(-0.50, 0.51)</w:t>
            </w:r>
          </w:p>
        </w:tc>
        <w:tc>
          <w:tcPr>
            <w:tcW w:w="708" w:type="dxa"/>
            <w:tcBorders>
              <w:top w:val="nil"/>
              <w:left w:val="nil"/>
              <w:bottom w:val="nil"/>
              <w:right w:val="single" w:sz="4" w:space="0" w:color="auto"/>
            </w:tcBorders>
            <w:noWrap/>
            <w:vAlign w:val="center"/>
            <w:hideMark/>
          </w:tcPr>
          <w:p w14:paraId="326350D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33.3%</w:t>
            </w:r>
          </w:p>
        </w:tc>
        <w:tc>
          <w:tcPr>
            <w:tcW w:w="567" w:type="dxa"/>
            <w:tcBorders>
              <w:top w:val="nil"/>
              <w:left w:val="single" w:sz="4" w:space="0" w:color="auto"/>
              <w:bottom w:val="nil"/>
              <w:right w:val="nil"/>
            </w:tcBorders>
            <w:noWrap/>
            <w:vAlign w:val="center"/>
            <w:hideMark/>
          </w:tcPr>
          <w:p w14:paraId="272069F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w:t>
            </w:r>
          </w:p>
        </w:tc>
        <w:tc>
          <w:tcPr>
            <w:tcW w:w="1134" w:type="dxa"/>
            <w:noWrap/>
            <w:vAlign w:val="center"/>
            <w:hideMark/>
          </w:tcPr>
          <w:p w14:paraId="218F301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(-0.83, 0.71)</w:t>
            </w:r>
          </w:p>
        </w:tc>
        <w:tc>
          <w:tcPr>
            <w:tcW w:w="709" w:type="dxa"/>
            <w:tcBorders>
              <w:top w:val="nil"/>
              <w:left w:val="nil"/>
              <w:bottom w:val="nil"/>
              <w:right w:val="single" w:sz="4" w:space="0" w:color="auto"/>
            </w:tcBorders>
            <w:noWrap/>
            <w:vAlign w:val="center"/>
            <w:hideMark/>
          </w:tcPr>
          <w:p w14:paraId="0D34644F"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23.2%</w:t>
            </w:r>
          </w:p>
        </w:tc>
        <w:tc>
          <w:tcPr>
            <w:tcW w:w="567" w:type="dxa"/>
            <w:tcBorders>
              <w:top w:val="nil"/>
              <w:left w:val="single" w:sz="4" w:space="0" w:color="auto"/>
              <w:bottom w:val="nil"/>
              <w:right w:val="nil"/>
            </w:tcBorders>
            <w:noWrap/>
            <w:vAlign w:val="center"/>
            <w:hideMark/>
          </w:tcPr>
          <w:p w14:paraId="2DF8D389"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-0.30</w:t>
            </w:r>
          </w:p>
        </w:tc>
        <w:tc>
          <w:tcPr>
            <w:tcW w:w="1134" w:type="dxa"/>
            <w:noWrap/>
            <w:vAlign w:val="center"/>
            <w:hideMark/>
          </w:tcPr>
          <w:p w14:paraId="3DD8086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(-0.82, 0.21)</w:t>
            </w:r>
          </w:p>
        </w:tc>
        <w:tc>
          <w:tcPr>
            <w:tcW w:w="709" w:type="dxa"/>
            <w:noWrap/>
            <w:vAlign w:val="center"/>
            <w:hideMark/>
          </w:tcPr>
          <w:p w14:paraId="23C67ABC"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70.4%</w:t>
            </w:r>
          </w:p>
        </w:tc>
      </w:tr>
      <w:tr w:rsidR="00755DCE" w14:paraId="2D35907C"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0CE560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76C793F2"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Obesity</w:t>
            </w:r>
          </w:p>
        </w:tc>
        <w:tc>
          <w:tcPr>
            <w:tcW w:w="463" w:type="dxa"/>
            <w:tcBorders>
              <w:top w:val="single" w:sz="4" w:space="0" w:color="auto"/>
              <w:left w:val="nil"/>
              <w:bottom w:val="nil"/>
              <w:right w:val="single" w:sz="4" w:space="0" w:color="auto"/>
            </w:tcBorders>
            <w:noWrap/>
            <w:vAlign w:val="center"/>
            <w:hideMark/>
          </w:tcPr>
          <w:p w14:paraId="6183B4B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14B85F1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-1.13</w:t>
            </w:r>
          </w:p>
        </w:tc>
        <w:tc>
          <w:tcPr>
            <w:tcW w:w="1134" w:type="dxa"/>
            <w:noWrap/>
            <w:vAlign w:val="center"/>
            <w:hideMark/>
          </w:tcPr>
          <w:p w14:paraId="0024DF4F"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(-1.43, -0.82)</w:t>
            </w:r>
          </w:p>
        </w:tc>
        <w:tc>
          <w:tcPr>
            <w:tcW w:w="709" w:type="dxa"/>
            <w:tcBorders>
              <w:top w:val="nil"/>
              <w:left w:val="nil"/>
              <w:bottom w:val="nil"/>
              <w:right w:val="single" w:sz="4" w:space="0" w:color="auto"/>
            </w:tcBorders>
            <w:noWrap/>
            <w:vAlign w:val="center"/>
            <w:hideMark/>
          </w:tcPr>
          <w:p w14:paraId="2197870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22.0%</w:t>
            </w:r>
          </w:p>
        </w:tc>
        <w:tc>
          <w:tcPr>
            <w:tcW w:w="567" w:type="dxa"/>
            <w:tcBorders>
              <w:top w:val="nil"/>
              <w:left w:val="single" w:sz="4" w:space="0" w:color="auto"/>
              <w:bottom w:val="nil"/>
              <w:right w:val="nil"/>
            </w:tcBorders>
            <w:noWrap/>
            <w:vAlign w:val="center"/>
            <w:hideMark/>
          </w:tcPr>
          <w:p w14:paraId="4D2413A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-0.29</w:t>
            </w:r>
          </w:p>
        </w:tc>
        <w:tc>
          <w:tcPr>
            <w:tcW w:w="1134" w:type="dxa"/>
            <w:noWrap/>
            <w:vAlign w:val="center"/>
            <w:hideMark/>
          </w:tcPr>
          <w:p w14:paraId="7C11C18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(-0.99, 0.41)</w:t>
            </w:r>
          </w:p>
        </w:tc>
        <w:tc>
          <w:tcPr>
            <w:tcW w:w="708" w:type="dxa"/>
            <w:tcBorders>
              <w:top w:val="nil"/>
              <w:left w:val="nil"/>
              <w:bottom w:val="nil"/>
              <w:right w:val="single" w:sz="4" w:space="0" w:color="auto"/>
            </w:tcBorders>
            <w:noWrap/>
            <w:vAlign w:val="center"/>
            <w:hideMark/>
          </w:tcPr>
          <w:p w14:paraId="503B5C05"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13.9%</w:t>
            </w:r>
          </w:p>
        </w:tc>
        <w:tc>
          <w:tcPr>
            <w:tcW w:w="567" w:type="dxa"/>
            <w:tcBorders>
              <w:top w:val="nil"/>
              <w:left w:val="single" w:sz="4" w:space="0" w:color="auto"/>
              <w:bottom w:val="nil"/>
              <w:right w:val="nil"/>
            </w:tcBorders>
            <w:noWrap/>
            <w:vAlign w:val="center"/>
            <w:hideMark/>
          </w:tcPr>
          <w:p w14:paraId="10461A5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6C6D2C0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(-1.17, 0.90)</w:t>
            </w:r>
          </w:p>
        </w:tc>
        <w:tc>
          <w:tcPr>
            <w:tcW w:w="709" w:type="dxa"/>
            <w:tcBorders>
              <w:top w:val="nil"/>
              <w:left w:val="nil"/>
              <w:bottom w:val="nil"/>
              <w:right w:val="single" w:sz="4" w:space="0" w:color="auto"/>
            </w:tcBorders>
            <w:noWrap/>
            <w:vAlign w:val="center"/>
            <w:hideMark/>
          </w:tcPr>
          <w:p w14:paraId="333E2F9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9.1%</w:t>
            </w:r>
          </w:p>
        </w:tc>
        <w:tc>
          <w:tcPr>
            <w:tcW w:w="567" w:type="dxa"/>
            <w:tcBorders>
              <w:top w:val="nil"/>
              <w:left w:val="single" w:sz="4" w:space="0" w:color="auto"/>
              <w:bottom w:val="nil"/>
              <w:right w:val="nil"/>
            </w:tcBorders>
            <w:noWrap/>
            <w:vAlign w:val="center"/>
            <w:hideMark/>
          </w:tcPr>
          <w:p w14:paraId="73B50FEB"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-0.50</w:t>
            </w:r>
          </w:p>
        </w:tc>
        <w:tc>
          <w:tcPr>
            <w:tcW w:w="1134" w:type="dxa"/>
            <w:noWrap/>
            <w:vAlign w:val="center"/>
            <w:hideMark/>
          </w:tcPr>
          <w:p w14:paraId="0430969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(-0.89, -0.11)</w:t>
            </w:r>
          </w:p>
        </w:tc>
        <w:tc>
          <w:tcPr>
            <w:tcW w:w="709" w:type="dxa"/>
            <w:noWrap/>
            <w:vAlign w:val="center"/>
            <w:hideMark/>
          </w:tcPr>
          <w:p w14:paraId="570D1D9A"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65.6%</w:t>
            </w:r>
          </w:p>
        </w:tc>
      </w:tr>
      <w:tr w:rsidR="00755DCE" w14:paraId="125F66C4"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7AF4C254"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1AD01631"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3BF00B1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02E5B75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-0.96</w:t>
            </w:r>
          </w:p>
        </w:tc>
        <w:tc>
          <w:tcPr>
            <w:tcW w:w="1134" w:type="dxa"/>
            <w:noWrap/>
            <w:vAlign w:val="center"/>
            <w:hideMark/>
          </w:tcPr>
          <w:p w14:paraId="41B82DFF"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(-1.32, -0.59)</w:t>
            </w:r>
          </w:p>
        </w:tc>
        <w:tc>
          <w:tcPr>
            <w:tcW w:w="709" w:type="dxa"/>
            <w:tcBorders>
              <w:top w:val="nil"/>
              <w:left w:val="nil"/>
              <w:bottom w:val="nil"/>
              <w:right w:val="single" w:sz="4" w:space="0" w:color="auto"/>
            </w:tcBorders>
            <w:noWrap/>
            <w:vAlign w:val="center"/>
            <w:hideMark/>
          </w:tcPr>
          <w:p w14:paraId="51C966D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40.5%</w:t>
            </w:r>
          </w:p>
        </w:tc>
        <w:tc>
          <w:tcPr>
            <w:tcW w:w="567" w:type="dxa"/>
            <w:tcBorders>
              <w:top w:val="nil"/>
              <w:left w:val="single" w:sz="4" w:space="0" w:color="auto"/>
              <w:bottom w:val="nil"/>
              <w:right w:val="nil"/>
            </w:tcBorders>
            <w:noWrap/>
            <w:vAlign w:val="center"/>
            <w:hideMark/>
          </w:tcPr>
          <w:p w14:paraId="367BBA86"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43AF6DC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(-0.83, 0.57)</w:t>
            </w:r>
          </w:p>
        </w:tc>
        <w:tc>
          <w:tcPr>
            <w:tcW w:w="708" w:type="dxa"/>
            <w:tcBorders>
              <w:top w:val="nil"/>
              <w:left w:val="nil"/>
              <w:bottom w:val="nil"/>
              <w:right w:val="single" w:sz="4" w:space="0" w:color="auto"/>
            </w:tcBorders>
            <w:noWrap/>
            <w:vAlign w:val="center"/>
            <w:hideMark/>
          </w:tcPr>
          <w:p w14:paraId="3C13A052"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33.9%</w:t>
            </w:r>
          </w:p>
        </w:tc>
        <w:tc>
          <w:tcPr>
            <w:tcW w:w="567" w:type="dxa"/>
            <w:tcBorders>
              <w:top w:val="nil"/>
              <w:left w:val="single" w:sz="4" w:space="0" w:color="auto"/>
              <w:bottom w:val="nil"/>
              <w:right w:val="nil"/>
            </w:tcBorders>
            <w:noWrap/>
            <w:vAlign w:val="center"/>
            <w:hideMark/>
          </w:tcPr>
          <w:p w14:paraId="57FA3DA2"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0.58</w:t>
            </w:r>
          </w:p>
        </w:tc>
        <w:tc>
          <w:tcPr>
            <w:tcW w:w="1134" w:type="dxa"/>
            <w:noWrap/>
            <w:vAlign w:val="center"/>
            <w:hideMark/>
          </w:tcPr>
          <w:p w14:paraId="361B538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(-0.52, 1.68)</w:t>
            </w:r>
          </w:p>
        </w:tc>
        <w:tc>
          <w:tcPr>
            <w:tcW w:w="709" w:type="dxa"/>
            <w:tcBorders>
              <w:top w:val="nil"/>
              <w:left w:val="nil"/>
              <w:bottom w:val="nil"/>
              <w:right w:val="single" w:sz="4" w:space="0" w:color="auto"/>
            </w:tcBorders>
            <w:noWrap/>
            <w:vAlign w:val="center"/>
            <w:hideMark/>
          </w:tcPr>
          <w:p w14:paraId="515F6C0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25.6%</w:t>
            </w:r>
          </w:p>
        </w:tc>
        <w:tc>
          <w:tcPr>
            <w:tcW w:w="567" w:type="dxa"/>
            <w:tcBorders>
              <w:top w:val="nil"/>
              <w:left w:val="single" w:sz="4" w:space="0" w:color="auto"/>
              <w:bottom w:val="nil"/>
              <w:right w:val="nil"/>
            </w:tcBorders>
            <w:noWrap/>
            <w:vAlign w:val="center"/>
            <w:hideMark/>
          </w:tcPr>
          <w:p w14:paraId="54C04586"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-0.28</w:t>
            </w:r>
          </w:p>
        </w:tc>
        <w:tc>
          <w:tcPr>
            <w:tcW w:w="1134" w:type="dxa"/>
            <w:noWrap/>
            <w:vAlign w:val="center"/>
            <w:hideMark/>
          </w:tcPr>
          <w:p w14:paraId="6F37FE9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(-1.15, 0.58)</w:t>
            </w:r>
          </w:p>
        </w:tc>
        <w:tc>
          <w:tcPr>
            <w:tcW w:w="709" w:type="dxa"/>
            <w:noWrap/>
            <w:vAlign w:val="center"/>
            <w:hideMark/>
          </w:tcPr>
          <w:p w14:paraId="522FE48A"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79.2%</w:t>
            </w:r>
          </w:p>
        </w:tc>
      </w:tr>
      <w:tr w:rsidR="00F021B0" w14:paraId="3B3B2D2D" w14:textId="77777777" w:rsidTr="00C54395">
        <w:trPr>
          <w:trHeight w:val="215"/>
        </w:trPr>
        <w:tc>
          <w:tcPr>
            <w:tcW w:w="2289" w:type="dxa"/>
            <w:gridSpan w:val="2"/>
            <w:vMerge w:val="restart"/>
            <w:tcBorders>
              <w:top w:val="single" w:sz="4" w:space="0" w:color="auto"/>
              <w:left w:val="nil"/>
              <w:bottom w:val="single" w:sz="4" w:space="0" w:color="auto"/>
              <w:right w:val="nil"/>
            </w:tcBorders>
            <w:noWrap/>
            <w:hideMark/>
          </w:tcPr>
          <w:p w14:paraId="70F61E81"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Smoking status during pregnancy</w:t>
            </w:r>
            <w:r>
              <w:rPr>
                <w:rFonts w:ascii="Calibri" w:eastAsia="Times New Roman" w:hAnsi="Calibri" w:cs="Calibri"/>
                <w:color w:val="000000"/>
                <w:sz w:val="18"/>
                <w:szCs w:val="18"/>
                <w:lang w:val="en-GB" w:eastAsia="en-GB"/>
              </w:rPr>
              <w:t xml:space="preserve"> (Non-smoker)</w:t>
            </w:r>
          </w:p>
        </w:tc>
        <w:tc>
          <w:tcPr>
            <w:tcW w:w="463" w:type="dxa"/>
            <w:tcBorders>
              <w:top w:val="single" w:sz="4" w:space="0" w:color="auto"/>
              <w:left w:val="nil"/>
              <w:bottom w:val="nil"/>
              <w:right w:val="single" w:sz="4" w:space="0" w:color="auto"/>
            </w:tcBorders>
            <w:noWrap/>
            <w:vAlign w:val="center"/>
            <w:hideMark/>
          </w:tcPr>
          <w:p w14:paraId="2CFD28A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070CACBE"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-1.13</w:t>
            </w:r>
          </w:p>
        </w:tc>
        <w:tc>
          <w:tcPr>
            <w:tcW w:w="1134" w:type="dxa"/>
            <w:noWrap/>
            <w:vAlign w:val="center"/>
            <w:hideMark/>
          </w:tcPr>
          <w:p w14:paraId="0C4B98FE"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(-1.31, -0.95)</w:t>
            </w:r>
          </w:p>
        </w:tc>
        <w:tc>
          <w:tcPr>
            <w:tcW w:w="709" w:type="dxa"/>
            <w:tcBorders>
              <w:top w:val="nil"/>
              <w:left w:val="nil"/>
              <w:bottom w:val="nil"/>
              <w:right w:val="single" w:sz="4" w:space="0" w:color="auto"/>
            </w:tcBorders>
            <w:noWrap/>
            <w:vAlign w:val="center"/>
            <w:hideMark/>
          </w:tcPr>
          <w:p w14:paraId="4B3902F1"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34.6%</w:t>
            </w:r>
          </w:p>
        </w:tc>
        <w:tc>
          <w:tcPr>
            <w:tcW w:w="567" w:type="dxa"/>
            <w:tcBorders>
              <w:top w:val="nil"/>
              <w:left w:val="single" w:sz="4" w:space="0" w:color="auto"/>
              <w:bottom w:val="nil"/>
              <w:right w:val="nil"/>
            </w:tcBorders>
            <w:noWrap/>
            <w:vAlign w:val="center"/>
            <w:hideMark/>
          </w:tcPr>
          <w:p w14:paraId="6532BA0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-1.23</w:t>
            </w:r>
          </w:p>
        </w:tc>
        <w:tc>
          <w:tcPr>
            <w:tcW w:w="1134" w:type="dxa"/>
            <w:noWrap/>
            <w:vAlign w:val="center"/>
            <w:hideMark/>
          </w:tcPr>
          <w:p w14:paraId="6616AC2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(-1.68, -0.78)</w:t>
            </w:r>
          </w:p>
        </w:tc>
        <w:tc>
          <w:tcPr>
            <w:tcW w:w="708" w:type="dxa"/>
            <w:tcBorders>
              <w:top w:val="nil"/>
              <w:left w:val="nil"/>
              <w:bottom w:val="nil"/>
              <w:right w:val="single" w:sz="4" w:space="0" w:color="auto"/>
            </w:tcBorders>
            <w:noWrap/>
            <w:vAlign w:val="center"/>
            <w:hideMark/>
          </w:tcPr>
          <w:p w14:paraId="0ED639D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13.6%</w:t>
            </w:r>
          </w:p>
        </w:tc>
        <w:tc>
          <w:tcPr>
            <w:tcW w:w="567" w:type="dxa"/>
            <w:tcBorders>
              <w:top w:val="nil"/>
              <w:left w:val="single" w:sz="4" w:space="0" w:color="auto"/>
              <w:bottom w:val="nil"/>
              <w:right w:val="nil"/>
            </w:tcBorders>
            <w:noWrap/>
            <w:vAlign w:val="center"/>
            <w:hideMark/>
          </w:tcPr>
          <w:p w14:paraId="4B74D9DF"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-1.58</w:t>
            </w:r>
          </w:p>
        </w:tc>
        <w:tc>
          <w:tcPr>
            <w:tcW w:w="1134" w:type="dxa"/>
            <w:noWrap/>
            <w:vAlign w:val="center"/>
            <w:hideMark/>
          </w:tcPr>
          <w:p w14:paraId="5CD71CC6"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(-2.32, -0.84)</w:t>
            </w:r>
          </w:p>
        </w:tc>
        <w:tc>
          <w:tcPr>
            <w:tcW w:w="709" w:type="dxa"/>
            <w:tcBorders>
              <w:top w:val="nil"/>
              <w:left w:val="nil"/>
              <w:bottom w:val="nil"/>
              <w:right w:val="single" w:sz="4" w:space="0" w:color="auto"/>
            </w:tcBorders>
            <w:noWrap/>
            <w:vAlign w:val="center"/>
            <w:hideMark/>
          </w:tcPr>
          <w:p w14:paraId="4377ACD3"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6.1%</w:t>
            </w:r>
          </w:p>
        </w:tc>
        <w:tc>
          <w:tcPr>
            <w:tcW w:w="567" w:type="dxa"/>
            <w:tcBorders>
              <w:top w:val="nil"/>
              <w:left w:val="single" w:sz="4" w:space="0" w:color="auto"/>
              <w:bottom w:val="nil"/>
              <w:right w:val="nil"/>
            </w:tcBorders>
            <w:noWrap/>
            <w:vAlign w:val="center"/>
            <w:hideMark/>
          </w:tcPr>
          <w:p w14:paraId="612DECC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-1.28</w:t>
            </w:r>
          </w:p>
        </w:tc>
        <w:tc>
          <w:tcPr>
            <w:tcW w:w="1134" w:type="dxa"/>
            <w:noWrap/>
            <w:vAlign w:val="center"/>
            <w:hideMark/>
          </w:tcPr>
          <w:p w14:paraId="39E144C4"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(-1.47, -1.08)</w:t>
            </w:r>
          </w:p>
        </w:tc>
        <w:tc>
          <w:tcPr>
            <w:tcW w:w="709" w:type="dxa"/>
            <w:noWrap/>
            <w:vAlign w:val="center"/>
            <w:hideMark/>
          </w:tcPr>
          <w:p w14:paraId="1217EF11"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32.0%</w:t>
            </w:r>
          </w:p>
        </w:tc>
      </w:tr>
      <w:tr w:rsidR="00F021B0" w14:paraId="7F62F8AE" w14:textId="77777777" w:rsidTr="00C54395">
        <w:trPr>
          <w:trHeight w:val="215"/>
        </w:trPr>
        <w:tc>
          <w:tcPr>
            <w:tcW w:w="0" w:type="auto"/>
            <w:gridSpan w:val="2"/>
            <w:vMerge/>
            <w:tcBorders>
              <w:top w:val="single" w:sz="4" w:space="0" w:color="auto"/>
              <w:left w:val="nil"/>
              <w:bottom w:val="single" w:sz="4" w:space="0" w:color="auto"/>
              <w:right w:val="nil"/>
            </w:tcBorders>
            <w:vAlign w:val="center"/>
            <w:hideMark/>
          </w:tcPr>
          <w:p w14:paraId="6840F48E"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1EF2EA4B"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6812F8A4"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-1.24</w:t>
            </w:r>
          </w:p>
        </w:tc>
        <w:tc>
          <w:tcPr>
            <w:tcW w:w="1134" w:type="dxa"/>
            <w:noWrap/>
            <w:vAlign w:val="center"/>
            <w:hideMark/>
          </w:tcPr>
          <w:p w14:paraId="3AD98AAA"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(-1.46, -1.01)</w:t>
            </w:r>
          </w:p>
        </w:tc>
        <w:tc>
          <w:tcPr>
            <w:tcW w:w="709" w:type="dxa"/>
            <w:tcBorders>
              <w:top w:val="nil"/>
              <w:left w:val="nil"/>
              <w:bottom w:val="nil"/>
              <w:right w:val="single" w:sz="4" w:space="0" w:color="auto"/>
            </w:tcBorders>
            <w:noWrap/>
            <w:vAlign w:val="center"/>
            <w:hideMark/>
          </w:tcPr>
          <w:p w14:paraId="46A9627D"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75.6%</w:t>
            </w:r>
          </w:p>
        </w:tc>
        <w:tc>
          <w:tcPr>
            <w:tcW w:w="567" w:type="dxa"/>
            <w:tcBorders>
              <w:top w:val="nil"/>
              <w:left w:val="single" w:sz="4" w:space="0" w:color="auto"/>
              <w:bottom w:val="nil"/>
              <w:right w:val="nil"/>
            </w:tcBorders>
            <w:noWrap/>
            <w:vAlign w:val="center"/>
            <w:hideMark/>
          </w:tcPr>
          <w:p w14:paraId="6B34413B"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-1.19</w:t>
            </w:r>
          </w:p>
        </w:tc>
        <w:tc>
          <w:tcPr>
            <w:tcW w:w="1134" w:type="dxa"/>
            <w:noWrap/>
            <w:vAlign w:val="center"/>
            <w:hideMark/>
          </w:tcPr>
          <w:p w14:paraId="4EB75CE2"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(-1.64, -0.74)</w:t>
            </w:r>
          </w:p>
        </w:tc>
        <w:tc>
          <w:tcPr>
            <w:tcW w:w="708" w:type="dxa"/>
            <w:tcBorders>
              <w:top w:val="nil"/>
              <w:left w:val="nil"/>
              <w:bottom w:val="nil"/>
              <w:right w:val="single" w:sz="4" w:space="0" w:color="auto"/>
            </w:tcBorders>
            <w:noWrap/>
            <w:vAlign w:val="center"/>
            <w:hideMark/>
          </w:tcPr>
          <w:p w14:paraId="6B732C08"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19.1%</w:t>
            </w:r>
          </w:p>
        </w:tc>
        <w:tc>
          <w:tcPr>
            <w:tcW w:w="567" w:type="dxa"/>
            <w:tcBorders>
              <w:top w:val="nil"/>
              <w:left w:val="single" w:sz="4" w:space="0" w:color="auto"/>
              <w:bottom w:val="nil"/>
              <w:right w:val="nil"/>
            </w:tcBorders>
            <w:noWrap/>
            <w:vAlign w:val="center"/>
            <w:hideMark/>
          </w:tcPr>
          <w:p w14:paraId="3C6D1842"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-1.53</w:t>
            </w:r>
          </w:p>
        </w:tc>
        <w:tc>
          <w:tcPr>
            <w:tcW w:w="1134" w:type="dxa"/>
            <w:noWrap/>
            <w:vAlign w:val="center"/>
            <w:hideMark/>
          </w:tcPr>
          <w:p w14:paraId="40485E7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(-2.37, -0.68)</w:t>
            </w:r>
          </w:p>
        </w:tc>
        <w:tc>
          <w:tcPr>
            <w:tcW w:w="709" w:type="dxa"/>
            <w:tcBorders>
              <w:top w:val="nil"/>
              <w:left w:val="nil"/>
              <w:bottom w:val="nil"/>
              <w:right w:val="single" w:sz="4" w:space="0" w:color="auto"/>
            </w:tcBorders>
            <w:noWrap/>
            <w:vAlign w:val="center"/>
            <w:hideMark/>
          </w:tcPr>
          <w:p w14:paraId="335BCCF3"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5.3%</w:t>
            </w:r>
          </w:p>
        </w:tc>
        <w:tc>
          <w:tcPr>
            <w:tcW w:w="567" w:type="dxa"/>
            <w:tcBorders>
              <w:top w:val="nil"/>
              <w:left w:val="single" w:sz="4" w:space="0" w:color="auto"/>
              <w:bottom w:val="nil"/>
              <w:right w:val="nil"/>
            </w:tcBorders>
            <w:noWrap/>
            <w:vAlign w:val="center"/>
            <w:hideMark/>
          </w:tcPr>
          <w:p w14:paraId="63D24D15"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-1.24</w:t>
            </w:r>
          </w:p>
        </w:tc>
        <w:tc>
          <w:tcPr>
            <w:tcW w:w="1134" w:type="dxa"/>
            <w:noWrap/>
            <w:vAlign w:val="center"/>
            <w:hideMark/>
          </w:tcPr>
          <w:p w14:paraId="15E4116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(-1.44, -1.05)</w:t>
            </w:r>
          </w:p>
        </w:tc>
        <w:tc>
          <w:tcPr>
            <w:tcW w:w="709" w:type="dxa"/>
            <w:noWrap/>
            <w:vAlign w:val="center"/>
            <w:hideMark/>
          </w:tcPr>
          <w:p w14:paraId="697D1A33"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F021B0" w14:paraId="3BC726CB" w14:textId="77777777" w:rsidTr="00C54395">
        <w:trPr>
          <w:trHeight w:val="215"/>
        </w:trPr>
        <w:tc>
          <w:tcPr>
            <w:tcW w:w="2289" w:type="dxa"/>
            <w:gridSpan w:val="2"/>
            <w:vMerge w:val="restart"/>
            <w:tcBorders>
              <w:top w:val="single" w:sz="4" w:space="0" w:color="auto"/>
              <w:left w:val="nil"/>
              <w:bottom w:val="single" w:sz="4" w:space="0" w:color="auto"/>
              <w:right w:val="nil"/>
            </w:tcBorders>
            <w:noWrap/>
            <w:hideMark/>
          </w:tcPr>
          <w:p w14:paraId="12EB2978"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Alcohol consumption during pregnancy</w:t>
            </w:r>
            <w:r>
              <w:rPr>
                <w:rFonts w:ascii="Calibri" w:eastAsia="Times New Roman" w:hAnsi="Calibri" w:cs="Calibri"/>
                <w:color w:val="000000"/>
                <w:sz w:val="18"/>
                <w:szCs w:val="18"/>
                <w:lang w:val="en-GB" w:eastAsia="en-GB"/>
              </w:rPr>
              <w:t xml:space="preserve"> (</w:t>
            </w:r>
            <w:proofErr w:type="gramStart"/>
            <w:r>
              <w:rPr>
                <w:rFonts w:ascii="Calibri" w:eastAsia="Times New Roman" w:hAnsi="Calibri" w:cs="Calibri"/>
                <w:color w:val="000000"/>
                <w:sz w:val="18"/>
                <w:szCs w:val="18"/>
                <w:lang w:val="en-GB" w:eastAsia="en-GB"/>
              </w:rPr>
              <w:t>Non-consumer</w:t>
            </w:r>
            <w:proofErr w:type="gramEnd"/>
            <w:r>
              <w:rPr>
                <w:rFonts w:ascii="Calibri" w:eastAsia="Times New Roman" w:hAnsi="Calibri" w:cs="Calibri"/>
                <w:color w:val="000000"/>
                <w:sz w:val="18"/>
                <w:szCs w:val="18"/>
                <w:lang w:val="en-GB" w:eastAsia="en-GB"/>
              </w:rPr>
              <w:t>)</w:t>
            </w:r>
          </w:p>
        </w:tc>
        <w:tc>
          <w:tcPr>
            <w:tcW w:w="463" w:type="dxa"/>
            <w:tcBorders>
              <w:top w:val="single" w:sz="4" w:space="0" w:color="auto"/>
              <w:left w:val="nil"/>
              <w:bottom w:val="nil"/>
              <w:right w:val="single" w:sz="4" w:space="0" w:color="auto"/>
            </w:tcBorders>
            <w:noWrap/>
            <w:vAlign w:val="center"/>
            <w:hideMark/>
          </w:tcPr>
          <w:p w14:paraId="62A2969E"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127903D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w:t>
            </w:r>
          </w:p>
        </w:tc>
        <w:tc>
          <w:tcPr>
            <w:tcW w:w="1134" w:type="dxa"/>
            <w:noWrap/>
            <w:vAlign w:val="center"/>
            <w:hideMark/>
          </w:tcPr>
          <w:p w14:paraId="4794294A"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(-0.38, -0.07)</w:t>
            </w:r>
          </w:p>
        </w:tc>
        <w:tc>
          <w:tcPr>
            <w:tcW w:w="709" w:type="dxa"/>
            <w:tcBorders>
              <w:top w:val="nil"/>
              <w:left w:val="nil"/>
              <w:bottom w:val="nil"/>
              <w:right w:val="single" w:sz="4" w:space="0" w:color="auto"/>
            </w:tcBorders>
            <w:noWrap/>
            <w:vAlign w:val="center"/>
            <w:hideMark/>
          </w:tcPr>
          <w:p w14:paraId="1A00D6D9"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32.5%</w:t>
            </w:r>
          </w:p>
        </w:tc>
        <w:tc>
          <w:tcPr>
            <w:tcW w:w="567" w:type="dxa"/>
            <w:tcBorders>
              <w:top w:val="nil"/>
              <w:left w:val="single" w:sz="4" w:space="0" w:color="auto"/>
              <w:bottom w:val="nil"/>
              <w:right w:val="nil"/>
            </w:tcBorders>
            <w:noWrap/>
            <w:vAlign w:val="center"/>
            <w:hideMark/>
          </w:tcPr>
          <w:p w14:paraId="2D3F09F1"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-0.05</w:t>
            </w:r>
          </w:p>
        </w:tc>
        <w:tc>
          <w:tcPr>
            <w:tcW w:w="1134" w:type="dxa"/>
            <w:noWrap/>
            <w:vAlign w:val="center"/>
            <w:hideMark/>
          </w:tcPr>
          <w:p w14:paraId="666D247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(-0.48, 0.38)</w:t>
            </w:r>
          </w:p>
        </w:tc>
        <w:tc>
          <w:tcPr>
            <w:tcW w:w="708" w:type="dxa"/>
            <w:tcBorders>
              <w:top w:val="nil"/>
              <w:left w:val="nil"/>
              <w:bottom w:val="nil"/>
              <w:right w:val="single" w:sz="4" w:space="0" w:color="auto"/>
            </w:tcBorders>
            <w:noWrap/>
            <w:vAlign w:val="center"/>
            <w:hideMark/>
          </w:tcPr>
          <w:p w14:paraId="041DA34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11.7%</w:t>
            </w:r>
          </w:p>
        </w:tc>
        <w:tc>
          <w:tcPr>
            <w:tcW w:w="567" w:type="dxa"/>
            <w:tcBorders>
              <w:top w:val="nil"/>
              <w:left w:val="single" w:sz="4" w:space="0" w:color="auto"/>
              <w:bottom w:val="nil"/>
              <w:right w:val="nil"/>
            </w:tcBorders>
            <w:noWrap/>
            <w:vAlign w:val="center"/>
            <w:hideMark/>
          </w:tcPr>
          <w:p w14:paraId="000CD84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0.54</w:t>
            </w:r>
          </w:p>
        </w:tc>
        <w:tc>
          <w:tcPr>
            <w:tcW w:w="1134" w:type="dxa"/>
            <w:noWrap/>
            <w:vAlign w:val="center"/>
            <w:hideMark/>
          </w:tcPr>
          <w:p w14:paraId="07D198E0"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(-0.03, 1.12)</w:t>
            </w:r>
          </w:p>
        </w:tc>
        <w:tc>
          <w:tcPr>
            <w:tcW w:w="709" w:type="dxa"/>
            <w:tcBorders>
              <w:top w:val="nil"/>
              <w:left w:val="nil"/>
              <w:bottom w:val="nil"/>
              <w:right w:val="single" w:sz="4" w:space="0" w:color="auto"/>
            </w:tcBorders>
            <w:noWrap/>
            <w:vAlign w:val="center"/>
            <w:hideMark/>
          </w:tcPr>
          <w:p w14:paraId="0EE279A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7.4%</w:t>
            </w:r>
          </w:p>
        </w:tc>
        <w:tc>
          <w:tcPr>
            <w:tcW w:w="567" w:type="dxa"/>
            <w:tcBorders>
              <w:top w:val="nil"/>
              <w:left w:val="single" w:sz="4" w:space="0" w:color="auto"/>
              <w:bottom w:val="nil"/>
              <w:right w:val="nil"/>
            </w:tcBorders>
            <w:noWrap/>
            <w:vAlign w:val="center"/>
            <w:hideMark/>
          </w:tcPr>
          <w:p w14:paraId="2160FC1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-0.02</w:t>
            </w:r>
          </w:p>
        </w:tc>
        <w:tc>
          <w:tcPr>
            <w:tcW w:w="1134" w:type="dxa"/>
            <w:noWrap/>
            <w:vAlign w:val="center"/>
            <w:hideMark/>
          </w:tcPr>
          <w:p w14:paraId="20B39D2C"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0.15)</w:t>
            </w:r>
          </w:p>
        </w:tc>
        <w:tc>
          <w:tcPr>
            <w:tcW w:w="709" w:type="dxa"/>
            <w:noWrap/>
            <w:vAlign w:val="center"/>
            <w:hideMark/>
          </w:tcPr>
          <w:p w14:paraId="25A165B2"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37.2%</w:t>
            </w:r>
          </w:p>
        </w:tc>
      </w:tr>
      <w:tr w:rsidR="00F021B0" w14:paraId="100254CE" w14:textId="77777777" w:rsidTr="00C54395">
        <w:trPr>
          <w:trHeight w:val="215"/>
        </w:trPr>
        <w:tc>
          <w:tcPr>
            <w:tcW w:w="0" w:type="auto"/>
            <w:gridSpan w:val="2"/>
            <w:vMerge/>
            <w:tcBorders>
              <w:top w:val="single" w:sz="4" w:space="0" w:color="auto"/>
              <w:left w:val="nil"/>
              <w:bottom w:val="single" w:sz="4" w:space="0" w:color="auto"/>
              <w:right w:val="nil"/>
            </w:tcBorders>
            <w:vAlign w:val="center"/>
            <w:hideMark/>
          </w:tcPr>
          <w:p w14:paraId="62281E5F"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3822208B"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10473BE8"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-0.22</w:t>
            </w:r>
          </w:p>
        </w:tc>
        <w:tc>
          <w:tcPr>
            <w:tcW w:w="1134" w:type="dxa"/>
            <w:noWrap/>
            <w:vAlign w:val="center"/>
            <w:hideMark/>
          </w:tcPr>
          <w:p w14:paraId="17D1EABB"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 -0.04)</w:t>
            </w:r>
          </w:p>
        </w:tc>
        <w:tc>
          <w:tcPr>
            <w:tcW w:w="709" w:type="dxa"/>
            <w:tcBorders>
              <w:top w:val="nil"/>
              <w:left w:val="nil"/>
              <w:bottom w:val="nil"/>
              <w:right w:val="single" w:sz="4" w:space="0" w:color="auto"/>
            </w:tcBorders>
            <w:noWrap/>
            <w:vAlign w:val="center"/>
            <w:hideMark/>
          </w:tcPr>
          <w:p w14:paraId="6B26CB4B"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47.2%</w:t>
            </w:r>
          </w:p>
        </w:tc>
        <w:tc>
          <w:tcPr>
            <w:tcW w:w="567" w:type="dxa"/>
            <w:tcBorders>
              <w:top w:val="nil"/>
              <w:left w:val="single" w:sz="4" w:space="0" w:color="auto"/>
              <w:bottom w:val="nil"/>
              <w:right w:val="nil"/>
            </w:tcBorders>
            <w:noWrap/>
            <w:vAlign w:val="center"/>
            <w:hideMark/>
          </w:tcPr>
          <w:p w14:paraId="4A51E166"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4240E849"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(-0.57, 0.28)</w:t>
            </w:r>
          </w:p>
        </w:tc>
        <w:tc>
          <w:tcPr>
            <w:tcW w:w="708" w:type="dxa"/>
            <w:tcBorders>
              <w:top w:val="nil"/>
              <w:left w:val="nil"/>
              <w:bottom w:val="nil"/>
              <w:right w:val="single" w:sz="4" w:space="0" w:color="auto"/>
            </w:tcBorders>
            <w:noWrap/>
            <w:vAlign w:val="center"/>
            <w:hideMark/>
          </w:tcPr>
          <w:p w14:paraId="4F1C1761"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31.5%</w:t>
            </w:r>
          </w:p>
        </w:tc>
        <w:tc>
          <w:tcPr>
            <w:tcW w:w="567" w:type="dxa"/>
            <w:tcBorders>
              <w:top w:val="nil"/>
              <w:left w:val="single" w:sz="4" w:space="0" w:color="auto"/>
              <w:bottom w:val="nil"/>
              <w:right w:val="nil"/>
            </w:tcBorders>
            <w:noWrap/>
            <w:vAlign w:val="center"/>
            <w:hideMark/>
          </w:tcPr>
          <w:p w14:paraId="03B9BC6F"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0.57</w:t>
            </w:r>
          </w:p>
        </w:tc>
        <w:tc>
          <w:tcPr>
            <w:tcW w:w="1134" w:type="dxa"/>
            <w:noWrap/>
            <w:vAlign w:val="center"/>
            <w:hideMark/>
          </w:tcPr>
          <w:p w14:paraId="077E99C9"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 1.20)</w:t>
            </w:r>
          </w:p>
        </w:tc>
        <w:tc>
          <w:tcPr>
            <w:tcW w:w="709" w:type="dxa"/>
            <w:tcBorders>
              <w:top w:val="nil"/>
              <w:left w:val="nil"/>
              <w:bottom w:val="nil"/>
              <w:right w:val="single" w:sz="4" w:space="0" w:color="auto"/>
            </w:tcBorders>
            <w:noWrap/>
            <w:vAlign w:val="center"/>
            <w:hideMark/>
          </w:tcPr>
          <w:p w14:paraId="1EDE74FC"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21.3%</w:t>
            </w:r>
          </w:p>
        </w:tc>
        <w:tc>
          <w:tcPr>
            <w:tcW w:w="567" w:type="dxa"/>
            <w:tcBorders>
              <w:top w:val="nil"/>
              <w:left w:val="single" w:sz="4" w:space="0" w:color="auto"/>
              <w:bottom w:val="nil"/>
              <w:right w:val="nil"/>
            </w:tcBorders>
            <w:noWrap/>
            <w:vAlign w:val="center"/>
            <w:hideMark/>
          </w:tcPr>
          <w:p w14:paraId="573AAD87" w14:textId="77777777" w:rsidR="00F021B0" w:rsidRDefault="00F021B0"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-0.03</w:t>
            </w:r>
          </w:p>
        </w:tc>
        <w:tc>
          <w:tcPr>
            <w:tcW w:w="1134" w:type="dxa"/>
            <w:noWrap/>
            <w:vAlign w:val="center"/>
            <w:hideMark/>
          </w:tcPr>
          <w:p w14:paraId="012006EA" w14:textId="77777777" w:rsidR="00F021B0" w:rsidRDefault="00F021B0"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 0.35)</w:t>
            </w:r>
          </w:p>
        </w:tc>
        <w:tc>
          <w:tcPr>
            <w:tcW w:w="709" w:type="dxa"/>
            <w:noWrap/>
            <w:vAlign w:val="center"/>
            <w:hideMark/>
          </w:tcPr>
          <w:p w14:paraId="44B5DD94" w14:textId="77777777" w:rsidR="00F021B0" w:rsidRDefault="00F021B0"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64.1%</w:t>
            </w:r>
          </w:p>
        </w:tc>
      </w:tr>
      <w:tr w:rsidR="00755DCE" w14:paraId="2F58CDCD" w14:textId="77777777" w:rsidTr="00F5229F">
        <w:trPr>
          <w:trHeight w:val="215"/>
        </w:trPr>
        <w:tc>
          <w:tcPr>
            <w:tcW w:w="1276" w:type="dxa"/>
            <w:vMerge w:val="restart"/>
            <w:tcBorders>
              <w:top w:val="single" w:sz="4" w:space="0" w:color="auto"/>
              <w:left w:val="nil"/>
              <w:bottom w:val="nil"/>
              <w:right w:val="nil"/>
            </w:tcBorders>
            <w:noWrap/>
            <w:hideMark/>
          </w:tcPr>
          <w:p w14:paraId="447C2034" w14:textId="2A5C57AA"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 xml:space="preserve">Physical activity level during </w:t>
            </w:r>
            <w:proofErr w:type="spellStart"/>
            <w:r>
              <w:rPr>
                <w:rFonts w:ascii="Calibri" w:eastAsia="Times New Roman" w:hAnsi="Calibri" w:cs="Calibri"/>
                <w:b/>
                <w:color w:val="000000"/>
                <w:sz w:val="18"/>
                <w:szCs w:val="18"/>
                <w:lang w:val="en-GB" w:eastAsia="en-GB"/>
              </w:rPr>
              <w:t>pregnancy</w:t>
            </w:r>
            <w:r w:rsidR="002E7ED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68EC3BA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Low</w:t>
            </w:r>
          </w:p>
        </w:tc>
        <w:tc>
          <w:tcPr>
            <w:tcW w:w="463" w:type="dxa"/>
            <w:tcBorders>
              <w:top w:val="single" w:sz="4" w:space="0" w:color="auto"/>
              <w:left w:val="nil"/>
              <w:bottom w:val="nil"/>
              <w:right w:val="single" w:sz="4" w:space="0" w:color="auto"/>
            </w:tcBorders>
            <w:noWrap/>
            <w:vAlign w:val="center"/>
            <w:hideMark/>
          </w:tcPr>
          <w:p w14:paraId="49B9BB41"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755185ED"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w:t>
            </w:r>
          </w:p>
        </w:tc>
        <w:tc>
          <w:tcPr>
            <w:tcW w:w="1134" w:type="dxa"/>
            <w:noWrap/>
            <w:vAlign w:val="center"/>
            <w:hideMark/>
          </w:tcPr>
          <w:p w14:paraId="538BC2B8"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(-0.88, -0.47)</w:t>
            </w:r>
          </w:p>
        </w:tc>
        <w:tc>
          <w:tcPr>
            <w:tcW w:w="709" w:type="dxa"/>
            <w:tcBorders>
              <w:top w:val="nil"/>
              <w:left w:val="nil"/>
              <w:bottom w:val="nil"/>
              <w:right w:val="single" w:sz="4" w:space="0" w:color="auto"/>
            </w:tcBorders>
            <w:noWrap/>
            <w:vAlign w:val="center"/>
            <w:hideMark/>
          </w:tcPr>
          <w:p w14:paraId="33B9DCCB"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21.8%</w:t>
            </w:r>
          </w:p>
        </w:tc>
        <w:tc>
          <w:tcPr>
            <w:tcW w:w="567" w:type="dxa"/>
            <w:tcBorders>
              <w:top w:val="nil"/>
              <w:left w:val="single" w:sz="4" w:space="0" w:color="auto"/>
              <w:bottom w:val="nil"/>
              <w:right w:val="nil"/>
            </w:tcBorders>
            <w:noWrap/>
            <w:vAlign w:val="center"/>
            <w:hideMark/>
          </w:tcPr>
          <w:p w14:paraId="7C582A5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-1.70</w:t>
            </w:r>
          </w:p>
        </w:tc>
        <w:tc>
          <w:tcPr>
            <w:tcW w:w="1134" w:type="dxa"/>
            <w:noWrap/>
            <w:vAlign w:val="center"/>
            <w:hideMark/>
          </w:tcPr>
          <w:p w14:paraId="5D5C45B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(-2.20, -1.20)</w:t>
            </w:r>
          </w:p>
        </w:tc>
        <w:tc>
          <w:tcPr>
            <w:tcW w:w="708" w:type="dxa"/>
            <w:tcBorders>
              <w:top w:val="nil"/>
              <w:left w:val="nil"/>
              <w:bottom w:val="nil"/>
              <w:right w:val="single" w:sz="4" w:space="0" w:color="auto"/>
            </w:tcBorders>
            <w:noWrap/>
            <w:vAlign w:val="center"/>
            <w:hideMark/>
          </w:tcPr>
          <w:p w14:paraId="37EB1A5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18.0%</w:t>
            </w:r>
          </w:p>
        </w:tc>
        <w:tc>
          <w:tcPr>
            <w:tcW w:w="567" w:type="dxa"/>
            <w:tcBorders>
              <w:top w:val="nil"/>
              <w:left w:val="single" w:sz="4" w:space="0" w:color="auto"/>
              <w:bottom w:val="nil"/>
              <w:right w:val="nil"/>
            </w:tcBorders>
            <w:noWrap/>
            <w:vAlign w:val="center"/>
            <w:hideMark/>
          </w:tcPr>
          <w:p w14:paraId="515DDFBB"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-1.70</w:t>
            </w:r>
          </w:p>
        </w:tc>
        <w:tc>
          <w:tcPr>
            <w:tcW w:w="1134" w:type="dxa"/>
            <w:noWrap/>
            <w:vAlign w:val="center"/>
            <w:hideMark/>
          </w:tcPr>
          <w:p w14:paraId="195CF342"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(-2.44, -0.97)</w:t>
            </w:r>
          </w:p>
        </w:tc>
        <w:tc>
          <w:tcPr>
            <w:tcW w:w="709" w:type="dxa"/>
            <w:tcBorders>
              <w:top w:val="nil"/>
              <w:left w:val="nil"/>
              <w:bottom w:val="nil"/>
              <w:right w:val="single" w:sz="4" w:space="0" w:color="auto"/>
            </w:tcBorders>
            <w:noWrap/>
            <w:vAlign w:val="center"/>
            <w:hideMark/>
          </w:tcPr>
          <w:p w14:paraId="1DECFB2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14.4%</w:t>
            </w:r>
          </w:p>
        </w:tc>
        <w:tc>
          <w:tcPr>
            <w:tcW w:w="567" w:type="dxa"/>
            <w:tcBorders>
              <w:top w:val="nil"/>
              <w:left w:val="single" w:sz="4" w:space="0" w:color="auto"/>
              <w:bottom w:val="nil"/>
              <w:right w:val="nil"/>
            </w:tcBorders>
            <w:noWrap/>
            <w:vAlign w:val="center"/>
            <w:hideMark/>
          </w:tcPr>
          <w:p w14:paraId="276BC848"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-1.00</w:t>
            </w:r>
          </w:p>
        </w:tc>
        <w:tc>
          <w:tcPr>
            <w:tcW w:w="1134" w:type="dxa"/>
            <w:noWrap/>
            <w:vAlign w:val="center"/>
            <w:hideMark/>
          </w:tcPr>
          <w:p w14:paraId="6CEF461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(-1.46, -0.54)</w:t>
            </w:r>
          </w:p>
        </w:tc>
        <w:tc>
          <w:tcPr>
            <w:tcW w:w="709" w:type="dxa"/>
            <w:noWrap/>
            <w:vAlign w:val="center"/>
            <w:hideMark/>
          </w:tcPr>
          <w:p w14:paraId="3260318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81.2%</w:t>
            </w:r>
          </w:p>
        </w:tc>
      </w:tr>
      <w:tr w:rsidR="00755DCE" w14:paraId="1578CD64" w14:textId="77777777" w:rsidTr="00F5229F">
        <w:trPr>
          <w:trHeight w:val="215"/>
        </w:trPr>
        <w:tc>
          <w:tcPr>
            <w:tcW w:w="0" w:type="auto"/>
            <w:vMerge/>
            <w:tcBorders>
              <w:top w:val="single" w:sz="4" w:space="0" w:color="auto"/>
              <w:left w:val="nil"/>
              <w:bottom w:val="nil"/>
              <w:right w:val="nil"/>
            </w:tcBorders>
            <w:vAlign w:val="center"/>
            <w:hideMark/>
          </w:tcPr>
          <w:p w14:paraId="7CDC0F6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2148E6A0"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single" w:sz="4" w:space="0" w:color="auto"/>
              <w:right w:val="single" w:sz="4" w:space="0" w:color="auto"/>
            </w:tcBorders>
            <w:noWrap/>
            <w:vAlign w:val="center"/>
            <w:hideMark/>
          </w:tcPr>
          <w:p w14:paraId="04C43EC0"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77A80F2F"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w:t>
            </w:r>
          </w:p>
        </w:tc>
        <w:tc>
          <w:tcPr>
            <w:tcW w:w="1134" w:type="dxa"/>
            <w:noWrap/>
            <w:vAlign w:val="center"/>
            <w:hideMark/>
          </w:tcPr>
          <w:p w14:paraId="055B6A3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(-0.90, -0.45)</w:t>
            </w:r>
          </w:p>
        </w:tc>
        <w:tc>
          <w:tcPr>
            <w:tcW w:w="709" w:type="dxa"/>
            <w:tcBorders>
              <w:top w:val="nil"/>
              <w:left w:val="nil"/>
              <w:bottom w:val="nil"/>
              <w:right w:val="single" w:sz="4" w:space="0" w:color="auto"/>
            </w:tcBorders>
            <w:noWrap/>
            <w:vAlign w:val="center"/>
            <w:hideMark/>
          </w:tcPr>
          <w:p w14:paraId="1F05DE3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37.0%</w:t>
            </w:r>
          </w:p>
        </w:tc>
        <w:tc>
          <w:tcPr>
            <w:tcW w:w="567" w:type="dxa"/>
            <w:tcBorders>
              <w:top w:val="nil"/>
              <w:left w:val="single" w:sz="4" w:space="0" w:color="auto"/>
              <w:bottom w:val="nil"/>
              <w:right w:val="nil"/>
            </w:tcBorders>
            <w:noWrap/>
            <w:vAlign w:val="center"/>
            <w:hideMark/>
          </w:tcPr>
          <w:p w14:paraId="3F2A22CB"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-1.71</w:t>
            </w:r>
          </w:p>
        </w:tc>
        <w:tc>
          <w:tcPr>
            <w:tcW w:w="1134" w:type="dxa"/>
            <w:noWrap/>
            <w:vAlign w:val="center"/>
            <w:hideMark/>
          </w:tcPr>
          <w:p w14:paraId="4E859E8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(-2.21, -1.21)</w:t>
            </w:r>
          </w:p>
        </w:tc>
        <w:tc>
          <w:tcPr>
            <w:tcW w:w="708" w:type="dxa"/>
            <w:tcBorders>
              <w:top w:val="nil"/>
              <w:left w:val="nil"/>
              <w:bottom w:val="nil"/>
              <w:right w:val="single" w:sz="4" w:space="0" w:color="auto"/>
            </w:tcBorders>
            <w:noWrap/>
            <w:vAlign w:val="center"/>
            <w:hideMark/>
          </w:tcPr>
          <w:p w14:paraId="771FD0F9"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33.6%</w:t>
            </w:r>
          </w:p>
        </w:tc>
        <w:tc>
          <w:tcPr>
            <w:tcW w:w="567" w:type="dxa"/>
            <w:tcBorders>
              <w:top w:val="nil"/>
              <w:left w:val="single" w:sz="4" w:space="0" w:color="auto"/>
              <w:bottom w:val="nil"/>
              <w:right w:val="nil"/>
            </w:tcBorders>
            <w:noWrap/>
            <w:vAlign w:val="center"/>
            <w:hideMark/>
          </w:tcPr>
          <w:p w14:paraId="1AA0CD2E"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-1.87</w:t>
            </w:r>
          </w:p>
        </w:tc>
        <w:tc>
          <w:tcPr>
            <w:tcW w:w="1134" w:type="dxa"/>
            <w:noWrap/>
            <w:vAlign w:val="center"/>
            <w:hideMark/>
          </w:tcPr>
          <w:p w14:paraId="25EC26C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(-2.62, -1.12)</w:t>
            </w:r>
          </w:p>
        </w:tc>
        <w:tc>
          <w:tcPr>
            <w:tcW w:w="709" w:type="dxa"/>
            <w:tcBorders>
              <w:top w:val="nil"/>
              <w:left w:val="nil"/>
              <w:bottom w:val="nil"/>
              <w:right w:val="single" w:sz="4" w:space="0" w:color="auto"/>
            </w:tcBorders>
            <w:noWrap/>
            <w:vAlign w:val="center"/>
            <w:hideMark/>
          </w:tcPr>
          <w:p w14:paraId="6F980ADC"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29.4%</w:t>
            </w:r>
          </w:p>
        </w:tc>
        <w:tc>
          <w:tcPr>
            <w:tcW w:w="567" w:type="dxa"/>
            <w:tcBorders>
              <w:top w:val="nil"/>
              <w:left w:val="single" w:sz="4" w:space="0" w:color="auto"/>
              <w:bottom w:val="nil"/>
              <w:right w:val="nil"/>
            </w:tcBorders>
            <w:noWrap/>
            <w:vAlign w:val="center"/>
            <w:hideMark/>
          </w:tcPr>
          <w:p w14:paraId="36E59C13"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-1.37</w:t>
            </w:r>
          </w:p>
        </w:tc>
        <w:tc>
          <w:tcPr>
            <w:tcW w:w="1134" w:type="dxa"/>
            <w:noWrap/>
            <w:vAlign w:val="center"/>
            <w:hideMark/>
          </w:tcPr>
          <w:p w14:paraId="21A14C0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(-2.23, -0.52)</w:t>
            </w:r>
          </w:p>
        </w:tc>
        <w:tc>
          <w:tcPr>
            <w:tcW w:w="709" w:type="dxa"/>
            <w:noWrap/>
            <w:vAlign w:val="center"/>
            <w:hideMark/>
          </w:tcPr>
          <w:p w14:paraId="43EDD10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90.2%</w:t>
            </w:r>
          </w:p>
        </w:tc>
      </w:tr>
      <w:tr w:rsidR="00755DCE" w14:paraId="2DC4681C" w14:textId="77777777" w:rsidTr="00F5229F">
        <w:trPr>
          <w:trHeight w:val="215"/>
        </w:trPr>
        <w:tc>
          <w:tcPr>
            <w:tcW w:w="0" w:type="auto"/>
            <w:vMerge/>
            <w:tcBorders>
              <w:top w:val="single" w:sz="4" w:space="0" w:color="auto"/>
              <w:left w:val="nil"/>
              <w:bottom w:val="nil"/>
              <w:right w:val="nil"/>
            </w:tcBorders>
            <w:vAlign w:val="center"/>
            <w:hideMark/>
          </w:tcPr>
          <w:p w14:paraId="566C329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0FDEC792"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63" w:type="dxa"/>
            <w:tcBorders>
              <w:top w:val="single" w:sz="4" w:space="0" w:color="auto"/>
              <w:left w:val="nil"/>
              <w:bottom w:val="nil"/>
              <w:right w:val="single" w:sz="4" w:space="0" w:color="auto"/>
            </w:tcBorders>
            <w:noWrap/>
            <w:vAlign w:val="center"/>
            <w:hideMark/>
          </w:tcPr>
          <w:p w14:paraId="709ADC4A"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04" w:type="dxa"/>
            <w:tcBorders>
              <w:top w:val="nil"/>
              <w:left w:val="single" w:sz="4" w:space="0" w:color="auto"/>
              <w:bottom w:val="nil"/>
              <w:right w:val="nil"/>
            </w:tcBorders>
            <w:noWrap/>
            <w:vAlign w:val="center"/>
            <w:hideMark/>
          </w:tcPr>
          <w:p w14:paraId="00020231"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-0.20</w:t>
            </w:r>
          </w:p>
        </w:tc>
        <w:tc>
          <w:tcPr>
            <w:tcW w:w="1134" w:type="dxa"/>
            <w:noWrap/>
            <w:vAlign w:val="center"/>
            <w:hideMark/>
          </w:tcPr>
          <w:p w14:paraId="681AB64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(-0.41, 0.00)</w:t>
            </w:r>
          </w:p>
        </w:tc>
        <w:tc>
          <w:tcPr>
            <w:tcW w:w="709" w:type="dxa"/>
            <w:tcBorders>
              <w:top w:val="nil"/>
              <w:left w:val="nil"/>
              <w:bottom w:val="nil"/>
              <w:right w:val="single" w:sz="4" w:space="0" w:color="auto"/>
            </w:tcBorders>
            <w:noWrap/>
            <w:vAlign w:val="center"/>
            <w:hideMark/>
          </w:tcPr>
          <w:p w14:paraId="63D0205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24.6%</w:t>
            </w:r>
          </w:p>
        </w:tc>
        <w:tc>
          <w:tcPr>
            <w:tcW w:w="567" w:type="dxa"/>
            <w:tcBorders>
              <w:top w:val="nil"/>
              <w:left w:val="single" w:sz="4" w:space="0" w:color="auto"/>
              <w:bottom w:val="nil"/>
              <w:right w:val="nil"/>
            </w:tcBorders>
            <w:noWrap/>
            <w:vAlign w:val="center"/>
            <w:hideMark/>
          </w:tcPr>
          <w:p w14:paraId="42753059"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-1.08</w:t>
            </w:r>
          </w:p>
        </w:tc>
        <w:tc>
          <w:tcPr>
            <w:tcW w:w="1134" w:type="dxa"/>
            <w:noWrap/>
            <w:vAlign w:val="center"/>
            <w:hideMark/>
          </w:tcPr>
          <w:p w14:paraId="24CCAD83"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(-1.63, -0.54)</w:t>
            </w:r>
          </w:p>
        </w:tc>
        <w:tc>
          <w:tcPr>
            <w:tcW w:w="708" w:type="dxa"/>
            <w:tcBorders>
              <w:top w:val="nil"/>
              <w:left w:val="nil"/>
              <w:bottom w:val="nil"/>
              <w:right w:val="single" w:sz="4" w:space="0" w:color="auto"/>
            </w:tcBorders>
            <w:noWrap/>
            <w:vAlign w:val="center"/>
            <w:hideMark/>
          </w:tcPr>
          <w:p w14:paraId="5B2932A3"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17.3%</w:t>
            </w:r>
          </w:p>
        </w:tc>
        <w:tc>
          <w:tcPr>
            <w:tcW w:w="567" w:type="dxa"/>
            <w:tcBorders>
              <w:top w:val="nil"/>
              <w:left w:val="single" w:sz="4" w:space="0" w:color="auto"/>
              <w:bottom w:val="nil"/>
              <w:right w:val="nil"/>
            </w:tcBorders>
            <w:noWrap/>
            <w:vAlign w:val="center"/>
            <w:hideMark/>
          </w:tcPr>
          <w:p w14:paraId="56886BF5"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-0.76</w:t>
            </w:r>
          </w:p>
        </w:tc>
        <w:tc>
          <w:tcPr>
            <w:tcW w:w="1134" w:type="dxa"/>
            <w:noWrap/>
            <w:vAlign w:val="center"/>
            <w:hideMark/>
          </w:tcPr>
          <w:p w14:paraId="4AA2808D"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(-1.51, 0.00)</w:t>
            </w:r>
          </w:p>
        </w:tc>
        <w:tc>
          <w:tcPr>
            <w:tcW w:w="709" w:type="dxa"/>
            <w:tcBorders>
              <w:top w:val="nil"/>
              <w:left w:val="nil"/>
              <w:bottom w:val="nil"/>
              <w:right w:val="single" w:sz="4" w:space="0" w:color="auto"/>
            </w:tcBorders>
            <w:noWrap/>
            <w:vAlign w:val="center"/>
            <w:hideMark/>
          </w:tcPr>
          <w:p w14:paraId="572A864D"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13.1%</w:t>
            </w:r>
          </w:p>
        </w:tc>
        <w:tc>
          <w:tcPr>
            <w:tcW w:w="567" w:type="dxa"/>
            <w:tcBorders>
              <w:top w:val="nil"/>
              <w:left w:val="single" w:sz="4" w:space="0" w:color="auto"/>
              <w:bottom w:val="nil"/>
              <w:right w:val="nil"/>
            </w:tcBorders>
            <w:noWrap/>
            <w:vAlign w:val="center"/>
            <w:hideMark/>
          </w:tcPr>
          <w:p w14:paraId="156F1317"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-0.36</w:t>
            </w:r>
          </w:p>
        </w:tc>
        <w:tc>
          <w:tcPr>
            <w:tcW w:w="1134" w:type="dxa"/>
            <w:noWrap/>
            <w:vAlign w:val="center"/>
            <w:hideMark/>
          </w:tcPr>
          <w:p w14:paraId="613C080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(-0.74, 0.03)</w:t>
            </w:r>
          </w:p>
        </w:tc>
        <w:tc>
          <w:tcPr>
            <w:tcW w:w="709" w:type="dxa"/>
            <w:noWrap/>
            <w:vAlign w:val="center"/>
            <w:hideMark/>
          </w:tcPr>
          <w:p w14:paraId="570D215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71.5%</w:t>
            </w:r>
          </w:p>
        </w:tc>
      </w:tr>
      <w:tr w:rsidR="00755DCE" w14:paraId="2A4C0A9F" w14:textId="77777777" w:rsidTr="00C54395">
        <w:trPr>
          <w:trHeight w:val="215"/>
        </w:trPr>
        <w:tc>
          <w:tcPr>
            <w:tcW w:w="0" w:type="auto"/>
            <w:vMerge/>
            <w:tcBorders>
              <w:top w:val="single" w:sz="4" w:space="0" w:color="auto"/>
              <w:left w:val="nil"/>
              <w:bottom w:val="nil"/>
              <w:right w:val="nil"/>
            </w:tcBorders>
            <w:vAlign w:val="center"/>
            <w:hideMark/>
          </w:tcPr>
          <w:p w14:paraId="62DAD6C8"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p>
        </w:tc>
        <w:tc>
          <w:tcPr>
            <w:tcW w:w="1013" w:type="dxa"/>
            <w:vMerge/>
            <w:noWrap/>
            <w:vAlign w:val="center"/>
            <w:hideMark/>
          </w:tcPr>
          <w:p w14:paraId="006EA3FB" w14:textId="77777777" w:rsidR="00755DCE" w:rsidRDefault="00755DCE" w:rsidP="00C54395">
            <w:pPr>
              <w:rPr>
                <w:rFonts w:ascii="Calibri" w:eastAsia="Times New Roman" w:hAnsi="Calibri" w:cs="Calibri"/>
                <w:color w:val="000000"/>
                <w:sz w:val="18"/>
                <w:szCs w:val="18"/>
                <w:lang w:val="en-GB" w:eastAsia="en-GB"/>
              </w:rPr>
            </w:pPr>
          </w:p>
        </w:tc>
        <w:tc>
          <w:tcPr>
            <w:tcW w:w="463" w:type="dxa"/>
            <w:tcBorders>
              <w:top w:val="nil"/>
              <w:left w:val="nil"/>
              <w:bottom w:val="nil"/>
              <w:right w:val="single" w:sz="4" w:space="0" w:color="auto"/>
            </w:tcBorders>
            <w:noWrap/>
            <w:vAlign w:val="center"/>
            <w:hideMark/>
          </w:tcPr>
          <w:p w14:paraId="2F95882F"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04" w:type="dxa"/>
            <w:tcBorders>
              <w:top w:val="nil"/>
              <w:left w:val="single" w:sz="4" w:space="0" w:color="auto"/>
              <w:bottom w:val="nil"/>
              <w:right w:val="nil"/>
            </w:tcBorders>
            <w:noWrap/>
            <w:vAlign w:val="center"/>
            <w:hideMark/>
          </w:tcPr>
          <w:p w14:paraId="16964F2A"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-0.16</w:t>
            </w:r>
          </w:p>
        </w:tc>
        <w:tc>
          <w:tcPr>
            <w:tcW w:w="1134" w:type="dxa"/>
            <w:noWrap/>
            <w:vAlign w:val="center"/>
            <w:hideMark/>
          </w:tcPr>
          <w:p w14:paraId="1F67C64E"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(-0.39, 0.07)</w:t>
            </w:r>
          </w:p>
        </w:tc>
        <w:tc>
          <w:tcPr>
            <w:tcW w:w="709" w:type="dxa"/>
            <w:tcBorders>
              <w:top w:val="nil"/>
              <w:left w:val="nil"/>
              <w:bottom w:val="nil"/>
              <w:right w:val="single" w:sz="4" w:space="0" w:color="auto"/>
            </w:tcBorders>
            <w:noWrap/>
            <w:vAlign w:val="center"/>
            <w:hideMark/>
          </w:tcPr>
          <w:p w14:paraId="6B2F5777"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39.7%</w:t>
            </w:r>
          </w:p>
        </w:tc>
        <w:tc>
          <w:tcPr>
            <w:tcW w:w="567" w:type="dxa"/>
            <w:tcBorders>
              <w:top w:val="nil"/>
              <w:left w:val="single" w:sz="4" w:space="0" w:color="auto"/>
              <w:bottom w:val="nil"/>
              <w:right w:val="nil"/>
            </w:tcBorders>
            <w:noWrap/>
            <w:vAlign w:val="center"/>
            <w:hideMark/>
          </w:tcPr>
          <w:p w14:paraId="123B7079"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-1.08</w:t>
            </w:r>
          </w:p>
        </w:tc>
        <w:tc>
          <w:tcPr>
            <w:tcW w:w="1134" w:type="dxa"/>
            <w:noWrap/>
            <w:vAlign w:val="center"/>
            <w:hideMark/>
          </w:tcPr>
          <w:p w14:paraId="0D5693F9"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(-1.62, -0.54)</w:t>
            </w:r>
          </w:p>
        </w:tc>
        <w:tc>
          <w:tcPr>
            <w:tcW w:w="708" w:type="dxa"/>
            <w:tcBorders>
              <w:top w:val="nil"/>
              <w:left w:val="nil"/>
              <w:bottom w:val="nil"/>
              <w:right w:val="single" w:sz="4" w:space="0" w:color="auto"/>
            </w:tcBorders>
            <w:noWrap/>
            <w:vAlign w:val="center"/>
            <w:hideMark/>
          </w:tcPr>
          <w:p w14:paraId="4D776BE8"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33.0%</w:t>
            </w:r>
          </w:p>
        </w:tc>
        <w:tc>
          <w:tcPr>
            <w:tcW w:w="567" w:type="dxa"/>
            <w:tcBorders>
              <w:top w:val="nil"/>
              <w:left w:val="single" w:sz="4" w:space="0" w:color="auto"/>
              <w:bottom w:val="nil"/>
              <w:right w:val="nil"/>
            </w:tcBorders>
            <w:noWrap/>
            <w:vAlign w:val="center"/>
            <w:hideMark/>
          </w:tcPr>
          <w:p w14:paraId="797382D0"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-0.93</w:t>
            </w:r>
          </w:p>
        </w:tc>
        <w:tc>
          <w:tcPr>
            <w:tcW w:w="1134" w:type="dxa"/>
            <w:noWrap/>
            <w:vAlign w:val="center"/>
            <w:hideMark/>
          </w:tcPr>
          <w:p w14:paraId="5F6E561A"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(-1.70, -0.15)</w:t>
            </w:r>
          </w:p>
        </w:tc>
        <w:tc>
          <w:tcPr>
            <w:tcW w:w="709" w:type="dxa"/>
            <w:tcBorders>
              <w:top w:val="nil"/>
              <w:left w:val="nil"/>
              <w:bottom w:val="nil"/>
              <w:right w:val="single" w:sz="4" w:space="0" w:color="auto"/>
            </w:tcBorders>
            <w:noWrap/>
            <w:vAlign w:val="center"/>
            <w:hideMark/>
          </w:tcPr>
          <w:p w14:paraId="26EA1D0E"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27.3%</w:t>
            </w:r>
          </w:p>
        </w:tc>
        <w:tc>
          <w:tcPr>
            <w:tcW w:w="567" w:type="dxa"/>
            <w:tcBorders>
              <w:top w:val="nil"/>
              <w:left w:val="single" w:sz="4" w:space="0" w:color="auto"/>
              <w:bottom w:val="nil"/>
              <w:right w:val="nil"/>
            </w:tcBorders>
            <w:noWrap/>
            <w:vAlign w:val="center"/>
            <w:hideMark/>
          </w:tcPr>
          <w:p w14:paraId="7E69745B" w14:textId="77777777" w:rsidR="00755DCE" w:rsidRDefault="00755DCE" w:rsidP="00C54395">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-0.67</w:t>
            </w:r>
          </w:p>
        </w:tc>
        <w:tc>
          <w:tcPr>
            <w:tcW w:w="1134" w:type="dxa"/>
            <w:noWrap/>
            <w:vAlign w:val="center"/>
            <w:hideMark/>
          </w:tcPr>
          <w:p w14:paraId="2EA1B1D5" w14:textId="77777777" w:rsidR="00755DCE" w:rsidRDefault="00755DCE" w:rsidP="00C54395">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(-1.36, 0.02)</w:t>
            </w:r>
          </w:p>
        </w:tc>
        <w:tc>
          <w:tcPr>
            <w:tcW w:w="709" w:type="dxa"/>
            <w:noWrap/>
            <w:vAlign w:val="center"/>
            <w:hideMark/>
          </w:tcPr>
          <w:p w14:paraId="0C300C14" w14:textId="77777777" w:rsidR="00755DCE" w:rsidRDefault="00755DCE" w:rsidP="00C54395">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83.0%</w:t>
            </w:r>
          </w:p>
        </w:tc>
      </w:tr>
      <w:tr w:rsidR="00F021B0" w14:paraId="370FA611" w14:textId="77777777" w:rsidTr="00C54395">
        <w:trPr>
          <w:trHeight w:val="415"/>
        </w:trPr>
        <w:tc>
          <w:tcPr>
            <w:tcW w:w="12328" w:type="dxa"/>
            <w:gridSpan w:val="15"/>
            <w:tcBorders>
              <w:top w:val="single" w:sz="4" w:space="0" w:color="auto"/>
              <w:left w:val="nil"/>
              <w:bottom w:val="nil"/>
              <w:right w:val="nil"/>
            </w:tcBorders>
            <w:noWrap/>
            <w:vAlign w:val="center"/>
            <w:hideMark/>
          </w:tcPr>
          <w:p w14:paraId="72AD6D00" w14:textId="14986C8F" w:rsidR="00D5006B" w:rsidRDefault="00D5006B" w:rsidP="0011268E">
            <w:pPr>
              <w:jc w:val="both"/>
              <w:rPr>
                <w:rFonts w:eastAsia="Times New Roman"/>
                <w:color w:val="000000"/>
                <w:sz w:val="16"/>
                <w:szCs w:val="16"/>
                <w:lang w:val="en-GB" w:eastAsia="en-GB"/>
              </w:rPr>
            </w:pPr>
            <w:r>
              <w:rPr>
                <w:rFonts w:eastAsia="Times New Roman"/>
                <w:color w:val="000000"/>
                <w:sz w:val="16"/>
                <w:szCs w:val="16"/>
                <w:lang w:val="en-GB" w:eastAsia="en-GB"/>
              </w:rPr>
              <w:lastRenderedPageBreak/>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 scores per year (for maternal age) or change in the category in comparison with the reference category. Models were adjusted for the seven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w:t>
            </w:r>
            <w:r w:rsidR="00F37692">
              <w:rPr>
                <w:rFonts w:eastAsia="Times New Roman"/>
                <w:color w:val="000000"/>
                <w:sz w:val="16"/>
                <w:szCs w:val="16"/>
                <w:lang w:val="en-GB" w:eastAsia="en-GB"/>
              </w:rPr>
              <w:t xml:space="preserve">seven </w:t>
            </w:r>
            <w:r>
              <w:rPr>
                <w:rFonts w:eastAsia="Times New Roman"/>
                <w:color w:val="000000"/>
                <w:sz w:val="16"/>
                <w:szCs w:val="16"/>
                <w:lang w:val="en-GB" w:eastAsia="en-GB"/>
              </w:rPr>
              <w:t xml:space="preserve">cohorts for the main analysis (MA): age, educational level, parity, ethnicity/birthplace, pre-pregnancy body mass index (BMI), smoking status during pregnancy, and alcohol consumption during pregnancy; and adjusted for the nine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three cohorts for the sensitivity analysis (SA).</w:t>
            </w:r>
          </w:p>
          <w:p w14:paraId="723E40B9" w14:textId="77777777" w:rsidR="00F021B0" w:rsidRDefault="00F021B0" w:rsidP="0011268E">
            <w:pPr>
              <w:jc w:val="both"/>
              <w:rPr>
                <w:rFonts w:eastAsia="Times New Roman"/>
                <w:sz w:val="16"/>
                <w:szCs w:val="16"/>
                <w:lang w:val="en-GB" w:eastAsia="en-GB"/>
              </w:rPr>
            </w:pPr>
            <w:r>
              <w:rPr>
                <w:rFonts w:eastAsia="Times New Roman"/>
                <w:color w:val="000000"/>
                <w:sz w:val="16"/>
                <w:szCs w:val="16"/>
                <w:lang w:val="en-GB" w:eastAsia="en-GB"/>
              </w:rPr>
              <w:t xml:space="preserve">RC, recruitment criteria: </w:t>
            </w:r>
            <w:r>
              <w:rPr>
                <w:rFonts w:eastAsia="Times New Roman"/>
                <w:sz w:val="16"/>
                <w:szCs w:val="16"/>
                <w:lang w:val="en-GB" w:eastAsia="en-GB"/>
              </w:rPr>
              <w:t>“White Irish” was a recruitment criterion for Lifeways.</w:t>
            </w:r>
          </w:p>
          <w:p w14:paraId="424047CF" w14:textId="62F6F4EB" w:rsidR="002E7ED7" w:rsidRDefault="002E7ED7" w:rsidP="0011268E">
            <w:pPr>
              <w:jc w:val="both"/>
              <w:rPr>
                <w:rFonts w:eastAsia="Times New Roman"/>
                <w:color w:val="000000"/>
                <w:sz w:val="16"/>
                <w:szCs w:val="16"/>
                <w:lang w:val="en-GB" w:eastAsia="en-GB"/>
              </w:rPr>
            </w:pPr>
            <w:proofErr w:type="spellStart"/>
            <w:r w:rsidRPr="002E7ED7">
              <w:rPr>
                <w:rFonts w:eastAsia="Times New Roman"/>
                <w:color w:val="000000"/>
                <w:sz w:val="16"/>
                <w:szCs w:val="16"/>
                <w:vertAlign w:val="superscript"/>
                <w:lang w:val="en-GB" w:eastAsia="en-GB"/>
              </w:rPr>
              <w:t>a</w:t>
            </w:r>
            <w:r>
              <w:rPr>
                <w:rFonts w:eastAsia="Times New Roman"/>
                <w:color w:val="000000"/>
                <w:sz w:val="16"/>
                <w:szCs w:val="16"/>
                <w:lang w:val="en-GB" w:eastAsia="en-GB"/>
              </w:rPr>
              <w:t>Main</w:t>
            </w:r>
            <w:proofErr w:type="spellEnd"/>
            <w:r>
              <w:rPr>
                <w:rFonts w:eastAsia="Times New Roman"/>
                <w:color w:val="000000"/>
                <w:sz w:val="16"/>
                <w:szCs w:val="16"/>
                <w:lang w:val="en-GB" w:eastAsia="en-GB"/>
              </w:rPr>
              <w:t xml:space="preserve"> analysis (MA) a</w:t>
            </w:r>
            <w:r w:rsidRPr="002E7ED7">
              <w:rPr>
                <w:rFonts w:eastAsia="Times New Roman"/>
                <w:color w:val="000000"/>
                <w:sz w:val="16"/>
                <w:szCs w:val="16"/>
                <w:lang w:val="en-GB" w:eastAsia="en-GB"/>
              </w:rPr>
              <w:t>dditionally</w:t>
            </w:r>
            <w:r>
              <w:rPr>
                <w:rFonts w:eastAsia="Times New Roman"/>
                <w:color w:val="000000"/>
                <w:sz w:val="16"/>
                <w:szCs w:val="16"/>
                <w:lang w:val="en-GB" w:eastAsia="en-GB"/>
              </w:rPr>
              <w:t xml:space="preserve"> adjusted for household income (available for ALSPAC, EDEN, Generation R, and Lifeways only)</w:t>
            </w:r>
            <w:r>
              <w:rPr>
                <w:rFonts w:eastAsia="Times New Roman"/>
                <w:color w:val="000000"/>
                <w:sz w:val="16"/>
                <w:szCs w:val="16"/>
                <w:lang w:eastAsia="en-GB"/>
              </w:rPr>
              <w:t xml:space="preserve"> </w:t>
            </w:r>
            <w:r>
              <w:rPr>
                <w:rFonts w:eastAsia="Times New Roman"/>
                <w:color w:val="000000"/>
                <w:sz w:val="16"/>
                <w:szCs w:val="16"/>
                <w:lang w:val="en-GB" w:eastAsia="en-GB"/>
              </w:rPr>
              <w:t>and for physical activity level during pregnancy (not available for Generation R only), respectively.</w:t>
            </w:r>
          </w:p>
        </w:tc>
      </w:tr>
    </w:tbl>
    <w:p w14:paraId="6E62BA28" w14:textId="77777777" w:rsidR="00F021B0" w:rsidRDefault="00F021B0" w:rsidP="00F021B0">
      <w:pPr>
        <w:pStyle w:val="NoSpacing"/>
        <w:rPr>
          <w:color w:val="FF0000"/>
        </w:rPr>
      </w:pPr>
    </w:p>
    <w:p w14:paraId="5C8C8485" w14:textId="77777777" w:rsidR="00F021B0" w:rsidRDefault="00F021B0" w:rsidP="00F021B0">
      <w:pPr>
        <w:pStyle w:val="NoSpacing"/>
        <w:rPr>
          <w:color w:val="FF0000"/>
          <w:lang w:val="en-CA"/>
        </w:rPr>
      </w:pPr>
    </w:p>
    <w:p w14:paraId="15C4C30D" w14:textId="77777777" w:rsidR="00F021B0" w:rsidRDefault="00F021B0" w:rsidP="00F021B0">
      <w:pPr>
        <w:pStyle w:val="NoSpacing"/>
        <w:rPr>
          <w:color w:val="FF0000"/>
          <w:lang w:val="en-CA"/>
        </w:rPr>
      </w:pPr>
    </w:p>
    <w:p w14:paraId="7C230513" w14:textId="77777777" w:rsidR="002E7ED7" w:rsidRDefault="002E7ED7" w:rsidP="00F021B0">
      <w:pPr>
        <w:pStyle w:val="NoSpacing"/>
        <w:rPr>
          <w:rFonts w:eastAsia="Times New Roman"/>
          <w:color w:val="000000"/>
          <w:sz w:val="16"/>
          <w:szCs w:val="16"/>
          <w:lang w:eastAsia="en-GB"/>
        </w:rPr>
      </w:pPr>
    </w:p>
    <w:p w14:paraId="569D668A" w14:textId="77777777" w:rsidR="002E7ED7" w:rsidRDefault="002E7ED7" w:rsidP="00F021B0">
      <w:pPr>
        <w:pStyle w:val="NoSpacing"/>
        <w:rPr>
          <w:rFonts w:eastAsia="Times New Roman"/>
          <w:color w:val="000000"/>
          <w:sz w:val="16"/>
          <w:szCs w:val="16"/>
          <w:lang w:eastAsia="en-GB"/>
        </w:rPr>
      </w:pPr>
    </w:p>
    <w:p w14:paraId="775BDE38" w14:textId="77777777" w:rsidR="00F021B0" w:rsidRDefault="00F021B0" w:rsidP="00F021B0">
      <w:pPr>
        <w:pStyle w:val="NoSpacing"/>
        <w:rPr>
          <w:color w:val="FF0000"/>
          <w:lang w:val="en-CA"/>
        </w:rPr>
      </w:pPr>
    </w:p>
    <w:p w14:paraId="1A68FB0A" w14:textId="77777777" w:rsidR="00F021B0" w:rsidRDefault="00F021B0" w:rsidP="00F021B0">
      <w:pPr>
        <w:pStyle w:val="NoSpacing"/>
        <w:rPr>
          <w:color w:val="FF0000"/>
          <w:lang w:val="en-CA"/>
        </w:rPr>
      </w:pPr>
    </w:p>
    <w:p w14:paraId="4873694D" w14:textId="77777777" w:rsidR="00F021B0" w:rsidRDefault="00F021B0" w:rsidP="00F021B0">
      <w:pPr>
        <w:pStyle w:val="NoSpacing"/>
        <w:rPr>
          <w:color w:val="FF0000"/>
          <w:lang w:val="en-CA"/>
        </w:rPr>
      </w:pPr>
    </w:p>
    <w:p w14:paraId="0E9B916F" w14:textId="77777777" w:rsidR="00F021B0" w:rsidRDefault="00F021B0" w:rsidP="00F021B0">
      <w:pPr>
        <w:pStyle w:val="NoSpacing"/>
        <w:rPr>
          <w:color w:val="FF0000"/>
          <w:lang w:val="en-CA"/>
        </w:rPr>
      </w:pPr>
    </w:p>
    <w:p w14:paraId="0126F65E" w14:textId="77777777" w:rsidR="00F021B0" w:rsidRDefault="00F021B0" w:rsidP="00F021B0">
      <w:pPr>
        <w:pStyle w:val="NoSpacing"/>
        <w:rPr>
          <w:color w:val="FF0000"/>
          <w:lang w:val="en-CA"/>
        </w:rPr>
      </w:pPr>
    </w:p>
    <w:p w14:paraId="4EC6199D" w14:textId="77777777" w:rsidR="00F021B0" w:rsidRDefault="00F021B0" w:rsidP="00F021B0">
      <w:pPr>
        <w:pStyle w:val="NoSpacing"/>
        <w:rPr>
          <w:color w:val="FF0000"/>
          <w:lang w:val="en-CA"/>
        </w:rPr>
      </w:pPr>
    </w:p>
    <w:p w14:paraId="20D16EFC" w14:textId="77777777" w:rsidR="00F021B0" w:rsidRDefault="00F021B0" w:rsidP="00F021B0">
      <w:pPr>
        <w:pStyle w:val="NoSpacing"/>
        <w:rPr>
          <w:color w:val="FF0000"/>
          <w:lang w:val="en-CA"/>
        </w:rPr>
      </w:pPr>
    </w:p>
    <w:p w14:paraId="1D9B7B69" w14:textId="77777777" w:rsidR="00F021B0" w:rsidRDefault="00F021B0" w:rsidP="00F021B0">
      <w:pPr>
        <w:pStyle w:val="NoSpacing"/>
        <w:rPr>
          <w:color w:val="FF0000"/>
          <w:lang w:val="en-CA"/>
        </w:rPr>
      </w:pPr>
    </w:p>
    <w:p w14:paraId="70DA3805" w14:textId="77777777" w:rsidR="00F021B0" w:rsidRDefault="00F021B0" w:rsidP="00F021B0">
      <w:pPr>
        <w:pStyle w:val="NoSpacing"/>
        <w:rPr>
          <w:color w:val="FF0000"/>
          <w:lang w:val="en-CA"/>
        </w:rPr>
      </w:pPr>
    </w:p>
    <w:p w14:paraId="7EA3FF97" w14:textId="77777777" w:rsidR="00F021B0" w:rsidRDefault="00F021B0" w:rsidP="00F021B0">
      <w:pPr>
        <w:pStyle w:val="NoSpacing"/>
        <w:rPr>
          <w:color w:val="FF0000"/>
          <w:lang w:val="en-CA"/>
        </w:rPr>
      </w:pPr>
    </w:p>
    <w:p w14:paraId="749133B8" w14:textId="77777777" w:rsidR="00F021B0" w:rsidRDefault="00F021B0" w:rsidP="00F021B0">
      <w:pPr>
        <w:pStyle w:val="NoSpacing"/>
        <w:rPr>
          <w:color w:val="FF0000"/>
          <w:lang w:val="en-CA"/>
        </w:rPr>
      </w:pPr>
    </w:p>
    <w:p w14:paraId="017A2165" w14:textId="77777777" w:rsidR="00F021B0" w:rsidRDefault="00F021B0" w:rsidP="00F021B0">
      <w:pPr>
        <w:pStyle w:val="NoSpacing"/>
        <w:rPr>
          <w:color w:val="FF0000"/>
          <w:lang w:val="en-CA"/>
        </w:rPr>
      </w:pPr>
    </w:p>
    <w:p w14:paraId="455FC36F" w14:textId="77777777" w:rsidR="00F021B0" w:rsidRDefault="00F021B0" w:rsidP="00F021B0">
      <w:pPr>
        <w:pStyle w:val="NoSpacing"/>
        <w:rPr>
          <w:color w:val="FF0000"/>
          <w:lang w:val="en-CA"/>
        </w:rPr>
      </w:pPr>
    </w:p>
    <w:p w14:paraId="05D94575" w14:textId="77777777" w:rsidR="00F021B0" w:rsidRDefault="00F021B0" w:rsidP="00F021B0">
      <w:pPr>
        <w:pStyle w:val="NoSpacing"/>
        <w:rPr>
          <w:color w:val="FF0000"/>
          <w:lang w:val="en-CA"/>
        </w:rPr>
      </w:pPr>
    </w:p>
    <w:p w14:paraId="7B4A470F" w14:textId="77777777" w:rsidR="00F021B0" w:rsidRDefault="00F021B0" w:rsidP="00F021B0">
      <w:pPr>
        <w:pStyle w:val="NoSpacing"/>
        <w:rPr>
          <w:color w:val="FF0000"/>
          <w:lang w:val="en-CA"/>
        </w:rPr>
      </w:pPr>
    </w:p>
    <w:p w14:paraId="6B94F512" w14:textId="77777777" w:rsidR="00F021B0" w:rsidRDefault="00F021B0" w:rsidP="00F021B0">
      <w:pPr>
        <w:pStyle w:val="NoSpacing"/>
        <w:rPr>
          <w:color w:val="FF0000"/>
          <w:lang w:val="en-CA"/>
        </w:rPr>
      </w:pPr>
    </w:p>
    <w:p w14:paraId="4C8A9FA9" w14:textId="77777777" w:rsidR="00C54395" w:rsidRDefault="00C54395">
      <w:pPr>
        <w:spacing w:after="200" w:line="276" w:lineRule="auto"/>
        <w:jc w:val="left"/>
        <w:rPr>
          <w:rFonts w:eastAsia="Times New Roman"/>
          <w:b/>
          <w:color w:val="0070C0"/>
          <w:lang w:val="en-GB" w:eastAsia="en-GB"/>
        </w:rPr>
      </w:pPr>
      <w:r>
        <w:rPr>
          <w:rFonts w:eastAsia="Times New Roman"/>
          <w:b/>
          <w:color w:val="0070C0"/>
          <w:lang w:eastAsia="en-GB"/>
        </w:rPr>
        <w:br w:type="page"/>
      </w:r>
    </w:p>
    <w:p w14:paraId="7D1BF46D" w14:textId="633A89A7" w:rsidR="00F021B0" w:rsidRDefault="00F021B0" w:rsidP="00F021B0">
      <w:pPr>
        <w:pStyle w:val="NoSpacing"/>
        <w:spacing w:line="276" w:lineRule="auto"/>
        <w:rPr>
          <w:sz w:val="22"/>
          <w:szCs w:val="22"/>
        </w:rPr>
      </w:pPr>
      <w:r>
        <w:rPr>
          <w:rFonts w:eastAsia="Times New Roman"/>
          <w:b/>
          <w:color w:val="0070C0"/>
          <w:sz w:val="22"/>
          <w:szCs w:val="22"/>
          <w:lang w:eastAsia="en-GB"/>
        </w:rPr>
        <w:lastRenderedPageBreak/>
        <w:t>Supplemental table S</w:t>
      </w:r>
      <w:proofErr w:type="gramStart"/>
      <w:r w:rsidR="00556DE1">
        <w:rPr>
          <w:rFonts w:eastAsia="Times New Roman"/>
          <w:b/>
          <w:color w:val="0070C0"/>
          <w:sz w:val="22"/>
          <w:szCs w:val="22"/>
          <w:lang w:eastAsia="en-GB"/>
        </w:rPr>
        <w:t>4</w:t>
      </w:r>
      <w:r>
        <w:rPr>
          <w:rFonts w:eastAsia="Times New Roman"/>
          <w:b/>
          <w:color w:val="0070C0"/>
          <w:sz w:val="22"/>
          <w:szCs w:val="22"/>
          <w:lang w:eastAsia="en-GB"/>
        </w:rPr>
        <w:t>:</w:t>
      </w:r>
      <w:r>
        <w:rPr>
          <w:sz w:val="22"/>
          <w:szCs w:val="22"/>
        </w:rPr>
        <w:t>Comparison</w:t>
      </w:r>
      <w:proofErr w:type="gramEnd"/>
      <w:r>
        <w:rPr>
          <w:sz w:val="22"/>
          <w:szCs w:val="22"/>
        </w:rPr>
        <w:t xml:space="preserve"> of the results between the main analysis (MA) adjusted </w:t>
      </w:r>
      <w:r w:rsidR="006C324E">
        <w:rPr>
          <w:sz w:val="22"/>
          <w:szCs w:val="22"/>
        </w:rPr>
        <w:t xml:space="preserve">for </w:t>
      </w:r>
      <w:r>
        <w:rPr>
          <w:sz w:val="22"/>
          <w:szCs w:val="22"/>
        </w:rPr>
        <w:t xml:space="preserve">the seven </w:t>
      </w:r>
      <w:r w:rsidR="000F47D2">
        <w:rPr>
          <w:sz w:val="22"/>
          <w:szCs w:val="22"/>
        </w:rPr>
        <w:t>predictors</w:t>
      </w:r>
      <w:r>
        <w:rPr>
          <w:sz w:val="22"/>
          <w:szCs w:val="22"/>
        </w:rPr>
        <w:t xml:space="preserve">, and the sensitivity analysis (SA) adjusted </w:t>
      </w:r>
      <w:r w:rsidR="006C324E">
        <w:rPr>
          <w:sz w:val="22"/>
          <w:szCs w:val="22"/>
        </w:rPr>
        <w:t xml:space="preserve">for </w:t>
      </w:r>
      <w:r>
        <w:rPr>
          <w:sz w:val="22"/>
          <w:szCs w:val="22"/>
        </w:rPr>
        <w:t xml:space="preserve">the nine </w:t>
      </w:r>
      <w:r w:rsidR="000F47D2">
        <w:rPr>
          <w:sz w:val="22"/>
          <w:szCs w:val="22"/>
        </w:rPr>
        <w:t>predictors</w:t>
      </w:r>
      <w:r>
        <w:rPr>
          <w:sz w:val="22"/>
          <w:szCs w:val="22"/>
        </w:rPr>
        <w:t xml:space="preserve"> available for three cohorts – </w:t>
      </w:r>
      <w:r w:rsidR="00811D7E">
        <w:rPr>
          <w:sz w:val="22"/>
          <w:szCs w:val="22"/>
        </w:rPr>
        <w:t>a</w:t>
      </w:r>
      <w:r w:rsidR="00805F67">
        <w:rPr>
          <w:sz w:val="22"/>
          <w:szCs w:val="22"/>
        </w:rPr>
        <w:t>ssociation</w:t>
      </w:r>
      <w:r w:rsidR="00F940B7">
        <w:rPr>
          <w:sz w:val="22"/>
          <w:szCs w:val="22"/>
        </w:rPr>
        <w:t>s</w:t>
      </w:r>
      <w:r w:rsidR="00805F67">
        <w:rPr>
          <w:sz w:val="22"/>
          <w:szCs w:val="22"/>
        </w:rPr>
        <w:t xml:space="preserve"> between predictors and E-DII</w:t>
      </w:r>
      <w:r>
        <w:rPr>
          <w:sz w:val="22"/>
          <w:szCs w:val="22"/>
        </w:rPr>
        <w:t xml:space="preserve"> score during pregnancy.</w:t>
      </w:r>
    </w:p>
    <w:tbl>
      <w:tblPr>
        <w:tblpPr w:leftFromText="180" w:rightFromText="180" w:bottomFromText="200" w:vertAnchor="text" w:horzAnchor="margin" w:tblpX="137" w:tblpY="122"/>
        <w:tblW w:w="12328" w:type="dxa"/>
        <w:tblCellMar>
          <w:left w:w="28" w:type="dxa"/>
          <w:right w:w="28" w:type="dxa"/>
        </w:tblCellMar>
        <w:tblLook w:val="04A0" w:firstRow="1" w:lastRow="0" w:firstColumn="1" w:lastColumn="0" w:noHBand="0" w:noVBand="1"/>
      </w:tblPr>
      <w:tblGrid>
        <w:gridCol w:w="1271"/>
        <w:gridCol w:w="1013"/>
        <w:gridCol w:w="444"/>
        <w:gridCol w:w="528"/>
        <w:gridCol w:w="1134"/>
        <w:gridCol w:w="708"/>
        <w:gridCol w:w="567"/>
        <w:gridCol w:w="1134"/>
        <w:gridCol w:w="709"/>
        <w:gridCol w:w="567"/>
        <w:gridCol w:w="1134"/>
        <w:gridCol w:w="709"/>
        <w:gridCol w:w="567"/>
        <w:gridCol w:w="1134"/>
        <w:gridCol w:w="709"/>
      </w:tblGrid>
      <w:tr w:rsidR="00F021B0" w14:paraId="42A73F25" w14:textId="77777777" w:rsidTr="00F021B0">
        <w:trPr>
          <w:trHeight w:val="215"/>
        </w:trPr>
        <w:tc>
          <w:tcPr>
            <w:tcW w:w="1271" w:type="dxa"/>
            <w:noWrap/>
            <w:vAlign w:val="center"/>
            <w:hideMark/>
          </w:tcPr>
          <w:p w14:paraId="347CF83A" w14:textId="77777777" w:rsidR="00F021B0" w:rsidRDefault="00F021B0"/>
        </w:tc>
        <w:tc>
          <w:tcPr>
            <w:tcW w:w="1013" w:type="dxa"/>
            <w:noWrap/>
            <w:vAlign w:val="center"/>
            <w:hideMark/>
          </w:tcPr>
          <w:p w14:paraId="394BA203" w14:textId="77777777" w:rsidR="00F021B0" w:rsidRDefault="00F021B0">
            <w:pPr>
              <w:spacing w:line="276" w:lineRule="auto"/>
              <w:jc w:val="left"/>
              <w:rPr>
                <w:rFonts w:asciiTheme="minorHAnsi" w:hAnsiTheme="minorHAnsi" w:cstheme="minorBidi"/>
                <w:sz w:val="20"/>
                <w:szCs w:val="20"/>
                <w:lang w:val="en-GB" w:eastAsia="en-GB"/>
              </w:rPr>
            </w:pPr>
          </w:p>
        </w:tc>
        <w:tc>
          <w:tcPr>
            <w:tcW w:w="444" w:type="dxa"/>
            <w:tcBorders>
              <w:top w:val="nil"/>
              <w:left w:val="nil"/>
              <w:bottom w:val="nil"/>
              <w:right w:val="single" w:sz="4" w:space="0" w:color="auto"/>
            </w:tcBorders>
            <w:noWrap/>
            <w:vAlign w:val="center"/>
            <w:hideMark/>
          </w:tcPr>
          <w:p w14:paraId="259317DF" w14:textId="77777777" w:rsidR="00F021B0" w:rsidRDefault="00F021B0">
            <w:pPr>
              <w:spacing w:line="276" w:lineRule="auto"/>
              <w:jc w:val="left"/>
              <w:rPr>
                <w:rFonts w:asciiTheme="minorHAnsi" w:hAnsiTheme="minorHAnsi" w:cstheme="minorBidi"/>
                <w:sz w:val="20"/>
                <w:szCs w:val="20"/>
                <w:lang w:val="en-GB" w:eastAsia="en-GB"/>
              </w:rPr>
            </w:pPr>
          </w:p>
        </w:tc>
        <w:tc>
          <w:tcPr>
            <w:tcW w:w="2370" w:type="dxa"/>
            <w:gridSpan w:val="3"/>
            <w:tcBorders>
              <w:top w:val="nil"/>
              <w:left w:val="single" w:sz="4" w:space="0" w:color="auto"/>
              <w:bottom w:val="nil"/>
              <w:right w:val="single" w:sz="4" w:space="0" w:color="auto"/>
            </w:tcBorders>
            <w:noWrap/>
            <w:vAlign w:val="center"/>
            <w:hideMark/>
          </w:tcPr>
          <w:p w14:paraId="17078421" w14:textId="77777777" w:rsidR="00F021B0" w:rsidRDefault="00F021B0">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ALSPAC</w:t>
            </w:r>
          </w:p>
        </w:tc>
        <w:tc>
          <w:tcPr>
            <w:tcW w:w="2410" w:type="dxa"/>
            <w:gridSpan w:val="3"/>
            <w:tcBorders>
              <w:top w:val="nil"/>
              <w:left w:val="single" w:sz="4" w:space="0" w:color="auto"/>
              <w:bottom w:val="nil"/>
              <w:right w:val="single" w:sz="4" w:space="0" w:color="auto"/>
            </w:tcBorders>
            <w:noWrap/>
            <w:vAlign w:val="center"/>
            <w:hideMark/>
          </w:tcPr>
          <w:p w14:paraId="1664AFB8" w14:textId="77777777" w:rsidR="00F021B0" w:rsidRDefault="00F021B0">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EDEN</w:t>
            </w:r>
          </w:p>
        </w:tc>
        <w:tc>
          <w:tcPr>
            <w:tcW w:w="2410" w:type="dxa"/>
            <w:gridSpan w:val="3"/>
            <w:tcBorders>
              <w:top w:val="nil"/>
              <w:left w:val="single" w:sz="4" w:space="0" w:color="auto"/>
              <w:bottom w:val="nil"/>
              <w:right w:val="single" w:sz="4" w:space="0" w:color="auto"/>
            </w:tcBorders>
            <w:noWrap/>
            <w:vAlign w:val="center"/>
            <w:hideMark/>
          </w:tcPr>
          <w:p w14:paraId="2FB5F57E" w14:textId="77777777" w:rsidR="00F021B0" w:rsidRDefault="00F021B0">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Lifeways</w:t>
            </w:r>
          </w:p>
        </w:tc>
        <w:tc>
          <w:tcPr>
            <w:tcW w:w="2410" w:type="dxa"/>
            <w:gridSpan w:val="3"/>
            <w:tcBorders>
              <w:top w:val="nil"/>
              <w:left w:val="single" w:sz="4" w:space="0" w:color="auto"/>
              <w:bottom w:val="nil"/>
              <w:right w:val="nil"/>
            </w:tcBorders>
            <w:noWrap/>
            <w:vAlign w:val="center"/>
            <w:hideMark/>
          </w:tcPr>
          <w:p w14:paraId="7297BFD5" w14:textId="77777777" w:rsidR="00F021B0" w:rsidRDefault="00F021B0">
            <w:pPr>
              <w:spacing w:line="276" w:lineRule="auto"/>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Pooled</w:t>
            </w:r>
          </w:p>
        </w:tc>
      </w:tr>
      <w:tr w:rsidR="00F021B0" w14:paraId="6257C811" w14:textId="77777777" w:rsidTr="00F021B0">
        <w:trPr>
          <w:trHeight w:val="215"/>
        </w:trPr>
        <w:tc>
          <w:tcPr>
            <w:tcW w:w="1271" w:type="dxa"/>
            <w:tcBorders>
              <w:top w:val="nil"/>
              <w:left w:val="nil"/>
              <w:bottom w:val="single" w:sz="4" w:space="0" w:color="auto"/>
              <w:right w:val="nil"/>
            </w:tcBorders>
            <w:noWrap/>
            <w:vAlign w:val="center"/>
            <w:hideMark/>
          </w:tcPr>
          <w:p w14:paraId="252E5685" w14:textId="77777777" w:rsidR="00F021B0" w:rsidRDefault="00F021B0">
            <w:pPr>
              <w:rPr>
                <w:rFonts w:ascii="Calibri" w:eastAsia="Times New Roman" w:hAnsi="Calibri" w:cs="Calibri"/>
                <w:b/>
                <w:color w:val="000000"/>
                <w:sz w:val="20"/>
                <w:szCs w:val="20"/>
                <w:lang w:val="en-GB" w:eastAsia="en-GB"/>
              </w:rPr>
            </w:pPr>
          </w:p>
        </w:tc>
        <w:tc>
          <w:tcPr>
            <w:tcW w:w="1013" w:type="dxa"/>
            <w:tcBorders>
              <w:top w:val="nil"/>
              <w:left w:val="nil"/>
              <w:bottom w:val="single" w:sz="4" w:space="0" w:color="auto"/>
              <w:right w:val="nil"/>
            </w:tcBorders>
            <w:noWrap/>
            <w:vAlign w:val="center"/>
            <w:hideMark/>
          </w:tcPr>
          <w:p w14:paraId="7DB9EB41" w14:textId="77777777" w:rsidR="00F021B0" w:rsidRDefault="00F021B0">
            <w:pPr>
              <w:spacing w:line="276" w:lineRule="auto"/>
              <w:jc w:val="left"/>
              <w:rPr>
                <w:rFonts w:asciiTheme="minorHAnsi" w:hAnsiTheme="minorHAnsi" w:cstheme="minorBidi"/>
                <w:sz w:val="20"/>
                <w:szCs w:val="20"/>
                <w:lang w:val="en-GB" w:eastAsia="en-GB"/>
              </w:rPr>
            </w:pPr>
          </w:p>
        </w:tc>
        <w:tc>
          <w:tcPr>
            <w:tcW w:w="444" w:type="dxa"/>
            <w:tcBorders>
              <w:top w:val="nil"/>
              <w:left w:val="nil"/>
              <w:bottom w:val="single" w:sz="4" w:space="0" w:color="auto"/>
              <w:right w:val="single" w:sz="4" w:space="0" w:color="auto"/>
            </w:tcBorders>
            <w:noWrap/>
            <w:vAlign w:val="center"/>
            <w:hideMark/>
          </w:tcPr>
          <w:p w14:paraId="60830CA1" w14:textId="77777777" w:rsidR="00F021B0" w:rsidRDefault="00F021B0">
            <w:pPr>
              <w:spacing w:line="276" w:lineRule="auto"/>
              <w:jc w:val="left"/>
              <w:rPr>
                <w:rFonts w:asciiTheme="minorHAnsi" w:hAnsiTheme="minorHAnsi" w:cstheme="minorBidi"/>
                <w:sz w:val="20"/>
                <w:szCs w:val="20"/>
                <w:lang w:val="en-GB" w:eastAsia="en-GB"/>
              </w:rPr>
            </w:pPr>
          </w:p>
        </w:tc>
        <w:tc>
          <w:tcPr>
            <w:tcW w:w="528" w:type="dxa"/>
            <w:tcBorders>
              <w:top w:val="nil"/>
              <w:left w:val="single" w:sz="4" w:space="0" w:color="auto"/>
              <w:bottom w:val="single" w:sz="4" w:space="0" w:color="auto"/>
              <w:right w:val="nil"/>
            </w:tcBorders>
            <w:noWrap/>
            <w:vAlign w:val="center"/>
            <w:hideMark/>
          </w:tcPr>
          <w:p w14:paraId="1E886B9C"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72950175"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8" w:type="dxa"/>
            <w:tcBorders>
              <w:top w:val="nil"/>
              <w:left w:val="nil"/>
              <w:bottom w:val="single" w:sz="4" w:space="0" w:color="auto"/>
              <w:right w:val="single" w:sz="4" w:space="0" w:color="auto"/>
            </w:tcBorders>
            <w:noWrap/>
            <w:vAlign w:val="center"/>
            <w:hideMark/>
          </w:tcPr>
          <w:p w14:paraId="5965D1C6" w14:textId="77777777" w:rsidR="00F021B0" w:rsidRDefault="00F021B0">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322D84E7"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175061F2"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single" w:sz="4" w:space="0" w:color="auto"/>
            </w:tcBorders>
            <w:noWrap/>
            <w:vAlign w:val="center"/>
            <w:hideMark/>
          </w:tcPr>
          <w:p w14:paraId="01CA3418" w14:textId="77777777" w:rsidR="00F021B0" w:rsidRDefault="00F021B0">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453D3284"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57C7DBD4"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single" w:sz="4" w:space="0" w:color="auto"/>
            </w:tcBorders>
            <w:noWrap/>
            <w:vAlign w:val="center"/>
            <w:hideMark/>
          </w:tcPr>
          <w:p w14:paraId="294937BF" w14:textId="77777777" w:rsidR="00F021B0" w:rsidRDefault="00F021B0">
            <w:pPr>
              <w:spacing w:line="276" w:lineRule="auto"/>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top w:val="nil"/>
              <w:left w:val="single" w:sz="4" w:space="0" w:color="auto"/>
              <w:bottom w:val="single" w:sz="4" w:space="0" w:color="auto"/>
              <w:right w:val="nil"/>
            </w:tcBorders>
            <w:noWrap/>
            <w:vAlign w:val="center"/>
            <w:hideMark/>
          </w:tcPr>
          <w:p w14:paraId="78EC6B2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top w:val="nil"/>
              <w:left w:val="nil"/>
              <w:bottom w:val="single" w:sz="4" w:space="0" w:color="auto"/>
              <w:right w:val="nil"/>
            </w:tcBorders>
            <w:noWrap/>
            <w:vAlign w:val="center"/>
            <w:hideMark/>
          </w:tcPr>
          <w:p w14:paraId="20D7D665"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709" w:type="dxa"/>
            <w:tcBorders>
              <w:top w:val="nil"/>
              <w:left w:val="nil"/>
              <w:bottom w:val="single" w:sz="4" w:space="0" w:color="auto"/>
              <w:right w:val="nil"/>
            </w:tcBorders>
            <w:noWrap/>
            <w:vAlign w:val="center"/>
            <w:hideMark/>
          </w:tcPr>
          <w:p w14:paraId="134893B8"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w:t>
            </w:r>
            <w:r>
              <w:rPr>
                <w:rFonts w:ascii="Calibri" w:eastAsia="Times New Roman" w:hAnsi="Calibri" w:cs="Calibri"/>
                <w:color w:val="000000"/>
                <w:sz w:val="18"/>
                <w:szCs w:val="18"/>
                <w:vertAlign w:val="superscript"/>
                <w:lang w:val="en-GB" w:eastAsia="en-GB"/>
              </w:rPr>
              <w:t>2</w:t>
            </w:r>
            <w:r>
              <w:rPr>
                <w:rFonts w:ascii="Calibri" w:eastAsia="Times New Roman" w:hAnsi="Calibri" w:cs="Calibri"/>
                <w:color w:val="000000"/>
                <w:sz w:val="18"/>
                <w:szCs w:val="18"/>
                <w:lang w:val="en-GB" w:eastAsia="en-GB"/>
              </w:rPr>
              <w:t>(%)</w:t>
            </w:r>
          </w:p>
        </w:tc>
      </w:tr>
      <w:tr w:rsidR="00F021B0" w14:paraId="7A00D738" w14:textId="77777777" w:rsidTr="00C54395">
        <w:trPr>
          <w:trHeight w:val="215"/>
        </w:trPr>
        <w:tc>
          <w:tcPr>
            <w:tcW w:w="12328" w:type="dxa"/>
            <w:gridSpan w:val="15"/>
            <w:tcBorders>
              <w:top w:val="single" w:sz="4" w:space="0" w:color="auto"/>
              <w:left w:val="nil"/>
              <w:bottom w:val="single" w:sz="4" w:space="0" w:color="auto"/>
              <w:right w:val="nil"/>
            </w:tcBorders>
            <w:shd w:val="clear" w:color="auto" w:fill="D9D9D9" w:themeFill="background1" w:themeFillShade="D9"/>
            <w:noWrap/>
            <w:vAlign w:val="center"/>
            <w:hideMark/>
          </w:tcPr>
          <w:p w14:paraId="5CA3264A" w14:textId="7160AAF0" w:rsidR="00F021B0" w:rsidRDefault="00F021B0" w:rsidP="00C54395">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 xml:space="preserve">Maternal sociodemographic </w:t>
            </w:r>
            <w:r w:rsidR="00F37692">
              <w:rPr>
                <w:rFonts w:ascii="Calibri" w:eastAsia="Times New Roman" w:hAnsi="Calibri" w:cs="Calibri"/>
                <w:b/>
                <w:color w:val="000000"/>
                <w:sz w:val="20"/>
                <w:szCs w:val="20"/>
                <w:lang w:val="en-GB" w:eastAsia="en-GB"/>
              </w:rPr>
              <w:t>predic</w:t>
            </w:r>
            <w:r>
              <w:rPr>
                <w:rFonts w:ascii="Calibri" w:eastAsia="Times New Roman" w:hAnsi="Calibri" w:cs="Calibri"/>
                <w:b/>
                <w:color w:val="000000"/>
                <w:sz w:val="20"/>
                <w:szCs w:val="20"/>
                <w:lang w:val="en-GB" w:eastAsia="en-GB"/>
              </w:rPr>
              <w:t>tors</w:t>
            </w:r>
          </w:p>
        </w:tc>
      </w:tr>
      <w:tr w:rsidR="00F021B0" w14:paraId="63314D19" w14:textId="77777777" w:rsidTr="00F021B0">
        <w:trPr>
          <w:trHeight w:val="215"/>
        </w:trPr>
        <w:tc>
          <w:tcPr>
            <w:tcW w:w="2284" w:type="dxa"/>
            <w:gridSpan w:val="2"/>
            <w:vMerge w:val="restart"/>
            <w:tcBorders>
              <w:top w:val="single" w:sz="4" w:space="0" w:color="auto"/>
              <w:left w:val="nil"/>
              <w:bottom w:val="single" w:sz="4" w:space="0" w:color="auto"/>
              <w:right w:val="nil"/>
            </w:tcBorders>
            <w:noWrap/>
            <w:hideMark/>
          </w:tcPr>
          <w:p w14:paraId="0D4D8698" w14:textId="77777777" w:rsidR="00F021B0" w:rsidRDefault="00F021B0"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Age</w:t>
            </w:r>
            <w:r>
              <w:rPr>
                <w:rFonts w:ascii="Calibri" w:eastAsia="Times New Roman" w:hAnsi="Calibri" w:cs="Calibri"/>
                <w:color w:val="000000"/>
                <w:sz w:val="18"/>
                <w:szCs w:val="18"/>
                <w:lang w:val="en-GB" w:eastAsia="en-GB"/>
              </w:rPr>
              <w:t xml:space="preserve"> (Years)</w:t>
            </w:r>
          </w:p>
        </w:tc>
        <w:tc>
          <w:tcPr>
            <w:tcW w:w="444" w:type="dxa"/>
            <w:tcBorders>
              <w:top w:val="single" w:sz="4" w:space="0" w:color="auto"/>
              <w:left w:val="nil"/>
              <w:bottom w:val="nil"/>
              <w:right w:val="single" w:sz="4" w:space="0" w:color="auto"/>
            </w:tcBorders>
            <w:noWrap/>
            <w:vAlign w:val="center"/>
            <w:hideMark/>
          </w:tcPr>
          <w:p w14:paraId="72312372"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single" w:sz="4" w:space="0" w:color="auto"/>
              <w:left w:val="single" w:sz="4" w:space="0" w:color="auto"/>
              <w:bottom w:val="nil"/>
              <w:right w:val="nil"/>
            </w:tcBorders>
            <w:noWrap/>
            <w:vAlign w:val="center"/>
            <w:hideMark/>
          </w:tcPr>
          <w:p w14:paraId="6229CF63"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tcBorders>
              <w:top w:val="single" w:sz="4" w:space="0" w:color="auto"/>
              <w:left w:val="nil"/>
              <w:bottom w:val="nil"/>
              <w:right w:val="nil"/>
            </w:tcBorders>
            <w:noWrap/>
            <w:vAlign w:val="center"/>
            <w:hideMark/>
          </w:tcPr>
          <w:p w14:paraId="7905F648"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-0.07)</w:t>
            </w:r>
          </w:p>
        </w:tc>
        <w:tc>
          <w:tcPr>
            <w:tcW w:w="708" w:type="dxa"/>
            <w:tcBorders>
              <w:top w:val="single" w:sz="4" w:space="0" w:color="auto"/>
              <w:left w:val="nil"/>
              <w:bottom w:val="nil"/>
              <w:right w:val="single" w:sz="4" w:space="0" w:color="auto"/>
            </w:tcBorders>
            <w:noWrap/>
            <w:vAlign w:val="center"/>
            <w:hideMark/>
          </w:tcPr>
          <w:p w14:paraId="74C628E1"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17.6%</w:t>
            </w:r>
          </w:p>
        </w:tc>
        <w:tc>
          <w:tcPr>
            <w:tcW w:w="567" w:type="dxa"/>
            <w:tcBorders>
              <w:top w:val="single" w:sz="4" w:space="0" w:color="auto"/>
              <w:left w:val="single" w:sz="4" w:space="0" w:color="auto"/>
              <w:bottom w:val="nil"/>
              <w:right w:val="nil"/>
            </w:tcBorders>
            <w:noWrap/>
            <w:vAlign w:val="center"/>
            <w:hideMark/>
          </w:tcPr>
          <w:p w14:paraId="711B4256"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tcBorders>
              <w:top w:val="single" w:sz="4" w:space="0" w:color="auto"/>
              <w:left w:val="nil"/>
              <w:bottom w:val="nil"/>
              <w:right w:val="nil"/>
            </w:tcBorders>
            <w:noWrap/>
            <w:vAlign w:val="center"/>
            <w:hideMark/>
          </w:tcPr>
          <w:p w14:paraId="3DCCCE29"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-0.06)</w:t>
            </w:r>
          </w:p>
        </w:tc>
        <w:tc>
          <w:tcPr>
            <w:tcW w:w="709" w:type="dxa"/>
            <w:tcBorders>
              <w:top w:val="single" w:sz="4" w:space="0" w:color="auto"/>
              <w:left w:val="nil"/>
              <w:bottom w:val="nil"/>
              <w:right w:val="single" w:sz="4" w:space="0" w:color="auto"/>
            </w:tcBorders>
            <w:noWrap/>
            <w:vAlign w:val="center"/>
            <w:hideMark/>
          </w:tcPr>
          <w:p w14:paraId="750DCA8A"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14.6%</w:t>
            </w:r>
          </w:p>
        </w:tc>
        <w:tc>
          <w:tcPr>
            <w:tcW w:w="567" w:type="dxa"/>
            <w:tcBorders>
              <w:top w:val="single" w:sz="4" w:space="0" w:color="auto"/>
              <w:left w:val="single" w:sz="4" w:space="0" w:color="auto"/>
              <w:bottom w:val="nil"/>
              <w:right w:val="nil"/>
            </w:tcBorders>
            <w:noWrap/>
            <w:vAlign w:val="center"/>
            <w:hideMark/>
          </w:tcPr>
          <w:p w14:paraId="2D20138F"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tcBorders>
              <w:top w:val="single" w:sz="4" w:space="0" w:color="auto"/>
              <w:left w:val="nil"/>
              <w:bottom w:val="nil"/>
              <w:right w:val="nil"/>
            </w:tcBorders>
            <w:noWrap/>
            <w:vAlign w:val="center"/>
            <w:hideMark/>
          </w:tcPr>
          <w:p w14:paraId="429B1F81"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-0.06)</w:t>
            </w:r>
          </w:p>
        </w:tc>
        <w:tc>
          <w:tcPr>
            <w:tcW w:w="709" w:type="dxa"/>
            <w:tcBorders>
              <w:top w:val="single" w:sz="4" w:space="0" w:color="auto"/>
              <w:left w:val="nil"/>
              <w:bottom w:val="nil"/>
              <w:right w:val="single" w:sz="4" w:space="0" w:color="auto"/>
            </w:tcBorders>
            <w:noWrap/>
            <w:vAlign w:val="center"/>
            <w:hideMark/>
          </w:tcPr>
          <w:p w14:paraId="5414677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13.2%</w:t>
            </w:r>
          </w:p>
        </w:tc>
        <w:tc>
          <w:tcPr>
            <w:tcW w:w="567" w:type="dxa"/>
            <w:tcBorders>
              <w:top w:val="single" w:sz="4" w:space="0" w:color="auto"/>
              <w:left w:val="single" w:sz="4" w:space="0" w:color="auto"/>
              <w:bottom w:val="nil"/>
              <w:right w:val="nil"/>
            </w:tcBorders>
            <w:noWrap/>
            <w:vAlign w:val="center"/>
            <w:hideMark/>
          </w:tcPr>
          <w:p w14:paraId="2DD109C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w:t>
            </w:r>
          </w:p>
        </w:tc>
        <w:tc>
          <w:tcPr>
            <w:tcW w:w="1134" w:type="dxa"/>
            <w:tcBorders>
              <w:top w:val="single" w:sz="4" w:space="0" w:color="auto"/>
              <w:left w:val="nil"/>
              <w:bottom w:val="nil"/>
              <w:right w:val="nil"/>
            </w:tcBorders>
            <w:noWrap/>
            <w:vAlign w:val="center"/>
            <w:hideMark/>
          </w:tcPr>
          <w:p w14:paraId="47710C2E"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-0.05)</w:t>
            </w:r>
          </w:p>
        </w:tc>
        <w:tc>
          <w:tcPr>
            <w:tcW w:w="709" w:type="dxa"/>
            <w:tcBorders>
              <w:top w:val="single" w:sz="4" w:space="0" w:color="auto"/>
              <w:left w:val="nil"/>
              <w:bottom w:val="nil"/>
              <w:right w:val="nil"/>
            </w:tcBorders>
            <w:noWrap/>
            <w:vAlign w:val="center"/>
            <w:hideMark/>
          </w:tcPr>
          <w:p w14:paraId="56ED2856"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87.1%</w:t>
            </w:r>
          </w:p>
        </w:tc>
      </w:tr>
      <w:tr w:rsidR="00F021B0" w14:paraId="70DC6D9F" w14:textId="77777777" w:rsidTr="00F021B0">
        <w:trPr>
          <w:trHeight w:val="215"/>
        </w:trPr>
        <w:tc>
          <w:tcPr>
            <w:tcW w:w="0" w:type="auto"/>
            <w:gridSpan w:val="2"/>
            <w:vMerge/>
            <w:tcBorders>
              <w:top w:val="single" w:sz="4" w:space="0" w:color="auto"/>
              <w:left w:val="nil"/>
              <w:bottom w:val="single" w:sz="4" w:space="0" w:color="auto"/>
              <w:right w:val="nil"/>
            </w:tcBorders>
            <w:vAlign w:val="center"/>
            <w:hideMark/>
          </w:tcPr>
          <w:p w14:paraId="75679A76" w14:textId="77777777" w:rsidR="00F021B0" w:rsidRDefault="00F021B0">
            <w:pPr>
              <w:spacing w:line="276" w:lineRule="auto"/>
              <w:jc w:val="left"/>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229D8DAA"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115082B6"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w:t>
            </w:r>
          </w:p>
        </w:tc>
        <w:tc>
          <w:tcPr>
            <w:tcW w:w="1134" w:type="dxa"/>
            <w:noWrap/>
            <w:vAlign w:val="center"/>
            <w:hideMark/>
          </w:tcPr>
          <w:p w14:paraId="58B32C53"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-0.06)</w:t>
            </w:r>
          </w:p>
        </w:tc>
        <w:tc>
          <w:tcPr>
            <w:tcW w:w="708" w:type="dxa"/>
            <w:tcBorders>
              <w:top w:val="nil"/>
              <w:left w:val="nil"/>
              <w:bottom w:val="nil"/>
              <w:right w:val="single" w:sz="4" w:space="0" w:color="auto"/>
            </w:tcBorders>
            <w:noWrap/>
            <w:vAlign w:val="center"/>
            <w:hideMark/>
          </w:tcPr>
          <w:p w14:paraId="6CB84C6F"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68.9%</w:t>
            </w:r>
          </w:p>
        </w:tc>
        <w:tc>
          <w:tcPr>
            <w:tcW w:w="567" w:type="dxa"/>
            <w:tcBorders>
              <w:top w:val="nil"/>
              <w:left w:val="single" w:sz="4" w:space="0" w:color="auto"/>
              <w:bottom w:val="nil"/>
              <w:right w:val="nil"/>
            </w:tcBorders>
            <w:noWrap/>
            <w:vAlign w:val="center"/>
            <w:hideMark/>
          </w:tcPr>
          <w:p w14:paraId="755927D2"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noWrap/>
            <w:vAlign w:val="center"/>
            <w:hideMark/>
          </w:tcPr>
          <w:p w14:paraId="785999E6"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-0.06)</w:t>
            </w:r>
          </w:p>
        </w:tc>
        <w:tc>
          <w:tcPr>
            <w:tcW w:w="709" w:type="dxa"/>
            <w:tcBorders>
              <w:top w:val="nil"/>
              <w:left w:val="nil"/>
              <w:bottom w:val="nil"/>
              <w:right w:val="single" w:sz="4" w:space="0" w:color="auto"/>
            </w:tcBorders>
            <w:noWrap/>
            <w:vAlign w:val="center"/>
            <w:hideMark/>
          </w:tcPr>
          <w:p w14:paraId="2071FB14"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20.5%</w:t>
            </w:r>
          </w:p>
        </w:tc>
        <w:tc>
          <w:tcPr>
            <w:tcW w:w="567" w:type="dxa"/>
            <w:tcBorders>
              <w:top w:val="nil"/>
              <w:left w:val="single" w:sz="4" w:space="0" w:color="auto"/>
              <w:bottom w:val="nil"/>
              <w:right w:val="nil"/>
            </w:tcBorders>
            <w:noWrap/>
            <w:vAlign w:val="center"/>
            <w:hideMark/>
          </w:tcPr>
          <w:p w14:paraId="4FB9DEBE"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w:t>
            </w:r>
          </w:p>
        </w:tc>
        <w:tc>
          <w:tcPr>
            <w:tcW w:w="1134" w:type="dxa"/>
            <w:noWrap/>
            <w:vAlign w:val="center"/>
            <w:hideMark/>
          </w:tcPr>
          <w:p w14:paraId="28A30CDF"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 -0.06)</w:t>
            </w:r>
          </w:p>
        </w:tc>
        <w:tc>
          <w:tcPr>
            <w:tcW w:w="709" w:type="dxa"/>
            <w:tcBorders>
              <w:top w:val="nil"/>
              <w:left w:val="nil"/>
              <w:bottom w:val="nil"/>
              <w:right w:val="single" w:sz="4" w:space="0" w:color="auto"/>
            </w:tcBorders>
            <w:noWrap/>
            <w:vAlign w:val="center"/>
            <w:hideMark/>
          </w:tcPr>
          <w:p w14:paraId="1231856E"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10.6%</w:t>
            </w:r>
          </w:p>
        </w:tc>
        <w:tc>
          <w:tcPr>
            <w:tcW w:w="567" w:type="dxa"/>
            <w:tcBorders>
              <w:top w:val="nil"/>
              <w:left w:val="single" w:sz="4" w:space="0" w:color="auto"/>
              <w:bottom w:val="nil"/>
              <w:right w:val="nil"/>
            </w:tcBorders>
            <w:noWrap/>
            <w:vAlign w:val="center"/>
            <w:hideMark/>
          </w:tcPr>
          <w:p w14:paraId="10D88C34"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w:t>
            </w:r>
          </w:p>
        </w:tc>
        <w:tc>
          <w:tcPr>
            <w:tcW w:w="1134" w:type="dxa"/>
            <w:noWrap/>
            <w:vAlign w:val="center"/>
            <w:hideMark/>
          </w:tcPr>
          <w:p w14:paraId="5E87660E"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-0.07)</w:t>
            </w:r>
          </w:p>
        </w:tc>
        <w:tc>
          <w:tcPr>
            <w:tcW w:w="709" w:type="dxa"/>
            <w:noWrap/>
            <w:vAlign w:val="center"/>
            <w:hideMark/>
          </w:tcPr>
          <w:p w14:paraId="0B6305A6"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0045AB89" w14:textId="77777777" w:rsidTr="00F5229F">
        <w:trPr>
          <w:trHeight w:val="215"/>
        </w:trPr>
        <w:tc>
          <w:tcPr>
            <w:tcW w:w="1271" w:type="dxa"/>
            <w:vMerge w:val="restart"/>
            <w:tcBorders>
              <w:top w:val="single" w:sz="4" w:space="0" w:color="auto"/>
              <w:left w:val="nil"/>
              <w:bottom w:val="single" w:sz="4" w:space="0" w:color="auto"/>
              <w:right w:val="nil"/>
            </w:tcBorders>
            <w:noWrap/>
            <w:hideMark/>
          </w:tcPr>
          <w:p w14:paraId="53664F11" w14:textId="77777777" w:rsidR="00B74658" w:rsidRDefault="00B74658"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Educational level</w:t>
            </w:r>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16F4250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Low</w:t>
            </w:r>
          </w:p>
        </w:tc>
        <w:tc>
          <w:tcPr>
            <w:tcW w:w="444" w:type="dxa"/>
            <w:tcBorders>
              <w:top w:val="single" w:sz="4" w:space="0" w:color="auto"/>
              <w:left w:val="nil"/>
              <w:bottom w:val="nil"/>
              <w:right w:val="single" w:sz="4" w:space="0" w:color="auto"/>
            </w:tcBorders>
            <w:noWrap/>
            <w:vAlign w:val="center"/>
            <w:hideMark/>
          </w:tcPr>
          <w:p w14:paraId="2F3C6B6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3BF25385"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0.99</w:t>
            </w:r>
          </w:p>
        </w:tc>
        <w:tc>
          <w:tcPr>
            <w:tcW w:w="1134" w:type="dxa"/>
            <w:noWrap/>
            <w:vAlign w:val="center"/>
            <w:hideMark/>
          </w:tcPr>
          <w:p w14:paraId="5A7AF91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(0.87, 1.11)</w:t>
            </w:r>
          </w:p>
        </w:tc>
        <w:tc>
          <w:tcPr>
            <w:tcW w:w="708" w:type="dxa"/>
            <w:tcBorders>
              <w:top w:val="nil"/>
              <w:left w:val="nil"/>
              <w:bottom w:val="nil"/>
              <w:right w:val="single" w:sz="4" w:space="0" w:color="auto"/>
            </w:tcBorders>
            <w:noWrap/>
            <w:vAlign w:val="center"/>
            <w:hideMark/>
          </w:tcPr>
          <w:p w14:paraId="3AB3F201"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17.2%</w:t>
            </w:r>
          </w:p>
        </w:tc>
        <w:tc>
          <w:tcPr>
            <w:tcW w:w="567" w:type="dxa"/>
            <w:tcBorders>
              <w:top w:val="nil"/>
              <w:left w:val="single" w:sz="4" w:space="0" w:color="auto"/>
              <w:bottom w:val="nil"/>
              <w:right w:val="nil"/>
            </w:tcBorders>
            <w:noWrap/>
            <w:vAlign w:val="center"/>
            <w:hideMark/>
          </w:tcPr>
          <w:p w14:paraId="2457DEBE"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w:t>
            </w:r>
          </w:p>
        </w:tc>
        <w:tc>
          <w:tcPr>
            <w:tcW w:w="1134" w:type="dxa"/>
            <w:noWrap/>
            <w:vAlign w:val="center"/>
            <w:hideMark/>
          </w:tcPr>
          <w:p w14:paraId="5A08D259"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(-0.01, 0.62)</w:t>
            </w:r>
          </w:p>
        </w:tc>
        <w:tc>
          <w:tcPr>
            <w:tcW w:w="709" w:type="dxa"/>
            <w:tcBorders>
              <w:top w:val="nil"/>
              <w:left w:val="nil"/>
              <w:bottom w:val="nil"/>
              <w:right w:val="single" w:sz="4" w:space="0" w:color="auto"/>
            </w:tcBorders>
            <w:noWrap/>
            <w:vAlign w:val="center"/>
            <w:hideMark/>
          </w:tcPr>
          <w:p w14:paraId="1F7A8A6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13.9%</w:t>
            </w:r>
          </w:p>
        </w:tc>
        <w:tc>
          <w:tcPr>
            <w:tcW w:w="567" w:type="dxa"/>
            <w:tcBorders>
              <w:top w:val="nil"/>
              <w:left w:val="single" w:sz="4" w:space="0" w:color="auto"/>
              <w:bottom w:val="nil"/>
              <w:right w:val="nil"/>
            </w:tcBorders>
            <w:noWrap/>
            <w:vAlign w:val="center"/>
            <w:hideMark/>
          </w:tcPr>
          <w:p w14:paraId="3B1D7F98"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0.57</w:t>
            </w:r>
          </w:p>
        </w:tc>
        <w:tc>
          <w:tcPr>
            <w:tcW w:w="1134" w:type="dxa"/>
            <w:noWrap/>
            <w:vAlign w:val="center"/>
            <w:hideMark/>
          </w:tcPr>
          <w:p w14:paraId="75B4B7B1"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(0.24, 0.90)</w:t>
            </w:r>
          </w:p>
        </w:tc>
        <w:tc>
          <w:tcPr>
            <w:tcW w:w="709" w:type="dxa"/>
            <w:tcBorders>
              <w:top w:val="nil"/>
              <w:left w:val="nil"/>
              <w:bottom w:val="nil"/>
              <w:right w:val="single" w:sz="4" w:space="0" w:color="auto"/>
            </w:tcBorders>
            <w:noWrap/>
            <w:vAlign w:val="center"/>
            <w:hideMark/>
          </w:tcPr>
          <w:p w14:paraId="30F7FA7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13.7%</w:t>
            </w:r>
          </w:p>
        </w:tc>
        <w:tc>
          <w:tcPr>
            <w:tcW w:w="567" w:type="dxa"/>
            <w:tcBorders>
              <w:top w:val="nil"/>
              <w:left w:val="single" w:sz="4" w:space="0" w:color="auto"/>
              <w:bottom w:val="nil"/>
              <w:right w:val="nil"/>
            </w:tcBorders>
            <w:noWrap/>
            <w:vAlign w:val="center"/>
            <w:hideMark/>
          </w:tcPr>
          <w:p w14:paraId="34504FC5"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0.66</w:t>
            </w:r>
          </w:p>
        </w:tc>
        <w:tc>
          <w:tcPr>
            <w:tcW w:w="1134" w:type="dxa"/>
            <w:noWrap/>
            <w:vAlign w:val="center"/>
            <w:hideMark/>
          </w:tcPr>
          <w:p w14:paraId="0810F650"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(0.41, 0.92)</w:t>
            </w:r>
          </w:p>
        </w:tc>
        <w:tc>
          <w:tcPr>
            <w:tcW w:w="709" w:type="dxa"/>
            <w:noWrap/>
            <w:vAlign w:val="center"/>
            <w:hideMark/>
          </w:tcPr>
          <w:p w14:paraId="0DC601F4"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90.3%</w:t>
            </w:r>
          </w:p>
        </w:tc>
      </w:tr>
      <w:tr w:rsidR="00B74658" w14:paraId="61A5433E"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0BD25B99"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2010B23C"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3B926BC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7B3C65A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0.87</w:t>
            </w:r>
          </w:p>
        </w:tc>
        <w:tc>
          <w:tcPr>
            <w:tcW w:w="1134" w:type="dxa"/>
            <w:noWrap/>
            <w:vAlign w:val="center"/>
            <w:hideMark/>
          </w:tcPr>
          <w:p w14:paraId="57157391"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(0.73, 1.02)</w:t>
            </w:r>
          </w:p>
        </w:tc>
        <w:tc>
          <w:tcPr>
            <w:tcW w:w="708" w:type="dxa"/>
            <w:tcBorders>
              <w:top w:val="nil"/>
              <w:left w:val="nil"/>
              <w:bottom w:val="nil"/>
              <w:right w:val="single" w:sz="4" w:space="0" w:color="auto"/>
            </w:tcBorders>
            <w:noWrap/>
            <w:vAlign w:val="center"/>
            <w:hideMark/>
          </w:tcPr>
          <w:p w14:paraId="6CFF53B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37.0%</w:t>
            </w:r>
          </w:p>
        </w:tc>
        <w:tc>
          <w:tcPr>
            <w:tcW w:w="567" w:type="dxa"/>
            <w:tcBorders>
              <w:top w:val="nil"/>
              <w:left w:val="single" w:sz="4" w:space="0" w:color="auto"/>
              <w:bottom w:val="nil"/>
              <w:right w:val="nil"/>
            </w:tcBorders>
            <w:noWrap/>
            <w:vAlign w:val="center"/>
            <w:hideMark/>
          </w:tcPr>
          <w:p w14:paraId="1A3BB61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7FC4D70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0.47)</w:t>
            </w:r>
          </w:p>
        </w:tc>
        <w:tc>
          <w:tcPr>
            <w:tcW w:w="709" w:type="dxa"/>
            <w:tcBorders>
              <w:top w:val="nil"/>
              <w:left w:val="nil"/>
              <w:bottom w:val="nil"/>
              <w:right w:val="single" w:sz="4" w:space="0" w:color="auto"/>
            </w:tcBorders>
            <w:noWrap/>
            <w:vAlign w:val="center"/>
            <w:hideMark/>
          </w:tcPr>
          <w:p w14:paraId="3D7A4FD5"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32.5%</w:t>
            </w:r>
          </w:p>
        </w:tc>
        <w:tc>
          <w:tcPr>
            <w:tcW w:w="567" w:type="dxa"/>
            <w:tcBorders>
              <w:top w:val="nil"/>
              <w:left w:val="single" w:sz="4" w:space="0" w:color="auto"/>
              <w:bottom w:val="nil"/>
              <w:right w:val="nil"/>
            </w:tcBorders>
            <w:noWrap/>
            <w:vAlign w:val="center"/>
            <w:hideMark/>
          </w:tcPr>
          <w:p w14:paraId="1855770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0.49</w:t>
            </w:r>
          </w:p>
        </w:tc>
        <w:tc>
          <w:tcPr>
            <w:tcW w:w="1134" w:type="dxa"/>
            <w:noWrap/>
            <w:vAlign w:val="center"/>
            <w:hideMark/>
          </w:tcPr>
          <w:p w14:paraId="21C3D016"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(0.09, 0.88)</w:t>
            </w:r>
          </w:p>
        </w:tc>
        <w:tc>
          <w:tcPr>
            <w:tcW w:w="709" w:type="dxa"/>
            <w:tcBorders>
              <w:top w:val="nil"/>
              <w:left w:val="nil"/>
              <w:bottom w:val="nil"/>
              <w:right w:val="single" w:sz="4" w:space="0" w:color="auto"/>
            </w:tcBorders>
            <w:noWrap/>
            <w:vAlign w:val="center"/>
            <w:hideMark/>
          </w:tcPr>
          <w:p w14:paraId="7012AA97"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30.5%</w:t>
            </w:r>
          </w:p>
        </w:tc>
        <w:tc>
          <w:tcPr>
            <w:tcW w:w="567" w:type="dxa"/>
            <w:tcBorders>
              <w:top w:val="nil"/>
              <w:left w:val="single" w:sz="4" w:space="0" w:color="auto"/>
              <w:bottom w:val="nil"/>
              <w:right w:val="nil"/>
            </w:tcBorders>
            <w:noWrap/>
            <w:vAlign w:val="center"/>
            <w:hideMark/>
          </w:tcPr>
          <w:p w14:paraId="1727517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0.52</w:t>
            </w:r>
          </w:p>
        </w:tc>
        <w:tc>
          <w:tcPr>
            <w:tcW w:w="1134" w:type="dxa"/>
            <w:noWrap/>
            <w:vAlign w:val="center"/>
            <w:hideMark/>
          </w:tcPr>
          <w:p w14:paraId="5A6C868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(0.04, 1.00)</w:t>
            </w:r>
          </w:p>
        </w:tc>
        <w:tc>
          <w:tcPr>
            <w:tcW w:w="709" w:type="dxa"/>
            <w:noWrap/>
            <w:vAlign w:val="center"/>
            <w:hideMark/>
          </w:tcPr>
          <w:p w14:paraId="10713259"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88.5%</w:t>
            </w:r>
          </w:p>
        </w:tc>
      </w:tr>
      <w:tr w:rsidR="00B74658" w14:paraId="0B2BAD2C"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1C11833C"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66E442E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44" w:type="dxa"/>
            <w:tcBorders>
              <w:top w:val="single" w:sz="4" w:space="0" w:color="auto"/>
              <w:left w:val="nil"/>
              <w:bottom w:val="nil"/>
              <w:right w:val="single" w:sz="4" w:space="0" w:color="auto"/>
            </w:tcBorders>
            <w:noWrap/>
            <w:vAlign w:val="center"/>
            <w:hideMark/>
          </w:tcPr>
          <w:p w14:paraId="5DE68069"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6ED931B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w:t>
            </w:r>
          </w:p>
        </w:tc>
        <w:tc>
          <w:tcPr>
            <w:tcW w:w="1134" w:type="dxa"/>
            <w:noWrap/>
            <w:vAlign w:val="center"/>
            <w:hideMark/>
          </w:tcPr>
          <w:p w14:paraId="1D54C65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(0.29, 0.50)</w:t>
            </w:r>
          </w:p>
        </w:tc>
        <w:tc>
          <w:tcPr>
            <w:tcW w:w="708" w:type="dxa"/>
            <w:tcBorders>
              <w:top w:val="nil"/>
              <w:left w:val="nil"/>
              <w:bottom w:val="nil"/>
              <w:right w:val="single" w:sz="4" w:space="0" w:color="auto"/>
            </w:tcBorders>
            <w:noWrap/>
            <w:vAlign w:val="center"/>
            <w:hideMark/>
          </w:tcPr>
          <w:p w14:paraId="584AE747"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16.9%</w:t>
            </w:r>
          </w:p>
        </w:tc>
        <w:tc>
          <w:tcPr>
            <w:tcW w:w="567" w:type="dxa"/>
            <w:tcBorders>
              <w:top w:val="nil"/>
              <w:left w:val="single" w:sz="4" w:space="0" w:color="auto"/>
              <w:bottom w:val="nil"/>
              <w:right w:val="nil"/>
            </w:tcBorders>
            <w:noWrap/>
            <w:vAlign w:val="center"/>
            <w:hideMark/>
          </w:tcPr>
          <w:p w14:paraId="4C97748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0.34</w:t>
            </w:r>
          </w:p>
        </w:tc>
        <w:tc>
          <w:tcPr>
            <w:tcW w:w="1134" w:type="dxa"/>
            <w:noWrap/>
            <w:vAlign w:val="center"/>
            <w:hideMark/>
          </w:tcPr>
          <w:p w14:paraId="695EEBF5"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(0.18, 0.51)</w:t>
            </w:r>
          </w:p>
        </w:tc>
        <w:tc>
          <w:tcPr>
            <w:tcW w:w="709" w:type="dxa"/>
            <w:tcBorders>
              <w:top w:val="nil"/>
              <w:left w:val="nil"/>
              <w:bottom w:val="nil"/>
              <w:right w:val="single" w:sz="4" w:space="0" w:color="auto"/>
            </w:tcBorders>
            <w:noWrap/>
            <w:vAlign w:val="center"/>
            <w:hideMark/>
          </w:tcPr>
          <w:p w14:paraId="798F12A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15.0%</w:t>
            </w:r>
          </w:p>
        </w:tc>
        <w:tc>
          <w:tcPr>
            <w:tcW w:w="567" w:type="dxa"/>
            <w:tcBorders>
              <w:top w:val="nil"/>
              <w:left w:val="single" w:sz="4" w:space="0" w:color="auto"/>
              <w:bottom w:val="nil"/>
              <w:right w:val="nil"/>
            </w:tcBorders>
            <w:noWrap/>
            <w:vAlign w:val="center"/>
            <w:hideMark/>
          </w:tcPr>
          <w:p w14:paraId="00CCA702"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0.62</w:t>
            </w:r>
          </w:p>
        </w:tc>
        <w:tc>
          <w:tcPr>
            <w:tcW w:w="1134" w:type="dxa"/>
            <w:noWrap/>
            <w:vAlign w:val="center"/>
            <w:hideMark/>
          </w:tcPr>
          <w:p w14:paraId="462FACB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(0.38, 0.87)</w:t>
            </w:r>
          </w:p>
        </w:tc>
        <w:tc>
          <w:tcPr>
            <w:tcW w:w="709" w:type="dxa"/>
            <w:tcBorders>
              <w:top w:val="nil"/>
              <w:left w:val="nil"/>
              <w:bottom w:val="nil"/>
              <w:right w:val="single" w:sz="4" w:space="0" w:color="auto"/>
            </w:tcBorders>
            <w:noWrap/>
            <w:vAlign w:val="center"/>
            <w:hideMark/>
          </w:tcPr>
          <w:p w14:paraId="2E0138F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12.2%</w:t>
            </w:r>
          </w:p>
        </w:tc>
        <w:tc>
          <w:tcPr>
            <w:tcW w:w="567" w:type="dxa"/>
            <w:tcBorders>
              <w:top w:val="nil"/>
              <w:left w:val="single" w:sz="4" w:space="0" w:color="auto"/>
              <w:bottom w:val="nil"/>
              <w:right w:val="nil"/>
            </w:tcBorders>
            <w:noWrap/>
            <w:vAlign w:val="center"/>
            <w:hideMark/>
          </w:tcPr>
          <w:p w14:paraId="7FF3ADFA"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0.34</w:t>
            </w:r>
          </w:p>
        </w:tc>
        <w:tc>
          <w:tcPr>
            <w:tcW w:w="1134" w:type="dxa"/>
            <w:noWrap/>
            <w:vAlign w:val="center"/>
            <w:hideMark/>
          </w:tcPr>
          <w:p w14:paraId="426643E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(0.19, 0.49)</w:t>
            </w:r>
          </w:p>
        </w:tc>
        <w:tc>
          <w:tcPr>
            <w:tcW w:w="709" w:type="dxa"/>
            <w:noWrap/>
            <w:vAlign w:val="center"/>
            <w:hideMark/>
          </w:tcPr>
          <w:p w14:paraId="68471CE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85.8%</w:t>
            </w:r>
          </w:p>
        </w:tc>
      </w:tr>
      <w:tr w:rsidR="00B74658" w14:paraId="2B699E5A"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259F24C3"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65521405"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18D6F31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093862B8"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0.39</w:t>
            </w:r>
          </w:p>
        </w:tc>
        <w:tc>
          <w:tcPr>
            <w:tcW w:w="1134" w:type="dxa"/>
            <w:noWrap/>
            <w:vAlign w:val="center"/>
            <w:hideMark/>
          </w:tcPr>
          <w:p w14:paraId="532FEA8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(0.27, 0.51)</w:t>
            </w:r>
          </w:p>
        </w:tc>
        <w:tc>
          <w:tcPr>
            <w:tcW w:w="708" w:type="dxa"/>
            <w:tcBorders>
              <w:top w:val="nil"/>
              <w:left w:val="nil"/>
              <w:bottom w:val="nil"/>
              <w:right w:val="single" w:sz="4" w:space="0" w:color="auto"/>
            </w:tcBorders>
            <w:noWrap/>
            <w:vAlign w:val="center"/>
            <w:hideMark/>
          </w:tcPr>
          <w:p w14:paraId="704469D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48.7%</w:t>
            </w:r>
          </w:p>
        </w:tc>
        <w:tc>
          <w:tcPr>
            <w:tcW w:w="567" w:type="dxa"/>
            <w:tcBorders>
              <w:top w:val="nil"/>
              <w:left w:val="single" w:sz="4" w:space="0" w:color="auto"/>
              <w:bottom w:val="nil"/>
              <w:right w:val="nil"/>
            </w:tcBorders>
            <w:noWrap/>
            <w:vAlign w:val="center"/>
            <w:hideMark/>
          </w:tcPr>
          <w:p w14:paraId="0B9E786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0.28</w:t>
            </w:r>
          </w:p>
        </w:tc>
        <w:tc>
          <w:tcPr>
            <w:tcW w:w="1134" w:type="dxa"/>
            <w:noWrap/>
            <w:vAlign w:val="center"/>
            <w:hideMark/>
          </w:tcPr>
          <w:p w14:paraId="597D48DA"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(0.10, 0.46)</w:t>
            </w:r>
          </w:p>
        </w:tc>
        <w:tc>
          <w:tcPr>
            <w:tcW w:w="709" w:type="dxa"/>
            <w:tcBorders>
              <w:top w:val="nil"/>
              <w:left w:val="nil"/>
              <w:bottom w:val="nil"/>
              <w:right w:val="single" w:sz="4" w:space="0" w:color="auto"/>
            </w:tcBorders>
            <w:noWrap/>
            <w:vAlign w:val="center"/>
            <w:hideMark/>
          </w:tcPr>
          <w:p w14:paraId="3660B9B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33.1%</w:t>
            </w:r>
          </w:p>
        </w:tc>
        <w:tc>
          <w:tcPr>
            <w:tcW w:w="567" w:type="dxa"/>
            <w:tcBorders>
              <w:top w:val="nil"/>
              <w:left w:val="single" w:sz="4" w:space="0" w:color="auto"/>
              <w:bottom w:val="nil"/>
              <w:right w:val="nil"/>
            </w:tcBorders>
            <w:noWrap/>
            <w:vAlign w:val="center"/>
            <w:hideMark/>
          </w:tcPr>
          <w:p w14:paraId="37C0CE1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0.60</w:t>
            </w:r>
          </w:p>
        </w:tc>
        <w:tc>
          <w:tcPr>
            <w:tcW w:w="1134" w:type="dxa"/>
            <w:noWrap/>
            <w:vAlign w:val="center"/>
            <w:hideMark/>
          </w:tcPr>
          <w:p w14:paraId="7AAEF576"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(0.32, 0.87)</w:t>
            </w:r>
          </w:p>
        </w:tc>
        <w:tc>
          <w:tcPr>
            <w:tcW w:w="709" w:type="dxa"/>
            <w:tcBorders>
              <w:top w:val="nil"/>
              <w:left w:val="nil"/>
              <w:bottom w:val="nil"/>
              <w:right w:val="single" w:sz="4" w:space="0" w:color="auto"/>
            </w:tcBorders>
            <w:noWrap/>
            <w:vAlign w:val="center"/>
            <w:hideMark/>
          </w:tcPr>
          <w:p w14:paraId="250B970C"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18.2%</w:t>
            </w:r>
          </w:p>
        </w:tc>
        <w:tc>
          <w:tcPr>
            <w:tcW w:w="567" w:type="dxa"/>
            <w:tcBorders>
              <w:top w:val="nil"/>
              <w:left w:val="single" w:sz="4" w:space="0" w:color="auto"/>
              <w:bottom w:val="nil"/>
              <w:right w:val="nil"/>
            </w:tcBorders>
            <w:noWrap/>
            <w:vAlign w:val="center"/>
            <w:hideMark/>
          </w:tcPr>
          <w:p w14:paraId="48AE5F7B"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0.39</w:t>
            </w:r>
          </w:p>
        </w:tc>
        <w:tc>
          <w:tcPr>
            <w:tcW w:w="1134" w:type="dxa"/>
            <w:noWrap/>
            <w:vAlign w:val="center"/>
            <w:hideMark/>
          </w:tcPr>
          <w:p w14:paraId="6491CD65"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(0.25, 0.53)</w:t>
            </w:r>
          </w:p>
        </w:tc>
        <w:tc>
          <w:tcPr>
            <w:tcW w:w="709" w:type="dxa"/>
            <w:noWrap/>
            <w:vAlign w:val="center"/>
            <w:hideMark/>
          </w:tcPr>
          <w:p w14:paraId="4881821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41.7%</w:t>
            </w:r>
          </w:p>
        </w:tc>
      </w:tr>
      <w:tr w:rsidR="00B74658" w14:paraId="63CDE576" w14:textId="77777777" w:rsidTr="00F5229F">
        <w:trPr>
          <w:trHeight w:val="215"/>
        </w:trPr>
        <w:tc>
          <w:tcPr>
            <w:tcW w:w="1271" w:type="dxa"/>
            <w:vMerge w:val="restart"/>
            <w:tcBorders>
              <w:top w:val="single" w:sz="4" w:space="0" w:color="auto"/>
              <w:left w:val="nil"/>
              <w:bottom w:val="single" w:sz="4" w:space="0" w:color="auto"/>
              <w:right w:val="nil"/>
            </w:tcBorders>
            <w:noWrap/>
            <w:hideMark/>
          </w:tcPr>
          <w:p w14:paraId="0DECBA4A" w14:textId="294BBF0B" w:rsidR="00B74658" w:rsidRDefault="00B74658"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 xml:space="preserve">Household </w:t>
            </w:r>
            <w:proofErr w:type="spellStart"/>
            <w:r>
              <w:rPr>
                <w:rFonts w:ascii="Calibri" w:eastAsia="Times New Roman" w:hAnsi="Calibri" w:cs="Calibri"/>
                <w:b/>
                <w:color w:val="000000"/>
                <w:sz w:val="18"/>
                <w:szCs w:val="18"/>
                <w:lang w:val="en-GB" w:eastAsia="en-GB"/>
              </w:rPr>
              <w:t>income</w:t>
            </w:r>
            <w:r w:rsidR="002E7ED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4DB3695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Low</w:t>
            </w:r>
          </w:p>
        </w:tc>
        <w:tc>
          <w:tcPr>
            <w:tcW w:w="444" w:type="dxa"/>
            <w:tcBorders>
              <w:top w:val="single" w:sz="4" w:space="0" w:color="auto"/>
              <w:left w:val="nil"/>
              <w:bottom w:val="nil"/>
              <w:right w:val="single" w:sz="4" w:space="0" w:color="auto"/>
            </w:tcBorders>
            <w:noWrap/>
            <w:vAlign w:val="center"/>
            <w:hideMark/>
          </w:tcPr>
          <w:p w14:paraId="76DC50B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7D118C3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253C1CA1"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(0.22, 0.43)</w:t>
            </w:r>
          </w:p>
        </w:tc>
        <w:tc>
          <w:tcPr>
            <w:tcW w:w="708" w:type="dxa"/>
            <w:tcBorders>
              <w:top w:val="nil"/>
              <w:left w:val="nil"/>
              <w:bottom w:val="nil"/>
              <w:right w:val="single" w:sz="4" w:space="0" w:color="auto"/>
            </w:tcBorders>
            <w:noWrap/>
            <w:vAlign w:val="center"/>
            <w:hideMark/>
          </w:tcPr>
          <w:p w14:paraId="0E230477"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40.2%</w:t>
            </w:r>
          </w:p>
        </w:tc>
        <w:tc>
          <w:tcPr>
            <w:tcW w:w="567" w:type="dxa"/>
            <w:tcBorders>
              <w:top w:val="nil"/>
              <w:left w:val="single" w:sz="4" w:space="0" w:color="auto"/>
              <w:bottom w:val="nil"/>
              <w:right w:val="nil"/>
            </w:tcBorders>
            <w:noWrap/>
            <w:vAlign w:val="center"/>
            <w:hideMark/>
          </w:tcPr>
          <w:p w14:paraId="706EF0A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w:t>
            </w:r>
          </w:p>
        </w:tc>
        <w:tc>
          <w:tcPr>
            <w:tcW w:w="1134" w:type="dxa"/>
            <w:noWrap/>
            <w:vAlign w:val="center"/>
            <w:hideMark/>
          </w:tcPr>
          <w:p w14:paraId="6B12B23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 0.34)</w:t>
            </w:r>
          </w:p>
        </w:tc>
        <w:tc>
          <w:tcPr>
            <w:tcW w:w="709" w:type="dxa"/>
            <w:tcBorders>
              <w:top w:val="nil"/>
              <w:left w:val="nil"/>
              <w:bottom w:val="nil"/>
              <w:right w:val="single" w:sz="4" w:space="0" w:color="auto"/>
            </w:tcBorders>
            <w:noWrap/>
            <w:vAlign w:val="center"/>
            <w:hideMark/>
          </w:tcPr>
          <w:p w14:paraId="474CFFAA"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11.3%</w:t>
            </w:r>
          </w:p>
        </w:tc>
        <w:tc>
          <w:tcPr>
            <w:tcW w:w="567" w:type="dxa"/>
            <w:tcBorders>
              <w:top w:val="nil"/>
              <w:left w:val="single" w:sz="4" w:space="0" w:color="auto"/>
              <w:bottom w:val="nil"/>
              <w:right w:val="nil"/>
            </w:tcBorders>
            <w:noWrap/>
            <w:vAlign w:val="center"/>
            <w:hideMark/>
          </w:tcPr>
          <w:p w14:paraId="6FF9026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0.24</w:t>
            </w:r>
          </w:p>
        </w:tc>
        <w:tc>
          <w:tcPr>
            <w:tcW w:w="1134" w:type="dxa"/>
            <w:noWrap/>
            <w:vAlign w:val="center"/>
            <w:hideMark/>
          </w:tcPr>
          <w:p w14:paraId="3EDF48D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0.55)</w:t>
            </w:r>
          </w:p>
        </w:tc>
        <w:tc>
          <w:tcPr>
            <w:tcW w:w="709" w:type="dxa"/>
            <w:tcBorders>
              <w:top w:val="nil"/>
              <w:left w:val="nil"/>
              <w:bottom w:val="nil"/>
              <w:right w:val="single" w:sz="4" w:space="0" w:color="auto"/>
            </w:tcBorders>
            <w:noWrap/>
            <w:vAlign w:val="center"/>
            <w:hideMark/>
          </w:tcPr>
          <w:p w14:paraId="16F97AB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5.8%</w:t>
            </w:r>
          </w:p>
        </w:tc>
        <w:tc>
          <w:tcPr>
            <w:tcW w:w="567" w:type="dxa"/>
            <w:tcBorders>
              <w:top w:val="nil"/>
              <w:left w:val="single" w:sz="4" w:space="0" w:color="auto"/>
              <w:bottom w:val="nil"/>
              <w:right w:val="nil"/>
            </w:tcBorders>
            <w:noWrap/>
            <w:vAlign w:val="center"/>
            <w:hideMark/>
          </w:tcPr>
          <w:p w14:paraId="7BE6149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0.30</w:t>
            </w:r>
          </w:p>
        </w:tc>
        <w:tc>
          <w:tcPr>
            <w:tcW w:w="1134" w:type="dxa"/>
            <w:noWrap/>
            <w:vAlign w:val="center"/>
            <w:hideMark/>
          </w:tcPr>
          <w:p w14:paraId="44B21CE9"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(0.22, 0.38)</w:t>
            </w:r>
          </w:p>
        </w:tc>
        <w:tc>
          <w:tcPr>
            <w:tcW w:w="709" w:type="dxa"/>
            <w:noWrap/>
            <w:vAlign w:val="center"/>
            <w:hideMark/>
          </w:tcPr>
          <w:p w14:paraId="000BE7F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16.9%</w:t>
            </w:r>
          </w:p>
        </w:tc>
      </w:tr>
      <w:tr w:rsidR="00B74658" w14:paraId="5FC2BD27"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6CE8C2B2"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3882248B"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73C0C854"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45D2249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0.35</w:t>
            </w:r>
          </w:p>
        </w:tc>
        <w:tc>
          <w:tcPr>
            <w:tcW w:w="1134" w:type="dxa"/>
            <w:noWrap/>
            <w:vAlign w:val="center"/>
            <w:hideMark/>
          </w:tcPr>
          <w:p w14:paraId="29D1B7CD"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(0.24, 0.46)</w:t>
            </w:r>
          </w:p>
        </w:tc>
        <w:tc>
          <w:tcPr>
            <w:tcW w:w="708" w:type="dxa"/>
            <w:tcBorders>
              <w:top w:val="nil"/>
              <w:left w:val="nil"/>
              <w:bottom w:val="nil"/>
              <w:right w:val="single" w:sz="4" w:space="0" w:color="auto"/>
            </w:tcBorders>
            <w:noWrap/>
            <w:vAlign w:val="center"/>
            <w:hideMark/>
          </w:tcPr>
          <w:p w14:paraId="6D85073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49.2%</w:t>
            </w:r>
          </w:p>
        </w:tc>
        <w:tc>
          <w:tcPr>
            <w:tcW w:w="567" w:type="dxa"/>
            <w:tcBorders>
              <w:top w:val="nil"/>
              <w:left w:val="single" w:sz="4" w:space="0" w:color="auto"/>
              <w:bottom w:val="nil"/>
              <w:right w:val="nil"/>
            </w:tcBorders>
            <w:noWrap/>
            <w:vAlign w:val="center"/>
            <w:hideMark/>
          </w:tcPr>
          <w:p w14:paraId="2373B23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w:t>
            </w:r>
          </w:p>
        </w:tc>
        <w:tc>
          <w:tcPr>
            <w:tcW w:w="1134" w:type="dxa"/>
            <w:noWrap/>
            <w:vAlign w:val="center"/>
            <w:hideMark/>
          </w:tcPr>
          <w:p w14:paraId="28888F9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 0.33)</w:t>
            </w:r>
          </w:p>
        </w:tc>
        <w:tc>
          <w:tcPr>
            <w:tcW w:w="709" w:type="dxa"/>
            <w:tcBorders>
              <w:top w:val="nil"/>
              <w:left w:val="nil"/>
              <w:bottom w:val="nil"/>
              <w:right w:val="single" w:sz="4" w:space="0" w:color="auto"/>
            </w:tcBorders>
            <w:noWrap/>
            <w:vAlign w:val="center"/>
            <w:hideMark/>
          </w:tcPr>
          <w:p w14:paraId="19FA7D9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32.1%</w:t>
            </w:r>
          </w:p>
        </w:tc>
        <w:tc>
          <w:tcPr>
            <w:tcW w:w="567" w:type="dxa"/>
            <w:tcBorders>
              <w:top w:val="nil"/>
              <w:left w:val="single" w:sz="4" w:space="0" w:color="auto"/>
              <w:bottom w:val="nil"/>
              <w:right w:val="nil"/>
            </w:tcBorders>
            <w:noWrap/>
            <w:vAlign w:val="center"/>
            <w:hideMark/>
          </w:tcPr>
          <w:p w14:paraId="39B1A203"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6EA12CD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(-0.22, 0.48)</w:t>
            </w:r>
          </w:p>
        </w:tc>
        <w:tc>
          <w:tcPr>
            <w:tcW w:w="709" w:type="dxa"/>
            <w:tcBorders>
              <w:top w:val="nil"/>
              <w:left w:val="nil"/>
              <w:bottom w:val="nil"/>
              <w:right w:val="single" w:sz="4" w:space="0" w:color="auto"/>
            </w:tcBorders>
            <w:noWrap/>
            <w:vAlign w:val="center"/>
            <w:hideMark/>
          </w:tcPr>
          <w:p w14:paraId="38425FE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18.7%</w:t>
            </w:r>
          </w:p>
        </w:tc>
        <w:tc>
          <w:tcPr>
            <w:tcW w:w="567" w:type="dxa"/>
            <w:tcBorders>
              <w:top w:val="nil"/>
              <w:left w:val="single" w:sz="4" w:space="0" w:color="auto"/>
              <w:bottom w:val="nil"/>
              <w:right w:val="nil"/>
            </w:tcBorders>
            <w:noWrap/>
            <w:vAlign w:val="center"/>
            <w:hideMark/>
          </w:tcPr>
          <w:p w14:paraId="6566812D"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w:t>
            </w:r>
          </w:p>
        </w:tc>
        <w:tc>
          <w:tcPr>
            <w:tcW w:w="1134" w:type="dxa"/>
            <w:noWrap/>
            <w:vAlign w:val="center"/>
            <w:hideMark/>
          </w:tcPr>
          <w:p w14:paraId="28768E24"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(0.05, 0.41)</w:t>
            </w:r>
          </w:p>
        </w:tc>
        <w:tc>
          <w:tcPr>
            <w:tcW w:w="709" w:type="dxa"/>
            <w:noWrap/>
            <w:vAlign w:val="center"/>
            <w:hideMark/>
          </w:tcPr>
          <w:p w14:paraId="6737B90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55.6%</w:t>
            </w:r>
          </w:p>
        </w:tc>
      </w:tr>
      <w:tr w:rsidR="00B74658" w14:paraId="2F64442B"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4CDF590F"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2F6870C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44" w:type="dxa"/>
            <w:tcBorders>
              <w:top w:val="single" w:sz="4" w:space="0" w:color="auto"/>
              <w:left w:val="nil"/>
              <w:bottom w:val="nil"/>
              <w:right w:val="single" w:sz="4" w:space="0" w:color="auto"/>
            </w:tcBorders>
            <w:noWrap/>
            <w:vAlign w:val="center"/>
            <w:hideMark/>
          </w:tcPr>
          <w:p w14:paraId="54BABA49"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1A896D5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w:t>
            </w:r>
          </w:p>
        </w:tc>
        <w:tc>
          <w:tcPr>
            <w:tcW w:w="1134" w:type="dxa"/>
            <w:noWrap/>
            <w:vAlign w:val="center"/>
            <w:hideMark/>
          </w:tcPr>
          <w:p w14:paraId="253589BD"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(0.09, 0.28)</w:t>
            </w:r>
          </w:p>
        </w:tc>
        <w:tc>
          <w:tcPr>
            <w:tcW w:w="708" w:type="dxa"/>
            <w:tcBorders>
              <w:top w:val="nil"/>
              <w:left w:val="nil"/>
              <w:bottom w:val="nil"/>
              <w:right w:val="single" w:sz="4" w:space="0" w:color="auto"/>
            </w:tcBorders>
            <w:noWrap/>
            <w:vAlign w:val="center"/>
            <w:hideMark/>
          </w:tcPr>
          <w:p w14:paraId="11F1E24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40.0%</w:t>
            </w:r>
          </w:p>
        </w:tc>
        <w:tc>
          <w:tcPr>
            <w:tcW w:w="567" w:type="dxa"/>
            <w:tcBorders>
              <w:top w:val="nil"/>
              <w:left w:val="single" w:sz="4" w:space="0" w:color="auto"/>
              <w:bottom w:val="nil"/>
              <w:right w:val="nil"/>
            </w:tcBorders>
            <w:noWrap/>
            <w:vAlign w:val="center"/>
            <w:hideMark/>
          </w:tcPr>
          <w:p w14:paraId="0783076E"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0.29</w:t>
            </w:r>
          </w:p>
        </w:tc>
        <w:tc>
          <w:tcPr>
            <w:tcW w:w="1134" w:type="dxa"/>
            <w:noWrap/>
            <w:vAlign w:val="center"/>
            <w:hideMark/>
          </w:tcPr>
          <w:p w14:paraId="48C0B29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(0.08, 0.50)</w:t>
            </w:r>
          </w:p>
        </w:tc>
        <w:tc>
          <w:tcPr>
            <w:tcW w:w="709" w:type="dxa"/>
            <w:tcBorders>
              <w:top w:val="nil"/>
              <w:left w:val="nil"/>
              <w:bottom w:val="nil"/>
              <w:right w:val="single" w:sz="4" w:space="0" w:color="auto"/>
            </w:tcBorders>
            <w:noWrap/>
            <w:vAlign w:val="center"/>
            <w:hideMark/>
          </w:tcPr>
          <w:p w14:paraId="238F59F1"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7.9%</w:t>
            </w:r>
          </w:p>
        </w:tc>
        <w:tc>
          <w:tcPr>
            <w:tcW w:w="567" w:type="dxa"/>
            <w:tcBorders>
              <w:top w:val="nil"/>
              <w:left w:val="single" w:sz="4" w:space="0" w:color="auto"/>
              <w:bottom w:val="nil"/>
              <w:right w:val="nil"/>
            </w:tcBorders>
            <w:noWrap/>
            <w:vAlign w:val="center"/>
            <w:hideMark/>
          </w:tcPr>
          <w:p w14:paraId="4D7A304B"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639B7A7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(-0.28, 0.36)</w:t>
            </w:r>
          </w:p>
        </w:tc>
        <w:tc>
          <w:tcPr>
            <w:tcW w:w="709" w:type="dxa"/>
            <w:tcBorders>
              <w:top w:val="nil"/>
              <w:left w:val="nil"/>
              <w:bottom w:val="nil"/>
              <w:right w:val="single" w:sz="4" w:space="0" w:color="auto"/>
            </w:tcBorders>
            <w:noWrap/>
            <w:vAlign w:val="center"/>
            <w:hideMark/>
          </w:tcPr>
          <w:p w14:paraId="5EB73E64"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3.5%</w:t>
            </w:r>
          </w:p>
        </w:tc>
        <w:tc>
          <w:tcPr>
            <w:tcW w:w="567" w:type="dxa"/>
            <w:tcBorders>
              <w:top w:val="nil"/>
              <w:left w:val="single" w:sz="4" w:space="0" w:color="auto"/>
              <w:bottom w:val="nil"/>
              <w:right w:val="nil"/>
            </w:tcBorders>
            <w:noWrap/>
            <w:vAlign w:val="center"/>
            <w:hideMark/>
          </w:tcPr>
          <w:p w14:paraId="36E15D8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noWrap/>
            <w:vAlign w:val="center"/>
            <w:hideMark/>
          </w:tcPr>
          <w:p w14:paraId="7ECD6CF6"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(0.11, 0.23)</w:t>
            </w:r>
          </w:p>
        </w:tc>
        <w:tc>
          <w:tcPr>
            <w:tcW w:w="709" w:type="dxa"/>
            <w:noWrap/>
            <w:vAlign w:val="center"/>
            <w:hideMark/>
          </w:tcPr>
          <w:p w14:paraId="29DA1BA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6421D37D"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3497DF51"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415EFB05"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73D0CB6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2C1901EB"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w:t>
            </w:r>
          </w:p>
        </w:tc>
        <w:tc>
          <w:tcPr>
            <w:tcW w:w="1134" w:type="dxa"/>
            <w:noWrap/>
            <w:vAlign w:val="center"/>
            <w:hideMark/>
          </w:tcPr>
          <w:p w14:paraId="566B6EC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(0.09, 0.29)</w:t>
            </w:r>
          </w:p>
        </w:tc>
        <w:tc>
          <w:tcPr>
            <w:tcW w:w="708" w:type="dxa"/>
            <w:tcBorders>
              <w:top w:val="nil"/>
              <w:left w:val="nil"/>
              <w:bottom w:val="nil"/>
              <w:right w:val="single" w:sz="4" w:space="0" w:color="auto"/>
            </w:tcBorders>
            <w:noWrap/>
            <w:vAlign w:val="center"/>
            <w:hideMark/>
          </w:tcPr>
          <w:p w14:paraId="7286DE4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61.7%</w:t>
            </w:r>
          </w:p>
        </w:tc>
        <w:tc>
          <w:tcPr>
            <w:tcW w:w="567" w:type="dxa"/>
            <w:tcBorders>
              <w:top w:val="nil"/>
              <w:left w:val="single" w:sz="4" w:space="0" w:color="auto"/>
              <w:bottom w:val="nil"/>
              <w:right w:val="nil"/>
            </w:tcBorders>
            <w:noWrap/>
            <w:vAlign w:val="center"/>
            <w:hideMark/>
          </w:tcPr>
          <w:p w14:paraId="3B09426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w:t>
            </w:r>
          </w:p>
        </w:tc>
        <w:tc>
          <w:tcPr>
            <w:tcW w:w="1134" w:type="dxa"/>
            <w:noWrap/>
            <w:vAlign w:val="center"/>
            <w:hideMark/>
          </w:tcPr>
          <w:p w14:paraId="6D451459"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(0.10, 0.51)</w:t>
            </w:r>
          </w:p>
        </w:tc>
        <w:tc>
          <w:tcPr>
            <w:tcW w:w="709" w:type="dxa"/>
            <w:tcBorders>
              <w:top w:val="nil"/>
              <w:left w:val="nil"/>
              <w:bottom w:val="nil"/>
              <w:right w:val="single" w:sz="4" w:space="0" w:color="auto"/>
            </w:tcBorders>
            <w:noWrap/>
            <w:vAlign w:val="center"/>
            <w:hideMark/>
          </w:tcPr>
          <w:p w14:paraId="0E2A9D9C"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26.8%</w:t>
            </w:r>
          </w:p>
        </w:tc>
        <w:tc>
          <w:tcPr>
            <w:tcW w:w="567" w:type="dxa"/>
            <w:tcBorders>
              <w:top w:val="nil"/>
              <w:left w:val="single" w:sz="4" w:space="0" w:color="auto"/>
              <w:bottom w:val="nil"/>
              <w:right w:val="nil"/>
            </w:tcBorders>
            <w:noWrap/>
            <w:vAlign w:val="center"/>
            <w:hideMark/>
          </w:tcPr>
          <w:p w14:paraId="13ED262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0BDCFCF6"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 0.31)</w:t>
            </w:r>
          </w:p>
        </w:tc>
        <w:tc>
          <w:tcPr>
            <w:tcW w:w="709" w:type="dxa"/>
            <w:tcBorders>
              <w:top w:val="nil"/>
              <w:left w:val="nil"/>
              <w:bottom w:val="nil"/>
              <w:right w:val="single" w:sz="4" w:space="0" w:color="auto"/>
            </w:tcBorders>
            <w:noWrap/>
            <w:vAlign w:val="center"/>
            <w:hideMark/>
          </w:tcPr>
          <w:p w14:paraId="37E12097"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11.5%</w:t>
            </w:r>
          </w:p>
        </w:tc>
        <w:tc>
          <w:tcPr>
            <w:tcW w:w="567" w:type="dxa"/>
            <w:tcBorders>
              <w:top w:val="nil"/>
              <w:left w:val="single" w:sz="4" w:space="0" w:color="auto"/>
              <w:bottom w:val="nil"/>
              <w:right w:val="nil"/>
            </w:tcBorders>
            <w:noWrap/>
            <w:vAlign w:val="center"/>
            <w:hideMark/>
          </w:tcPr>
          <w:p w14:paraId="52AC15A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0.20</w:t>
            </w:r>
          </w:p>
        </w:tc>
        <w:tc>
          <w:tcPr>
            <w:tcW w:w="1134" w:type="dxa"/>
            <w:noWrap/>
            <w:vAlign w:val="center"/>
            <w:hideMark/>
          </w:tcPr>
          <w:p w14:paraId="2EC85901"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(0.07, 0.32)</w:t>
            </w:r>
          </w:p>
        </w:tc>
        <w:tc>
          <w:tcPr>
            <w:tcW w:w="709" w:type="dxa"/>
            <w:noWrap/>
            <w:vAlign w:val="center"/>
            <w:hideMark/>
          </w:tcPr>
          <w:p w14:paraId="570B35F5"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28.8%</w:t>
            </w:r>
          </w:p>
        </w:tc>
      </w:tr>
      <w:tr w:rsidR="00F021B0" w14:paraId="46969C54" w14:textId="77777777" w:rsidTr="00F021B0">
        <w:trPr>
          <w:trHeight w:val="215"/>
        </w:trPr>
        <w:tc>
          <w:tcPr>
            <w:tcW w:w="2284" w:type="dxa"/>
            <w:gridSpan w:val="2"/>
            <w:vMerge w:val="restart"/>
            <w:tcBorders>
              <w:top w:val="single" w:sz="4" w:space="0" w:color="auto"/>
              <w:left w:val="nil"/>
              <w:bottom w:val="single" w:sz="4" w:space="0" w:color="auto"/>
              <w:right w:val="nil"/>
            </w:tcBorders>
            <w:noWrap/>
            <w:hideMark/>
          </w:tcPr>
          <w:p w14:paraId="00BB5A4D" w14:textId="77777777" w:rsidR="00F021B0" w:rsidRDefault="00F021B0"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Parity</w:t>
            </w:r>
            <w:r>
              <w:rPr>
                <w:rFonts w:ascii="Calibri" w:eastAsia="Times New Roman" w:hAnsi="Calibri" w:cs="Calibri"/>
                <w:color w:val="000000"/>
                <w:sz w:val="18"/>
                <w:szCs w:val="18"/>
                <w:lang w:val="en-GB" w:eastAsia="en-GB"/>
              </w:rPr>
              <w:t xml:space="preserve"> (Nulliparous)</w:t>
            </w:r>
          </w:p>
        </w:tc>
        <w:tc>
          <w:tcPr>
            <w:tcW w:w="444" w:type="dxa"/>
            <w:tcBorders>
              <w:top w:val="single" w:sz="4" w:space="0" w:color="auto"/>
              <w:left w:val="nil"/>
              <w:bottom w:val="nil"/>
              <w:right w:val="single" w:sz="4" w:space="0" w:color="auto"/>
            </w:tcBorders>
            <w:noWrap/>
            <w:vAlign w:val="center"/>
            <w:hideMark/>
          </w:tcPr>
          <w:p w14:paraId="2E83E11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145DF949"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0.38</w:t>
            </w:r>
          </w:p>
        </w:tc>
        <w:tc>
          <w:tcPr>
            <w:tcW w:w="1134" w:type="dxa"/>
            <w:noWrap/>
            <w:vAlign w:val="center"/>
            <w:hideMark/>
          </w:tcPr>
          <w:p w14:paraId="743115A8"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(0.31, 0.45)</w:t>
            </w:r>
          </w:p>
        </w:tc>
        <w:tc>
          <w:tcPr>
            <w:tcW w:w="708" w:type="dxa"/>
            <w:tcBorders>
              <w:top w:val="nil"/>
              <w:left w:val="nil"/>
              <w:bottom w:val="nil"/>
              <w:right w:val="single" w:sz="4" w:space="0" w:color="auto"/>
            </w:tcBorders>
            <w:noWrap/>
            <w:vAlign w:val="center"/>
            <w:hideMark/>
          </w:tcPr>
          <w:p w14:paraId="1A18D611"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25.0%</w:t>
            </w:r>
          </w:p>
        </w:tc>
        <w:tc>
          <w:tcPr>
            <w:tcW w:w="567" w:type="dxa"/>
            <w:tcBorders>
              <w:top w:val="nil"/>
              <w:left w:val="single" w:sz="4" w:space="0" w:color="auto"/>
              <w:bottom w:val="nil"/>
              <w:right w:val="nil"/>
            </w:tcBorders>
            <w:noWrap/>
            <w:vAlign w:val="center"/>
            <w:hideMark/>
          </w:tcPr>
          <w:p w14:paraId="45D907FE"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noWrap/>
            <w:vAlign w:val="center"/>
            <w:hideMark/>
          </w:tcPr>
          <w:p w14:paraId="32146F7E"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(0.01, 0.34)</w:t>
            </w:r>
          </w:p>
        </w:tc>
        <w:tc>
          <w:tcPr>
            <w:tcW w:w="709" w:type="dxa"/>
            <w:tcBorders>
              <w:top w:val="nil"/>
              <w:left w:val="nil"/>
              <w:bottom w:val="nil"/>
              <w:right w:val="single" w:sz="4" w:space="0" w:color="auto"/>
            </w:tcBorders>
            <w:noWrap/>
            <w:vAlign w:val="center"/>
            <w:hideMark/>
          </w:tcPr>
          <w:p w14:paraId="550614E8"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12.5%</w:t>
            </w:r>
          </w:p>
        </w:tc>
        <w:tc>
          <w:tcPr>
            <w:tcW w:w="567" w:type="dxa"/>
            <w:tcBorders>
              <w:top w:val="nil"/>
              <w:left w:val="single" w:sz="4" w:space="0" w:color="auto"/>
              <w:bottom w:val="nil"/>
              <w:right w:val="nil"/>
            </w:tcBorders>
            <w:noWrap/>
            <w:vAlign w:val="center"/>
            <w:hideMark/>
          </w:tcPr>
          <w:p w14:paraId="655CE3D7"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w:t>
            </w:r>
          </w:p>
        </w:tc>
        <w:tc>
          <w:tcPr>
            <w:tcW w:w="1134" w:type="dxa"/>
            <w:noWrap/>
            <w:vAlign w:val="center"/>
            <w:hideMark/>
          </w:tcPr>
          <w:p w14:paraId="379DADF6"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(0.09, 0.58)</w:t>
            </w:r>
          </w:p>
        </w:tc>
        <w:tc>
          <w:tcPr>
            <w:tcW w:w="709" w:type="dxa"/>
            <w:tcBorders>
              <w:top w:val="nil"/>
              <w:left w:val="nil"/>
              <w:bottom w:val="nil"/>
              <w:right w:val="single" w:sz="4" w:space="0" w:color="auto"/>
            </w:tcBorders>
            <w:noWrap/>
            <w:vAlign w:val="center"/>
            <w:hideMark/>
          </w:tcPr>
          <w:p w14:paraId="37277DB3"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7.3%</w:t>
            </w:r>
          </w:p>
        </w:tc>
        <w:tc>
          <w:tcPr>
            <w:tcW w:w="567" w:type="dxa"/>
            <w:tcBorders>
              <w:top w:val="nil"/>
              <w:left w:val="single" w:sz="4" w:space="0" w:color="auto"/>
              <w:bottom w:val="nil"/>
              <w:right w:val="nil"/>
            </w:tcBorders>
            <w:noWrap/>
            <w:vAlign w:val="center"/>
            <w:hideMark/>
          </w:tcPr>
          <w:p w14:paraId="010E12E0"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w:t>
            </w:r>
          </w:p>
        </w:tc>
        <w:tc>
          <w:tcPr>
            <w:tcW w:w="1134" w:type="dxa"/>
            <w:noWrap/>
            <w:vAlign w:val="center"/>
            <w:hideMark/>
          </w:tcPr>
          <w:p w14:paraId="13F6BC7F"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(0.24, 0.39)</w:t>
            </w:r>
          </w:p>
        </w:tc>
        <w:tc>
          <w:tcPr>
            <w:tcW w:w="709" w:type="dxa"/>
            <w:noWrap/>
            <w:vAlign w:val="center"/>
            <w:hideMark/>
          </w:tcPr>
          <w:p w14:paraId="7BAA128D"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60.1%</w:t>
            </w:r>
          </w:p>
        </w:tc>
      </w:tr>
      <w:tr w:rsidR="00F021B0" w14:paraId="1F8F50E2" w14:textId="77777777" w:rsidTr="00F021B0">
        <w:trPr>
          <w:trHeight w:val="215"/>
        </w:trPr>
        <w:tc>
          <w:tcPr>
            <w:tcW w:w="0" w:type="auto"/>
            <w:gridSpan w:val="2"/>
            <w:vMerge/>
            <w:tcBorders>
              <w:top w:val="single" w:sz="4" w:space="0" w:color="auto"/>
              <w:left w:val="nil"/>
              <w:bottom w:val="single" w:sz="4" w:space="0" w:color="auto"/>
              <w:right w:val="nil"/>
            </w:tcBorders>
            <w:vAlign w:val="center"/>
            <w:hideMark/>
          </w:tcPr>
          <w:p w14:paraId="1AF8105E" w14:textId="77777777" w:rsidR="00F021B0" w:rsidRDefault="00F021B0">
            <w:pPr>
              <w:spacing w:line="276" w:lineRule="auto"/>
              <w:jc w:val="left"/>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3998B56C"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3274D0D1"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467BC0EF"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(0.23, 0.40)</w:t>
            </w:r>
          </w:p>
        </w:tc>
        <w:tc>
          <w:tcPr>
            <w:tcW w:w="708" w:type="dxa"/>
            <w:tcBorders>
              <w:top w:val="nil"/>
              <w:left w:val="nil"/>
              <w:bottom w:val="nil"/>
              <w:right w:val="single" w:sz="4" w:space="0" w:color="auto"/>
            </w:tcBorders>
            <w:noWrap/>
            <w:vAlign w:val="center"/>
            <w:hideMark/>
          </w:tcPr>
          <w:p w14:paraId="14A576F4"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55.7%</w:t>
            </w:r>
          </w:p>
        </w:tc>
        <w:tc>
          <w:tcPr>
            <w:tcW w:w="567" w:type="dxa"/>
            <w:tcBorders>
              <w:top w:val="nil"/>
              <w:left w:val="single" w:sz="4" w:space="0" w:color="auto"/>
              <w:bottom w:val="nil"/>
              <w:right w:val="nil"/>
            </w:tcBorders>
            <w:noWrap/>
            <w:vAlign w:val="center"/>
            <w:hideMark/>
          </w:tcPr>
          <w:p w14:paraId="2AD13839"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3766A46C"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(-0.02, 0.31)</w:t>
            </w:r>
          </w:p>
        </w:tc>
        <w:tc>
          <w:tcPr>
            <w:tcW w:w="709" w:type="dxa"/>
            <w:tcBorders>
              <w:top w:val="nil"/>
              <w:left w:val="nil"/>
              <w:bottom w:val="nil"/>
              <w:right w:val="single" w:sz="4" w:space="0" w:color="auto"/>
            </w:tcBorders>
            <w:noWrap/>
            <w:vAlign w:val="center"/>
            <w:hideMark/>
          </w:tcPr>
          <w:p w14:paraId="77BE822C"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30.3%</w:t>
            </w:r>
          </w:p>
        </w:tc>
        <w:tc>
          <w:tcPr>
            <w:tcW w:w="567" w:type="dxa"/>
            <w:tcBorders>
              <w:top w:val="nil"/>
              <w:left w:val="single" w:sz="4" w:space="0" w:color="auto"/>
              <w:bottom w:val="nil"/>
              <w:right w:val="nil"/>
            </w:tcBorders>
            <w:noWrap/>
            <w:vAlign w:val="center"/>
            <w:hideMark/>
          </w:tcPr>
          <w:p w14:paraId="6294C200"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w:t>
            </w:r>
          </w:p>
        </w:tc>
        <w:tc>
          <w:tcPr>
            <w:tcW w:w="1134" w:type="dxa"/>
            <w:noWrap/>
            <w:vAlign w:val="center"/>
            <w:hideMark/>
          </w:tcPr>
          <w:p w14:paraId="7FE3691D"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(0.03, 0.59)</w:t>
            </w:r>
          </w:p>
        </w:tc>
        <w:tc>
          <w:tcPr>
            <w:tcW w:w="709" w:type="dxa"/>
            <w:tcBorders>
              <w:top w:val="nil"/>
              <w:left w:val="nil"/>
              <w:bottom w:val="nil"/>
              <w:right w:val="single" w:sz="4" w:space="0" w:color="auto"/>
            </w:tcBorders>
            <w:noWrap/>
            <w:vAlign w:val="center"/>
            <w:hideMark/>
          </w:tcPr>
          <w:p w14:paraId="52448C0C"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14.0%</w:t>
            </w:r>
          </w:p>
        </w:tc>
        <w:tc>
          <w:tcPr>
            <w:tcW w:w="567" w:type="dxa"/>
            <w:tcBorders>
              <w:top w:val="nil"/>
              <w:left w:val="single" w:sz="4" w:space="0" w:color="auto"/>
              <w:bottom w:val="nil"/>
              <w:right w:val="nil"/>
            </w:tcBorders>
            <w:noWrap/>
            <w:vAlign w:val="center"/>
            <w:hideMark/>
          </w:tcPr>
          <w:p w14:paraId="2ABD94C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0.27</w:t>
            </w:r>
          </w:p>
        </w:tc>
        <w:tc>
          <w:tcPr>
            <w:tcW w:w="1134" w:type="dxa"/>
            <w:noWrap/>
            <w:vAlign w:val="center"/>
            <w:hideMark/>
          </w:tcPr>
          <w:p w14:paraId="46019020"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(0.15, 0.38)</w:t>
            </w:r>
          </w:p>
        </w:tc>
        <w:tc>
          <w:tcPr>
            <w:tcW w:w="709" w:type="dxa"/>
            <w:noWrap/>
            <w:vAlign w:val="center"/>
            <w:hideMark/>
          </w:tcPr>
          <w:p w14:paraId="450302CD"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39.1%</w:t>
            </w:r>
          </w:p>
        </w:tc>
      </w:tr>
      <w:tr w:rsidR="00F021B0" w14:paraId="1AF41B86" w14:textId="77777777" w:rsidTr="00F021B0">
        <w:trPr>
          <w:trHeight w:val="215"/>
        </w:trPr>
        <w:tc>
          <w:tcPr>
            <w:tcW w:w="2284" w:type="dxa"/>
            <w:gridSpan w:val="2"/>
            <w:vMerge w:val="restart"/>
            <w:tcBorders>
              <w:top w:val="single" w:sz="4" w:space="0" w:color="auto"/>
              <w:left w:val="nil"/>
              <w:bottom w:val="single" w:sz="4" w:space="0" w:color="auto"/>
              <w:right w:val="nil"/>
            </w:tcBorders>
            <w:noWrap/>
            <w:hideMark/>
          </w:tcPr>
          <w:p w14:paraId="581EC2D8" w14:textId="77777777" w:rsidR="00F021B0" w:rsidRDefault="00F021B0"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Birthplace/ethnicity</w:t>
            </w:r>
            <w:r>
              <w:rPr>
                <w:rFonts w:ascii="Calibri" w:eastAsia="Times New Roman" w:hAnsi="Calibri" w:cs="Calibri"/>
                <w:color w:val="000000"/>
                <w:sz w:val="18"/>
                <w:szCs w:val="18"/>
                <w:lang w:val="en-GB" w:eastAsia="en-GB"/>
              </w:rPr>
              <w:t xml:space="preserve"> (European-born/White)</w:t>
            </w:r>
          </w:p>
        </w:tc>
        <w:tc>
          <w:tcPr>
            <w:tcW w:w="444" w:type="dxa"/>
            <w:tcBorders>
              <w:top w:val="single" w:sz="4" w:space="0" w:color="auto"/>
              <w:left w:val="nil"/>
              <w:bottom w:val="nil"/>
              <w:right w:val="single" w:sz="4" w:space="0" w:color="auto"/>
            </w:tcBorders>
            <w:noWrap/>
            <w:vAlign w:val="center"/>
            <w:hideMark/>
          </w:tcPr>
          <w:p w14:paraId="2F25C305"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56B7558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w:t>
            </w:r>
          </w:p>
        </w:tc>
        <w:tc>
          <w:tcPr>
            <w:tcW w:w="1134" w:type="dxa"/>
            <w:noWrap/>
            <w:vAlign w:val="center"/>
            <w:hideMark/>
          </w:tcPr>
          <w:p w14:paraId="52591D85"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(-0.35, -0.02)</w:t>
            </w:r>
          </w:p>
        </w:tc>
        <w:tc>
          <w:tcPr>
            <w:tcW w:w="708" w:type="dxa"/>
            <w:tcBorders>
              <w:top w:val="nil"/>
              <w:left w:val="nil"/>
              <w:bottom w:val="nil"/>
              <w:right w:val="single" w:sz="4" w:space="0" w:color="auto"/>
            </w:tcBorders>
            <w:noWrap/>
            <w:vAlign w:val="center"/>
            <w:hideMark/>
          </w:tcPr>
          <w:p w14:paraId="3FCE4C5C"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29.0%</w:t>
            </w:r>
          </w:p>
        </w:tc>
        <w:tc>
          <w:tcPr>
            <w:tcW w:w="567" w:type="dxa"/>
            <w:tcBorders>
              <w:top w:val="nil"/>
              <w:left w:val="single" w:sz="4" w:space="0" w:color="auto"/>
              <w:bottom w:val="nil"/>
              <w:right w:val="nil"/>
            </w:tcBorders>
            <w:noWrap/>
            <w:vAlign w:val="center"/>
            <w:hideMark/>
          </w:tcPr>
          <w:p w14:paraId="6854457A"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-0.27</w:t>
            </w:r>
          </w:p>
        </w:tc>
        <w:tc>
          <w:tcPr>
            <w:tcW w:w="1134" w:type="dxa"/>
            <w:noWrap/>
            <w:vAlign w:val="center"/>
            <w:hideMark/>
          </w:tcPr>
          <w:p w14:paraId="03FA5448"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(-0.66, 0.12)</w:t>
            </w:r>
          </w:p>
        </w:tc>
        <w:tc>
          <w:tcPr>
            <w:tcW w:w="709" w:type="dxa"/>
            <w:tcBorders>
              <w:top w:val="nil"/>
              <w:left w:val="nil"/>
              <w:bottom w:val="nil"/>
              <w:right w:val="single" w:sz="4" w:space="0" w:color="auto"/>
            </w:tcBorders>
            <w:noWrap/>
            <w:vAlign w:val="center"/>
            <w:hideMark/>
          </w:tcPr>
          <w:p w14:paraId="35800468"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10.3%</w:t>
            </w:r>
          </w:p>
        </w:tc>
        <w:tc>
          <w:tcPr>
            <w:tcW w:w="2410" w:type="dxa"/>
            <w:gridSpan w:val="3"/>
            <w:tcBorders>
              <w:top w:val="nil"/>
              <w:left w:val="single" w:sz="4" w:space="0" w:color="auto"/>
              <w:bottom w:val="nil"/>
              <w:right w:val="single" w:sz="4" w:space="0" w:color="auto"/>
            </w:tcBorders>
            <w:noWrap/>
            <w:vAlign w:val="center"/>
            <w:hideMark/>
          </w:tcPr>
          <w:p w14:paraId="0B35D0BE" w14:textId="77777777" w:rsidR="00F021B0" w:rsidRDefault="00F021B0">
            <w:pPr>
              <w:spacing w:line="276" w:lineRule="auto"/>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RC</w:t>
            </w:r>
          </w:p>
        </w:tc>
        <w:tc>
          <w:tcPr>
            <w:tcW w:w="567" w:type="dxa"/>
            <w:tcBorders>
              <w:top w:val="nil"/>
              <w:left w:val="single" w:sz="4" w:space="0" w:color="auto"/>
              <w:bottom w:val="nil"/>
              <w:right w:val="nil"/>
            </w:tcBorders>
            <w:noWrap/>
            <w:vAlign w:val="center"/>
            <w:hideMark/>
          </w:tcPr>
          <w:p w14:paraId="2A95BD06"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4D816B44"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(-0.27, 0.01)</w:t>
            </w:r>
          </w:p>
        </w:tc>
        <w:tc>
          <w:tcPr>
            <w:tcW w:w="709" w:type="dxa"/>
            <w:noWrap/>
            <w:vAlign w:val="center"/>
            <w:hideMark/>
          </w:tcPr>
          <w:p w14:paraId="78FCF29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48.6%</w:t>
            </w:r>
          </w:p>
        </w:tc>
      </w:tr>
      <w:tr w:rsidR="00F021B0" w14:paraId="5DD599ED" w14:textId="77777777" w:rsidTr="00F021B0">
        <w:trPr>
          <w:trHeight w:val="215"/>
        </w:trPr>
        <w:tc>
          <w:tcPr>
            <w:tcW w:w="0" w:type="auto"/>
            <w:gridSpan w:val="2"/>
            <w:vMerge/>
            <w:tcBorders>
              <w:top w:val="single" w:sz="4" w:space="0" w:color="auto"/>
              <w:left w:val="nil"/>
              <w:bottom w:val="single" w:sz="4" w:space="0" w:color="auto"/>
              <w:right w:val="nil"/>
            </w:tcBorders>
            <w:vAlign w:val="center"/>
            <w:hideMark/>
          </w:tcPr>
          <w:p w14:paraId="21D096DC" w14:textId="77777777" w:rsidR="00F021B0" w:rsidRDefault="00F021B0">
            <w:pPr>
              <w:spacing w:line="276" w:lineRule="auto"/>
              <w:jc w:val="left"/>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5A382BB8"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single" w:sz="4" w:space="0" w:color="auto"/>
              <w:right w:val="nil"/>
            </w:tcBorders>
            <w:noWrap/>
            <w:vAlign w:val="center"/>
            <w:hideMark/>
          </w:tcPr>
          <w:p w14:paraId="37F21BB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w:t>
            </w:r>
          </w:p>
        </w:tc>
        <w:tc>
          <w:tcPr>
            <w:tcW w:w="1134" w:type="dxa"/>
            <w:tcBorders>
              <w:top w:val="nil"/>
              <w:left w:val="nil"/>
              <w:bottom w:val="single" w:sz="4" w:space="0" w:color="auto"/>
              <w:right w:val="nil"/>
            </w:tcBorders>
            <w:noWrap/>
            <w:vAlign w:val="center"/>
            <w:hideMark/>
          </w:tcPr>
          <w:p w14:paraId="5E1E2E92"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(-0.29, 0.15)</w:t>
            </w:r>
          </w:p>
        </w:tc>
        <w:tc>
          <w:tcPr>
            <w:tcW w:w="708" w:type="dxa"/>
            <w:tcBorders>
              <w:top w:val="nil"/>
              <w:left w:val="nil"/>
              <w:bottom w:val="single" w:sz="4" w:space="0" w:color="auto"/>
              <w:right w:val="single" w:sz="4" w:space="0" w:color="auto"/>
            </w:tcBorders>
            <w:noWrap/>
            <w:vAlign w:val="center"/>
            <w:hideMark/>
          </w:tcPr>
          <w:p w14:paraId="46ED70E1"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65.7%</w:t>
            </w:r>
          </w:p>
        </w:tc>
        <w:tc>
          <w:tcPr>
            <w:tcW w:w="567" w:type="dxa"/>
            <w:tcBorders>
              <w:top w:val="nil"/>
              <w:left w:val="single" w:sz="4" w:space="0" w:color="auto"/>
              <w:bottom w:val="single" w:sz="4" w:space="0" w:color="auto"/>
              <w:right w:val="nil"/>
            </w:tcBorders>
            <w:noWrap/>
            <w:vAlign w:val="center"/>
            <w:hideMark/>
          </w:tcPr>
          <w:p w14:paraId="1E10396A"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-0.36</w:t>
            </w:r>
          </w:p>
        </w:tc>
        <w:tc>
          <w:tcPr>
            <w:tcW w:w="1134" w:type="dxa"/>
            <w:tcBorders>
              <w:top w:val="nil"/>
              <w:left w:val="nil"/>
              <w:bottom w:val="single" w:sz="4" w:space="0" w:color="auto"/>
              <w:right w:val="nil"/>
            </w:tcBorders>
            <w:noWrap/>
            <w:vAlign w:val="center"/>
            <w:hideMark/>
          </w:tcPr>
          <w:p w14:paraId="6F774A88"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(-0.75, 0.03)</w:t>
            </w:r>
          </w:p>
        </w:tc>
        <w:tc>
          <w:tcPr>
            <w:tcW w:w="709" w:type="dxa"/>
            <w:tcBorders>
              <w:top w:val="nil"/>
              <w:left w:val="nil"/>
              <w:bottom w:val="single" w:sz="4" w:space="0" w:color="auto"/>
              <w:right w:val="single" w:sz="4" w:space="0" w:color="auto"/>
            </w:tcBorders>
            <w:noWrap/>
            <w:vAlign w:val="center"/>
            <w:hideMark/>
          </w:tcPr>
          <w:p w14:paraId="4E7337FE"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34.3%</w:t>
            </w:r>
          </w:p>
        </w:tc>
        <w:tc>
          <w:tcPr>
            <w:tcW w:w="2410" w:type="dxa"/>
            <w:gridSpan w:val="3"/>
            <w:tcBorders>
              <w:top w:val="nil"/>
              <w:left w:val="single" w:sz="4" w:space="0" w:color="auto"/>
              <w:bottom w:val="single" w:sz="4" w:space="0" w:color="auto"/>
              <w:right w:val="single" w:sz="4" w:space="0" w:color="auto"/>
            </w:tcBorders>
            <w:noWrap/>
            <w:vAlign w:val="center"/>
            <w:hideMark/>
          </w:tcPr>
          <w:p w14:paraId="3537FD64" w14:textId="77777777" w:rsidR="00F021B0" w:rsidRDefault="00F021B0">
            <w:pPr>
              <w:spacing w:line="276" w:lineRule="auto"/>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RC</w:t>
            </w:r>
          </w:p>
        </w:tc>
        <w:tc>
          <w:tcPr>
            <w:tcW w:w="567" w:type="dxa"/>
            <w:tcBorders>
              <w:top w:val="nil"/>
              <w:left w:val="single" w:sz="4" w:space="0" w:color="auto"/>
              <w:bottom w:val="single" w:sz="4" w:space="0" w:color="auto"/>
              <w:right w:val="nil"/>
            </w:tcBorders>
            <w:noWrap/>
            <w:vAlign w:val="center"/>
            <w:hideMark/>
          </w:tcPr>
          <w:p w14:paraId="4000B14E"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tcBorders>
              <w:top w:val="nil"/>
              <w:left w:val="nil"/>
              <w:bottom w:val="single" w:sz="4" w:space="0" w:color="auto"/>
              <w:right w:val="nil"/>
            </w:tcBorders>
            <w:noWrap/>
            <w:vAlign w:val="center"/>
            <w:hideMark/>
          </w:tcPr>
          <w:p w14:paraId="759EDE37"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(-0.44, 0.10)</w:t>
            </w:r>
          </w:p>
        </w:tc>
        <w:tc>
          <w:tcPr>
            <w:tcW w:w="709" w:type="dxa"/>
            <w:tcBorders>
              <w:top w:val="nil"/>
              <w:left w:val="nil"/>
              <w:bottom w:val="single" w:sz="4" w:space="0" w:color="auto"/>
              <w:right w:val="nil"/>
            </w:tcBorders>
            <w:noWrap/>
            <w:vAlign w:val="center"/>
            <w:hideMark/>
          </w:tcPr>
          <w:p w14:paraId="6ABFDEDC"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39.7%</w:t>
            </w:r>
          </w:p>
        </w:tc>
      </w:tr>
      <w:tr w:rsidR="00F021B0" w14:paraId="32C42A1F" w14:textId="77777777" w:rsidTr="00C54395">
        <w:trPr>
          <w:trHeight w:val="215"/>
        </w:trPr>
        <w:tc>
          <w:tcPr>
            <w:tcW w:w="12328" w:type="dxa"/>
            <w:gridSpan w:val="15"/>
            <w:tcBorders>
              <w:top w:val="single" w:sz="4" w:space="0" w:color="auto"/>
              <w:left w:val="nil"/>
              <w:bottom w:val="single" w:sz="4" w:space="0" w:color="auto"/>
              <w:right w:val="nil"/>
            </w:tcBorders>
            <w:shd w:val="clear" w:color="auto" w:fill="D9D9D9" w:themeFill="background1" w:themeFillShade="D9"/>
            <w:noWrap/>
            <w:vAlign w:val="center"/>
            <w:hideMark/>
          </w:tcPr>
          <w:p w14:paraId="667F0A89" w14:textId="3DAA5628" w:rsidR="00F021B0" w:rsidRDefault="00F021B0" w:rsidP="00C54395">
            <w:pPr>
              <w:spacing w:line="276" w:lineRule="auto"/>
              <w:jc w:val="left"/>
              <w:rPr>
                <w:rFonts w:ascii="Calibri" w:eastAsia="Times New Roman" w:hAnsi="Calibri" w:cs="Calibri"/>
                <w:b/>
                <w:color w:val="000000"/>
                <w:sz w:val="20"/>
                <w:szCs w:val="20"/>
                <w:lang w:val="en-GB" w:eastAsia="en-GB"/>
              </w:rPr>
            </w:pPr>
            <w:r>
              <w:rPr>
                <w:rFonts w:ascii="Calibri" w:eastAsia="Times New Roman" w:hAnsi="Calibri" w:cs="Calibri"/>
                <w:b/>
                <w:color w:val="000000"/>
                <w:sz w:val="20"/>
                <w:szCs w:val="20"/>
                <w:lang w:val="en-GB" w:eastAsia="en-GB"/>
              </w:rPr>
              <w:t xml:space="preserve">Maternal health and behavioural </w:t>
            </w:r>
            <w:r w:rsidR="00F37692">
              <w:rPr>
                <w:rFonts w:ascii="Calibri" w:eastAsia="Times New Roman" w:hAnsi="Calibri" w:cs="Calibri"/>
                <w:b/>
                <w:color w:val="000000"/>
                <w:sz w:val="20"/>
                <w:szCs w:val="20"/>
                <w:lang w:val="en-GB" w:eastAsia="en-GB"/>
              </w:rPr>
              <w:t>predict</w:t>
            </w:r>
            <w:r>
              <w:rPr>
                <w:rFonts w:ascii="Calibri" w:eastAsia="Times New Roman" w:hAnsi="Calibri" w:cs="Calibri"/>
                <w:b/>
                <w:color w:val="000000"/>
                <w:sz w:val="20"/>
                <w:szCs w:val="20"/>
                <w:lang w:val="en-GB" w:eastAsia="en-GB"/>
              </w:rPr>
              <w:t>ors</w:t>
            </w:r>
          </w:p>
        </w:tc>
      </w:tr>
      <w:tr w:rsidR="00B74658" w14:paraId="57AEEA0A" w14:textId="77777777" w:rsidTr="00F5229F">
        <w:trPr>
          <w:trHeight w:val="215"/>
        </w:trPr>
        <w:tc>
          <w:tcPr>
            <w:tcW w:w="1271" w:type="dxa"/>
            <w:vMerge w:val="restart"/>
            <w:tcBorders>
              <w:top w:val="single" w:sz="4" w:space="0" w:color="auto"/>
              <w:left w:val="nil"/>
              <w:bottom w:val="single" w:sz="4" w:space="0" w:color="auto"/>
              <w:right w:val="nil"/>
            </w:tcBorders>
            <w:noWrap/>
            <w:hideMark/>
          </w:tcPr>
          <w:p w14:paraId="2A90C6DF" w14:textId="77777777" w:rsidR="00B74658" w:rsidRDefault="00B74658"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Pre-pregnancy BMI</w:t>
            </w:r>
            <w:r>
              <w:rPr>
                <w:rFonts w:ascii="Calibri" w:eastAsia="Times New Roman" w:hAnsi="Calibri" w:cs="Calibri"/>
                <w:color w:val="000000"/>
                <w:sz w:val="18"/>
                <w:szCs w:val="18"/>
                <w:lang w:val="en-GB" w:eastAsia="en-GB"/>
              </w:rPr>
              <w:t xml:space="preserve"> (Normal)</w:t>
            </w:r>
          </w:p>
        </w:tc>
        <w:tc>
          <w:tcPr>
            <w:tcW w:w="1013" w:type="dxa"/>
            <w:vMerge w:val="restart"/>
            <w:tcBorders>
              <w:top w:val="single" w:sz="4" w:space="0" w:color="auto"/>
              <w:left w:val="nil"/>
              <w:right w:val="nil"/>
            </w:tcBorders>
            <w:noWrap/>
            <w:vAlign w:val="center"/>
            <w:hideMark/>
          </w:tcPr>
          <w:p w14:paraId="0F2A2A2A"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Underweight</w:t>
            </w:r>
          </w:p>
        </w:tc>
        <w:tc>
          <w:tcPr>
            <w:tcW w:w="444" w:type="dxa"/>
            <w:tcBorders>
              <w:top w:val="single" w:sz="4" w:space="0" w:color="auto"/>
              <w:left w:val="nil"/>
              <w:bottom w:val="nil"/>
              <w:right w:val="single" w:sz="4" w:space="0" w:color="auto"/>
            </w:tcBorders>
            <w:noWrap/>
            <w:vAlign w:val="center"/>
            <w:hideMark/>
          </w:tcPr>
          <w:p w14:paraId="5FA035D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single" w:sz="4" w:space="0" w:color="auto"/>
              <w:left w:val="single" w:sz="4" w:space="0" w:color="auto"/>
              <w:bottom w:val="nil"/>
              <w:right w:val="nil"/>
            </w:tcBorders>
            <w:noWrap/>
            <w:vAlign w:val="center"/>
            <w:hideMark/>
          </w:tcPr>
          <w:p w14:paraId="203F70B9"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0.17</w:t>
            </w:r>
          </w:p>
        </w:tc>
        <w:tc>
          <w:tcPr>
            <w:tcW w:w="1134" w:type="dxa"/>
            <w:tcBorders>
              <w:top w:val="single" w:sz="4" w:space="0" w:color="auto"/>
              <w:left w:val="nil"/>
              <w:bottom w:val="nil"/>
              <w:right w:val="nil"/>
            </w:tcBorders>
            <w:noWrap/>
            <w:vAlign w:val="center"/>
            <w:hideMark/>
          </w:tcPr>
          <w:p w14:paraId="3CD43256"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(0.06, 0.28)</w:t>
            </w:r>
          </w:p>
        </w:tc>
        <w:tc>
          <w:tcPr>
            <w:tcW w:w="708" w:type="dxa"/>
            <w:tcBorders>
              <w:top w:val="single" w:sz="4" w:space="0" w:color="auto"/>
              <w:left w:val="nil"/>
              <w:bottom w:val="nil"/>
              <w:right w:val="single" w:sz="4" w:space="0" w:color="auto"/>
            </w:tcBorders>
            <w:noWrap/>
            <w:vAlign w:val="center"/>
            <w:hideMark/>
          </w:tcPr>
          <w:p w14:paraId="339BF1D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53.1%</w:t>
            </w:r>
          </w:p>
        </w:tc>
        <w:tc>
          <w:tcPr>
            <w:tcW w:w="567" w:type="dxa"/>
            <w:tcBorders>
              <w:top w:val="single" w:sz="4" w:space="0" w:color="auto"/>
              <w:left w:val="single" w:sz="4" w:space="0" w:color="auto"/>
              <w:bottom w:val="nil"/>
              <w:right w:val="nil"/>
            </w:tcBorders>
            <w:noWrap/>
            <w:vAlign w:val="center"/>
            <w:hideMark/>
          </w:tcPr>
          <w:p w14:paraId="009ACFA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w:t>
            </w:r>
          </w:p>
        </w:tc>
        <w:tc>
          <w:tcPr>
            <w:tcW w:w="1134" w:type="dxa"/>
            <w:tcBorders>
              <w:top w:val="single" w:sz="4" w:space="0" w:color="auto"/>
              <w:left w:val="nil"/>
              <w:bottom w:val="nil"/>
              <w:right w:val="nil"/>
            </w:tcBorders>
            <w:noWrap/>
            <w:vAlign w:val="center"/>
            <w:hideMark/>
          </w:tcPr>
          <w:p w14:paraId="4E1E0D9E"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(0.04, 0.61)</w:t>
            </w:r>
          </w:p>
        </w:tc>
        <w:tc>
          <w:tcPr>
            <w:tcW w:w="709" w:type="dxa"/>
            <w:tcBorders>
              <w:top w:val="single" w:sz="4" w:space="0" w:color="auto"/>
              <w:left w:val="nil"/>
              <w:bottom w:val="nil"/>
              <w:right w:val="single" w:sz="4" w:space="0" w:color="auto"/>
            </w:tcBorders>
            <w:noWrap/>
            <w:vAlign w:val="center"/>
            <w:hideMark/>
          </w:tcPr>
          <w:p w14:paraId="71FD4435"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7.8%</w:t>
            </w:r>
          </w:p>
        </w:tc>
        <w:tc>
          <w:tcPr>
            <w:tcW w:w="567" w:type="dxa"/>
            <w:tcBorders>
              <w:top w:val="single" w:sz="4" w:space="0" w:color="auto"/>
              <w:left w:val="single" w:sz="4" w:space="0" w:color="auto"/>
              <w:bottom w:val="nil"/>
              <w:right w:val="nil"/>
            </w:tcBorders>
            <w:noWrap/>
            <w:vAlign w:val="center"/>
            <w:hideMark/>
          </w:tcPr>
          <w:p w14:paraId="1C2E9A72"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-0.24</w:t>
            </w:r>
          </w:p>
        </w:tc>
        <w:tc>
          <w:tcPr>
            <w:tcW w:w="1134" w:type="dxa"/>
            <w:tcBorders>
              <w:top w:val="single" w:sz="4" w:space="0" w:color="auto"/>
              <w:left w:val="nil"/>
              <w:bottom w:val="nil"/>
              <w:right w:val="nil"/>
            </w:tcBorders>
            <w:noWrap/>
            <w:vAlign w:val="center"/>
            <w:hideMark/>
          </w:tcPr>
          <w:p w14:paraId="42E7BE30"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(-0.88, 0.40)</w:t>
            </w:r>
          </w:p>
        </w:tc>
        <w:tc>
          <w:tcPr>
            <w:tcW w:w="709" w:type="dxa"/>
            <w:tcBorders>
              <w:top w:val="single" w:sz="4" w:space="0" w:color="auto"/>
              <w:left w:val="nil"/>
              <w:bottom w:val="nil"/>
              <w:right w:val="single" w:sz="4" w:space="0" w:color="auto"/>
            </w:tcBorders>
            <w:noWrap/>
            <w:vAlign w:val="center"/>
            <w:hideMark/>
          </w:tcPr>
          <w:p w14:paraId="4F7808C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1.5%</w:t>
            </w:r>
          </w:p>
        </w:tc>
        <w:tc>
          <w:tcPr>
            <w:tcW w:w="567" w:type="dxa"/>
            <w:tcBorders>
              <w:top w:val="single" w:sz="4" w:space="0" w:color="auto"/>
              <w:left w:val="single" w:sz="4" w:space="0" w:color="auto"/>
              <w:bottom w:val="nil"/>
              <w:right w:val="nil"/>
            </w:tcBorders>
            <w:noWrap/>
            <w:vAlign w:val="center"/>
            <w:hideMark/>
          </w:tcPr>
          <w:p w14:paraId="4AF6D114"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0.16</w:t>
            </w:r>
          </w:p>
        </w:tc>
        <w:tc>
          <w:tcPr>
            <w:tcW w:w="1134" w:type="dxa"/>
            <w:tcBorders>
              <w:top w:val="single" w:sz="4" w:space="0" w:color="auto"/>
              <w:left w:val="nil"/>
              <w:bottom w:val="nil"/>
              <w:right w:val="nil"/>
            </w:tcBorders>
            <w:noWrap/>
            <w:vAlign w:val="center"/>
            <w:hideMark/>
          </w:tcPr>
          <w:p w14:paraId="79BFCAF9"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(0.08, 0.24)</w:t>
            </w:r>
          </w:p>
        </w:tc>
        <w:tc>
          <w:tcPr>
            <w:tcW w:w="709" w:type="dxa"/>
            <w:tcBorders>
              <w:top w:val="single" w:sz="4" w:space="0" w:color="auto"/>
              <w:left w:val="nil"/>
              <w:bottom w:val="nil"/>
              <w:right w:val="nil"/>
            </w:tcBorders>
            <w:noWrap/>
            <w:vAlign w:val="center"/>
            <w:hideMark/>
          </w:tcPr>
          <w:p w14:paraId="4DDAA31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2923CCB5"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6C556F2D"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2497009E"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4FFF7D3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1772D22A"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w:t>
            </w:r>
          </w:p>
        </w:tc>
        <w:tc>
          <w:tcPr>
            <w:tcW w:w="1134" w:type="dxa"/>
            <w:noWrap/>
            <w:vAlign w:val="center"/>
            <w:hideMark/>
          </w:tcPr>
          <w:p w14:paraId="2AF5576C"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(-0.01, 0.25)</w:t>
            </w:r>
          </w:p>
        </w:tc>
        <w:tc>
          <w:tcPr>
            <w:tcW w:w="708" w:type="dxa"/>
            <w:tcBorders>
              <w:top w:val="nil"/>
              <w:left w:val="nil"/>
              <w:bottom w:val="nil"/>
              <w:right w:val="single" w:sz="4" w:space="0" w:color="auto"/>
            </w:tcBorders>
            <w:noWrap/>
            <w:vAlign w:val="center"/>
            <w:hideMark/>
          </w:tcPr>
          <w:p w14:paraId="21278CA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69.4%</w:t>
            </w:r>
          </w:p>
        </w:tc>
        <w:tc>
          <w:tcPr>
            <w:tcW w:w="567" w:type="dxa"/>
            <w:tcBorders>
              <w:top w:val="nil"/>
              <w:left w:val="single" w:sz="4" w:space="0" w:color="auto"/>
              <w:bottom w:val="nil"/>
              <w:right w:val="nil"/>
            </w:tcBorders>
            <w:noWrap/>
            <w:vAlign w:val="center"/>
            <w:hideMark/>
          </w:tcPr>
          <w:p w14:paraId="054A870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0.29</w:t>
            </w:r>
          </w:p>
        </w:tc>
        <w:tc>
          <w:tcPr>
            <w:tcW w:w="1134" w:type="dxa"/>
            <w:noWrap/>
            <w:vAlign w:val="center"/>
            <w:hideMark/>
          </w:tcPr>
          <w:p w14:paraId="172BEF04"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(0.01, 0.57)</w:t>
            </w:r>
          </w:p>
        </w:tc>
        <w:tc>
          <w:tcPr>
            <w:tcW w:w="709" w:type="dxa"/>
            <w:tcBorders>
              <w:top w:val="nil"/>
              <w:left w:val="nil"/>
              <w:bottom w:val="nil"/>
              <w:right w:val="single" w:sz="4" w:space="0" w:color="auto"/>
            </w:tcBorders>
            <w:noWrap/>
            <w:vAlign w:val="center"/>
            <w:hideMark/>
          </w:tcPr>
          <w:p w14:paraId="0B7D388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26.7%</w:t>
            </w:r>
          </w:p>
        </w:tc>
        <w:tc>
          <w:tcPr>
            <w:tcW w:w="567" w:type="dxa"/>
            <w:tcBorders>
              <w:top w:val="nil"/>
              <w:left w:val="single" w:sz="4" w:space="0" w:color="auto"/>
              <w:bottom w:val="nil"/>
              <w:right w:val="nil"/>
            </w:tcBorders>
            <w:noWrap/>
            <w:vAlign w:val="center"/>
            <w:hideMark/>
          </w:tcPr>
          <w:p w14:paraId="5DED94B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7E6F00E0"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(-1.13, 0.48)</w:t>
            </w:r>
          </w:p>
        </w:tc>
        <w:tc>
          <w:tcPr>
            <w:tcW w:w="709" w:type="dxa"/>
            <w:tcBorders>
              <w:top w:val="nil"/>
              <w:left w:val="nil"/>
              <w:bottom w:val="nil"/>
              <w:right w:val="single" w:sz="4" w:space="0" w:color="auto"/>
            </w:tcBorders>
            <w:noWrap/>
            <w:vAlign w:val="center"/>
            <w:hideMark/>
          </w:tcPr>
          <w:p w14:paraId="03818DC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w:t>
            </w:r>
          </w:p>
        </w:tc>
        <w:tc>
          <w:tcPr>
            <w:tcW w:w="567" w:type="dxa"/>
            <w:tcBorders>
              <w:top w:val="nil"/>
              <w:left w:val="single" w:sz="4" w:space="0" w:color="auto"/>
              <w:bottom w:val="nil"/>
              <w:right w:val="nil"/>
            </w:tcBorders>
            <w:noWrap/>
            <w:vAlign w:val="center"/>
            <w:hideMark/>
          </w:tcPr>
          <w:p w14:paraId="1C281309"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486F05A7"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(-0.01, 0.31)</w:t>
            </w:r>
          </w:p>
        </w:tc>
        <w:tc>
          <w:tcPr>
            <w:tcW w:w="709" w:type="dxa"/>
            <w:noWrap/>
            <w:vAlign w:val="center"/>
            <w:hideMark/>
          </w:tcPr>
          <w:p w14:paraId="6638B92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20.5%</w:t>
            </w:r>
          </w:p>
        </w:tc>
      </w:tr>
      <w:tr w:rsidR="00B74658" w14:paraId="7DEA48F6"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5D7116CA"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568437D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Overweight</w:t>
            </w:r>
          </w:p>
        </w:tc>
        <w:tc>
          <w:tcPr>
            <w:tcW w:w="444" w:type="dxa"/>
            <w:tcBorders>
              <w:top w:val="single" w:sz="4" w:space="0" w:color="auto"/>
              <w:left w:val="nil"/>
              <w:bottom w:val="nil"/>
              <w:right w:val="single" w:sz="4" w:space="0" w:color="auto"/>
            </w:tcBorders>
            <w:noWrap/>
            <w:vAlign w:val="center"/>
            <w:hideMark/>
          </w:tcPr>
          <w:p w14:paraId="295E577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234E6AD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12648DB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 0.06)</w:t>
            </w:r>
          </w:p>
        </w:tc>
        <w:tc>
          <w:tcPr>
            <w:tcW w:w="708" w:type="dxa"/>
            <w:tcBorders>
              <w:top w:val="nil"/>
              <w:left w:val="nil"/>
              <w:bottom w:val="nil"/>
              <w:right w:val="single" w:sz="4" w:space="0" w:color="auto"/>
            </w:tcBorders>
            <w:noWrap/>
            <w:vAlign w:val="center"/>
            <w:hideMark/>
          </w:tcPr>
          <w:p w14:paraId="369CC13A"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24.8%</w:t>
            </w:r>
          </w:p>
        </w:tc>
        <w:tc>
          <w:tcPr>
            <w:tcW w:w="567" w:type="dxa"/>
            <w:tcBorders>
              <w:top w:val="nil"/>
              <w:left w:val="single" w:sz="4" w:space="0" w:color="auto"/>
              <w:bottom w:val="nil"/>
              <w:right w:val="nil"/>
            </w:tcBorders>
            <w:noWrap/>
            <w:vAlign w:val="center"/>
            <w:hideMark/>
          </w:tcPr>
          <w:p w14:paraId="36ADA690"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0.00</w:t>
            </w:r>
          </w:p>
        </w:tc>
        <w:tc>
          <w:tcPr>
            <w:tcW w:w="1134" w:type="dxa"/>
            <w:noWrap/>
            <w:vAlign w:val="center"/>
            <w:hideMark/>
          </w:tcPr>
          <w:p w14:paraId="3EDBA9A5"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(-0.20, 0.20)</w:t>
            </w:r>
          </w:p>
        </w:tc>
        <w:tc>
          <w:tcPr>
            <w:tcW w:w="709" w:type="dxa"/>
            <w:tcBorders>
              <w:top w:val="nil"/>
              <w:left w:val="nil"/>
              <w:bottom w:val="nil"/>
              <w:right w:val="single" w:sz="4" w:space="0" w:color="auto"/>
            </w:tcBorders>
            <w:noWrap/>
            <w:vAlign w:val="center"/>
            <w:hideMark/>
          </w:tcPr>
          <w:p w14:paraId="0C07F5C9"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6.0%</w:t>
            </w:r>
          </w:p>
        </w:tc>
        <w:tc>
          <w:tcPr>
            <w:tcW w:w="567" w:type="dxa"/>
            <w:tcBorders>
              <w:top w:val="nil"/>
              <w:left w:val="single" w:sz="4" w:space="0" w:color="auto"/>
              <w:bottom w:val="nil"/>
              <w:right w:val="nil"/>
            </w:tcBorders>
            <w:noWrap/>
            <w:vAlign w:val="center"/>
            <w:hideMark/>
          </w:tcPr>
          <w:p w14:paraId="286CE78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-0.05</w:t>
            </w:r>
          </w:p>
        </w:tc>
        <w:tc>
          <w:tcPr>
            <w:tcW w:w="1134" w:type="dxa"/>
            <w:noWrap/>
            <w:vAlign w:val="center"/>
            <w:hideMark/>
          </w:tcPr>
          <w:p w14:paraId="74F9FE47"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 0.22)</w:t>
            </w:r>
          </w:p>
        </w:tc>
        <w:tc>
          <w:tcPr>
            <w:tcW w:w="709" w:type="dxa"/>
            <w:tcBorders>
              <w:top w:val="nil"/>
              <w:left w:val="nil"/>
              <w:bottom w:val="nil"/>
              <w:right w:val="single" w:sz="4" w:space="0" w:color="auto"/>
            </w:tcBorders>
            <w:noWrap/>
            <w:vAlign w:val="center"/>
            <w:hideMark/>
          </w:tcPr>
          <w:p w14:paraId="359CCF6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w:t>
            </w:r>
          </w:p>
        </w:tc>
        <w:tc>
          <w:tcPr>
            <w:tcW w:w="567" w:type="dxa"/>
            <w:tcBorders>
              <w:top w:val="nil"/>
              <w:left w:val="single" w:sz="4" w:space="0" w:color="auto"/>
              <w:bottom w:val="nil"/>
              <w:right w:val="nil"/>
            </w:tcBorders>
            <w:noWrap/>
            <w:vAlign w:val="center"/>
            <w:hideMark/>
          </w:tcPr>
          <w:p w14:paraId="5BCD3B38"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6B65B1E7"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0.01)</w:t>
            </w:r>
          </w:p>
        </w:tc>
        <w:tc>
          <w:tcPr>
            <w:tcW w:w="709" w:type="dxa"/>
            <w:noWrap/>
            <w:vAlign w:val="center"/>
            <w:hideMark/>
          </w:tcPr>
          <w:p w14:paraId="3766CD99"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3D9B8468"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1FFDF22A"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6C400534"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6F1494D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039E4317"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0.00</w:t>
            </w:r>
          </w:p>
        </w:tc>
        <w:tc>
          <w:tcPr>
            <w:tcW w:w="1134" w:type="dxa"/>
            <w:noWrap/>
            <w:vAlign w:val="center"/>
            <w:hideMark/>
          </w:tcPr>
          <w:p w14:paraId="6980742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0.12)</w:t>
            </w:r>
          </w:p>
        </w:tc>
        <w:tc>
          <w:tcPr>
            <w:tcW w:w="708" w:type="dxa"/>
            <w:tcBorders>
              <w:top w:val="nil"/>
              <w:left w:val="nil"/>
              <w:bottom w:val="nil"/>
              <w:right w:val="single" w:sz="4" w:space="0" w:color="auto"/>
            </w:tcBorders>
            <w:noWrap/>
            <w:vAlign w:val="center"/>
            <w:hideMark/>
          </w:tcPr>
          <w:p w14:paraId="7FF4580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67.1%</w:t>
            </w:r>
          </w:p>
        </w:tc>
        <w:tc>
          <w:tcPr>
            <w:tcW w:w="567" w:type="dxa"/>
            <w:tcBorders>
              <w:top w:val="nil"/>
              <w:left w:val="single" w:sz="4" w:space="0" w:color="auto"/>
              <w:bottom w:val="nil"/>
              <w:right w:val="nil"/>
            </w:tcBorders>
            <w:noWrap/>
            <w:vAlign w:val="center"/>
            <w:hideMark/>
          </w:tcPr>
          <w:p w14:paraId="5BE2D5CB"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-0.03</w:t>
            </w:r>
          </w:p>
        </w:tc>
        <w:tc>
          <w:tcPr>
            <w:tcW w:w="1134" w:type="dxa"/>
            <w:noWrap/>
            <w:vAlign w:val="center"/>
            <w:hideMark/>
          </w:tcPr>
          <w:p w14:paraId="2830BC51"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 0.17)</w:t>
            </w:r>
          </w:p>
        </w:tc>
        <w:tc>
          <w:tcPr>
            <w:tcW w:w="709" w:type="dxa"/>
            <w:tcBorders>
              <w:top w:val="nil"/>
              <w:left w:val="nil"/>
              <w:bottom w:val="nil"/>
              <w:right w:val="single" w:sz="4" w:space="0" w:color="auto"/>
            </w:tcBorders>
            <w:noWrap/>
            <w:vAlign w:val="center"/>
            <w:hideMark/>
          </w:tcPr>
          <w:p w14:paraId="70B534A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23.1%</w:t>
            </w:r>
          </w:p>
        </w:tc>
        <w:tc>
          <w:tcPr>
            <w:tcW w:w="567" w:type="dxa"/>
            <w:tcBorders>
              <w:top w:val="nil"/>
              <w:left w:val="single" w:sz="4" w:space="0" w:color="auto"/>
              <w:bottom w:val="nil"/>
              <w:right w:val="nil"/>
            </w:tcBorders>
            <w:noWrap/>
            <w:vAlign w:val="center"/>
            <w:hideMark/>
          </w:tcPr>
          <w:p w14:paraId="72B20AF0"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335A876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(-0.45, 0.16)</w:t>
            </w:r>
          </w:p>
        </w:tc>
        <w:tc>
          <w:tcPr>
            <w:tcW w:w="709" w:type="dxa"/>
            <w:tcBorders>
              <w:top w:val="nil"/>
              <w:left w:val="nil"/>
              <w:bottom w:val="nil"/>
              <w:right w:val="single" w:sz="4" w:space="0" w:color="auto"/>
            </w:tcBorders>
            <w:noWrap/>
            <w:vAlign w:val="center"/>
            <w:hideMark/>
          </w:tcPr>
          <w:p w14:paraId="3309821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9.8%</w:t>
            </w:r>
          </w:p>
        </w:tc>
        <w:tc>
          <w:tcPr>
            <w:tcW w:w="567" w:type="dxa"/>
            <w:tcBorders>
              <w:top w:val="nil"/>
              <w:left w:val="single" w:sz="4" w:space="0" w:color="auto"/>
              <w:bottom w:val="nil"/>
              <w:right w:val="nil"/>
            </w:tcBorders>
            <w:noWrap/>
            <w:vAlign w:val="center"/>
            <w:hideMark/>
          </w:tcPr>
          <w:p w14:paraId="0ED16A8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-0.02</w:t>
            </w:r>
          </w:p>
        </w:tc>
        <w:tc>
          <w:tcPr>
            <w:tcW w:w="1134" w:type="dxa"/>
            <w:noWrap/>
            <w:vAlign w:val="center"/>
            <w:hideMark/>
          </w:tcPr>
          <w:p w14:paraId="12EF93C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0.07)</w:t>
            </w:r>
          </w:p>
        </w:tc>
        <w:tc>
          <w:tcPr>
            <w:tcW w:w="709" w:type="dxa"/>
            <w:noWrap/>
            <w:vAlign w:val="center"/>
            <w:hideMark/>
          </w:tcPr>
          <w:p w14:paraId="0C052CFC"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5F9AF726"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123360DA"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5817413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Obesity</w:t>
            </w:r>
          </w:p>
        </w:tc>
        <w:tc>
          <w:tcPr>
            <w:tcW w:w="444" w:type="dxa"/>
            <w:tcBorders>
              <w:top w:val="single" w:sz="4" w:space="0" w:color="auto"/>
              <w:left w:val="nil"/>
              <w:bottom w:val="nil"/>
              <w:right w:val="single" w:sz="4" w:space="0" w:color="auto"/>
            </w:tcBorders>
            <w:noWrap/>
            <w:vAlign w:val="center"/>
            <w:hideMark/>
          </w:tcPr>
          <w:p w14:paraId="0F2DD9C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6D07CE33"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5F7E7BDA"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0.18)</w:t>
            </w:r>
          </w:p>
        </w:tc>
        <w:tc>
          <w:tcPr>
            <w:tcW w:w="708" w:type="dxa"/>
            <w:tcBorders>
              <w:top w:val="nil"/>
              <w:left w:val="nil"/>
              <w:bottom w:val="nil"/>
              <w:right w:val="single" w:sz="4" w:space="0" w:color="auto"/>
            </w:tcBorders>
            <w:noWrap/>
            <w:vAlign w:val="center"/>
            <w:hideMark/>
          </w:tcPr>
          <w:p w14:paraId="126247D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24.5%</w:t>
            </w:r>
          </w:p>
        </w:tc>
        <w:tc>
          <w:tcPr>
            <w:tcW w:w="567" w:type="dxa"/>
            <w:tcBorders>
              <w:top w:val="nil"/>
              <w:left w:val="single" w:sz="4" w:space="0" w:color="auto"/>
              <w:bottom w:val="nil"/>
              <w:right w:val="nil"/>
            </w:tcBorders>
            <w:noWrap/>
            <w:vAlign w:val="center"/>
            <w:hideMark/>
          </w:tcPr>
          <w:p w14:paraId="5F69ECC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w:t>
            </w:r>
          </w:p>
        </w:tc>
        <w:tc>
          <w:tcPr>
            <w:tcW w:w="1134" w:type="dxa"/>
            <w:noWrap/>
            <w:vAlign w:val="center"/>
            <w:hideMark/>
          </w:tcPr>
          <w:p w14:paraId="7DAE401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 0.16)</w:t>
            </w:r>
          </w:p>
        </w:tc>
        <w:tc>
          <w:tcPr>
            <w:tcW w:w="709" w:type="dxa"/>
            <w:tcBorders>
              <w:top w:val="nil"/>
              <w:left w:val="nil"/>
              <w:bottom w:val="nil"/>
              <w:right w:val="single" w:sz="4" w:space="0" w:color="auto"/>
            </w:tcBorders>
            <w:noWrap/>
            <w:vAlign w:val="center"/>
            <w:hideMark/>
          </w:tcPr>
          <w:p w14:paraId="20DCFD4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6.0%</w:t>
            </w:r>
          </w:p>
        </w:tc>
        <w:tc>
          <w:tcPr>
            <w:tcW w:w="567" w:type="dxa"/>
            <w:tcBorders>
              <w:top w:val="nil"/>
              <w:left w:val="single" w:sz="4" w:space="0" w:color="auto"/>
              <w:bottom w:val="nil"/>
              <w:right w:val="nil"/>
            </w:tcBorders>
            <w:noWrap/>
            <w:vAlign w:val="center"/>
            <w:hideMark/>
          </w:tcPr>
          <w:p w14:paraId="58EE827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-0.20</w:t>
            </w:r>
          </w:p>
        </w:tc>
        <w:tc>
          <w:tcPr>
            <w:tcW w:w="1134" w:type="dxa"/>
            <w:noWrap/>
            <w:vAlign w:val="center"/>
            <w:hideMark/>
          </w:tcPr>
          <w:p w14:paraId="510FBCA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(-0.60, 0.21)</w:t>
            </w:r>
          </w:p>
        </w:tc>
        <w:tc>
          <w:tcPr>
            <w:tcW w:w="709" w:type="dxa"/>
            <w:tcBorders>
              <w:top w:val="nil"/>
              <w:left w:val="nil"/>
              <w:bottom w:val="nil"/>
              <w:right w:val="single" w:sz="4" w:space="0" w:color="auto"/>
            </w:tcBorders>
            <w:noWrap/>
            <w:vAlign w:val="center"/>
            <w:hideMark/>
          </w:tcPr>
          <w:p w14:paraId="63C495E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2.9%</w:t>
            </w:r>
          </w:p>
        </w:tc>
        <w:tc>
          <w:tcPr>
            <w:tcW w:w="567" w:type="dxa"/>
            <w:tcBorders>
              <w:top w:val="nil"/>
              <w:left w:val="single" w:sz="4" w:space="0" w:color="auto"/>
              <w:bottom w:val="nil"/>
              <w:right w:val="nil"/>
            </w:tcBorders>
            <w:noWrap/>
            <w:vAlign w:val="center"/>
            <w:hideMark/>
          </w:tcPr>
          <w:p w14:paraId="07B78CD9"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0.00</w:t>
            </w:r>
          </w:p>
        </w:tc>
        <w:tc>
          <w:tcPr>
            <w:tcW w:w="1134" w:type="dxa"/>
            <w:noWrap/>
            <w:vAlign w:val="center"/>
            <w:hideMark/>
          </w:tcPr>
          <w:p w14:paraId="27A310B7"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 0.07)</w:t>
            </w:r>
          </w:p>
        </w:tc>
        <w:tc>
          <w:tcPr>
            <w:tcW w:w="709" w:type="dxa"/>
            <w:noWrap/>
            <w:vAlign w:val="center"/>
            <w:hideMark/>
          </w:tcPr>
          <w:p w14:paraId="35C4F294"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3C493D97"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57084F69"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74DB4A7B"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1BC53AA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78672CB1"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292A8C5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0.21)</w:t>
            </w:r>
          </w:p>
        </w:tc>
        <w:tc>
          <w:tcPr>
            <w:tcW w:w="708" w:type="dxa"/>
            <w:tcBorders>
              <w:top w:val="nil"/>
              <w:left w:val="nil"/>
              <w:bottom w:val="nil"/>
              <w:right w:val="single" w:sz="4" w:space="0" w:color="auto"/>
            </w:tcBorders>
            <w:noWrap/>
            <w:vAlign w:val="center"/>
            <w:hideMark/>
          </w:tcPr>
          <w:p w14:paraId="6055EFB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47.7%</w:t>
            </w:r>
          </w:p>
        </w:tc>
        <w:tc>
          <w:tcPr>
            <w:tcW w:w="567" w:type="dxa"/>
            <w:tcBorders>
              <w:top w:val="nil"/>
              <w:left w:val="single" w:sz="4" w:space="0" w:color="auto"/>
              <w:bottom w:val="nil"/>
              <w:right w:val="nil"/>
            </w:tcBorders>
            <w:noWrap/>
            <w:vAlign w:val="center"/>
            <w:hideMark/>
          </w:tcPr>
          <w:p w14:paraId="5BDB3093"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w:t>
            </w:r>
          </w:p>
        </w:tc>
        <w:tc>
          <w:tcPr>
            <w:tcW w:w="1134" w:type="dxa"/>
            <w:noWrap/>
            <w:vAlign w:val="center"/>
            <w:hideMark/>
          </w:tcPr>
          <w:p w14:paraId="02E36E7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(-0.46, 0.10)</w:t>
            </w:r>
          </w:p>
        </w:tc>
        <w:tc>
          <w:tcPr>
            <w:tcW w:w="709" w:type="dxa"/>
            <w:tcBorders>
              <w:top w:val="nil"/>
              <w:left w:val="nil"/>
              <w:bottom w:val="nil"/>
              <w:right w:val="single" w:sz="4" w:space="0" w:color="auto"/>
            </w:tcBorders>
            <w:noWrap/>
            <w:vAlign w:val="center"/>
            <w:hideMark/>
          </w:tcPr>
          <w:p w14:paraId="6A1196C2"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32.9%</w:t>
            </w:r>
          </w:p>
        </w:tc>
        <w:tc>
          <w:tcPr>
            <w:tcW w:w="567" w:type="dxa"/>
            <w:tcBorders>
              <w:top w:val="nil"/>
              <w:left w:val="single" w:sz="4" w:space="0" w:color="auto"/>
              <w:bottom w:val="nil"/>
              <w:right w:val="nil"/>
            </w:tcBorders>
            <w:noWrap/>
            <w:vAlign w:val="center"/>
            <w:hideMark/>
          </w:tcPr>
          <w:p w14:paraId="3FD16DEA"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-0.38</w:t>
            </w:r>
          </w:p>
        </w:tc>
        <w:tc>
          <w:tcPr>
            <w:tcW w:w="1134" w:type="dxa"/>
            <w:noWrap/>
            <w:vAlign w:val="center"/>
            <w:hideMark/>
          </w:tcPr>
          <w:p w14:paraId="607287E4"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(-0.82, 0.05)</w:t>
            </w:r>
          </w:p>
        </w:tc>
        <w:tc>
          <w:tcPr>
            <w:tcW w:w="709" w:type="dxa"/>
            <w:tcBorders>
              <w:top w:val="nil"/>
              <w:left w:val="nil"/>
              <w:bottom w:val="nil"/>
              <w:right w:val="single" w:sz="4" w:space="0" w:color="auto"/>
            </w:tcBorders>
            <w:noWrap/>
            <w:vAlign w:val="center"/>
            <w:hideMark/>
          </w:tcPr>
          <w:p w14:paraId="24D4268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19.4%</w:t>
            </w:r>
          </w:p>
        </w:tc>
        <w:tc>
          <w:tcPr>
            <w:tcW w:w="567" w:type="dxa"/>
            <w:tcBorders>
              <w:top w:val="nil"/>
              <w:left w:val="single" w:sz="4" w:space="0" w:color="auto"/>
              <w:bottom w:val="nil"/>
              <w:right w:val="nil"/>
            </w:tcBorders>
            <w:noWrap/>
            <w:vAlign w:val="center"/>
            <w:hideMark/>
          </w:tcPr>
          <w:p w14:paraId="79D69D58"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-0.11</w:t>
            </w:r>
          </w:p>
        </w:tc>
        <w:tc>
          <w:tcPr>
            <w:tcW w:w="1134" w:type="dxa"/>
            <w:noWrap/>
            <w:vAlign w:val="center"/>
            <w:hideMark/>
          </w:tcPr>
          <w:p w14:paraId="395F41CA"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(-0.34, 0.12)</w:t>
            </w:r>
          </w:p>
        </w:tc>
        <w:tc>
          <w:tcPr>
            <w:tcW w:w="709" w:type="dxa"/>
            <w:noWrap/>
            <w:vAlign w:val="center"/>
            <w:hideMark/>
          </w:tcPr>
          <w:p w14:paraId="166BAFF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52.8%</w:t>
            </w:r>
          </w:p>
        </w:tc>
      </w:tr>
      <w:tr w:rsidR="00F021B0" w14:paraId="496E0AE9" w14:textId="77777777" w:rsidTr="00F021B0">
        <w:trPr>
          <w:trHeight w:val="215"/>
        </w:trPr>
        <w:tc>
          <w:tcPr>
            <w:tcW w:w="2284" w:type="dxa"/>
            <w:gridSpan w:val="2"/>
            <w:vMerge w:val="restart"/>
            <w:tcBorders>
              <w:top w:val="single" w:sz="4" w:space="0" w:color="auto"/>
              <w:left w:val="nil"/>
              <w:bottom w:val="single" w:sz="4" w:space="0" w:color="auto"/>
              <w:right w:val="nil"/>
            </w:tcBorders>
            <w:noWrap/>
            <w:hideMark/>
          </w:tcPr>
          <w:p w14:paraId="60CC948F" w14:textId="77777777" w:rsidR="00F021B0" w:rsidRDefault="00F021B0"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Smoking status during pregnancy</w:t>
            </w:r>
            <w:r>
              <w:rPr>
                <w:rFonts w:ascii="Calibri" w:eastAsia="Times New Roman" w:hAnsi="Calibri" w:cs="Calibri"/>
                <w:color w:val="000000"/>
                <w:sz w:val="18"/>
                <w:szCs w:val="18"/>
                <w:lang w:val="en-GB" w:eastAsia="en-GB"/>
              </w:rPr>
              <w:t xml:space="preserve"> (Non-smoker)</w:t>
            </w:r>
          </w:p>
        </w:tc>
        <w:tc>
          <w:tcPr>
            <w:tcW w:w="444" w:type="dxa"/>
            <w:tcBorders>
              <w:top w:val="single" w:sz="4" w:space="0" w:color="auto"/>
              <w:left w:val="nil"/>
              <w:bottom w:val="nil"/>
              <w:right w:val="single" w:sz="4" w:space="0" w:color="auto"/>
            </w:tcBorders>
            <w:noWrap/>
            <w:vAlign w:val="center"/>
            <w:hideMark/>
          </w:tcPr>
          <w:p w14:paraId="236C0F76"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0399EFB9"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0.65</w:t>
            </w:r>
          </w:p>
        </w:tc>
        <w:tc>
          <w:tcPr>
            <w:tcW w:w="1134" w:type="dxa"/>
            <w:noWrap/>
            <w:vAlign w:val="center"/>
            <w:hideMark/>
          </w:tcPr>
          <w:p w14:paraId="438E351E"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(0.57, 0.74)</w:t>
            </w:r>
          </w:p>
        </w:tc>
        <w:tc>
          <w:tcPr>
            <w:tcW w:w="708" w:type="dxa"/>
            <w:tcBorders>
              <w:top w:val="nil"/>
              <w:left w:val="nil"/>
              <w:bottom w:val="nil"/>
              <w:right w:val="single" w:sz="4" w:space="0" w:color="auto"/>
            </w:tcBorders>
            <w:noWrap/>
            <w:vAlign w:val="center"/>
            <w:hideMark/>
          </w:tcPr>
          <w:p w14:paraId="4198A07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18.9%</w:t>
            </w:r>
          </w:p>
        </w:tc>
        <w:tc>
          <w:tcPr>
            <w:tcW w:w="567" w:type="dxa"/>
            <w:tcBorders>
              <w:top w:val="nil"/>
              <w:left w:val="single" w:sz="4" w:space="0" w:color="auto"/>
              <w:bottom w:val="nil"/>
              <w:right w:val="nil"/>
            </w:tcBorders>
            <w:noWrap/>
            <w:vAlign w:val="center"/>
            <w:hideMark/>
          </w:tcPr>
          <w:p w14:paraId="17516DB2"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0.27</w:t>
            </w:r>
          </w:p>
        </w:tc>
        <w:tc>
          <w:tcPr>
            <w:tcW w:w="1134" w:type="dxa"/>
            <w:noWrap/>
            <w:vAlign w:val="center"/>
            <w:hideMark/>
          </w:tcPr>
          <w:p w14:paraId="29EA056E"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(0.09, 0.44)</w:t>
            </w:r>
          </w:p>
        </w:tc>
        <w:tc>
          <w:tcPr>
            <w:tcW w:w="709" w:type="dxa"/>
            <w:tcBorders>
              <w:top w:val="nil"/>
              <w:left w:val="nil"/>
              <w:bottom w:val="nil"/>
              <w:right w:val="single" w:sz="4" w:space="0" w:color="auto"/>
            </w:tcBorders>
            <w:noWrap/>
            <w:vAlign w:val="center"/>
            <w:hideMark/>
          </w:tcPr>
          <w:p w14:paraId="11DF168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16.0%</w:t>
            </w:r>
          </w:p>
        </w:tc>
        <w:tc>
          <w:tcPr>
            <w:tcW w:w="567" w:type="dxa"/>
            <w:tcBorders>
              <w:top w:val="nil"/>
              <w:left w:val="single" w:sz="4" w:space="0" w:color="auto"/>
              <w:bottom w:val="nil"/>
              <w:right w:val="nil"/>
            </w:tcBorders>
            <w:noWrap/>
            <w:vAlign w:val="center"/>
            <w:hideMark/>
          </w:tcPr>
          <w:p w14:paraId="36709436"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0.43</w:t>
            </w:r>
          </w:p>
        </w:tc>
        <w:tc>
          <w:tcPr>
            <w:tcW w:w="1134" w:type="dxa"/>
            <w:noWrap/>
            <w:vAlign w:val="center"/>
            <w:hideMark/>
          </w:tcPr>
          <w:p w14:paraId="17F29A8F"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(0.15, 0.72)</w:t>
            </w:r>
          </w:p>
        </w:tc>
        <w:tc>
          <w:tcPr>
            <w:tcW w:w="709" w:type="dxa"/>
            <w:tcBorders>
              <w:top w:val="nil"/>
              <w:left w:val="nil"/>
              <w:bottom w:val="nil"/>
              <w:right w:val="single" w:sz="4" w:space="0" w:color="auto"/>
            </w:tcBorders>
            <w:noWrap/>
            <w:vAlign w:val="center"/>
            <w:hideMark/>
          </w:tcPr>
          <w:p w14:paraId="5120299A"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12.3%</w:t>
            </w:r>
          </w:p>
        </w:tc>
        <w:tc>
          <w:tcPr>
            <w:tcW w:w="567" w:type="dxa"/>
            <w:tcBorders>
              <w:top w:val="nil"/>
              <w:left w:val="single" w:sz="4" w:space="0" w:color="auto"/>
              <w:bottom w:val="nil"/>
              <w:right w:val="nil"/>
            </w:tcBorders>
            <w:noWrap/>
            <w:vAlign w:val="center"/>
            <w:hideMark/>
          </w:tcPr>
          <w:p w14:paraId="59E8E7FD"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w:t>
            </w:r>
          </w:p>
        </w:tc>
        <w:tc>
          <w:tcPr>
            <w:tcW w:w="1134" w:type="dxa"/>
            <w:noWrap/>
            <w:vAlign w:val="center"/>
            <w:hideMark/>
          </w:tcPr>
          <w:p w14:paraId="5718B617"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(0.23, 0.56)</w:t>
            </w:r>
          </w:p>
        </w:tc>
        <w:tc>
          <w:tcPr>
            <w:tcW w:w="709" w:type="dxa"/>
            <w:noWrap/>
            <w:vAlign w:val="center"/>
            <w:hideMark/>
          </w:tcPr>
          <w:p w14:paraId="6A0E80BF"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87.0%</w:t>
            </w:r>
          </w:p>
        </w:tc>
      </w:tr>
      <w:tr w:rsidR="00F021B0" w14:paraId="1F6FB653" w14:textId="77777777" w:rsidTr="00F021B0">
        <w:trPr>
          <w:trHeight w:val="215"/>
        </w:trPr>
        <w:tc>
          <w:tcPr>
            <w:tcW w:w="0" w:type="auto"/>
            <w:gridSpan w:val="2"/>
            <w:vMerge/>
            <w:tcBorders>
              <w:top w:val="single" w:sz="4" w:space="0" w:color="auto"/>
              <w:left w:val="nil"/>
              <w:bottom w:val="single" w:sz="4" w:space="0" w:color="auto"/>
              <w:right w:val="nil"/>
            </w:tcBorders>
            <w:vAlign w:val="center"/>
            <w:hideMark/>
          </w:tcPr>
          <w:p w14:paraId="1DA55939" w14:textId="77777777" w:rsidR="00F021B0" w:rsidRDefault="00F021B0">
            <w:pPr>
              <w:spacing w:line="276" w:lineRule="auto"/>
              <w:jc w:val="left"/>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6B5CAB9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5D305996"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0.61</w:t>
            </w:r>
          </w:p>
        </w:tc>
        <w:tc>
          <w:tcPr>
            <w:tcW w:w="1134" w:type="dxa"/>
            <w:noWrap/>
            <w:vAlign w:val="center"/>
            <w:hideMark/>
          </w:tcPr>
          <w:p w14:paraId="22E9A822"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(0.51, 0.71)</w:t>
            </w:r>
          </w:p>
        </w:tc>
        <w:tc>
          <w:tcPr>
            <w:tcW w:w="708" w:type="dxa"/>
            <w:tcBorders>
              <w:top w:val="nil"/>
              <w:left w:val="nil"/>
              <w:bottom w:val="nil"/>
              <w:right w:val="single" w:sz="4" w:space="0" w:color="auto"/>
            </w:tcBorders>
            <w:noWrap/>
            <w:vAlign w:val="center"/>
            <w:hideMark/>
          </w:tcPr>
          <w:p w14:paraId="78E3F59E"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39.4%</w:t>
            </w:r>
          </w:p>
        </w:tc>
        <w:tc>
          <w:tcPr>
            <w:tcW w:w="567" w:type="dxa"/>
            <w:tcBorders>
              <w:top w:val="nil"/>
              <w:left w:val="single" w:sz="4" w:space="0" w:color="auto"/>
              <w:bottom w:val="nil"/>
              <w:right w:val="nil"/>
            </w:tcBorders>
            <w:noWrap/>
            <w:vAlign w:val="center"/>
            <w:hideMark/>
          </w:tcPr>
          <w:p w14:paraId="5C52A35C"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0.25</w:t>
            </w:r>
          </w:p>
        </w:tc>
        <w:tc>
          <w:tcPr>
            <w:tcW w:w="1134" w:type="dxa"/>
            <w:noWrap/>
            <w:vAlign w:val="center"/>
            <w:hideMark/>
          </w:tcPr>
          <w:p w14:paraId="6951EF17"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(0.08, 0.43)</w:t>
            </w:r>
          </w:p>
        </w:tc>
        <w:tc>
          <w:tcPr>
            <w:tcW w:w="709" w:type="dxa"/>
            <w:tcBorders>
              <w:top w:val="nil"/>
              <w:left w:val="nil"/>
              <w:bottom w:val="nil"/>
              <w:right w:val="single" w:sz="4" w:space="0" w:color="auto"/>
            </w:tcBorders>
            <w:noWrap/>
            <w:vAlign w:val="center"/>
            <w:hideMark/>
          </w:tcPr>
          <w:p w14:paraId="074E2A1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35.3%</w:t>
            </w:r>
          </w:p>
        </w:tc>
        <w:tc>
          <w:tcPr>
            <w:tcW w:w="567" w:type="dxa"/>
            <w:tcBorders>
              <w:top w:val="nil"/>
              <w:left w:val="single" w:sz="4" w:space="0" w:color="auto"/>
              <w:bottom w:val="nil"/>
              <w:right w:val="nil"/>
            </w:tcBorders>
            <w:noWrap/>
            <w:vAlign w:val="center"/>
            <w:hideMark/>
          </w:tcPr>
          <w:p w14:paraId="5CB06015"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0.37</w:t>
            </w:r>
          </w:p>
        </w:tc>
        <w:tc>
          <w:tcPr>
            <w:tcW w:w="1134" w:type="dxa"/>
            <w:noWrap/>
            <w:vAlign w:val="center"/>
            <w:hideMark/>
          </w:tcPr>
          <w:p w14:paraId="7562EF46"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(0.03, 0.70)</w:t>
            </w:r>
          </w:p>
        </w:tc>
        <w:tc>
          <w:tcPr>
            <w:tcW w:w="709" w:type="dxa"/>
            <w:tcBorders>
              <w:top w:val="nil"/>
              <w:left w:val="nil"/>
              <w:bottom w:val="nil"/>
              <w:right w:val="single" w:sz="4" w:space="0" w:color="auto"/>
            </w:tcBorders>
            <w:noWrap/>
            <w:vAlign w:val="center"/>
            <w:hideMark/>
          </w:tcPr>
          <w:p w14:paraId="6F8254FA"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25.2%</w:t>
            </w:r>
          </w:p>
        </w:tc>
        <w:tc>
          <w:tcPr>
            <w:tcW w:w="567" w:type="dxa"/>
            <w:tcBorders>
              <w:top w:val="nil"/>
              <w:left w:val="single" w:sz="4" w:space="0" w:color="auto"/>
              <w:bottom w:val="nil"/>
              <w:right w:val="nil"/>
            </w:tcBorders>
            <w:noWrap/>
            <w:vAlign w:val="center"/>
            <w:hideMark/>
          </w:tcPr>
          <w:p w14:paraId="7602E11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0.42</w:t>
            </w:r>
          </w:p>
        </w:tc>
        <w:tc>
          <w:tcPr>
            <w:tcW w:w="1134" w:type="dxa"/>
            <w:noWrap/>
            <w:vAlign w:val="center"/>
            <w:hideMark/>
          </w:tcPr>
          <w:p w14:paraId="678253AC"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(0.15, 0.69)</w:t>
            </w:r>
          </w:p>
        </w:tc>
        <w:tc>
          <w:tcPr>
            <w:tcW w:w="709" w:type="dxa"/>
            <w:noWrap/>
            <w:vAlign w:val="center"/>
            <w:hideMark/>
          </w:tcPr>
          <w:p w14:paraId="0DD0D45D"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84.1%</w:t>
            </w:r>
          </w:p>
        </w:tc>
      </w:tr>
      <w:tr w:rsidR="00F021B0" w14:paraId="7034A734" w14:textId="77777777" w:rsidTr="00F021B0">
        <w:trPr>
          <w:trHeight w:val="215"/>
        </w:trPr>
        <w:tc>
          <w:tcPr>
            <w:tcW w:w="2284" w:type="dxa"/>
            <w:gridSpan w:val="2"/>
            <w:vMerge w:val="restart"/>
            <w:tcBorders>
              <w:top w:val="single" w:sz="4" w:space="0" w:color="auto"/>
              <w:left w:val="nil"/>
              <w:bottom w:val="single" w:sz="4" w:space="0" w:color="auto"/>
              <w:right w:val="nil"/>
            </w:tcBorders>
            <w:noWrap/>
            <w:hideMark/>
          </w:tcPr>
          <w:p w14:paraId="1BB24D05" w14:textId="77777777" w:rsidR="00F021B0" w:rsidRDefault="00F021B0"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Alcohol consumption during pregnancy</w:t>
            </w:r>
            <w:r>
              <w:rPr>
                <w:rFonts w:ascii="Calibri" w:eastAsia="Times New Roman" w:hAnsi="Calibri" w:cs="Calibri"/>
                <w:color w:val="000000"/>
                <w:sz w:val="18"/>
                <w:szCs w:val="18"/>
                <w:lang w:val="en-GB" w:eastAsia="en-GB"/>
              </w:rPr>
              <w:t xml:space="preserve"> (</w:t>
            </w:r>
            <w:proofErr w:type="gramStart"/>
            <w:r>
              <w:rPr>
                <w:rFonts w:ascii="Calibri" w:eastAsia="Times New Roman" w:hAnsi="Calibri" w:cs="Calibri"/>
                <w:color w:val="000000"/>
                <w:sz w:val="18"/>
                <w:szCs w:val="18"/>
                <w:lang w:val="en-GB" w:eastAsia="en-GB"/>
              </w:rPr>
              <w:t>Non-consumer</w:t>
            </w:r>
            <w:proofErr w:type="gramEnd"/>
            <w:r>
              <w:rPr>
                <w:rFonts w:ascii="Calibri" w:eastAsia="Times New Roman" w:hAnsi="Calibri" w:cs="Calibri"/>
                <w:color w:val="000000"/>
                <w:sz w:val="18"/>
                <w:szCs w:val="18"/>
                <w:lang w:val="en-GB" w:eastAsia="en-GB"/>
              </w:rPr>
              <w:t>)</w:t>
            </w:r>
          </w:p>
        </w:tc>
        <w:tc>
          <w:tcPr>
            <w:tcW w:w="444" w:type="dxa"/>
            <w:tcBorders>
              <w:top w:val="single" w:sz="4" w:space="0" w:color="auto"/>
              <w:left w:val="nil"/>
              <w:bottom w:val="nil"/>
              <w:right w:val="single" w:sz="4" w:space="0" w:color="auto"/>
            </w:tcBorders>
            <w:noWrap/>
            <w:vAlign w:val="center"/>
            <w:hideMark/>
          </w:tcPr>
          <w:p w14:paraId="22417B81"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452BD0AA"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3CF0EA91"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(0.06, 0.20)</w:t>
            </w:r>
          </w:p>
        </w:tc>
        <w:tc>
          <w:tcPr>
            <w:tcW w:w="708" w:type="dxa"/>
            <w:tcBorders>
              <w:top w:val="nil"/>
              <w:left w:val="nil"/>
              <w:bottom w:val="nil"/>
              <w:right w:val="single" w:sz="4" w:space="0" w:color="auto"/>
            </w:tcBorders>
            <w:noWrap/>
            <w:vAlign w:val="center"/>
            <w:hideMark/>
          </w:tcPr>
          <w:p w14:paraId="01638A3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33.5%</w:t>
            </w:r>
          </w:p>
        </w:tc>
        <w:tc>
          <w:tcPr>
            <w:tcW w:w="567" w:type="dxa"/>
            <w:tcBorders>
              <w:top w:val="nil"/>
              <w:left w:val="single" w:sz="4" w:space="0" w:color="auto"/>
              <w:bottom w:val="nil"/>
              <w:right w:val="nil"/>
            </w:tcBorders>
            <w:noWrap/>
            <w:vAlign w:val="center"/>
            <w:hideMark/>
          </w:tcPr>
          <w:p w14:paraId="62BAACD5"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w:t>
            </w:r>
          </w:p>
        </w:tc>
        <w:tc>
          <w:tcPr>
            <w:tcW w:w="1134" w:type="dxa"/>
            <w:noWrap/>
            <w:vAlign w:val="center"/>
            <w:hideMark/>
          </w:tcPr>
          <w:p w14:paraId="2E855873"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(-0.08, 0.26)</w:t>
            </w:r>
          </w:p>
        </w:tc>
        <w:tc>
          <w:tcPr>
            <w:tcW w:w="709" w:type="dxa"/>
            <w:tcBorders>
              <w:top w:val="nil"/>
              <w:left w:val="nil"/>
              <w:bottom w:val="nil"/>
              <w:right w:val="single" w:sz="4" w:space="0" w:color="auto"/>
            </w:tcBorders>
            <w:noWrap/>
            <w:vAlign w:val="center"/>
            <w:hideMark/>
          </w:tcPr>
          <w:p w14:paraId="4C9EF663"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5.5%</w:t>
            </w:r>
          </w:p>
        </w:tc>
        <w:tc>
          <w:tcPr>
            <w:tcW w:w="567" w:type="dxa"/>
            <w:tcBorders>
              <w:top w:val="nil"/>
              <w:left w:val="single" w:sz="4" w:space="0" w:color="auto"/>
              <w:bottom w:val="nil"/>
              <w:right w:val="nil"/>
            </w:tcBorders>
            <w:noWrap/>
            <w:vAlign w:val="center"/>
            <w:hideMark/>
          </w:tcPr>
          <w:p w14:paraId="095F202A"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2161A9D3"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(-0.09, 0.35)</w:t>
            </w:r>
          </w:p>
        </w:tc>
        <w:tc>
          <w:tcPr>
            <w:tcW w:w="709" w:type="dxa"/>
            <w:tcBorders>
              <w:top w:val="nil"/>
              <w:left w:val="nil"/>
              <w:bottom w:val="nil"/>
              <w:right w:val="single" w:sz="4" w:space="0" w:color="auto"/>
            </w:tcBorders>
            <w:noWrap/>
            <w:vAlign w:val="center"/>
            <w:hideMark/>
          </w:tcPr>
          <w:p w14:paraId="3ABCD0D4"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w:t>
            </w:r>
          </w:p>
        </w:tc>
        <w:tc>
          <w:tcPr>
            <w:tcW w:w="567" w:type="dxa"/>
            <w:tcBorders>
              <w:top w:val="nil"/>
              <w:left w:val="single" w:sz="4" w:space="0" w:color="auto"/>
              <w:bottom w:val="nil"/>
              <w:right w:val="nil"/>
            </w:tcBorders>
            <w:noWrap/>
            <w:vAlign w:val="center"/>
            <w:hideMark/>
          </w:tcPr>
          <w:p w14:paraId="78A4324C"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0.16</w:t>
            </w:r>
          </w:p>
        </w:tc>
        <w:tc>
          <w:tcPr>
            <w:tcW w:w="1134" w:type="dxa"/>
            <w:noWrap/>
            <w:vAlign w:val="center"/>
            <w:hideMark/>
          </w:tcPr>
          <w:p w14:paraId="4E2A9348"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(0.12, 0.20)</w:t>
            </w:r>
          </w:p>
        </w:tc>
        <w:tc>
          <w:tcPr>
            <w:tcW w:w="709" w:type="dxa"/>
            <w:noWrap/>
            <w:vAlign w:val="center"/>
            <w:hideMark/>
          </w:tcPr>
          <w:p w14:paraId="52610CCB"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F021B0" w14:paraId="0EAC30E9" w14:textId="77777777" w:rsidTr="00F021B0">
        <w:trPr>
          <w:trHeight w:val="215"/>
        </w:trPr>
        <w:tc>
          <w:tcPr>
            <w:tcW w:w="0" w:type="auto"/>
            <w:gridSpan w:val="2"/>
            <w:vMerge/>
            <w:tcBorders>
              <w:top w:val="single" w:sz="4" w:space="0" w:color="auto"/>
              <w:left w:val="nil"/>
              <w:bottom w:val="single" w:sz="4" w:space="0" w:color="auto"/>
              <w:right w:val="nil"/>
            </w:tcBorders>
            <w:vAlign w:val="center"/>
            <w:hideMark/>
          </w:tcPr>
          <w:p w14:paraId="2EFF5F77" w14:textId="77777777" w:rsidR="00F021B0" w:rsidRDefault="00F021B0">
            <w:pPr>
              <w:spacing w:line="276" w:lineRule="auto"/>
              <w:jc w:val="left"/>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15FE2F86"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5371F29B"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0.15</w:t>
            </w:r>
          </w:p>
        </w:tc>
        <w:tc>
          <w:tcPr>
            <w:tcW w:w="1134" w:type="dxa"/>
            <w:noWrap/>
            <w:vAlign w:val="center"/>
            <w:hideMark/>
          </w:tcPr>
          <w:p w14:paraId="557516B9"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(0.07, 0.23)</w:t>
            </w:r>
          </w:p>
        </w:tc>
        <w:tc>
          <w:tcPr>
            <w:tcW w:w="708" w:type="dxa"/>
            <w:tcBorders>
              <w:top w:val="nil"/>
              <w:left w:val="nil"/>
              <w:bottom w:val="nil"/>
              <w:right w:val="single" w:sz="4" w:space="0" w:color="auto"/>
            </w:tcBorders>
            <w:noWrap/>
            <w:vAlign w:val="center"/>
            <w:hideMark/>
          </w:tcPr>
          <w:p w14:paraId="07F59F1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74.3%</w:t>
            </w:r>
          </w:p>
        </w:tc>
        <w:tc>
          <w:tcPr>
            <w:tcW w:w="567" w:type="dxa"/>
            <w:tcBorders>
              <w:top w:val="nil"/>
              <w:left w:val="single" w:sz="4" w:space="0" w:color="auto"/>
              <w:bottom w:val="nil"/>
              <w:right w:val="nil"/>
            </w:tcBorders>
            <w:noWrap/>
            <w:vAlign w:val="center"/>
            <w:hideMark/>
          </w:tcPr>
          <w:p w14:paraId="74E3D2D8"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0.13</w:t>
            </w:r>
          </w:p>
        </w:tc>
        <w:tc>
          <w:tcPr>
            <w:tcW w:w="1134" w:type="dxa"/>
            <w:noWrap/>
            <w:vAlign w:val="center"/>
            <w:hideMark/>
          </w:tcPr>
          <w:p w14:paraId="631CA4D9"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 0.30)</w:t>
            </w:r>
          </w:p>
        </w:tc>
        <w:tc>
          <w:tcPr>
            <w:tcW w:w="709" w:type="dxa"/>
            <w:tcBorders>
              <w:top w:val="nil"/>
              <w:left w:val="nil"/>
              <w:bottom w:val="nil"/>
              <w:right w:val="single" w:sz="4" w:space="0" w:color="auto"/>
            </w:tcBorders>
            <w:noWrap/>
            <w:vAlign w:val="center"/>
            <w:hideMark/>
          </w:tcPr>
          <w:p w14:paraId="5CED06C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17.7%</w:t>
            </w:r>
          </w:p>
        </w:tc>
        <w:tc>
          <w:tcPr>
            <w:tcW w:w="567" w:type="dxa"/>
            <w:tcBorders>
              <w:top w:val="nil"/>
              <w:left w:val="single" w:sz="4" w:space="0" w:color="auto"/>
              <w:bottom w:val="nil"/>
              <w:right w:val="nil"/>
            </w:tcBorders>
            <w:noWrap/>
            <w:vAlign w:val="center"/>
            <w:hideMark/>
          </w:tcPr>
          <w:p w14:paraId="0C28DF80"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w:t>
            </w:r>
          </w:p>
        </w:tc>
        <w:tc>
          <w:tcPr>
            <w:tcW w:w="1134" w:type="dxa"/>
            <w:noWrap/>
            <w:vAlign w:val="center"/>
            <w:hideMark/>
          </w:tcPr>
          <w:p w14:paraId="1712EC9F"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0.31)</w:t>
            </w:r>
          </w:p>
        </w:tc>
        <w:tc>
          <w:tcPr>
            <w:tcW w:w="709" w:type="dxa"/>
            <w:tcBorders>
              <w:top w:val="nil"/>
              <w:left w:val="nil"/>
              <w:bottom w:val="nil"/>
              <w:right w:val="single" w:sz="4" w:space="0" w:color="auto"/>
            </w:tcBorders>
            <w:noWrap/>
            <w:vAlign w:val="center"/>
            <w:hideMark/>
          </w:tcPr>
          <w:p w14:paraId="4C0C4F4D"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8.1%</w:t>
            </w:r>
          </w:p>
        </w:tc>
        <w:tc>
          <w:tcPr>
            <w:tcW w:w="567" w:type="dxa"/>
            <w:tcBorders>
              <w:top w:val="nil"/>
              <w:left w:val="single" w:sz="4" w:space="0" w:color="auto"/>
              <w:bottom w:val="nil"/>
              <w:right w:val="nil"/>
            </w:tcBorders>
            <w:noWrap/>
            <w:vAlign w:val="center"/>
            <w:hideMark/>
          </w:tcPr>
          <w:p w14:paraId="0F4B1804" w14:textId="77777777" w:rsidR="00F021B0" w:rsidRDefault="00F021B0">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noWrap/>
            <w:vAlign w:val="center"/>
            <w:hideMark/>
          </w:tcPr>
          <w:p w14:paraId="4EE4F92A" w14:textId="77777777" w:rsidR="00F021B0" w:rsidRDefault="00F021B0">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(0.07, 0.21)</w:t>
            </w:r>
          </w:p>
        </w:tc>
        <w:tc>
          <w:tcPr>
            <w:tcW w:w="709" w:type="dxa"/>
            <w:noWrap/>
            <w:vAlign w:val="center"/>
            <w:hideMark/>
          </w:tcPr>
          <w:p w14:paraId="4137A470" w14:textId="77777777" w:rsidR="00F021B0" w:rsidRDefault="00F021B0">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w:t>
            </w:r>
          </w:p>
        </w:tc>
      </w:tr>
      <w:tr w:rsidR="00B74658" w14:paraId="3C57CAB7" w14:textId="77777777" w:rsidTr="00F5229F">
        <w:trPr>
          <w:trHeight w:val="215"/>
        </w:trPr>
        <w:tc>
          <w:tcPr>
            <w:tcW w:w="1271" w:type="dxa"/>
            <w:vMerge w:val="restart"/>
            <w:tcBorders>
              <w:top w:val="single" w:sz="4" w:space="0" w:color="auto"/>
              <w:left w:val="nil"/>
              <w:bottom w:val="single" w:sz="4" w:space="0" w:color="auto"/>
              <w:right w:val="nil"/>
            </w:tcBorders>
            <w:noWrap/>
            <w:hideMark/>
          </w:tcPr>
          <w:p w14:paraId="7EDD1469" w14:textId="59ECDE30" w:rsidR="00B74658" w:rsidRDefault="00B74658" w:rsidP="00DD6A42">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b/>
                <w:color w:val="000000"/>
                <w:sz w:val="18"/>
                <w:szCs w:val="18"/>
                <w:lang w:val="en-GB" w:eastAsia="en-GB"/>
              </w:rPr>
              <w:t xml:space="preserve">Physical activity level </w:t>
            </w:r>
            <w:proofErr w:type="spellStart"/>
            <w:r>
              <w:rPr>
                <w:rFonts w:ascii="Calibri" w:eastAsia="Times New Roman" w:hAnsi="Calibri" w:cs="Calibri"/>
                <w:b/>
                <w:color w:val="000000"/>
                <w:sz w:val="18"/>
                <w:szCs w:val="18"/>
                <w:lang w:val="en-GB" w:eastAsia="en-GB"/>
              </w:rPr>
              <w:t>during</w:t>
            </w:r>
            <w:r w:rsidR="002E7ED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b/>
                <w:color w:val="000000"/>
                <w:sz w:val="18"/>
                <w:szCs w:val="18"/>
                <w:lang w:val="en-GB" w:eastAsia="en-GB"/>
              </w:rPr>
              <w:t xml:space="preserve"> </w:t>
            </w:r>
            <w:r>
              <w:rPr>
                <w:rFonts w:ascii="Calibri" w:eastAsia="Times New Roman" w:hAnsi="Calibri" w:cs="Calibri"/>
                <w:b/>
                <w:color w:val="000000"/>
                <w:sz w:val="18"/>
                <w:szCs w:val="18"/>
                <w:lang w:val="en-GB" w:eastAsia="en-GB"/>
              </w:rPr>
              <w:lastRenderedPageBreak/>
              <w:t>pregnancy</w:t>
            </w:r>
            <w:r>
              <w:rPr>
                <w:rFonts w:ascii="Calibri" w:eastAsia="Times New Roman" w:hAnsi="Calibri" w:cs="Calibri"/>
                <w:color w:val="000000"/>
                <w:sz w:val="18"/>
                <w:szCs w:val="18"/>
                <w:lang w:val="en-GB" w:eastAsia="en-GB"/>
              </w:rPr>
              <w:t xml:space="preserve"> (High)</w:t>
            </w:r>
          </w:p>
        </w:tc>
        <w:tc>
          <w:tcPr>
            <w:tcW w:w="1013" w:type="dxa"/>
            <w:vMerge w:val="restart"/>
            <w:tcBorders>
              <w:top w:val="single" w:sz="4" w:space="0" w:color="auto"/>
              <w:left w:val="nil"/>
              <w:right w:val="nil"/>
            </w:tcBorders>
            <w:noWrap/>
            <w:vAlign w:val="center"/>
            <w:hideMark/>
          </w:tcPr>
          <w:p w14:paraId="0265021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lastRenderedPageBreak/>
              <w:t>Low</w:t>
            </w:r>
          </w:p>
        </w:tc>
        <w:tc>
          <w:tcPr>
            <w:tcW w:w="444" w:type="dxa"/>
            <w:tcBorders>
              <w:top w:val="single" w:sz="4" w:space="0" w:color="auto"/>
              <w:left w:val="nil"/>
              <w:bottom w:val="nil"/>
              <w:right w:val="single" w:sz="4" w:space="0" w:color="auto"/>
            </w:tcBorders>
            <w:noWrap/>
            <w:vAlign w:val="center"/>
            <w:hideMark/>
          </w:tcPr>
          <w:p w14:paraId="780D452D"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3023CAF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0.32</w:t>
            </w:r>
          </w:p>
        </w:tc>
        <w:tc>
          <w:tcPr>
            <w:tcW w:w="1134" w:type="dxa"/>
            <w:noWrap/>
            <w:vAlign w:val="center"/>
            <w:hideMark/>
          </w:tcPr>
          <w:p w14:paraId="682EE4DC"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(0.23, 0.41)</w:t>
            </w:r>
          </w:p>
        </w:tc>
        <w:tc>
          <w:tcPr>
            <w:tcW w:w="708" w:type="dxa"/>
            <w:tcBorders>
              <w:top w:val="nil"/>
              <w:left w:val="nil"/>
              <w:bottom w:val="nil"/>
              <w:right w:val="single" w:sz="4" w:space="0" w:color="auto"/>
            </w:tcBorders>
            <w:noWrap/>
            <w:vAlign w:val="center"/>
            <w:hideMark/>
          </w:tcPr>
          <w:p w14:paraId="6A0EB86A"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21.3%</w:t>
            </w:r>
          </w:p>
        </w:tc>
        <w:tc>
          <w:tcPr>
            <w:tcW w:w="567" w:type="dxa"/>
            <w:tcBorders>
              <w:top w:val="nil"/>
              <w:left w:val="single" w:sz="4" w:space="0" w:color="auto"/>
              <w:bottom w:val="nil"/>
              <w:right w:val="nil"/>
            </w:tcBorders>
            <w:noWrap/>
            <w:vAlign w:val="center"/>
            <w:hideMark/>
          </w:tcPr>
          <w:p w14:paraId="51C5BB4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0.73</w:t>
            </w:r>
          </w:p>
        </w:tc>
        <w:tc>
          <w:tcPr>
            <w:tcW w:w="1134" w:type="dxa"/>
            <w:noWrap/>
            <w:vAlign w:val="center"/>
            <w:hideMark/>
          </w:tcPr>
          <w:p w14:paraId="29AFA8C2"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(0.54, 0.93)</w:t>
            </w:r>
          </w:p>
        </w:tc>
        <w:tc>
          <w:tcPr>
            <w:tcW w:w="709" w:type="dxa"/>
            <w:tcBorders>
              <w:top w:val="nil"/>
              <w:left w:val="nil"/>
              <w:bottom w:val="nil"/>
              <w:right w:val="single" w:sz="4" w:space="0" w:color="auto"/>
            </w:tcBorders>
            <w:noWrap/>
            <w:vAlign w:val="center"/>
            <w:hideMark/>
          </w:tcPr>
          <w:p w14:paraId="52E9D2E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17.7%</w:t>
            </w:r>
          </w:p>
        </w:tc>
        <w:tc>
          <w:tcPr>
            <w:tcW w:w="567" w:type="dxa"/>
            <w:tcBorders>
              <w:top w:val="nil"/>
              <w:left w:val="single" w:sz="4" w:space="0" w:color="auto"/>
              <w:bottom w:val="nil"/>
              <w:right w:val="nil"/>
            </w:tcBorders>
            <w:noWrap/>
            <w:vAlign w:val="center"/>
            <w:hideMark/>
          </w:tcPr>
          <w:p w14:paraId="6F4C92C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0.46</w:t>
            </w:r>
          </w:p>
        </w:tc>
        <w:tc>
          <w:tcPr>
            <w:tcW w:w="1134" w:type="dxa"/>
            <w:noWrap/>
            <w:vAlign w:val="center"/>
            <w:hideMark/>
          </w:tcPr>
          <w:p w14:paraId="67A7B23C"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(0.18, 0.75)</w:t>
            </w:r>
          </w:p>
        </w:tc>
        <w:tc>
          <w:tcPr>
            <w:tcW w:w="709" w:type="dxa"/>
            <w:tcBorders>
              <w:top w:val="nil"/>
              <w:left w:val="nil"/>
              <w:bottom w:val="nil"/>
              <w:right w:val="single" w:sz="4" w:space="0" w:color="auto"/>
            </w:tcBorders>
            <w:noWrap/>
            <w:vAlign w:val="center"/>
            <w:hideMark/>
          </w:tcPr>
          <w:p w14:paraId="276D8ED3"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14.2%</w:t>
            </w:r>
          </w:p>
        </w:tc>
        <w:tc>
          <w:tcPr>
            <w:tcW w:w="567" w:type="dxa"/>
            <w:tcBorders>
              <w:top w:val="nil"/>
              <w:left w:val="single" w:sz="4" w:space="0" w:color="auto"/>
              <w:bottom w:val="nil"/>
              <w:right w:val="nil"/>
            </w:tcBorders>
            <w:noWrap/>
            <w:vAlign w:val="center"/>
            <w:hideMark/>
          </w:tcPr>
          <w:p w14:paraId="310D0520"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0.37</w:t>
            </w:r>
          </w:p>
        </w:tc>
        <w:tc>
          <w:tcPr>
            <w:tcW w:w="1134" w:type="dxa"/>
            <w:noWrap/>
            <w:vAlign w:val="center"/>
            <w:hideMark/>
          </w:tcPr>
          <w:p w14:paraId="5B8A799C"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(0.19, 0.54)</w:t>
            </w:r>
          </w:p>
        </w:tc>
        <w:tc>
          <w:tcPr>
            <w:tcW w:w="709" w:type="dxa"/>
            <w:noWrap/>
            <w:vAlign w:val="center"/>
            <w:hideMark/>
          </w:tcPr>
          <w:p w14:paraId="6A683F7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81.2%</w:t>
            </w:r>
          </w:p>
        </w:tc>
      </w:tr>
      <w:tr w:rsidR="00B74658" w14:paraId="32034DCC"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0F08AC72"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5ACC3C59"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6833FF3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nil"/>
              <w:right w:val="nil"/>
            </w:tcBorders>
            <w:noWrap/>
            <w:vAlign w:val="center"/>
            <w:hideMark/>
          </w:tcPr>
          <w:p w14:paraId="2DD3D05B"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0.31</w:t>
            </w:r>
          </w:p>
        </w:tc>
        <w:tc>
          <w:tcPr>
            <w:tcW w:w="1134" w:type="dxa"/>
            <w:noWrap/>
            <w:vAlign w:val="center"/>
            <w:hideMark/>
          </w:tcPr>
          <w:p w14:paraId="31ECFCF0"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(0.21, 0.42)</w:t>
            </w:r>
          </w:p>
        </w:tc>
        <w:tc>
          <w:tcPr>
            <w:tcW w:w="708" w:type="dxa"/>
            <w:tcBorders>
              <w:top w:val="nil"/>
              <w:left w:val="nil"/>
              <w:bottom w:val="nil"/>
              <w:right w:val="single" w:sz="4" w:space="0" w:color="auto"/>
            </w:tcBorders>
            <w:noWrap/>
            <w:vAlign w:val="center"/>
            <w:hideMark/>
          </w:tcPr>
          <w:p w14:paraId="6BB060C5"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38.2%</w:t>
            </w:r>
          </w:p>
        </w:tc>
        <w:tc>
          <w:tcPr>
            <w:tcW w:w="567" w:type="dxa"/>
            <w:tcBorders>
              <w:top w:val="nil"/>
              <w:left w:val="single" w:sz="4" w:space="0" w:color="auto"/>
              <w:bottom w:val="nil"/>
              <w:right w:val="nil"/>
            </w:tcBorders>
            <w:noWrap/>
            <w:vAlign w:val="center"/>
            <w:hideMark/>
          </w:tcPr>
          <w:p w14:paraId="687D60B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0.73</w:t>
            </w:r>
          </w:p>
        </w:tc>
        <w:tc>
          <w:tcPr>
            <w:tcW w:w="1134" w:type="dxa"/>
            <w:noWrap/>
            <w:vAlign w:val="center"/>
            <w:hideMark/>
          </w:tcPr>
          <w:p w14:paraId="2CF570E8"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(0.54, 0.93)</w:t>
            </w:r>
          </w:p>
        </w:tc>
        <w:tc>
          <w:tcPr>
            <w:tcW w:w="709" w:type="dxa"/>
            <w:tcBorders>
              <w:top w:val="nil"/>
              <w:left w:val="nil"/>
              <w:bottom w:val="nil"/>
              <w:right w:val="single" w:sz="4" w:space="0" w:color="auto"/>
            </w:tcBorders>
            <w:noWrap/>
            <w:vAlign w:val="center"/>
            <w:hideMark/>
          </w:tcPr>
          <w:p w14:paraId="5EF92EE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33.8%</w:t>
            </w:r>
          </w:p>
        </w:tc>
        <w:tc>
          <w:tcPr>
            <w:tcW w:w="567" w:type="dxa"/>
            <w:tcBorders>
              <w:top w:val="nil"/>
              <w:left w:val="single" w:sz="4" w:space="0" w:color="auto"/>
              <w:bottom w:val="nil"/>
              <w:right w:val="nil"/>
            </w:tcBorders>
            <w:noWrap/>
            <w:vAlign w:val="center"/>
            <w:hideMark/>
          </w:tcPr>
          <w:p w14:paraId="188822DD"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0.49</w:t>
            </w:r>
          </w:p>
        </w:tc>
        <w:tc>
          <w:tcPr>
            <w:tcW w:w="1134" w:type="dxa"/>
            <w:noWrap/>
            <w:vAlign w:val="center"/>
            <w:hideMark/>
          </w:tcPr>
          <w:p w14:paraId="39AE49CF"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(0.19, 0.78)</w:t>
            </w:r>
          </w:p>
        </w:tc>
        <w:tc>
          <w:tcPr>
            <w:tcW w:w="709" w:type="dxa"/>
            <w:tcBorders>
              <w:top w:val="nil"/>
              <w:left w:val="nil"/>
              <w:bottom w:val="nil"/>
              <w:right w:val="single" w:sz="4" w:space="0" w:color="auto"/>
            </w:tcBorders>
            <w:noWrap/>
            <w:vAlign w:val="center"/>
            <w:hideMark/>
          </w:tcPr>
          <w:p w14:paraId="6E5255A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28.1%</w:t>
            </w:r>
          </w:p>
        </w:tc>
        <w:tc>
          <w:tcPr>
            <w:tcW w:w="567" w:type="dxa"/>
            <w:tcBorders>
              <w:top w:val="nil"/>
              <w:left w:val="single" w:sz="4" w:space="0" w:color="auto"/>
              <w:bottom w:val="nil"/>
              <w:right w:val="nil"/>
            </w:tcBorders>
            <w:noWrap/>
            <w:vAlign w:val="center"/>
            <w:hideMark/>
          </w:tcPr>
          <w:p w14:paraId="67ACBE22"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0.50</w:t>
            </w:r>
          </w:p>
        </w:tc>
        <w:tc>
          <w:tcPr>
            <w:tcW w:w="1134" w:type="dxa"/>
            <w:noWrap/>
            <w:vAlign w:val="center"/>
            <w:hideMark/>
          </w:tcPr>
          <w:p w14:paraId="69070FDE"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(0.21, 0.79)</w:t>
            </w:r>
          </w:p>
        </w:tc>
        <w:tc>
          <w:tcPr>
            <w:tcW w:w="709" w:type="dxa"/>
            <w:noWrap/>
            <w:vAlign w:val="center"/>
            <w:hideMark/>
          </w:tcPr>
          <w:p w14:paraId="4EF8989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85.7%</w:t>
            </w:r>
          </w:p>
        </w:tc>
      </w:tr>
      <w:tr w:rsidR="00B74658" w14:paraId="001F4469"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43CC5CA2"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val="restart"/>
            <w:tcBorders>
              <w:top w:val="single" w:sz="4" w:space="0" w:color="auto"/>
              <w:left w:val="nil"/>
              <w:right w:val="nil"/>
            </w:tcBorders>
            <w:noWrap/>
            <w:vAlign w:val="center"/>
            <w:hideMark/>
          </w:tcPr>
          <w:p w14:paraId="120A7E4F"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Medium</w:t>
            </w:r>
          </w:p>
        </w:tc>
        <w:tc>
          <w:tcPr>
            <w:tcW w:w="444" w:type="dxa"/>
            <w:tcBorders>
              <w:top w:val="single" w:sz="4" w:space="0" w:color="auto"/>
              <w:left w:val="nil"/>
              <w:bottom w:val="nil"/>
              <w:right w:val="single" w:sz="4" w:space="0" w:color="auto"/>
            </w:tcBorders>
            <w:noWrap/>
            <w:vAlign w:val="center"/>
            <w:hideMark/>
          </w:tcPr>
          <w:p w14:paraId="379C4CCE"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MA</w:t>
            </w:r>
          </w:p>
        </w:tc>
        <w:tc>
          <w:tcPr>
            <w:tcW w:w="528" w:type="dxa"/>
            <w:tcBorders>
              <w:top w:val="nil"/>
              <w:left w:val="single" w:sz="4" w:space="0" w:color="auto"/>
              <w:bottom w:val="nil"/>
              <w:right w:val="nil"/>
            </w:tcBorders>
            <w:noWrap/>
            <w:vAlign w:val="center"/>
            <w:hideMark/>
          </w:tcPr>
          <w:p w14:paraId="023B45D8"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0.02</w:t>
            </w:r>
          </w:p>
        </w:tc>
        <w:tc>
          <w:tcPr>
            <w:tcW w:w="1134" w:type="dxa"/>
            <w:noWrap/>
            <w:vAlign w:val="center"/>
            <w:hideMark/>
          </w:tcPr>
          <w:p w14:paraId="36F31C20"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 0.12)</w:t>
            </w:r>
          </w:p>
        </w:tc>
        <w:tc>
          <w:tcPr>
            <w:tcW w:w="708" w:type="dxa"/>
            <w:tcBorders>
              <w:top w:val="nil"/>
              <w:left w:val="nil"/>
              <w:bottom w:val="nil"/>
              <w:right w:val="single" w:sz="4" w:space="0" w:color="auto"/>
            </w:tcBorders>
            <w:noWrap/>
            <w:vAlign w:val="center"/>
            <w:hideMark/>
          </w:tcPr>
          <w:p w14:paraId="278ADB5C"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25.3%</w:t>
            </w:r>
          </w:p>
        </w:tc>
        <w:tc>
          <w:tcPr>
            <w:tcW w:w="567" w:type="dxa"/>
            <w:tcBorders>
              <w:top w:val="nil"/>
              <w:left w:val="single" w:sz="4" w:space="0" w:color="auto"/>
              <w:bottom w:val="nil"/>
              <w:right w:val="nil"/>
            </w:tcBorders>
            <w:noWrap/>
            <w:vAlign w:val="center"/>
            <w:hideMark/>
          </w:tcPr>
          <w:p w14:paraId="150E19D6"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0.41</w:t>
            </w:r>
          </w:p>
        </w:tc>
        <w:tc>
          <w:tcPr>
            <w:tcW w:w="1134" w:type="dxa"/>
            <w:noWrap/>
            <w:vAlign w:val="center"/>
            <w:hideMark/>
          </w:tcPr>
          <w:p w14:paraId="5901F02C"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(0.19, 0.62)</w:t>
            </w:r>
          </w:p>
        </w:tc>
        <w:tc>
          <w:tcPr>
            <w:tcW w:w="709" w:type="dxa"/>
            <w:tcBorders>
              <w:top w:val="nil"/>
              <w:left w:val="nil"/>
              <w:bottom w:val="nil"/>
              <w:right w:val="single" w:sz="4" w:space="0" w:color="auto"/>
            </w:tcBorders>
            <w:noWrap/>
            <w:vAlign w:val="center"/>
            <w:hideMark/>
          </w:tcPr>
          <w:p w14:paraId="3A67A220"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16.6%</w:t>
            </w:r>
          </w:p>
        </w:tc>
        <w:tc>
          <w:tcPr>
            <w:tcW w:w="567" w:type="dxa"/>
            <w:tcBorders>
              <w:top w:val="nil"/>
              <w:left w:val="single" w:sz="4" w:space="0" w:color="auto"/>
              <w:bottom w:val="nil"/>
              <w:right w:val="nil"/>
            </w:tcBorders>
            <w:noWrap/>
            <w:vAlign w:val="center"/>
            <w:hideMark/>
          </w:tcPr>
          <w:p w14:paraId="34C36CCF"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noWrap/>
            <w:vAlign w:val="center"/>
            <w:hideMark/>
          </w:tcPr>
          <w:p w14:paraId="48320A1B"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(-0.33, 0.26)</w:t>
            </w:r>
          </w:p>
        </w:tc>
        <w:tc>
          <w:tcPr>
            <w:tcW w:w="709" w:type="dxa"/>
            <w:tcBorders>
              <w:top w:val="nil"/>
              <w:left w:val="nil"/>
              <w:bottom w:val="nil"/>
              <w:right w:val="single" w:sz="4" w:space="0" w:color="auto"/>
            </w:tcBorders>
            <w:noWrap/>
            <w:vAlign w:val="center"/>
            <w:hideMark/>
          </w:tcPr>
          <w:p w14:paraId="42BA7D8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12.2%</w:t>
            </w:r>
          </w:p>
        </w:tc>
        <w:tc>
          <w:tcPr>
            <w:tcW w:w="567" w:type="dxa"/>
            <w:tcBorders>
              <w:top w:val="nil"/>
              <w:left w:val="single" w:sz="4" w:space="0" w:color="auto"/>
              <w:bottom w:val="nil"/>
              <w:right w:val="nil"/>
            </w:tcBorders>
            <w:noWrap/>
            <w:vAlign w:val="center"/>
            <w:hideMark/>
          </w:tcPr>
          <w:p w14:paraId="076EAE70"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0.07</w:t>
            </w:r>
          </w:p>
        </w:tc>
        <w:tc>
          <w:tcPr>
            <w:tcW w:w="1134" w:type="dxa"/>
            <w:noWrap/>
            <w:vAlign w:val="center"/>
            <w:hideMark/>
          </w:tcPr>
          <w:p w14:paraId="3C26C4F9"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(-0.06, 0.21)</w:t>
            </w:r>
          </w:p>
        </w:tc>
        <w:tc>
          <w:tcPr>
            <w:tcW w:w="709" w:type="dxa"/>
            <w:noWrap/>
            <w:vAlign w:val="center"/>
            <w:hideMark/>
          </w:tcPr>
          <w:p w14:paraId="365F4678"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65.8%</w:t>
            </w:r>
          </w:p>
        </w:tc>
      </w:tr>
      <w:tr w:rsidR="00B74658" w14:paraId="0A8257BA" w14:textId="77777777" w:rsidTr="00F5229F">
        <w:trPr>
          <w:trHeight w:val="215"/>
        </w:trPr>
        <w:tc>
          <w:tcPr>
            <w:tcW w:w="0" w:type="auto"/>
            <w:vMerge/>
            <w:tcBorders>
              <w:top w:val="single" w:sz="4" w:space="0" w:color="auto"/>
              <w:left w:val="nil"/>
              <w:bottom w:val="single" w:sz="4" w:space="0" w:color="auto"/>
              <w:right w:val="nil"/>
            </w:tcBorders>
            <w:vAlign w:val="center"/>
            <w:hideMark/>
          </w:tcPr>
          <w:p w14:paraId="4A902951" w14:textId="77777777" w:rsidR="00B74658" w:rsidRDefault="00B74658">
            <w:pPr>
              <w:spacing w:line="276" w:lineRule="auto"/>
              <w:jc w:val="left"/>
              <w:rPr>
                <w:rFonts w:ascii="Calibri" w:eastAsia="Times New Roman" w:hAnsi="Calibri" w:cs="Calibri"/>
                <w:color w:val="000000"/>
                <w:sz w:val="18"/>
                <w:szCs w:val="18"/>
                <w:lang w:val="en-GB" w:eastAsia="en-GB"/>
              </w:rPr>
            </w:pPr>
          </w:p>
        </w:tc>
        <w:tc>
          <w:tcPr>
            <w:tcW w:w="1013" w:type="dxa"/>
            <w:vMerge/>
            <w:tcBorders>
              <w:left w:val="nil"/>
              <w:bottom w:val="single" w:sz="4" w:space="0" w:color="auto"/>
              <w:right w:val="nil"/>
            </w:tcBorders>
            <w:noWrap/>
            <w:vAlign w:val="center"/>
            <w:hideMark/>
          </w:tcPr>
          <w:p w14:paraId="178DD29C" w14:textId="77777777" w:rsidR="00B74658" w:rsidRDefault="00B74658">
            <w:pPr>
              <w:rPr>
                <w:rFonts w:ascii="Calibri" w:eastAsia="Times New Roman" w:hAnsi="Calibri" w:cs="Calibri"/>
                <w:color w:val="000000"/>
                <w:sz w:val="18"/>
                <w:szCs w:val="18"/>
                <w:lang w:val="en-GB" w:eastAsia="en-GB"/>
              </w:rPr>
            </w:pPr>
          </w:p>
        </w:tc>
        <w:tc>
          <w:tcPr>
            <w:tcW w:w="444" w:type="dxa"/>
            <w:tcBorders>
              <w:top w:val="nil"/>
              <w:left w:val="nil"/>
              <w:bottom w:val="single" w:sz="4" w:space="0" w:color="auto"/>
              <w:right w:val="single" w:sz="4" w:space="0" w:color="auto"/>
            </w:tcBorders>
            <w:noWrap/>
            <w:vAlign w:val="center"/>
            <w:hideMark/>
          </w:tcPr>
          <w:p w14:paraId="36D565C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SA</w:t>
            </w:r>
          </w:p>
        </w:tc>
        <w:tc>
          <w:tcPr>
            <w:tcW w:w="528" w:type="dxa"/>
            <w:tcBorders>
              <w:top w:val="nil"/>
              <w:left w:val="single" w:sz="4" w:space="0" w:color="auto"/>
              <w:bottom w:val="single" w:sz="4" w:space="0" w:color="auto"/>
              <w:right w:val="nil"/>
            </w:tcBorders>
            <w:noWrap/>
            <w:vAlign w:val="center"/>
            <w:hideMark/>
          </w:tcPr>
          <w:p w14:paraId="33AEDC49"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0.00</w:t>
            </w:r>
          </w:p>
        </w:tc>
        <w:tc>
          <w:tcPr>
            <w:tcW w:w="1134" w:type="dxa"/>
            <w:tcBorders>
              <w:top w:val="nil"/>
              <w:left w:val="nil"/>
              <w:bottom w:val="single" w:sz="4" w:space="0" w:color="auto"/>
              <w:right w:val="nil"/>
            </w:tcBorders>
            <w:noWrap/>
            <w:vAlign w:val="center"/>
            <w:hideMark/>
          </w:tcPr>
          <w:p w14:paraId="5645B78E"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(-0.10, 0.10)</w:t>
            </w:r>
          </w:p>
        </w:tc>
        <w:tc>
          <w:tcPr>
            <w:tcW w:w="708" w:type="dxa"/>
            <w:tcBorders>
              <w:top w:val="nil"/>
              <w:left w:val="nil"/>
              <w:bottom w:val="single" w:sz="4" w:space="0" w:color="auto"/>
              <w:right w:val="single" w:sz="4" w:space="0" w:color="auto"/>
            </w:tcBorders>
            <w:noWrap/>
            <w:vAlign w:val="center"/>
            <w:hideMark/>
          </w:tcPr>
          <w:p w14:paraId="4B9FB706"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39.7%</w:t>
            </w:r>
          </w:p>
        </w:tc>
        <w:tc>
          <w:tcPr>
            <w:tcW w:w="567" w:type="dxa"/>
            <w:tcBorders>
              <w:top w:val="nil"/>
              <w:left w:val="single" w:sz="4" w:space="0" w:color="auto"/>
              <w:bottom w:val="single" w:sz="4" w:space="0" w:color="auto"/>
              <w:right w:val="nil"/>
            </w:tcBorders>
            <w:noWrap/>
            <w:vAlign w:val="center"/>
            <w:hideMark/>
          </w:tcPr>
          <w:p w14:paraId="493D455C"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0.40</w:t>
            </w:r>
          </w:p>
        </w:tc>
        <w:tc>
          <w:tcPr>
            <w:tcW w:w="1134" w:type="dxa"/>
            <w:tcBorders>
              <w:top w:val="nil"/>
              <w:left w:val="nil"/>
              <w:bottom w:val="single" w:sz="4" w:space="0" w:color="auto"/>
              <w:right w:val="nil"/>
            </w:tcBorders>
            <w:noWrap/>
            <w:vAlign w:val="center"/>
            <w:hideMark/>
          </w:tcPr>
          <w:p w14:paraId="4E9AAEA4"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(0.18, 0.62)</w:t>
            </w:r>
          </w:p>
        </w:tc>
        <w:tc>
          <w:tcPr>
            <w:tcW w:w="709" w:type="dxa"/>
            <w:tcBorders>
              <w:top w:val="nil"/>
              <w:left w:val="nil"/>
              <w:bottom w:val="single" w:sz="4" w:space="0" w:color="auto"/>
              <w:right w:val="single" w:sz="4" w:space="0" w:color="auto"/>
            </w:tcBorders>
            <w:noWrap/>
            <w:vAlign w:val="center"/>
            <w:hideMark/>
          </w:tcPr>
          <w:p w14:paraId="1F2AA9B7"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33.1%</w:t>
            </w:r>
          </w:p>
        </w:tc>
        <w:tc>
          <w:tcPr>
            <w:tcW w:w="567" w:type="dxa"/>
            <w:tcBorders>
              <w:top w:val="nil"/>
              <w:left w:val="single" w:sz="4" w:space="0" w:color="auto"/>
              <w:bottom w:val="single" w:sz="4" w:space="0" w:color="auto"/>
              <w:right w:val="nil"/>
            </w:tcBorders>
            <w:noWrap/>
            <w:vAlign w:val="center"/>
            <w:hideMark/>
          </w:tcPr>
          <w:p w14:paraId="42BD86AE"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0.04</w:t>
            </w:r>
          </w:p>
        </w:tc>
        <w:tc>
          <w:tcPr>
            <w:tcW w:w="1134" w:type="dxa"/>
            <w:tcBorders>
              <w:top w:val="nil"/>
              <w:left w:val="nil"/>
              <w:bottom w:val="single" w:sz="4" w:space="0" w:color="auto"/>
              <w:right w:val="nil"/>
            </w:tcBorders>
            <w:noWrap/>
            <w:vAlign w:val="center"/>
            <w:hideMark/>
          </w:tcPr>
          <w:p w14:paraId="7BE499B3"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(-0.26, 0.35)</w:t>
            </w:r>
          </w:p>
        </w:tc>
        <w:tc>
          <w:tcPr>
            <w:tcW w:w="709" w:type="dxa"/>
            <w:tcBorders>
              <w:top w:val="nil"/>
              <w:left w:val="nil"/>
              <w:bottom w:val="single" w:sz="4" w:space="0" w:color="auto"/>
              <w:right w:val="single" w:sz="4" w:space="0" w:color="auto"/>
            </w:tcBorders>
            <w:noWrap/>
            <w:vAlign w:val="center"/>
            <w:hideMark/>
          </w:tcPr>
          <w:p w14:paraId="0BE955BA"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27.2%</w:t>
            </w:r>
          </w:p>
        </w:tc>
        <w:tc>
          <w:tcPr>
            <w:tcW w:w="567" w:type="dxa"/>
            <w:tcBorders>
              <w:top w:val="nil"/>
              <w:left w:val="single" w:sz="4" w:space="0" w:color="auto"/>
              <w:bottom w:val="single" w:sz="4" w:space="0" w:color="auto"/>
              <w:right w:val="nil"/>
            </w:tcBorders>
            <w:noWrap/>
            <w:vAlign w:val="center"/>
            <w:hideMark/>
          </w:tcPr>
          <w:p w14:paraId="118A710D" w14:textId="77777777" w:rsidR="00B74658" w:rsidRDefault="00B74658">
            <w:pPr>
              <w:spacing w:line="276" w:lineRule="auto"/>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0.14</w:t>
            </w:r>
          </w:p>
        </w:tc>
        <w:tc>
          <w:tcPr>
            <w:tcW w:w="1134" w:type="dxa"/>
            <w:tcBorders>
              <w:top w:val="nil"/>
              <w:left w:val="nil"/>
              <w:bottom w:val="single" w:sz="4" w:space="0" w:color="auto"/>
              <w:right w:val="nil"/>
            </w:tcBorders>
            <w:noWrap/>
            <w:vAlign w:val="center"/>
            <w:hideMark/>
          </w:tcPr>
          <w:p w14:paraId="071FC735" w14:textId="77777777" w:rsidR="00B74658" w:rsidRDefault="00B74658">
            <w:pPr>
              <w:spacing w:line="276" w:lineRule="auto"/>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(-0.12, 0.41)</w:t>
            </w:r>
          </w:p>
        </w:tc>
        <w:tc>
          <w:tcPr>
            <w:tcW w:w="709" w:type="dxa"/>
            <w:tcBorders>
              <w:top w:val="nil"/>
              <w:left w:val="nil"/>
              <w:bottom w:val="single" w:sz="4" w:space="0" w:color="auto"/>
              <w:right w:val="nil"/>
            </w:tcBorders>
            <w:noWrap/>
            <w:vAlign w:val="center"/>
            <w:hideMark/>
          </w:tcPr>
          <w:p w14:paraId="6929FAAB" w14:textId="77777777" w:rsidR="00B74658" w:rsidRDefault="00B74658">
            <w:pPr>
              <w:spacing w:line="276" w:lineRule="auto"/>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81.5%</w:t>
            </w:r>
          </w:p>
        </w:tc>
      </w:tr>
      <w:tr w:rsidR="00F021B0" w14:paraId="63EFBFDB" w14:textId="77777777" w:rsidTr="00F021B0">
        <w:trPr>
          <w:trHeight w:val="215"/>
        </w:trPr>
        <w:tc>
          <w:tcPr>
            <w:tcW w:w="12328" w:type="dxa"/>
            <w:gridSpan w:val="15"/>
            <w:tcBorders>
              <w:top w:val="single" w:sz="4" w:space="0" w:color="auto"/>
              <w:left w:val="nil"/>
              <w:bottom w:val="nil"/>
              <w:right w:val="nil"/>
            </w:tcBorders>
            <w:noWrap/>
            <w:vAlign w:val="center"/>
            <w:hideMark/>
          </w:tcPr>
          <w:p w14:paraId="5E391BE8" w14:textId="69173426" w:rsidR="006D6710" w:rsidRDefault="006D6710" w:rsidP="006D6710">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E-DII scores per year (for maternal age) or change in the category in comparison with the reference category. Models were adjusted for the seven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seven cohorts for the main analysis (MA): age, educational level, parity, ethnicity/birthplace, pre-pregnancy body mass index (BMI), smoking status during pregnancy, and alcohol consumption during pregnancy; and adjusted for the nine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three cohorts for the sensitivity analysis (SA).</w:t>
            </w:r>
          </w:p>
          <w:p w14:paraId="0AE6FFAE" w14:textId="77777777" w:rsidR="00F021B0" w:rsidRDefault="006D6710" w:rsidP="006D6710">
            <w:pPr>
              <w:spacing w:line="276" w:lineRule="auto"/>
              <w:jc w:val="both"/>
              <w:rPr>
                <w:rFonts w:eastAsia="Times New Roman"/>
                <w:sz w:val="16"/>
                <w:szCs w:val="16"/>
                <w:lang w:val="en-GB" w:eastAsia="en-GB"/>
              </w:rPr>
            </w:pPr>
            <w:r>
              <w:rPr>
                <w:rFonts w:eastAsia="Times New Roman"/>
                <w:color w:val="000000"/>
                <w:sz w:val="16"/>
                <w:szCs w:val="16"/>
                <w:lang w:val="en-GB" w:eastAsia="en-GB"/>
              </w:rPr>
              <w:t xml:space="preserve">RC, recruitment criteria: </w:t>
            </w:r>
            <w:r>
              <w:rPr>
                <w:rFonts w:eastAsia="Times New Roman"/>
                <w:sz w:val="16"/>
                <w:szCs w:val="16"/>
                <w:lang w:val="en-GB" w:eastAsia="en-GB"/>
              </w:rPr>
              <w:t>“White Irish” was a recruitment criterion for Lifeways.</w:t>
            </w:r>
          </w:p>
          <w:p w14:paraId="456C39BC" w14:textId="5AEB6D48" w:rsidR="002E7ED7" w:rsidRDefault="002E7ED7" w:rsidP="006D6710">
            <w:pPr>
              <w:spacing w:line="276" w:lineRule="auto"/>
              <w:jc w:val="both"/>
              <w:rPr>
                <w:rFonts w:eastAsia="Times New Roman"/>
                <w:color w:val="000000"/>
                <w:sz w:val="16"/>
                <w:szCs w:val="16"/>
                <w:lang w:val="en-GB" w:eastAsia="en-GB"/>
              </w:rPr>
            </w:pPr>
            <w:proofErr w:type="spellStart"/>
            <w:r w:rsidRPr="002E7ED7">
              <w:rPr>
                <w:rFonts w:eastAsia="Times New Roman"/>
                <w:color w:val="000000"/>
                <w:sz w:val="16"/>
                <w:szCs w:val="16"/>
                <w:vertAlign w:val="superscript"/>
                <w:lang w:val="en-GB" w:eastAsia="en-GB"/>
              </w:rPr>
              <w:t>a</w:t>
            </w:r>
            <w:r>
              <w:rPr>
                <w:rFonts w:eastAsia="Times New Roman"/>
                <w:color w:val="000000"/>
                <w:sz w:val="16"/>
                <w:szCs w:val="16"/>
                <w:lang w:val="en-GB" w:eastAsia="en-GB"/>
              </w:rPr>
              <w:t>Main</w:t>
            </w:r>
            <w:proofErr w:type="spellEnd"/>
            <w:r>
              <w:rPr>
                <w:rFonts w:eastAsia="Times New Roman"/>
                <w:color w:val="000000"/>
                <w:sz w:val="16"/>
                <w:szCs w:val="16"/>
                <w:lang w:val="en-GB" w:eastAsia="en-GB"/>
              </w:rPr>
              <w:t xml:space="preserve"> analysis (MA) a</w:t>
            </w:r>
            <w:r w:rsidRPr="002E7ED7">
              <w:rPr>
                <w:rFonts w:eastAsia="Times New Roman"/>
                <w:color w:val="000000"/>
                <w:sz w:val="16"/>
                <w:szCs w:val="16"/>
                <w:lang w:val="en-GB" w:eastAsia="en-GB"/>
              </w:rPr>
              <w:t>dditionally</w:t>
            </w:r>
            <w:r>
              <w:rPr>
                <w:rFonts w:eastAsia="Times New Roman"/>
                <w:color w:val="000000"/>
                <w:sz w:val="16"/>
                <w:szCs w:val="16"/>
                <w:lang w:val="en-GB" w:eastAsia="en-GB"/>
              </w:rPr>
              <w:t xml:space="preserve"> adjusted for household income (available for ALSPAC, EDEN, Generation R, and Lifeways only)</w:t>
            </w:r>
            <w:r>
              <w:rPr>
                <w:rFonts w:eastAsia="Times New Roman"/>
                <w:color w:val="000000"/>
                <w:sz w:val="16"/>
                <w:szCs w:val="16"/>
                <w:lang w:eastAsia="en-GB"/>
              </w:rPr>
              <w:t xml:space="preserve"> </w:t>
            </w:r>
            <w:r>
              <w:rPr>
                <w:rFonts w:eastAsia="Times New Roman"/>
                <w:color w:val="000000"/>
                <w:sz w:val="16"/>
                <w:szCs w:val="16"/>
                <w:lang w:val="en-GB" w:eastAsia="en-GB"/>
              </w:rPr>
              <w:t>and for physical activity level during pregnancy (not available for Generation R only), respectively.</w:t>
            </w:r>
          </w:p>
        </w:tc>
      </w:tr>
    </w:tbl>
    <w:p w14:paraId="7FA0173C" w14:textId="77777777" w:rsidR="00F021B0" w:rsidRDefault="00F021B0" w:rsidP="00F021B0">
      <w:pPr>
        <w:pStyle w:val="NoSpacing"/>
        <w:rPr>
          <w:color w:val="FF0000"/>
        </w:rPr>
      </w:pPr>
    </w:p>
    <w:p w14:paraId="3BA86177" w14:textId="77777777" w:rsidR="00F021B0" w:rsidRDefault="00F021B0" w:rsidP="00F021B0">
      <w:pPr>
        <w:pStyle w:val="NoSpacing"/>
        <w:rPr>
          <w:color w:val="FF0000"/>
        </w:rPr>
      </w:pPr>
    </w:p>
    <w:p w14:paraId="45AFF80F" w14:textId="77777777" w:rsidR="00F021B0" w:rsidRDefault="00F021B0" w:rsidP="00F021B0">
      <w:pPr>
        <w:pStyle w:val="NoSpacing"/>
        <w:rPr>
          <w:color w:val="FF0000"/>
        </w:rPr>
      </w:pPr>
    </w:p>
    <w:p w14:paraId="0ACC2B86" w14:textId="77777777" w:rsidR="00F021B0" w:rsidRDefault="00F021B0" w:rsidP="00F021B0">
      <w:pPr>
        <w:pStyle w:val="NoSpacing"/>
        <w:rPr>
          <w:color w:val="FF0000"/>
        </w:rPr>
      </w:pPr>
    </w:p>
    <w:p w14:paraId="55AE5F83" w14:textId="77777777" w:rsidR="00F021B0" w:rsidRDefault="00F021B0" w:rsidP="00F021B0">
      <w:pPr>
        <w:pStyle w:val="NoSpacing"/>
        <w:rPr>
          <w:color w:val="FF0000"/>
        </w:rPr>
      </w:pPr>
    </w:p>
    <w:p w14:paraId="1D930866" w14:textId="77777777" w:rsidR="00F021B0" w:rsidRDefault="00F021B0" w:rsidP="00F021B0">
      <w:pPr>
        <w:pStyle w:val="NoSpacing"/>
        <w:rPr>
          <w:color w:val="FF0000"/>
        </w:rPr>
      </w:pPr>
    </w:p>
    <w:p w14:paraId="2CB5E26F" w14:textId="77777777" w:rsidR="00F021B0" w:rsidRDefault="00F021B0" w:rsidP="00F021B0">
      <w:pPr>
        <w:pStyle w:val="NoSpacing"/>
        <w:rPr>
          <w:color w:val="FF0000"/>
        </w:rPr>
      </w:pPr>
    </w:p>
    <w:p w14:paraId="33469756" w14:textId="77777777" w:rsidR="004A6FB0" w:rsidRDefault="004A6FB0" w:rsidP="00F021B0">
      <w:pPr>
        <w:pStyle w:val="NoSpacing"/>
        <w:rPr>
          <w:color w:val="FF0000"/>
        </w:rPr>
        <w:sectPr w:rsidR="004A6FB0" w:rsidSect="003C4937">
          <w:pgSz w:w="16838" w:h="11906" w:orient="landscape"/>
          <w:pgMar w:top="1417" w:right="1417" w:bottom="1417" w:left="1417" w:header="708" w:footer="708" w:gutter="0"/>
          <w:cols w:space="708"/>
          <w:docGrid w:linePitch="360"/>
        </w:sectPr>
      </w:pPr>
    </w:p>
    <w:p w14:paraId="36288BDE" w14:textId="57BFC07B" w:rsidR="004A6FB0" w:rsidRDefault="004A6FB0" w:rsidP="004A6FB0">
      <w:pPr>
        <w:pStyle w:val="NoSpacing"/>
        <w:spacing w:line="276" w:lineRule="auto"/>
        <w:rPr>
          <w:sz w:val="22"/>
          <w:szCs w:val="22"/>
        </w:rPr>
      </w:pPr>
      <w:r>
        <w:rPr>
          <w:rFonts w:eastAsia="Times New Roman"/>
          <w:b/>
          <w:color w:val="0070C0"/>
          <w:sz w:val="22"/>
          <w:szCs w:val="22"/>
          <w:lang w:eastAsia="en-GB"/>
        </w:rPr>
        <w:lastRenderedPageBreak/>
        <w:t>Supplemental table S</w:t>
      </w:r>
      <w:proofErr w:type="gramStart"/>
      <w:r w:rsidR="00556DE1">
        <w:rPr>
          <w:rFonts w:eastAsia="Times New Roman"/>
          <w:b/>
          <w:color w:val="0070C0"/>
          <w:sz w:val="22"/>
          <w:szCs w:val="22"/>
          <w:lang w:eastAsia="en-GB"/>
        </w:rPr>
        <w:t>5</w:t>
      </w:r>
      <w:r>
        <w:rPr>
          <w:rFonts w:eastAsia="Times New Roman"/>
          <w:b/>
          <w:color w:val="0070C0"/>
          <w:sz w:val="22"/>
          <w:szCs w:val="22"/>
          <w:lang w:eastAsia="en-GB"/>
        </w:rPr>
        <w:t>:</w:t>
      </w:r>
      <w:r>
        <w:rPr>
          <w:sz w:val="22"/>
          <w:szCs w:val="22"/>
        </w:rPr>
        <w:t>Comparison</w:t>
      </w:r>
      <w:proofErr w:type="gramEnd"/>
      <w:r>
        <w:rPr>
          <w:sz w:val="22"/>
          <w:szCs w:val="22"/>
        </w:rPr>
        <w:t xml:space="preserve"> of the results between the main analysis (MA), and the sensitivity analysis (SA) </w:t>
      </w:r>
      <w:r w:rsidR="00226F20">
        <w:rPr>
          <w:sz w:val="22"/>
          <w:szCs w:val="22"/>
        </w:rPr>
        <w:t xml:space="preserve">with adjustment </w:t>
      </w:r>
      <w:r w:rsidR="00527C93">
        <w:rPr>
          <w:sz w:val="22"/>
          <w:szCs w:val="22"/>
        </w:rPr>
        <w:t xml:space="preserve">for </w:t>
      </w:r>
      <w:r w:rsidR="00226F20">
        <w:rPr>
          <w:sz w:val="22"/>
          <w:szCs w:val="22"/>
        </w:rPr>
        <w:t xml:space="preserve">energy intake for the DASH models and exclusion of </w:t>
      </w:r>
      <w:r w:rsidR="00F57139">
        <w:rPr>
          <w:sz w:val="22"/>
          <w:szCs w:val="22"/>
        </w:rPr>
        <w:t>participants with implausible energy intake (&lt;500 or &gt;3,500 kcal/day)</w:t>
      </w:r>
      <w:r w:rsidR="00A72D07">
        <w:rPr>
          <w:sz w:val="22"/>
          <w:szCs w:val="22"/>
        </w:rPr>
        <w:t>.</w:t>
      </w:r>
    </w:p>
    <w:tbl>
      <w:tblPr>
        <w:tblW w:w="11902" w:type="dxa"/>
        <w:tblCellMar>
          <w:left w:w="28" w:type="dxa"/>
          <w:right w:w="28" w:type="dxa"/>
        </w:tblCellMar>
        <w:tblLook w:val="04A0" w:firstRow="1" w:lastRow="0" w:firstColumn="1" w:lastColumn="0" w:noHBand="0" w:noVBand="1"/>
      </w:tblPr>
      <w:tblGrid>
        <w:gridCol w:w="1074"/>
        <w:gridCol w:w="1173"/>
        <w:gridCol w:w="475"/>
        <w:gridCol w:w="534"/>
        <w:gridCol w:w="1134"/>
        <w:gridCol w:w="567"/>
        <w:gridCol w:w="567"/>
        <w:gridCol w:w="1134"/>
        <w:gridCol w:w="708"/>
        <w:gridCol w:w="567"/>
        <w:gridCol w:w="1134"/>
        <w:gridCol w:w="567"/>
        <w:gridCol w:w="567"/>
        <w:gridCol w:w="1134"/>
        <w:gridCol w:w="567"/>
      </w:tblGrid>
      <w:tr w:rsidR="00B26FBC" w:rsidRPr="00131D8F" w14:paraId="256FAA37" w14:textId="77777777" w:rsidTr="009E36E6">
        <w:trPr>
          <w:trHeight w:val="270"/>
        </w:trPr>
        <w:tc>
          <w:tcPr>
            <w:tcW w:w="1074" w:type="dxa"/>
            <w:shd w:val="clear" w:color="auto" w:fill="auto"/>
            <w:noWrap/>
            <w:vAlign w:val="center"/>
          </w:tcPr>
          <w:p w14:paraId="7BF1D11D" w14:textId="77777777" w:rsidR="00B26FBC" w:rsidRPr="00131D8F" w:rsidRDefault="00B26FBC" w:rsidP="00131D8F">
            <w:pPr>
              <w:jc w:val="left"/>
              <w:rPr>
                <w:rFonts w:eastAsia="Times New Roman"/>
                <w:sz w:val="24"/>
                <w:szCs w:val="24"/>
                <w:lang w:val="en-GB" w:eastAsia="en-GB"/>
              </w:rPr>
            </w:pPr>
          </w:p>
        </w:tc>
        <w:tc>
          <w:tcPr>
            <w:tcW w:w="1173" w:type="dxa"/>
            <w:shd w:val="clear" w:color="auto" w:fill="auto"/>
            <w:noWrap/>
            <w:vAlign w:val="center"/>
          </w:tcPr>
          <w:p w14:paraId="06F030F3" w14:textId="77777777" w:rsidR="00B26FBC" w:rsidRPr="00131D8F" w:rsidRDefault="00B26FBC" w:rsidP="00131D8F">
            <w:pPr>
              <w:jc w:val="left"/>
              <w:rPr>
                <w:rFonts w:eastAsia="Times New Roman"/>
                <w:sz w:val="20"/>
                <w:szCs w:val="20"/>
                <w:lang w:val="en-GB" w:eastAsia="en-GB"/>
              </w:rPr>
            </w:pPr>
          </w:p>
        </w:tc>
        <w:tc>
          <w:tcPr>
            <w:tcW w:w="475" w:type="dxa"/>
            <w:tcBorders>
              <w:right w:val="single" w:sz="4" w:space="0" w:color="auto"/>
            </w:tcBorders>
            <w:shd w:val="clear" w:color="auto" w:fill="auto"/>
            <w:noWrap/>
            <w:vAlign w:val="center"/>
          </w:tcPr>
          <w:p w14:paraId="47928942" w14:textId="77777777" w:rsidR="00B26FBC" w:rsidRPr="00131D8F" w:rsidRDefault="00B26FBC" w:rsidP="00131D8F">
            <w:pPr>
              <w:jc w:val="left"/>
              <w:rPr>
                <w:rFonts w:eastAsia="Times New Roman"/>
                <w:sz w:val="20"/>
                <w:szCs w:val="20"/>
                <w:lang w:val="en-GB" w:eastAsia="en-GB"/>
              </w:rPr>
            </w:pPr>
          </w:p>
        </w:tc>
        <w:tc>
          <w:tcPr>
            <w:tcW w:w="2235" w:type="dxa"/>
            <w:gridSpan w:val="3"/>
            <w:tcBorders>
              <w:left w:val="single" w:sz="4" w:space="0" w:color="auto"/>
              <w:right w:val="single" w:sz="4" w:space="0" w:color="auto"/>
            </w:tcBorders>
            <w:shd w:val="clear" w:color="auto" w:fill="auto"/>
            <w:noWrap/>
            <w:vAlign w:val="center"/>
          </w:tcPr>
          <w:p w14:paraId="46240E29" w14:textId="77777777"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 xml:space="preserve">Overall associations with </w:t>
            </w:r>
          </w:p>
          <w:p w14:paraId="56F8FC34" w14:textId="6419A035"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pre-pregnancy DASH</w:t>
            </w:r>
          </w:p>
        </w:tc>
        <w:tc>
          <w:tcPr>
            <w:tcW w:w="2409" w:type="dxa"/>
            <w:gridSpan w:val="3"/>
            <w:tcBorders>
              <w:left w:val="single" w:sz="4" w:space="0" w:color="auto"/>
              <w:right w:val="single" w:sz="4" w:space="0" w:color="auto"/>
            </w:tcBorders>
            <w:shd w:val="clear" w:color="auto" w:fill="auto"/>
            <w:noWrap/>
            <w:vAlign w:val="center"/>
          </w:tcPr>
          <w:p w14:paraId="54B7A6D3" w14:textId="4319C9BA"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Overall associations with pregnancy DASH</w:t>
            </w:r>
          </w:p>
        </w:tc>
        <w:tc>
          <w:tcPr>
            <w:tcW w:w="2268" w:type="dxa"/>
            <w:gridSpan w:val="3"/>
            <w:tcBorders>
              <w:left w:val="single" w:sz="4" w:space="0" w:color="auto"/>
              <w:right w:val="single" w:sz="4" w:space="0" w:color="auto"/>
            </w:tcBorders>
            <w:shd w:val="clear" w:color="auto" w:fill="auto"/>
            <w:noWrap/>
            <w:vAlign w:val="center"/>
          </w:tcPr>
          <w:p w14:paraId="6B9843D1" w14:textId="77777777"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 xml:space="preserve">Overall associations with </w:t>
            </w:r>
          </w:p>
          <w:p w14:paraId="1E5F3764" w14:textId="5BF1F030"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pre-pregnancy E-DII</w:t>
            </w:r>
          </w:p>
        </w:tc>
        <w:tc>
          <w:tcPr>
            <w:tcW w:w="2268" w:type="dxa"/>
            <w:gridSpan w:val="3"/>
            <w:tcBorders>
              <w:left w:val="single" w:sz="4" w:space="0" w:color="auto"/>
            </w:tcBorders>
            <w:shd w:val="clear" w:color="auto" w:fill="auto"/>
            <w:noWrap/>
            <w:vAlign w:val="center"/>
          </w:tcPr>
          <w:p w14:paraId="465AD379" w14:textId="0613440F" w:rsidR="00B26FBC" w:rsidRPr="009E36E6" w:rsidRDefault="00B26FBC" w:rsidP="00131D8F">
            <w:pPr>
              <w:rPr>
                <w:rFonts w:ascii="Calibri" w:eastAsia="Times New Roman" w:hAnsi="Calibri" w:cs="Calibri"/>
                <w:b/>
                <w:sz w:val="20"/>
                <w:szCs w:val="20"/>
                <w:lang w:val="en-GB" w:eastAsia="en-GB"/>
              </w:rPr>
            </w:pPr>
            <w:r w:rsidRPr="009E36E6">
              <w:rPr>
                <w:rFonts w:ascii="Calibri" w:eastAsia="Times New Roman" w:hAnsi="Calibri" w:cs="Calibri"/>
                <w:b/>
                <w:sz w:val="20"/>
                <w:szCs w:val="20"/>
                <w:lang w:val="en-GB" w:eastAsia="en-GB"/>
              </w:rPr>
              <w:t>Overall associations with pregnancy E-DII</w:t>
            </w:r>
          </w:p>
        </w:tc>
      </w:tr>
      <w:tr w:rsidR="009E36E6" w:rsidRPr="00131D8F" w14:paraId="22BE3518" w14:textId="77777777" w:rsidTr="009E36E6">
        <w:trPr>
          <w:trHeight w:val="270"/>
        </w:trPr>
        <w:tc>
          <w:tcPr>
            <w:tcW w:w="1074" w:type="dxa"/>
            <w:tcBorders>
              <w:bottom w:val="single" w:sz="4" w:space="0" w:color="auto"/>
            </w:tcBorders>
            <w:shd w:val="clear" w:color="auto" w:fill="auto"/>
            <w:noWrap/>
            <w:vAlign w:val="center"/>
            <w:hideMark/>
          </w:tcPr>
          <w:p w14:paraId="147DE076" w14:textId="77777777" w:rsidR="00131D8F" w:rsidRPr="00131D8F" w:rsidRDefault="00131D8F" w:rsidP="00131D8F">
            <w:pPr>
              <w:jc w:val="left"/>
              <w:rPr>
                <w:rFonts w:eastAsia="Times New Roman"/>
                <w:sz w:val="24"/>
                <w:szCs w:val="24"/>
                <w:lang w:val="en-GB" w:eastAsia="en-GB"/>
              </w:rPr>
            </w:pPr>
          </w:p>
        </w:tc>
        <w:tc>
          <w:tcPr>
            <w:tcW w:w="1173" w:type="dxa"/>
            <w:tcBorders>
              <w:bottom w:val="single" w:sz="4" w:space="0" w:color="auto"/>
            </w:tcBorders>
            <w:shd w:val="clear" w:color="auto" w:fill="auto"/>
            <w:noWrap/>
            <w:vAlign w:val="center"/>
            <w:hideMark/>
          </w:tcPr>
          <w:p w14:paraId="3C18C6B0" w14:textId="77777777" w:rsidR="00131D8F" w:rsidRPr="00131D8F" w:rsidRDefault="00131D8F"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1D8B3424" w14:textId="77777777" w:rsidR="00131D8F" w:rsidRPr="00131D8F" w:rsidRDefault="00131D8F" w:rsidP="00131D8F">
            <w:pPr>
              <w:jc w:val="left"/>
              <w:rPr>
                <w:rFonts w:eastAsia="Times New Roman"/>
                <w:sz w:val="20"/>
                <w:szCs w:val="20"/>
                <w:lang w:val="en-GB" w:eastAsia="en-GB"/>
              </w:rPr>
            </w:pPr>
          </w:p>
        </w:tc>
        <w:tc>
          <w:tcPr>
            <w:tcW w:w="534" w:type="dxa"/>
            <w:tcBorders>
              <w:left w:val="single" w:sz="4" w:space="0" w:color="auto"/>
              <w:bottom w:val="single" w:sz="4" w:space="0" w:color="auto"/>
            </w:tcBorders>
            <w:shd w:val="clear" w:color="auto" w:fill="auto"/>
            <w:noWrap/>
            <w:vAlign w:val="center"/>
            <w:hideMark/>
          </w:tcPr>
          <w:p w14:paraId="005C19A1" w14:textId="77777777" w:rsidR="00131D8F" w:rsidRPr="00131D8F" w:rsidRDefault="00131D8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β</w:t>
            </w:r>
          </w:p>
        </w:tc>
        <w:tc>
          <w:tcPr>
            <w:tcW w:w="1134" w:type="dxa"/>
            <w:tcBorders>
              <w:bottom w:val="single" w:sz="4" w:space="0" w:color="auto"/>
            </w:tcBorders>
            <w:shd w:val="clear" w:color="auto" w:fill="auto"/>
            <w:noWrap/>
            <w:vAlign w:val="center"/>
            <w:hideMark/>
          </w:tcPr>
          <w:p w14:paraId="684FF314" w14:textId="77777777" w:rsidR="00131D8F" w:rsidRPr="00131D8F" w:rsidRDefault="00131D8F" w:rsidP="00487EF5">
            <w:pPr>
              <w:jc w:val="lef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(95% CI)</w:t>
            </w:r>
          </w:p>
        </w:tc>
        <w:tc>
          <w:tcPr>
            <w:tcW w:w="567" w:type="dxa"/>
            <w:tcBorders>
              <w:bottom w:val="single" w:sz="4" w:space="0" w:color="auto"/>
              <w:right w:val="single" w:sz="4" w:space="0" w:color="auto"/>
            </w:tcBorders>
            <w:shd w:val="clear" w:color="auto" w:fill="auto"/>
            <w:noWrap/>
            <w:vAlign w:val="center"/>
            <w:hideMark/>
          </w:tcPr>
          <w:p w14:paraId="5E2D2BF1" w14:textId="77777777" w:rsidR="00131D8F" w:rsidRPr="00131D8F" w:rsidRDefault="00131D8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I</w:t>
            </w:r>
            <w:r w:rsidRPr="00131D8F">
              <w:rPr>
                <w:rFonts w:ascii="Calibri" w:eastAsia="Times New Roman" w:hAnsi="Calibri" w:cs="Calibri"/>
                <w:sz w:val="18"/>
                <w:szCs w:val="18"/>
                <w:vertAlign w:val="superscript"/>
                <w:lang w:val="en-GB" w:eastAsia="en-GB"/>
              </w:rPr>
              <w:t>2</w:t>
            </w:r>
            <w:r w:rsidRPr="00131D8F">
              <w:rPr>
                <w:rFonts w:ascii="Calibri" w:eastAsia="Times New Roman" w:hAnsi="Calibri" w:cs="Calibri"/>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05FBB770" w14:textId="77777777" w:rsidR="00131D8F" w:rsidRPr="00131D8F" w:rsidRDefault="00131D8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β</w:t>
            </w:r>
          </w:p>
        </w:tc>
        <w:tc>
          <w:tcPr>
            <w:tcW w:w="1134" w:type="dxa"/>
            <w:tcBorders>
              <w:bottom w:val="single" w:sz="4" w:space="0" w:color="auto"/>
            </w:tcBorders>
            <w:shd w:val="clear" w:color="auto" w:fill="auto"/>
            <w:noWrap/>
            <w:vAlign w:val="center"/>
            <w:hideMark/>
          </w:tcPr>
          <w:p w14:paraId="24B8F2F8" w14:textId="77777777" w:rsidR="00131D8F" w:rsidRPr="00131D8F" w:rsidRDefault="00131D8F" w:rsidP="00487EF5">
            <w:pPr>
              <w:jc w:val="lef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(95% CI)</w:t>
            </w:r>
          </w:p>
        </w:tc>
        <w:tc>
          <w:tcPr>
            <w:tcW w:w="708" w:type="dxa"/>
            <w:tcBorders>
              <w:bottom w:val="single" w:sz="4" w:space="0" w:color="auto"/>
              <w:right w:val="single" w:sz="4" w:space="0" w:color="auto"/>
            </w:tcBorders>
            <w:shd w:val="clear" w:color="auto" w:fill="auto"/>
            <w:noWrap/>
            <w:vAlign w:val="center"/>
            <w:hideMark/>
          </w:tcPr>
          <w:p w14:paraId="664DDF2B" w14:textId="77777777" w:rsidR="00131D8F" w:rsidRPr="00131D8F" w:rsidRDefault="00131D8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I</w:t>
            </w:r>
            <w:r w:rsidRPr="00131D8F">
              <w:rPr>
                <w:rFonts w:ascii="Calibri" w:eastAsia="Times New Roman" w:hAnsi="Calibri" w:cs="Calibri"/>
                <w:sz w:val="18"/>
                <w:szCs w:val="18"/>
                <w:vertAlign w:val="superscript"/>
                <w:lang w:val="en-GB" w:eastAsia="en-GB"/>
              </w:rPr>
              <w:t>2</w:t>
            </w:r>
            <w:r w:rsidRPr="00131D8F">
              <w:rPr>
                <w:rFonts w:ascii="Calibri" w:eastAsia="Times New Roman" w:hAnsi="Calibri" w:cs="Calibri"/>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547774F9" w14:textId="77777777" w:rsidR="00131D8F" w:rsidRPr="00131D8F" w:rsidRDefault="00131D8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β</w:t>
            </w:r>
          </w:p>
        </w:tc>
        <w:tc>
          <w:tcPr>
            <w:tcW w:w="1134" w:type="dxa"/>
            <w:tcBorders>
              <w:bottom w:val="single" w:sz="4" w:space="0" w:color="auto"/>
            </w:tcBorders>
            <w:shd w:val="clear" w:color="auto" w:fill="auto"/>
            <w:noWrap/>
            <w:vAlign w:val="center"/>
            <w:hideMark/>
          </w:tcPr>
          <w:p w14:paraId="05CF5412" w14:textId="77777777" w:rsidR="00131D8F" w:rsidRPr="00131D8F" w:rsidRDefault="00131D8F" w:rsidP="00487EF5">
            <w:pPr>
              <w:jc w:val="lef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(95% CI)</w:t>
            </w:r>
          </w:p>
        </w:tc>
        <w:tc>
          <w:tcPr>
            <w:tcW w:w="567" w:type="dxa"/>
            <w:tcBorders>
              <w:bottom w:val="single" w:sz="4" w:space="0" w:color="auto"/>
              <w:right w:val="single" w:sz="4" w:space="0" w:color="auto"/>
            </w:tcBorders>
            <w:shd w:val="clear" w:color="auto" w:fill="auto"/>
            <w:noWrap/>
            <w:vAlign w:val="center"/>
            <w:hideMark/>
          </w:tcPr>
          <w:p w14:paraId="7DD8E152" w14:textId="77777777" w:rsidR="00131D8F" w:rsidRPr="00131D8F" w:rsidRDefault="00131D8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I</w:t>
            </w:r>
            <w:r w:rsidRPr="00131D8F">
              <w:rPr>
                <w:rFonts w:ascii="Calibri" w:eastAsia="Times New Roman" w:hAnsi="Calibri" w:cs="Calibri"/>
                <w:sz w:val="18"/>
                <w:szCs w:val="18"/>
                <w:vertAlign w:val="superscript"/>
                <w:lang w:val="en-GB" w:eastAsia="en-GB"/>
              </w:rPr>
              <w:t>2</w:t>
            </w:r>
            <w:r w:rsidRPr="00131D8F">
              <w:rPr>
                <w:rFonts w:ascii="Calibri" w:eastAsia="Times New Roman" w:hAnsi="Calibri" w:cs="Calibri"/>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0448FC21" w14:textId="77777777" w:rsidR="00131D8F" w:rsidRPr="00131D8F" w:rsidRDefault="00131D8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β</w:t>
            </w:r>
          </w:p>
        </w:tc>
        <w:tc>
          <w:tcPr>
            <w:tcW w:w="1134" w:type="dxa"/>
            <w:tcBorders>
              <w:bottom w:val="single" w:sz="4" w:space="0" w:color="auto"/>
            </w:tcBorders>
            <w:shd w:val="clear" w:color="auto" w:fill="auto"/>
            <w:noWrap/>
            <w:vAlign w:val="center"/>
            <w:hideMark/>
          </w:tcPr>
          <w:p w14:paraId="7EFD42D8" w14:textId="77777777" w:rsidR="00131D8F" w:rsidRPr="00131D8F" w:rsidRDefault="00131D8F" w:rsidP="00487EF5">
            <w:pPr>
              <w:jc w:val="lef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(95% CI)</w:t>
            </w:r>
          </w:p>
        </w:tc>
        <w:tc>
          <w:tcPr>
            <w:tcW w:w="567" w:type="dxa"/>
            <w:tcBorders>
              <w:bottom w:val="single" w:sz="4" w:space="0" w:color="auto"/>
            </w:tcBorders>
            <w:shd w:val="clear" w:color="auto" w:fill="auto"/>
            <w:noWrap/>
            <w:vAlign w:val="center"/>
            <w:hideMark/>
          </w:tcPr>
          <w:p w14:paraId="54FA55E6" w14:textId="77777777" w:rsidR="00131D8F" w:rsidRPr="00131D8F" w:rsidRDefault="00131D8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I</w:t>
            </w:r>
            <w:r w:rsidRPr="00131D8F">
              <w:rPr>
                <w:rFonts w:ascii="Calibri" w:eastAsia="Times New Roman" w:hAnsi="Calibri" w:cs="Calibri"/>
                <w:sz w:val="18"/>
                <w:szCs w:val="18"/>
                <w:vertAlign w:val="superscript"/>
                <w:lang w:val="en-GB" w:eastAsia="en-GB"/>
              </w:rPr>
              <w:t>2</w:t>
            </w:r>
            <w:r w:rsidRPr="00131D8F">
              <w:rPr>
                <w:rFonts w:ascii="Calibri" w:eastAsia="Times New Roman" w:hAnsi="Calibri" w:cs="Calibri"/>
                <w:sz w:val="18"/>
                <w:szCs w:val="18"/>
                <w:lang w:val="en-GB" w:eastAsia="en-GB"/>
              </w:rPr>
              <w:t>(%)</w:t>
            </w:r>
          </w:p>
        </w:tc>
      </w:tr>
      <w:tr w:rsidR="00B74658" w:rsidRPr="00131D8F" w14:paraId="1CA0933E" w14:textId="77777777" w:rsidTr="009E36E6">
        <w:trPr>
          <w:trHeight w:val="240"/>
        </w:trPr>
        <w:tc>
          <w:tcPr>
            <w:tcW w:w="11902" w:type="dxa"/>
            <w:gridSpan w:val="15"/>
            <w:tcBorders>
              <w:top w:val="single" w:sz="4" w:space="0" w:color="auto"/>
              <w:bottom w:val="single" w:sz="4" w:space="0" w:color="auto"/>
            </w:tcBorders>
            <w:shd w:val="clear" w:color="auto" w:fill="D9D9D9" w:themeFill="background1" w:themeFillShade="D9"/>
            <w:noWrap/>
            <w:vAlign w:val="center"/>
            <w:hideMark/>
          </w:tcPr>
          <w:p w14:paraId="760799B4" w14:textId="526B59DB" w:rsidR="00B74658" w:rsidRPr="00131D8F" w:rsidRDefault="00B74658" w:rsidP="00B74658">
            <w:pPr>
              <w:jc w:val="left"/>
              <w:rPr>
                <w:rFonts w:ascii="Calibri" w:eastAsia="Times New Roman" w:hAnsi="Calibri" w:cs="Calibri"/>
                <w:sz w:val="18"/>
                <w:szCs w:val="18"/>
                <w:lang w:val="en-GB" w:eastAsia="en-GB"/>
              </w:rPr>
            </w:pPr>
            <w:r>
              <w:rPr>
                <w:rFonts w:ascii="Calibri" w:eastAsia="Times New Roman" w:hAnsi="Calibri" w:cs="Calibri"/>
                <w:b/>
                <w:color w:val="000000"/>
                <w:sz w:val="20"/>
                <w:szCs w:val="20"/>
                <w:lang w:val="en-GB" w:eastAsia="en-GB"/>
              </w:rPr>
              <w:t xml:space="preserve">Maternal sociodemographic </w:t>
            </w:r>
            <w:r w:rsidR="00F37692">
              <w:rPr>
                <w:rFonts w:ascii="Calibri" w:eastAsia="Times New Roman" w:hAnsi="Calibri" w:cs="Calibri"/>
                <w:b/>
                <w:color w:val="000000"/>
                <w:sz w:val="20"/>
                <w:szCs w:val="20"/>
                <w:lang w:val="en-GB" w:eastAsia="en-GB"/>
              </w:rPr>
              <w:t>predic</w:t>
            </w:r>
            <w:r>
              <w:rPr>
                <w:rFonts w:ascii="Calibri" w:eastAsia="Times New Roman" w:hAnsi="Calibri" w:cs="Calibri"/>
                <w:b/>
                <w:color w:val="000000"/>
                <w:sz w:val="20"/>
                <w:szCs w:val="20"/>
                <w:lang w:val="en-GB" w:eastAsia="en-GB"/>
              </w:rPr>
              <w:t>tors</w:t>
            </w:r>
          </w:p>
        </w:tc>
      </w:tr>
      <w:tr w:rsidR="009E36E6" w:rsidRPr="00131D8F" w14:paraId="2573D9F7" w14:textId="77777777" w:rsidTr="009E36E6">
        <w:trPr>
          <w:trHeight w:val="240"/>
        </w:trPr>
        <w:tc>
          <w:tcPr>
            <w:tcW w:w="1074" w:type="dxa"/>
            <w:vMerge w:val="restart"/>
            <w:tcBorders>
              <w:top w:val="single" w:sz="4" w:space="0" w:color="auto"/>
            </w:tcBorders>
            <w:shd w:val="clear" w:color="auto" w:fill="auto"/>
            <w:noWrap/>
            <w:hideMark/>
          </w:tcPr>
          <w:p w14:paraId="573D66F2" w14:textId="65D1A561" w:rsidR="00F5229F" w:rsidRPr="00131D8F" w:rsidRDefault="00F5229F" w:rsidP="009D46B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Age</w:t>
            </w:r>
            <w:r>
              <w:rPr>
                <w:rFonts w:ascii="Calibri" w:eastAsia="Times New Roman" w:hAnsi="Calibri" w:cs="Calibri"/>
                <w:color w:val="000000"/>
                <w:sz w:val="18"/>
                <w:szCs w:val="18"/>
                <w:lang w:val="en-GB" w:eastAsia="en-GB"/>
              </w:rPr>
              <w:t xml:space="preserve"> (Years)</w:t>
            </w:r>
          </w:p>
        </w:tc>
        <w:tc>
          <w:tcPr>
            <w:tcW w:w="1173" w:type="dxa"/>
            <w:tcBorders>
              <w:top w:val="single" w:sz="4" w:space="0" w:color="auto"/>
            </w:tcBorders>
            <w:shd w:val="clear" w:color="auto" w:fill="auto"/>
            <w:noWrap/>
            <w:vAlign w:val="center"/>
            <w:hideMark/>
          </w:tcPr>
          <w:p w14:paraId="69A33F4F" w14:textId="77777777" w:rsidR="00F5229F" w:rsidRPr="00131D8F" w:rsidRDefault="00F5229F" w:rsidP="009D46BA">
            <w:pPr>
              <w:jc w:val="left"/>
              <w:rPr>
                <w:rFonts w:ascii="Calibri" w:eastAsia="Times New Roman" w:hAnsi="Calibri" w:cs="Calibri"/>
                <w:sz w:val="18"/>
                <w:szCs w:val="18"/>
                <w:lang w:val="en-GB" w:eastAsia="en-GB"/>
              </w:rPr>
            </w:pPr>
          </w:p>
        </w:tc>
        <w:tc>
          <w:tcPr>
            <w:tcW w:w="475" w:type="dxa"/>
            <w:tcBorders>
              <w:top w:val="single" w:sz="4" w:space="0" w:color="auto"/>
              <w:right w:val="single" w:sz="4" w:space="0" w:color="auto"/>
            </w:tcBorders>
            <w:shd w:val="clear" w:color="auto" w:fill="auto"/>
            <w:noWrap/>
            <w:vAlign w:val="center"/>
            <w:hideMark/>
          </w:tcPr>
          <w:p w14:paraId="36C09B08"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top w:val="single" w:sz="4" w:space="0" w:color="auto"/>
              <w:left w:val="single" w:sz="4" w:space="0" w:color="auto"/>
            </w:tcBorders>
            <w:shd w:val="clear" w:color="auto" w:fill="auto"/>
            <w:noWrap/>
            <w:vAlign w:val="center"/>
            <w:hideMark/>
          </w:tcPr>
          <w:p w14:paraId="160859E0"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tcBorders>
              <w:top w:val="single" w:sz="4" w:space="0" w:color="auto"/>
            </w:tcBorders>
            <w:shd w:val="clear" w:color="auto" w:fill="auto"/>
            <w:noWrap/>
            <w:vAlign w:val="center"/>
            <w:hideMark/>
          </w:tcPr>
          <w:p w14:paraId="37C14193" w14:textId="2472868A"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w:t>
            </w:r>
          </w:p>
        </w:tc>
        <w:tc>
          <w:tcPr>
            <w:tcW w:w="567" w:type="dxa"/>
            <w:tcBorders>
              <w:top w:val="single" w:sz="4" w:space="0" w:color="auto"/>
              <w:right w:val="single" w:sz="4" w:space="0" w:color="auto"/>
            </w:tcBorders>
            <w:shd w:val="clear" w:color="auto" w:fill="auto"/>
            <w:noWrap/>
            <w:vAlign w:val="center"/>
            <w:hideMark/>
          </w:tcPr>
          <w:p w14:paraId="0BFD6944"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top w:val="single" w:sz="4" w:space="0" w:color="auto"/>
              <w:left w:val="single" w:sz="4" w:space="0" w:color="auto"/>
            </w:tcBorders>
            <w:shd w:val="clear" w:color="auto" w:fill="auto"/>
            <w:noWrap/>
            <w:vAlign w:val="center"/>
            <w:hideMark/>
          </w:tcPr>
          <w:p w14:paraId="13BC066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tcBorders>
              <w:top w:val="single" w:sz="4" w:space="0" w:color="auto"/>
            </w:tcBorders>
            <w:shd w:val="clear" w:color="auto" w:fill="auto"/>
            <w:noWrap/>
            <w:vAlign w:val="center"/>
            <w:hideMark/>
          </w:tcPr>
          <w:p w14:paraId="76636A09" w14:textId="615FF1E5"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w:t>
            </w:r>
          </w:p>
        </w:tc>
        <w:tc>
          <w:tcPr>
            <w:tcW w:w="708" w:type="dxa"/>
            <w:tcBorders>
              <w:top w:val="single" w:sz="4" w:space="0" w:color="auto"/>
              <w:right w:val="single" w:sz="4" w:space="0" w:color="auto"/>
            </w:tcBorders>
            <w:shd w:val="clear" w:color="auto" w:fill="auto"/>
            <w:noWrap/>
            <w:vAlign w:val="center"/>
            <w:hideMark/>
          </w:tcPr>
          <w:p w14:paraId="5EE7C1FF"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67.4</w:t>
            </w:r>
          </w:p>
        </w:tc>
        <w:tc>
          <w:tcPr>
            <w:tcW w:w="567" w:type="dxa"/>
            <w:tcBorders>
              <w:top w:val="single" w:sz="4" w:space="0" w:color="auto"/>
              <w:left w:val="single" w:sz="4" w:space="0" w:color="auto"/>
            </w:tcBorders>
            <w:shd w:val="clear" w:color="auto" w:fill="auto"/>
            <w:noWrap/>
            <w:vAlign w:val="center"/>
            <w:hideMark/>
          </w:tcPr>
          <w:p w14:paraId="7C0A2EAC"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-0.08</w:t>
            </w:r>
          </w:p>
        </w:tc>
        <w:tc>
          <w:tcPr>
            <w:tcW w:w="1134" w:type="dxa"/>
            <w:tcBorders>
              <w:top w:val="single" w:sz="4" w:space="0" w:color="auto"/>
            </w:tcBorders>
            <w:shd w:val="clear" w:color="auto" w:fill="auto"/>
            <w:noWrap/>
            <w:vAlign w:val="center"/>
            <w:hideMark/>
          </w:tcPr>
          <w:p w14:paraId="71D1F210" w14:textId="1889B4D0"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-0.06</w:t>
            </w:r>
            <w:r>
              <w:rPr>
                <w:rFonts w:ascii="Calibri" w:eastAsia="Times New Roman" w:hAnsi="Calibri" w:cs="Calibri"/>
                <w:sz w:val="18"/>
                <w:szCs w:val="18"/>
                <w:lang w:val="en-GB" w:eastAsia="en-GB"/>
              </w:rPr>
              <w:t>)</w:t>
            </w:r>
          </w:p>
        </w:tc>
        <w:tc>
          <w:tcPr>
            <w:tcW w:w="567" w:type="dxa"/>
            <w:tcBorders>
              <w:top w:val="single" w:sz="4" w:space="0" w:color="auto"/>
              <w:right w:val="single" w:sz="4" w:space="0" w:color="auto"/>
            </w:tcBorders>
            <w:shd w:val="clear" w:color="auto" w:fill="auto"/>
            <w:noWrap/>
            <w:vAlign w:val="center"/>
            <w:hideMark/>
          </w:tcPr>
          <w:p w14:paraId="1E4031F9"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top w:val="single" w:sz="4" w:space="0" w:color="auto"/>
              <w:left w:val="single" w:sz="4" w:space="0" w:color="auto"/>
            </w:tcBorders>
            <w:shd w:val="clear" w:color="auto" w:fill="auto"/>
            <w:noWrap/>
            <w:vAlign w:val="center"/>
            <w:hideMark/>
          </w:tcPr>
          <w:p w14:paraId="1FC9CF23"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-0.07</w:t>
            </w:r>
          </w:p>
        </w:tc>
        <w:tc>
          <w:tcPr>
            <w:tcW w:w="1134" w:type="dxa"/>
            <w:tcBorders>
              <w:top w:val="single" w:sz="4" w:space="0" w:color="auto"/>
            </w:tcBorders>
            <w:shd w:val="clear" w:color="auto" w:fill="auto"/>
            <w:noWrap/>
            <w:vAlign w:val="center"/>
            <w:hideMark/>
          </w:tcPr>
          <w:p w14:paraId="01411E28" w14:textId="44F7646E"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-0.05</w:t>
            </w:r>
            <w:r>
              <w:rPr>
                <w:rFonts w:ascii="Calibri" w:eastAsia="Times New Roman" w:hAnsi="Calibri" w:cs="Calibri"/>
                <w:sz w:val="18"/>
                <w:szCs w:val="18"/>
                <w:lang w:val="en-GB" w:eastAsia="en-GB"/>
              </w:rPr>
              <w:t>)</w:t>
            </w:r>
          </w:p>
        </w:tc>
        <w:tc>
          <w:tcPr>
            <w:tcW w:w="567" w:type="dxa"/>
            <w:tcBorders>
              <w:top w:val="single" w:sz="4" w:space="0" w:color="auto"/>
            </w:tcBorders>
            <w:shd w:val="clear" w:color="auto" w:fill="auto"/>
            <w:noWrap/>
            <w:vAlign w:val="center"/>
            <w:hideMark/>
          </w:tcPr>
          <w:p w14:paraId="3A2E8367"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87.1</w:t>
            </w:r>
          </w:p>
        </w:tc>
      </w:tr>
      <w:tr w:rsidR="004A6EC7" w:rsidRPr="00131D8F" w14:paraId="2357F1CE" w14:textId="77777777" w:rsidTr="004A6EC7">
        <w:trPr>
          <w:trHeight w:val="240"/>
        </w:trPr>
        <w:tc>
          <w:tcPr>
            <w:tcW w:w="1074" w:type="dxa"/>
            <w:vMerge/>
            <w:tcBorders>
              <w:bottom w:val="single" w:sz="4" w:space="0" w:color="auto"/>
            </w:tcBorders>
            <w:shd w:val="clear" w:color="auto" w:fill="auto"/>
            <w:noWrap/>
            <w:vAlign w:val="center"/>
            <w:hideMark/>
          </w:tcPr>
          <w:p w14:paraId="687DABF9" w14:textId="77777777" w:rsidR="00F5229F" w:rsidRPr="00131D8F" w:rsidRDefault="00F5229F" w:rsidP="00131D8F">
            <w:pPr>
              <w:rPr>
                <w:rFonts w:ascii="Calibri" w:eastAsia="Times New Roman" w:hAnsi="Calibri" w:cs="Calibri"/>
                <w:sz w:val="18"/>
                <w:szCs w:val="18"/>
                <w:lang w:val="en-GB" w:eastAsia="en-GB"/>
              </w:rPr>
            </w:pPr>
          </w:p>
        </w:tc>
        <w:tc>
          <w:tcPr>
            <w:tcW w:w="1173" w:type="dxa"/>
            <w:tcBorders>
              <w:bottom w:val="single" w:sz="4" w:space="0" w:color="auto"/>
            </w:tcBorders>
            <w:shd w:val="clear" w:color="auto" w:fill="auto"/>
            <w:noWrap/>
            <w:vAlign w:val="center"/>
            <w:hideMark/>
          </w:tcPr>
          <w:p w14:paraId="383B6818" w14:textId="77777777" w:rsidR="00F5229F" w:rsidRPr="00131D8F" w:rsidRDefault="00F5229F"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5A152521"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783E369B"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0.17</w:t>
            </w:r>
          </w:p>
        </w:tc>
        <w:tc>
          <w:tcPr>
            <w:tcW w:w="1134" w:type="dxa"/>
            <w:shd w:val="clear" w:color="auto" w:fill="auto"/>
            <w:noWrap/>
            <w:vAlign w:val="center"/>
            <w:hideMark/>
          </w:tcPr>
          <w:p w14:paraId="76F27E79" w14:textId="428FDF33"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FEAEAC8"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023DDA32"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0.17</w:t>
            </w:r>
          </w:p>
        </w:tc>
        <w:tc>
          <w:tcPr>
            <w:tcW w:w="1134" w:type="dxa"/>
            <w:shd w:val="clear" w:color="auto" w:fill="auto"/>
            <w:noWrap/>
            <w:vAlign w:val="center"/>
            <w:hideMark/>
          </w:tcPr>
          <w:p w14:paraId="00EA9749" w14:textId="3BA91A3A"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42BA807E"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57.3</w:t>
            </w:r>
          </w:p>
        </w:tc>
        <w:tc>
          <w:tcPr>
            <w:tcW w:w="567" w:type="dxa"/>
            <w:tcBorders>
              <w:left w:val="single" w:sz="4" w:space="0" w:color="auto"/>
            </w:tcBorders>
            <w:shd w:val="clear" w:color="auto" w:fill="auto"/>
            <w:noWrap/>
            <w:vAlign w:val="center"/>
            <w:hideMark/>
          </w:tcPr>
          <w:p w14:paraId="07E04BBA"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-0.08</w:t>
            </w:r>
          </w:p>
        </w:tc>
        <w:tc>
          <w:tcPr>
            <w:tcW w:w="1134" w:type="dxa"/>
            <w:shd w:val="clear" w:color="auto" w:fill="auto"/>
            <w:noWrap/>
            <w:vAlign w:val="center"/>
            <w:hideMark/>
          </w:tcPr>
          <w:p w14:paraId="3AE3FEDA" w14:textId="525EC3C8"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7B4B288"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4A31F43B"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-0.06</w:t>
            </w:r>
          </w:p>
        </w:tc>
        <w:tc>
          <w:tcPr>
            <w:tcW w:w="1134" w:type="dxa"/>
            <w:shd w:val="clear" w:color="auto" w:fill="auto"/>
            <w:noWrap/>
            <w:vAlign w:val="center"/>
            <w:hideMark/>
          </w:tcPr>
          <w:p w14:paraId="5944C878" w14:textId="07BEFCDD"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-0.05</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3ECB9676"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83.9</w:t>
            </w:r>
          </w:p>
        </w:tc>
      </w:tr>
      <w:tr w:rsidR="004A6EC7" w:rsidRPr="00131D8F" w14:paraId="3FA57B24" w14:textId="77777777" w:rsidTr="004A6EC7">
        <w:trPr>
          <w:trHeight w:val="240"/>
        </w:trPr>
        <w:tc>
          <w:tcPr>
            <w:tcW w:w="1074" w:type="dxa"/>
            <w:vMerge w:val="restart"/>
            <w:tcBorders>
              <w:top w:val="single" w:sz="4" w:space="0" w:color="auto"/>
            </w:tcBorders>
            <w:shd w:val="clear" w:color="auto" w:fill="auto"/>
            <w:noWrap/>
            <w:hideMark/>
          </w:tcPr>
          <w:p w14:paraId="7FE42381" w14:textId="3B9720B4" w:rsidR="00F5229F" w:rsidRPr="00131D8F" w:rsidRDefault="00F5229F" w:rsidP="009D46B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Educational level</w:t>
            </w:r>
            <w:r>
              <w:rPr>
                <w:rFonts w:ascii="Calibri" w:eastAsia="Times New Roman" w:hAnsi="Calibri" w:cs="Calibri"/>
                <w:color w:val="000000"/>
                <w:sz w:val="18"/>
                <w:szCs w:val="18"/>
                <w:lang w:val="en-GB" w:eastAsia="en-GB"/>
              </w:rPr>
              <w:t xml:space="preserve"> (High)</w:t>
            </w:r>
          </w:p>
        </w:tc>
        <w:tc>
          <w:tcPr>
            <w:tcW w:w="1173" w:type="dxa"/>
            <w:vMerge w:val="restart"/>
            <w:tcBorders>
              <w:top w:val="single" w:sz="4" w:space="0" w:color="auto"/>
            </w:tcBorders>
            <w:shd w:val="clear" w:color="auto" w:fill="auto"/>
            <w:noWrap/>
            <w:vAlign w:val="center"/>
            <w:hideMark/>
          </w:tcPr>
          <w:p w14:paraId="6E330A7D"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Low</w:t>
            </w:r>
          </w:p>
        </w:tc>
        <w:tc>
          <w:tcPr>
            <w:tcW w:w="475" w:type="dxa"/>
            <w:tcBorders>
              <w:top w:val="single" w:sz="4" w:space="0" w:color="auto"/>
              <w:right w:val="single" w:sz="4" w:space="0" w:color="auto"/>
            </w:tcBorders>
            <w:shd w:val="clear" w:color="auto" w:fill="auto"/>
            <w:noWrap/>
            <w:vAlign w:val="center"/>
            <w:hideMark/>
          </w:tcPr>
          <w:p w14:paraId="37265CB7"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55BFA35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-2.66</w:t>
            </w:r>
          </w:p>
        </w:tc>
        <w:tc>
          <w:tcPr>
            <w:tcW w:w="1134" w:type="dxa"/>
            <w:shd w:val="clear" w:color="auto" w:fill="auto"/>
            <w:noWrap/>
            <w:vAlign w:val="center"/>
            <w:hideMark/>
          </w:tcPr>
          <w:p w14:paraId="2E295F20" w14:textId="690A1336"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-3.85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-1.47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04331EA7"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81.8</w:t>
            </w:r>
          </w:p>
        </w:tc>
        <w:tc>
          <w:tcPr>
            <w:tcW w:w="567" w:type="dxa"/>
            <w:tcBorders>
              <w:left w:val="single" w:sz="4" w:space="0" w:color="auto"/>
            </w:tcBorders>
            <w:shd w:val="clear" w:color="auto" w:fill="auto"/>
            <w:noWrap/>
            <w:vAlign w:val="center"/>
            <w:hideMark/>
          </w:tcPr>
          <w:p w14:paraId="382B9FD8"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-2.58</w:t>
            </w:r>
          </w:p>
        </w:tc>
        <w:tc>
          <w:tcPr>
            <w:tcW w:w="1134" w:type="dxa"/>
            <w:shd w:val="clear" w:color="auto" w:fill="auto"/>
            <w:noWrap/>
            <w:vAlign w:val="center"/>
            <w:hideMark/>
          </w:tcPr>
          <w:p w14:paraId="20D1F35D" w14:textId="10E85247"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-2.98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-2.18</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31720396"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67.1</w:t>
            </w:r>
          </w:p>
        </w:tc>
        <w:tc>
          <w:tcPr>
            <w:tcW w:w="567" w:type="dxa"/>
            <w:tcBorders>
              <w:left w:val="single" w:sz="4" w:space="0" w:color="auto"/>
            </w:tcBorders>
            <w:shd w:val="clear" w:color="auto" w:fill="auto"/>
            <w:noWrap/>
            <w:vAlign w:val="center"/>
            <w:hideMark/>
          </w:tcPr>
          <w:p w14:paraId="7E00724C"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0.67</w:t>
            </w:r>
          </w:p>
        </w:tc>
        <w:tc>
          <w:tcPr>
            <w:tcW w:w="1134" w:type="dxa"/>
            <w:shd w:val="clear" w:color="auto" w:fill="auto"/>
            <w:noWrap/>
            <w:vAlign w:val="center"/>
            <w:hideMark/>
          </w:tcPr>
          <w:p w14:paraId="60660B84" w14:textId="1EC3A35C"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1.17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5D4BF10"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83.6</w:t>
            </w:r>
          </w:p>
        </w:tc>
        <w:tc>
          <w:tcPr>
            <w:tcW w:w="567" w:type="dxa"/>
            <w:tcBorders>
              <w:left w:val="single" w:sz="4" w:space="0" w:color="auto"/>
            </w:tcBorders>
            <w:shd w:val="clear" w:color="auto" w:fill="auto"/>
            <w:noWrap/>
            <w:vAlign w:val="center"/>
            <w:hideMark/>
          </w:tcPr>
          <w:p w14:paraId="0DB2A92C"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0.66</w:t>
            </w:r>
          </w:p>
        </w:tc>
        <w:tc>
          <w:tcPr>
            <w:tcW w:w="1134" w:type="dxa"/>
            <w:shd w:val="clear" w:color="auto" w:fill="auto"/>
            <w:noWrap/>
            <w:vAlign w:val="center"/>
            <w:hideMark/>
          </w:tcPr>
          <w:p w14:paraId="10B2897C" w14:textId="678C2D9E"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0.41</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0.92</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C512281"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90.3</w:t>
            </w:r>
          </w:p>
        </w:tc>
      </w:tr>
      <w:tr w:rsidR="004A6EC7" w:rsidRPr="00131D8F" w14:paraId="0C8F10AB" w14:textId="77777777" w:rsidTr="004A6EC7">
        <w:trPr>
          <w:trHeight w:val="240"/>
        </w:trPr>
        <w:tc>
          <w:tcPr>
            <w:tcW w:w="1074" w:type="dxa"/>
            <w:vMerge/>
            <w:shd w:val="clear" w:color="auto" w:fill="auto"/>
            <w:noWrap/>
            <w:vAlign w:val="center"/>
            <w:hideMark/>
          </w:tcPr>
          <w:p w14:paraId="4A71EA78"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hideMark/>
          </w:tcPr>
          <w:p w14:paraId="0F3CE7FF" w14:textId="77777777" w:rsidR="00F5229F" w:rsidRPr="00131D8F" w:rsidRDefault="00F5229F"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2E9CD26B"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51410FDD"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-2.66</w:t>
            </w:r>
          </w:p>
        </w:tc>
        <w:tc>
          <w:tcPr>
            <w:tcW w:w="1134" w:type="dxa"/>
            <w:shd w:val="clear" w:color="auto" w:fill="auto"/>
            <w:noWrap/>
            <w:vAlign w:val="center"/>
            <w:hideMark/>
          </w:tcPr>
          <w:p w14:paraId="51E7C5DE" w14:textId="21AC461A"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-3.88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-1.44</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39EAD17"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80.7</w:t>
            </w:r>
          </w:p>
        </w:tc>
        <w:tc>
          <w:tcPr>
            <w:tcW w:w="567" w:type="dxa"/>
            <w:tcBorders>
              <w:left w:val="single" w:sz="4" w:space="0" w:color="auto"/>
            </w:tcBorders>
            <w:shd w:val="clear" w:color="auto" w:fill="auto"/>
            <w:noWrap/>
            <w:vAlign w:val="center"/>
            <w:hideMark/>
          </w:tcPr>
          <w:p w14:paraId="3963243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-2.59</w:t>
            </w:r>
          </w:p>
        </w:tc>
        <w:tc>
          <w:tcPr>
            <w:tcW w:w="1134" w:type="dxa"/>
            <w:shd w:val="clear" w:color="auto" w:fill="auto"/>
            <w:noWrap/>
            <w:vAlign w:val="center"/>
            <w:hideMark/>
          </w:tcPr>
          <w:p w14:paraId="37DD4A8E" w14:textId="2806333C"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-3.01</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-2.16</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3F81F2F1"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66.0</w:t>
            </w:r>
          </w:p>
        </w:tc>
        <w:tc>
          <w:tcPr>
            <w:tcW w:w="567" w:type="dxa"/>
            <w:tcBorders>
              <w:left w:val="single" w:sz="4" w:space="0" w:color="auto"/>
            </w:tcBorders>
            <w:shd w:val="clear" w:color="auto" w:fill="auto"/>
            <w:noWrap/>
            <w:vAlign w:val="center"/>
            <w:hideMark/>
          </w:tcPr>
          <w:p w14:paraId="7751DAB8"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0.65</w:t>
            </w:r>
          </w:p>
        </w:tc>
        <w:tc>
          <w:tcPr>
            <w:tcW w:w="1134" w:type="dxa"/>
            <w:shd w:val="clear" w:color="auto" w:fill="auto"/>
            <w:noWrap/>
            <w:vAlign w:val="center"/>
            <w:hideMark/>
          </w:tcPr>
          <w:p w14:paraId="3FA68832" w14:textId="5A80EAFC"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1.17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72C3C060"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82.4</w:t>
            </w:r>
          </w:p>
        </w:tc>
        <w:tc>
          <w:tcPr>
            <w:tcW w:w="567" w:type="dxa"/>
            <w:tcBorders>
              <w:left w:val="single" w:sz="4" w:space="0" w:color="auto"/>
            </w:tcBorders>
            <w:shd w:val="clear" w:color="auto" w:fill="auto"/>
            <w:noWrap/>
            <w:vAlign w:val="center"/>
            <w:hideMark/>
          </w:tcPr>
          <w:p w14:paraId="5AB81763"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0.65</w:t>
            </w:r>
          </w:p>
        </w:tc>
        <w:tc>
          <w:tcPr>
            <w:tcW w:w="1134" w:type="dxa"/>
            <w:shd w:val="clear" w:color="auto" w:fill="auto"/>
            <w:noWrap/>
            <w:vAlign w:val="center"/>
            <w:hideMark/>
          </w:tcPr>
          <w:p w14:paraId="5F543481" w14:textId="398612CE"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0.42</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0.88</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3C6F1540"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85.6</w:t>
            </w:r>
          </w:p>
        </w:tc>
      </w:tr>
      <w:tr w:rsidR="004A6EC7" w:rsidRPr="00131D8F" w14:paraId="22814B3D" w14:textId="77777777" w:rsidTr="004A6EC7">
        <w:trPr>
          <w:trHeight w:val="240"/>
        </w:trPr>
        <w:tc>
          <w:tcPr>
            <w:tcW w:w="1074" w:type="dxa"/>
            <w:vMerge/>
            <w:shd w:val="clear" w:color="auto" w:fill="auto"/>
            <w:noWrap/>
            <w:vAlign w:val="center"/>
            <w:hideMark/>
          </w:tcPr>
          <w:p w14:paraId="677F307B"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val="restart"/>
            <w:tcBorders>
              <w:top w:val="single" w:sz="4" w:space="0" w:color="auto"/>
            </w:tcBorders>
            <w:shd w:val="clear" w:color="auto" w:fill="auto"/>
            <w:noWrap/>
            <w:vAlign w:val="center"/>
            <w:hideMark/>
          </w:tcPr>
          <w:p w14:paraId="1573E003"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Medium</w:t>
            </w:r>
          </w:p>
        </w:tc>
        <w:tc>
          <w:tcPr>
            <w:tcW w:w="475" w:type="dxa"/>
            <w:tcBorders>
              <w:top w:val="single" w:sz="4" w:space="0" w:color="auto"/>
              <w:right w:val="single" w:sz="4" w:space="0" w:color="auto"/>
            </w:tcBorders>
            <w:shd w:val="clear" w:color="auto" w:fill="auto"/>
            <w:noWrap/>
            <w:vAlign w:val="center"/>
            <w:hideMark/>
          </w:tcPr>
          <w:p w14:paraId="19659A33"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69D9587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-1.68</w:t>
            </w:r>
          </w:p>
        </w:tc>
        <w:tc>
          <w:tcPr>
            <w:tcW w:w="1134" w:type="dxa"/>
            <w:shd w:val="clear" w:color="auto" w:fill="auto"/>
            <w:noWrap/>
            <w:vAlign w:val="center"/>
            <w:hideMark/>
          </w:tcPr>
          <w:p w14:paraId="3BE7398F" w14:textId="02C38404"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-2.29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-1.07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3097ECC1"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76.3</w:t>
            </w:r>
          </w:p>
        </w:tc>
        <w:tc>
          <w:tcPr>
            <w:tcW w:w="567" w:type="dxa"/>
            <w:tcBorders>
              <w:left w:val="single" w:sz="4" w:space="0" w:color="auto"/>
            </w:tcBorders>
            <w:shd w:val="clear" w:color="auto" w:fill="auto"/>
            <w:noWrap/>
            <w:vAlign w:val="center"/>
            <w:hideMark/>
          </w:tcPr>
          <w:p w14:paraId="4F627EBB"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-1.33</w:t>
            </w:r>
          </w:p>
        </w:tc>
        <w:tc>
          <w:tcPr>
            <w:tcW w:w="1134" w:type="dxa"/>
            <w:shd w:val="clear" w:color="auto" w:fill="auto"/>
            <w:noWrap/>
            <w:vAlign w:val="center"/>
            <w:hideMark/>
          </w:tcPr>
          <w:p w14:paraId="1755F028" w14:textId="48560B8E"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-1.67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-0.98</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56EAECA5"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80.0</w:t>
            </w:r>
          </w:p>
        </w:tc>
        <w:tc>
          <w:tcPr>
            <w:tcW w:w="567" w:type="dxa"/>
            <w:tcBorders>
              <w:left w:val="single" w:sz="4" w:space="0" w:color="auto"/>
            </w:tcBorders>
            <w:shd w:val="clear" w:color="auto" w:fill="auto"/>
            <w:noWrap/>
            <w:vAlign w:val="center"/>
            <w:hideMark/>
          </w:tcPr>
          <w:p w14:paraId="0D85660A"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0.44</w:t>
            </w:r>
          </w:p>
        </w:tc>
        <w:tc>
          <w:tcPr>
            <w:tcW w:w="1134" w:type="dxa"/>
            <w:shd w:val="clear" w:color="auto" w:fill="auto"/>
            <w:noWrap/>
            <w:vAlign w:val="center"/>
            <w:hideMark/>
          </w:tcPr>
          <w:p w14:paraId="3D4FB26F" w14:textId="3DF0D0A4"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357D16BB"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1ADDC593"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0.34</w:t>
            </w:r>
          </w:p>
        </w:tc>
        <w:tc>
          <w:tcPr>
            <w:tcW w:w="1134" w:type="dxa"/>
            <w:shd w:val="clear" w:color="auto" w:fill="auto"/>
            <w:noWrap/>
            <w:vAlign w:val="center"/>
            <w:hideMark/>
          </w:tcPr>
          <w:p w14:paraId="6CA540A6" w14:textId="5619DED2"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0.49</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1AAE0EFA"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85.8</w:t>
            </w:r>
          </w:p>
        </w:tc>
      </w:tr>
      <w:tr w:rsidR="004A6EC7" w:rsidRPr="00131D8F" w14:paraId="480BE206" w14:textId="77777777" w:rsidTr="004A6EC7">
        <w:trPr>
          <w:trHeight w:val="240"/>
        </w:trPr>
        <w:tc>
          <w:tcPr>
            <w:tcW w:w="1074" w:type="dxa"/>
            <w:vMerge/>
            <w:tcBorders>
              <w:bottom w:val="single" w:sz="4" w:space="0" w:color="auto"/>
            </w:tcBorders>
            <w:shd w:val="clear" w:color="auto" w:fill="auto"/>
            <w:noWrap/>
            <w:vAlign w:val="center"/>
            <w:hideMark/>
          </w:tcPr>
          <w:p w14:paraId="55302266"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hideMark/>
          </w:tcPr>
          <w:p w14:paraId="32A48895" w14:textId="77777777" w:rsidR="00F5229F" w:rsidRPr="00131D8F" w:rsidRDefault="00F5229F"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6D189AB0"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63F3349E"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-1.65</w:t>
            </w:r>
          </w:p>
        </w:tc>
        <w:tc>
          <w:tcPr>
            <w:tcW w:w="1134" w:type="dxa"/>
            <w:shd w:val="clear" w:color="auto" w:fill="auto"/>
            <w:noWrap/>
            <w:vAlign w:val="center"/>
            <w:hideMark/>
          </w:tcPr>
          <w:p w14:paraId="38048617" w14:textId="3A8E5E46"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-2.34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098F04E"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80.7</w:t>
            </w:r>
          </w:p>
        </w:tc>
        <w:tc>
          <w:tcPr>
            <w:tcW w:w="567" w:type="dxa"/>
            <w:tcBorders>
              <w:left w:val="single" w:sz="4" w:space="0" w:color="auto"/>
            </w:tcBorders>
            <w:shd w:val="clear" w:color="auto" w:fill="auto"/>
            <w:noWrap/>
            <w:vAlign w:val="center"/>
            <w:hideMark/>
          </w:tcPr>
          <w:p w14:paraId="2647B2E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-1.29</w:t>
            </w:r>
          </w:p>
        </w:tc>
        <w:tc>
          <w:tcPr>
            <w:tcW w:w="1134" w:type="dxa"/>
            <w:shd w:val="clear" w:color="auto" w:fill="auto"/>
            <w:noWrap/>
            <w:vAlign w:val="center"/>
            <w:hideMark/>
          </w:tcPr>
          <w:p w14:paraId="587DD3CF" w14:textId="00C95F34"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-1.64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-0.95</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E33A2C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77.0</w:t>
            </w:r>
          </w:p>
        </w:tc>
        <w:tc>
          <w:tcPr>
            <w:tcW w:w="567" w:type="dxa"/>
            <w:tcBorders>
              <w:left w:val="single" w:sz="4" w:space="0" w:color="auto"/>
            </w:tcBorders>
            <w:shd w:val="clear" w:color="auto" w:fill="auto"/>
            <w:noWrap/>
            <w:vAlign w:val="center"/>
            <w:hideMark/>
          </w:tcPr>
          <w:p w14:paraId="4DF9CDA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0.44</w:t>
            </w:r>
          </w:p>
        </w:tc>
        <w:tc>
          <w:tcPr>
            <w:tcW w:w="1134" w:type="dxa"/>
            <w:shd w:val="clear" w:color="auto" w:fill="auto"/>
            <w:noWrap/>
            <w:vAlign w:val="center"/>
            <w:hideMark/>
          </w:tcPr>
          <w:p w14:paraId="22A2B767" w14:textId="3FF53B4D"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762A457"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7E4777BE"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0.31</w:t>
            </w:r>
          </w:p>
        </w:tc>
        <w:tc>
          <w:tcPr>
            <w:tcW w:w="1134" w:type="dxa"/>
            <w:shd w:val="clear" w:color="auto" w:fill="auto"/>
            <w:noWrap/>
            <w:vAlign w:val="center"/>
            <w:hideMark/>
          </w:tcPr>
          <w:p w14:paraId="50482718" w14:textId="618C154C"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0.17</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0.45</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7B10A160"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81.0</w:t>
            </w:r>
          </w:p>
        </w:tc>
      </w:tr>
      <w:tr w:rsidR="004A6EC7" w:rsidRPr="00131D8F" w14:paraId="34DE59A5" w14:textId="77777777" w:rsidTr="004A6EC7">
        <w:trPr>
          <w:trHeight w:val="240"/>
        </w:trPr>
        <w:tc>
          <w:tcPr>
            <w:tcW w:w="1074" w:type="dxa"/>
            <w:vMerge w:val="restart"/>
            <w:tcBorders>
              <w:top w:val="single" w:sz="4" w:space="0" w:color="auto"/>
            </w:tcBorders>
            <w:shd w:val="clear" w:color="auto" w:fill="auto"/>
            <w:noWrap/>
            <w:hideMark/>
          </w:tcPr>
          <w:p w14:paraId="0AEAEDA7" w14:textId="19C8A8D1" w:rsidR="00F5229F" w:rsidRPr="00131D8F" w:rsidRDefault="00F5229F" w:rsidP="009D46B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 xml:space="preserve">Household </w:t>
            </w:r>
            <w:proofErr w:type="spellStart"/>
            <w:r>
              <w:rPr>
                <w:rFonts w:ascii="Calibri" w:eastAsia="Times New Roman" w:hAnsi="Calibri" w:cs="Calibri"/>
                <w:b/>
                <w:color w:val="000000"/>
                <w:sz w:val="18"/>
                <w:szCs w:val="18"/>
                <w:lang w:val="en-GB" w:eastAsia="en-GB"/>
              </w:rPr>
              <w:t>income</w:t>
            </w:r>
            <w:r w:rsidR="00E4212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color w:val="000000"/>
                <w:sz w:val="18"/>
                <w:szCs w:val="18"/>
                <w:lang w:val="en-GB" w:eastAsia="en-GB"/>
              </w:rPr>
              <w:t xml:space="preserve"> (High)</w:t>
            </w:r>
          </w:p>
        </w:tc>
        <w:tc>
          <w:tcPr>
            <w:tcW w:w="1173" w:type="dxa"/>
            <w:vMerge w:val="restart"/>
            <w:tcBorders>
              <w:top w:val="single" w:sz="4" w:space="0" w:color="auto"/>
            </w:tcBorders>
            <w:shd w:val="clear" w:color="auto" w:fill="auto"/>
            <w:noWrap/>
            <w:vAlign w:val="center"/>
            <w:hideMark/>
          </w:tcPr>
          <w:p w14:paraId="71ABE19A"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Low</w:t>
            </w:r>
          </w:p>
        </w:tc>
        <w:tc>
          <w:tcPr>
            <w:tcW w:w="475" w:type="dxa"/>
            <w:tcBorders>
              <w:top w:val="single" w:sz="4" w:space="0" w:color="auto"/>
              <w:right w:val="single" w:sz="4" w:space="0" w:color="auto"/>
            </w:tcBorders>
            <w:shd w:val="clear" w:color="auto" w:fill="auto"/>
            <w:noWrap/>
            <w:vAlign w:val="center"/>
            <w:hideMark/>
          </w:tcPr>
          <w:p w14:paraId="69FACB27"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55507AE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-0.37</w:t>
            </w:r>
          </w:p>
        </w:tc>
        <w:tc>
          <w:tcPr>
            <w:tcW w:w="1134" w:type="dxa"/>
            <w:shd w:val="clear" w:color="auto" w:fill="auto"/>
            <w:noWrap/>
            <w:vAlign w:val="center"/>
            <w:hideMark/>
          </w:tcPr>
          <w:p w14:paraId="6C385B02" w14:textId="2E70DB00"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-0.92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9085B67" w14:textId="64BD04C3" w:rsidR="00F5229F" w:rsidRPr="00461A7F" w:rsidRDefault="00F5229F" w:rsidP="009D46BA">
            <w:pPr>
              <w:rPr>
                <w:rFonts w:ascii="Calibri" w:eastAsia="Times New Roman" w:hAnsi="Calibri" w:cs="Calibri"/>
                <w:sz w:val="18"/>
                <w:szCs w:val="18"/>
                <w:vertAlign w:val="superscript"/>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60A76C0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-0.46</w:t>
            </w:r>
          </w:p>
        </w:tc>
        <w:tc>
          <w:tcPr>
            <w:tcW w:w="1134" w:type="dxa"/>
            <w:shd w:val="clear" w:color="auto" w:fill="auto"/>
            <w:noWrap/>
            <w:vAlign w:val="center"/>
            <w:hideMark/>
          </w:tcPr>
          <w:p w14:paraId="213CC5D5" w14:textId="4D8BA1C2"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337E3A6C"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28.1</w:t>
            </w:r>
          </w:p>
        </w:tc>
        <w:tc>
          <w:tcPr>
            <w:tcW w:w="567" w:type="dxa"/>
            <w:tcBorders>
              <w:left w:val="single" w:sz="4" w:space="0" w:color="auto"/>
            </w:tcBorders>
            <w:shd w:val="clear" w:color="auto" w:fill="auto"/>
            <w:noWrap/>
            <w:vAlign w:val="center"/>
            <w:hideMark/>
          </w:tcPr>
          <w:p w14:paraId="0C940400"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0.36</w:t>
            </w:r>
          </w:p>
        </w:tc>
        <w:tc>
          <w:tcPr>
            <w:tcW w:w="1134" w:type="dxa"/>
            <w:shd w:val="clear" w:color="auto" w:fill="auto"/>
            <w:noWrap/>
            <w:vAlign w:val="center"/>
            <w:hideMark/>
          </w:tcPr>
          <w:p w14:paraId="73906F77" w14:textId="56596E9C"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0.59</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07111C86" w14:textId="77777777" w:rsidR="00F5229F" w:rsidRPr="00131D8F" w:rsidRDefault="00F5229F" w:rsidP="009D46BA">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367FF08F"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0.30</w:t>
            </w:r>
          </w:p>
        </w:tc>
        <w:tc>
          <w:tcPr>
            <w:tcW w:w="1134" w:type="dxa"/>
            <w:shd w:val="clear" w:color="auto" w:fill="auto"/>
            <w:noWrap/>
            <w:vAlign w:val="center"/>
            <w:hideMark/>
          </w:tcPr>
          <w:p w14:paraId="5C30ED87" w14:textId="279A3265"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0.22</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0.38</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5C1536A6" w14:textId="77777777" w:rsidR="00F5229F" w:rsidRPr="00131D8F" w:rsidRDefault="00F5229F" w:rsidP="009D46B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16.9</w:t>
            </w:r>
          </w:p>
        </w:tc>
      </w:tr>
      <w:tr w:rsidR="004A6EC7" w:rsidRPr="00131D8F" w14:paraId="351789D1" w14:textId="77777777" w:rsidTr="004A6EC7">
        <w:trPr>
          <w:trHeight w:val="240"/>
        </w:trPr>
        <w:tc>
          <w:tcPr>
            <w:tcW w:w="1074" w:type="dxa"/>
            <w:vMerge/>
            <w:shd w:val="clear" w:color="auto" w:fill="auto"/>
            <w:noWrap/>
            <w:vAlign w:val="center"/>
            <w:hideMark/>
          </w:tcPr>
          <w:p w14:paraId="5121D287"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vAlign w:val="center"/>
            <w:hideMark/>
          </w:tcPr>
          <w:p w14:paraId="199658BE" w14:textId="77777777" w:rsidR="00F5229F" w:rsidRPr="00131D8F" w:rsidRDefault="00F5229F"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37D72061"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5301FB4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-0.36</w:t>
            </w:r>
          </w:p>
        </w:tc>
        <w:tc>
          <w:tcPr>
            <w:tcW w:w="1134" w:type="dxa"/>
            <w:shd w:val="clear" w:color="auto" w:fill="auto"/>
            <w:noWrap/>
            <w:vAlign w:val="center"/>
            <w:hideMark/>
          </w:tcPr>
          <w:p w14:paraId="61FFB6F2" w14:textId="4E80635E"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-0.93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0.22</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A1A55E8"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4F5E5FA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-0.46</w:t>
            </w:r>
          </w:p>
        </w:tc>
        <w:tc>
          <w:tcPr>
            <w:tcW w:w="1134" w:type="dxa"/>
            <w:shd w:val="clear" w:color="auto" w:fill="auto"/>
            <w:noWrap/>
            <w:vAlign w:val="center"/>
            <w:hideMark/>
          </w:tcPr>
          <w:p w14:paraId="727B8522" w14:textId="1A33BAA2"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-0.13</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7AF5A1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44.4</w:t>
            </w:r>
          </w:p>
        </w:tc>
        <w:tc>
          <w:tcPr>
            <w:tcW w:w="567" w:type="dxa"/>
            <w:tcBorders>
              <w:left w:val="single" w:sz="4" w:space="0" w:color="auto"/>
            </w:tcBorders>
            <w:shd w:val="clear" w:color="auto" w:fill="auto"/>
            <w:noWrap/>
            <w:vAlign w:val="center"/>
            <w:hideMark/>
          </w:tcPr>
          <w:p w14:paraId="6D2118F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0.33</w:t>
            </w:r>
          </w:p>
        </w:tc>
        <w:tc>
          <w:tcPr>
            <w:tcW w:w="1134" w:type="dxa"/>
            <w:shd w:val="clear" w:color="auto" w:fill="auto"/>
            <w:noWrap/>
            <w:vAlign w:val="center"/>
            <w:hideMark/>
          </w:tcPr>
          <w:p w14:paraId="75F91B7E" w14:textId="76FCABD8"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70A09FD1"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5D1FF642"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0.26</w:t>
            </w:r>
          </w:p>
        </w:tc>
        <w:tc>
          <w:tcPr>
            <w:tcW w:w="1134" w:type="dxa"/>
            <w:shd w:val="clear" w:color="auto" w:fill="auto"/>
            <w:noWrap/>
            <w:vAlign w:val="center"/>
            <w:hideMark/>
          </w:tcPr>
          <w:p w14:paraId="12EDF5B4" w14:textId="48B374F2"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0.37</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4DF7C398"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43.4</w:t>
            </w:r>
          </w:p>
        </w:tc>
      </w:tr>
      <w:tr w:rsidR="004A6EC7" w:rsidRPr="00131D8F" w14:paraId="67D2C77B" w14:textId="77777777" w:rsidTr="004A6EC7">
        <w:trPr>
          <w:trHeight w:val="240"/>
        </w:trPr>
        <w:tc>
          <w:tcPr>
            <w:tcW w:w="1074" w:type="dxa"/>
            <w:vMerge/>
            <w:shd w:val="clear" w:color="auto" w:fill="auto"/>
            <w:noWrap/>
            <w:vAlign w:val="center"/>
            <w:hideMark/>
          </w:tcPr>
          <w:p w14:paraId="630EEA78"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val="restart"/>
            <w:tcBorders>
              <w:top w:val="single" w:sz="4" w:space="0" w:color="auto"/>
            </w:tcBorders>
            <w:shd w:val="clear" w:color="auto" w:fill="auto"/>
            <w:noWrap/>
            <w:vAlign w:val="center"/>
            <w:hideMark/>
          </w:tcPr>
          <w:p w14:paraId="4E45EBBD"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Medium</w:t>
            </w:r>
          </w:p>
        </w:tc>
        <w:tc>
          <w:tcPr>
            <w:tcW w:w="475" w:type="dxa"/>
            <w:tcBorders>
              <w:top w:val="single" w:sz="4" w:space="0" w:color="auto"/>
              <w:right w:val="single" w:sz="4" w:space="0" w:color="auto"/>
            </w:tcBorders>
            <w:shd w:val="clear" w:color="auto" w:fill="auto"/>
            <w:noWrap/>
            <w:vAlign w:val="center"/>
            <w:hideMark/>
          </w:tcPr>
          <w:p w14:paraId="6B718BF2"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7E12BE64"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-0.17</w:t>
            </w:r>
          </w:p>
        </w:tc>
        <w:tc>
          <w:tcPr>
            <w:tcW w:w="1134" w:type="dxa"/>
            <w:shd w:val="clear" w:color="auto" w:fill="auto"/>
            <w:noWrap/>
            <w:vAlign w:val="center"/>
            <w:hideMark/>
          </w:tcPr>
          <w:p w14:paraId="32AAD665" w14:textId="7B6E38A7"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EEF9E48"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299815D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-0.21</w:t>
            </w:r>
          </w:p>
        </w:tc>
        <w:tc>
          <w:tcPr>
            <w:tcW w:w="1134" w:type="dxa"/>
            <w:shd w:val="clear" w:color="auto" w:fill="auto"/>
            <w:noWrap/>
            <w:vAlign w:val="center"/>
            <w:hideMark/>
          </w:tcPr>
          <w:p w14:paraId="3D4C03D0" w14:textId="6E5A531F"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-0.52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283B259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55.6</w:t>
            </w:r>
          </w:p>
        </w:tc>
        <w:tc>
          <w:tcPr>
            <w:tcW w:w="567" w:type="dxa"/>
            <w:tcBorders>
              <w:left w:val="single" w:sz="4" w:space="0" w:color="auto"/>
            </w:tcBorders>
            <w:shd w:val="clear" w:color="auto" w:fill="auto"/>
            <w:noWrap/>
            <w:vAlign w:val="center"/>
            <w:hideMark/>
          </w:tcPr>
          <w:p w14:paraId="001EFD30"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0.30</w:t>
            </w:r>
          </w:p>
        </w:tc>
        <w:tc>
          <w:tcPr>
            <w:tcW w:w="1134" w:type="dxa"/>
            <w:shd w:val="clear" w:color="auto" w:fill="auto"/>
            <w:noWrap/>
            <w:vAlign w:val="center"/>
            <w:hideMark/>
          </w:tcPr>
          <w:p w14:paraId="2014CA8E" w14:textId="1B7F2009"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0.52</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8AB788F"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453CF10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0.17</w:t>
            </w:r>
          </w:p>
        </w:tc>
        <w:tc>
          <w:tcPr>
            <w:tcW w:w="1134" w:type="dxa"/>
            <w:shd w:val="clear" w:color="auto" w:fill="auto"/>
            <w:noWrap/>
            <w:vAlign w:val="center"/>
            <w:hideMark/>
          </w:tcPr>
          <w:p w14:paraId="20D18755" w14:textId="68596639"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0.11</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0.23</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141792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4A6EC7" w:rsidRPr="00131D8F" w14:paraId="7A257ABE" w14:textId="77777777" w:rsidTr="004A6EC7">
        <w:trPr>
          <w:trHeight w:val="240"/>
        </w:trPr>
        <w:tc>
          <w:tcPr>
            <w:tcW w:w="1074" w:type="dxa"/>
            <w:vMerge/>
            <w:tcBorders>
              <w:bottom w:val="single" w:sz="4" w:space="0" w:color="auto"/>
            </w:tcBorders>
            <w:shd w:val="clear" w:color="auto" w:fill="auto"/>
            <w:noWrap/>
            <w:vAlign w:val="center"/>
            <w:hideMark/>
          </w:tcPr>
          <w:p w14:paraId="1C3B977F"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vAlign w:val="center"/>
            <w:hideMark/>
          </w:tcPr>
          <w:p w14:paraId="352FA680" w14:textId="77777777" w:rsidR="00F5229F" w:rsidRPr="00131D8F" w:rsidRDefault="00F5229F"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00133B4B"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7CD667F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-0.23</w:t>
            </w:r>
          </w:p>
        </w:tc>
        <w:tc>
          <w:tcPr>
            <w:tcW w:w="1134" w:type="dxa"/>
            <w:shd w:val="clear" w:color="auto" w:fill="auto"/>
            <w:noWrap/>
            <w:vAlign w:val="center"/>
            <w:hideMark/>
          </w:tcPr>
          <w:p w14:paraId="0919D7E4" w14:textId="784147D9"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0.32</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3F7C00B9"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13348A3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-0.21</w:t>
            </w:r>
          </w:p>
        </w:tc>
        <w:tc>
          <w:tcPr>
            <w:tcW w:w="1134" w:type="dxa"/>
            <w:shd w:val="clear" w:color="auto" w:fill="auto"/>
            <w:noWrap/>
            <w:vAlign w:val="center"/>
            <w:hideMark/>
          </w:tcPr>
          <w:p w14:paraId="582B0E32" w14:textId="26DFAF71"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-0.60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0.18</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6CC82E9"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68.2</w:t>
            </w:r>
          </w:p>
        </w:tc>
        <w:tc>
          <w:tcPr>
            <w:tcW w:w="567" w:type="dxa"/>
            <w:tcBorders>
              <w:left w:val="single" w:sz="4" w:space="0" w:color="auto"/>
            </w:tcBorders>
            <w:shd w:val="clear" w:color="auto" w:fill="auto"/>
            <w:noWrap/>
            <w:vAlign w:val="center"/>
            <w:hideMark/>
          </w:tcPr>
          <w:p w14:paraId="6EC6E9F3"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0.33</w:t>
            </w:r>
          </w:p>
        </w:tc>
        <w:tc>
          <w:tcPr>
            <w:tcW w:w="1134" w:type="dxa"/>
            <w:shd w:val="clear" w:color="auto" w:fill="auto"/>
            <w:noWrap/>
            <w:vAlign w:val="center"/>
            <w:hideMark/>
          </w:tcPr>
          <w:p w14:paraId="7D1A9230" w14:textId="7AEAC471"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7F673C76" w14:textId="77777777" w:rsidR="00F5229F" w:rsidRPr="00131D8F" w:rsidRDefault="00F5229F" w:rsidP="00131D8F">
            <w:pPr>
              <w:rPr>
                <w:rFonts w:ascii="Calibri" w:eastAsia="Times New Roman" w:hAnsi="Calibri" w:cs="Calibri"/>
                <w:sz w:val="18"/>
                <w:szCs w:val="18"/>
                <w:lang w:val="en-GB" w:eastAsia="en-GB"/>
              </w:rPr>
            </w:pPr>
            <w:proofErr w:type="spellStart"/>
            <w:r w:rsidRPr="00131D8F">
              <w:rPr>
                <w:rFonts w:ascii="Calibri" w:eastAsia="Times New Roman" w:hAnsi="Calibri" w:cs="Calibri"/>
                <w:sz w:val="18"/>
                <w:szCs w:val="18"/>
                <w:lang w:val="en-GB" w:eastAsia="en-GB"/>
              </w:rPr>
              <w:t>n.a.</w:t>
            </w:r>
            <w:proofErr w:type="spellEnd"/>
          </w:p>
        </w:tc>
        <w:tc>
          <w:tcPr>
            <w:tcW w:w="567" w:type="dxa"/>
            <w:tcBorders>
              <w:left w:val="single" w:sz="4" w:space="0" w:color="auto"/>
            </w:tcBorders>
            <w:shd w:val="clear" w:color="auto" w:fill="auto"/>
            <w:noWrap/>
            <w:vAlign w:val="center"/>
            <w:hideMark/>
          </w:tcPr>
          <w:p w14:paraId="368772FA"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shd w:val="clear" w:color="auto" w:fill="auto"/>
            <w:noWrap/>
            <w:vAlign w:val="center"/>
            <w:hideMark/>
          </w:tcPr>
          <w:p w14:paraId="52CCABAF" w14:textId="7284B67A"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0.22</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10E346F2"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4A6EC7" w:rsidRPr="00131D8F" w14:paraId="12008F7D" w14:textId="77777777" w:rsidTr="004A6EC7">
        <w:trPr>
          <w:trHeight w:val="240"/>
        </w:trPr>
        <w:tc>
          <w:tcPr>
            <w:tcW w:w="2247" w:type="dxa"/>
            <w:gridSpan w:val="2"/>
            <w:vMerge w:val="restart"/>
            <w:tcBorders>
              <w:top w:val="single" w:sz="4" w:space="0" w:color="auto"/>
            </w:tcBorders>
            <w:shd w:val="clear" w:color="auto" w:fill="auto"/>
            <w:noWrap/>
            <w:hideMark/>
          </w:tcPr>
          <w:p w14:paraId="0AE2BA25" w14:textId="2BE10F78" w:rsidR="00F5229F" w:rsidRPr="00131D8F" w:rsidRDefault="00F5229F" w:rsidP="004C39D0">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Parity</w:t>
            </w:r>
            <w:r>
              <w:rPr>
                <w:rFonts w:ascii="Calibri" w:eastAsia="Times New Roman" w:hAnsi="Calibri" w:cs="Calibri"/>
                <w:color w:val="000000"/>
                <w:sz w:val="18"/>
                <w:szCs w:val="18"/>
                <w:lang w:val="en-GB" w:eastAsia="en-GB"/>
              </w:rPr>
              <w:t xml:space="preserve"> (Nulliparous)</w:t>
            </w:r>
          </w:p>
        </w:tc>
        <w:tc>
          <w:tcPr>
            <w:tcW w:w="475" w:type="dxa"/>
            <w:tcBorders>
              <w:top w:val="single" w:sz="4" w:space="0" w:color="auto"/>
              <w:right w:val="single" w:sz="4" w:space="0" w:color="auto"/>
            </w:tcBorders>
            <w:shd w:val="clear" w:color="auto" w:fill="auto"/>
            <w:noWrap/>
            <w:vAlign w:val="center"/>
            <w:hideMark/>
          </w:tcPr>
          <w:p w14:paraId="370BDF4E"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5D82803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-0.30</w:t>
            </w:r>
          </w:p>
        </w:tc>
        <w:tc>
          <w:tcPr>
            <w:tcW w:w="1134" w:type="dxa"/>
            <w:shd w:val="clear" w:color="auto" w:fill="auto"/>
            <w:noWrap/>
            <w:vAlign w:val="center"/>
            <w:hideMark/>
          </w:tcPr>
          <w:p w14:paraId="538D0F1F" w14:textId="7732F080"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-0.58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-0.02</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589F266"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7825209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-0.71</w:t>
            </w:r>
          </w:p>
        </w:tc>
        <w:tc>
          <w:tcPr>
            <w:tcW w:w="1134" w:type="dxa"/>
            <w:shd w:val="clear" w:color="auto" w:fill="auto"/>
            <w:noWrap/>
            <w:vAlign w:val="center"/>
            <w:hideMark/>
          </w:tcPr>
          <w:p w14:paraId="67A286FE" w14:textId="6436D6EA"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-0.33</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121A945"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87.8</w:t>
            </w:r>
          </w:p>
        </w:tc>
        <w:tc>
          <w:tcPr>
            <w:tcW w:w="567" w:type="dxa"/>
            <w:tcBorders>
              <w:left w:val="single" w:sz="4" w:space="0" w:color="auto"/>
            </w:tcBorders>
            <w:shd w:val="clear" w:color="auto" w:fill="auto"/>
            <w:noWrap/>
            <w:vAlign w:val="center"/>
            <w:hideMark/>
          </w:tcPr>
          <w:p w14:paraId="6367A497"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0.32</w:t>
            </w:r>
          </w:p>
        </w:tc>
        <w:tc>
          <w:tcPr>
            <w:tcW w:w="1134" w:type="dxa"/>
            <w:shd w:val="clear" w:color="auto" w:fill="auto"/>
            <w:noWrap/>
            <w:vAlign w:val="center"/>
            <w:hideMark/>
          </w:tcPr>
          <w:p w14:paraId="29D69A9A" w14:textId="56F472F3"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0.48</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8F5D0E0"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49.5</w:t>
            </w:r>
          </w:p>
        </w:tc>
        <w:tc>
          <w:tcPr>
            <w:tcW w:w="567" w:type="dxa"/>
            <w:tcBorders>
              <w:left w:val="single" w:sz="4" w:space="0" w:color="auto"/>
            </w:tcBorders>
            <w:shd w:val="clear" w:color="auto" w:fill="auto"/>
            <w:noWrap/>
            <w:vAlign w:val="center"/>
            <w:hideMark/>
          </w:tcPr>
          <w:p w14:paraId="795AED6D"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0.31</w:t>
            </w:r>
          </w:p>
        </w:tc>
        <w:tc>
          <w:tcPr>
            <w:tcW w:w="1134" w:type="dxa"/>
            <w:shd w:val="clear" w:color="auto" w:fill="auto"/>
            <w:noWrap/>
            <w:vAlign w:val="center"/>
            <w:hideMark/>
          </w:tcPr>
          <w:p w14:paraId="08284A54" w14:textId="6D33AD1A"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0.24</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0.39</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0CB8361C"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60.1</w:t>
            </w:r>
          </w:p>
        </w:tc>
      </w:tr>
      <w:tr w:rsidR="004A6EC7" w:rsidRPr="00131D8F" w14:paraId="0A5D3C72" w14:textId="77777777" w:rsidTr="004A6EC7">
        <w:trPr>
          <w:trHeight w:val="240"/>
        </w:trPr>
        <w:tc>
          <w:tcPr>
            <w:tcW w:w="2247" w:type="dxa"/>
            <w:gridSpan w:val="2"/>
            <w:vMerge/>
            <w:tcBorders>
              <w:bottom w:val="single" w:sz="4" w:space="0" w:color="auto"/>
            </w:tcBorders>
            <w:shd w:val="clear" w:color="auto" w:fill="auto"/>
            <w:noWrap/>
            <w:vAlign w:val="center"/>
            <w:hideMark/>
          </w:tcPr>
          <w:p w14:paraId="5FBCD2EF" w14:textId="77777777" w:rsidR="00F5229F" w:rsidRPr="00131D8F" w:rsidRDefault="00F5229F"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69F4FDE1"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76BC7F85" w14:textId="77777777" w:rsidR="00F5229F" w:rsidRPr="00C11B9F" w:rsidRDefault="00F5229F" w:rsidP="00487EF5">
            <w:pPr>
              <w:jc w:val="right"/>
              <w:rPr>
                <w:rFonts w:ascii="Calibri" w:eastAsia="Times New Roman" w:hAnsi="Calibri" w:cs="Calibri"/>
                <w:sz w:val="18"/>
                <w:szCs w:val="18"/>
                <w:lang w:val="en-GB" w:eastAsia="en-GB"/>
              </w:rPr>
            </w:pPr>
            <w:r w:rsidRPr="00C11B9F">
              <w:rPr>
                <w:rFonts w:ascii="Calibri" w:eastAsia="Times New Roman" w:hAnsi="Calibri" w:cs="Calibri"/>
                <w:sz w:val="18"/>
                <w:szCs w:val="18"/>
                <w:lang w:val="en-GB" w:eastAsia="en-GB"/>
              </w:rPr>
              <w:t>-0.27</w:t>
            </w:r>
          </w:p>
        </w:tc>
        <w:tc>
          <w:tcPr>
            <w:tcW w:w="1134" w:type="dxa"/>
            <w:shd w:val="clear" w:color="auto" w:fill="auto"/>
            <w:noWrap/>
            <w:vAlign w:val="center"/>
            <w:hideMark/>
          </w:tcPr>
          <w:p w14:paraId="7CE35BDB" w14:textId="2F51FBBB" w:rsidR="00F5229F" w:rsidRPr="00C11B9F" w:rsidRDefault="00F5229F" w:rsidP="00487EF5">
            <w:pPr>
              <w:jc w:val="left"/>
              <w:rPr>
                <w:rFonts w:ascii="Calibri" w:eastAsia="Times New Roman" w:hAnsi="Calibri" w:cs="Calibri"/>
                <w:sz w:val="18"/>
                <w:szCs w:val="18"/>
                <w:lang w:val="en-GB" w:eastAsia="en-GB"/>
              </w:rPr>
            </w:pPr>
            <w:r w:rsidRPr="00C11B9F">
              <w:rPr>
                <w:rFonts w:ascii="Calibri" w:eastAsia="Times New Roman" w:hAnsi="Calibri" w:cs="Calibri"/>
                <w:sz w:val="18"/>
                <w:szCs w:val="18"/>
                <w:lang w:val="en-GB" w:eastAsia="en-GB"/>
              </w:rPr>
              <w:t>(-0.57, 0.04)</w:t>
            </w:r>
          </w:p>
        </w:tc>
        <w:tc>
          <w:tcPr>
            <w:tcW w:w="567" w:type="dxa"/>
            <w:tcBorders>
              <w:right w:val="single" w:sz="4" w:space="0" w:color="auto"/>
            </w:tcBorders>
            <w:shd w:val="clear" w:color="auto" w:fill="auto"/>
            <w:noWrap/>
            <w:vAlign w:val="center"/>
            <w:hideMark/>
          </w:tcPr>
          <w:p w14:paraId="3947EDE0"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13.2</w:t>
            </w:r>
          </w:p>
        </w:tc>
        <w:tc>
          <w:tcPr>
            <w:tcW w:w="567" w:type="dxa"/>
            <w:tcBorders>
              <w:left w:val="single" w:sz="4" w:space="0" w:color="auto"/>
            </w:tcBorders>
            <w:shd w:val="clear" w:color="auto" w:fill="auto"/>
            <w:noWrap/>
            <w:vAlign w:val="center"/>
            <w:hideMark/>
          </w:tcPr>
          <w:p w14:paraId="177D7408"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-0.78</w:t>
            </w:r>
          </w:p>
        </w:tc>
        <w:tc>
          <w:tcPr>
            <w:tcW w:w="1134" w:type="dxa"/>
            <w:shd w:val="clear" w:color="auto" w:fill="auto"/>
            <w:noWrap/>
            <w:vAlign w:val="center"/>
            <w:hideMark/>
          </w:tcPr>
          <w:p w14:paraId="1E9D9EAD" w14:textId="6AA20215"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-1.13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-0.43</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1FDD1CE1"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82.6</w:t>
            </w:r>
          </w:p>
        </w:tc>
        <w:tc>
          <w:tcPr>
            <w:tcW w:w="567" w:type="dxa"/>
            <w:tcBorders>
              <w:left w:val="single" w:sz="4" w:space="0" w:color="auto"/>
            </w:tcBorders>
            <w:shd w:val="clear" w:color="auto" w:fill="auto"/>
            <w:noWrap/>
            <w:vAlign w:val="center"/>
            <w:hideMark/>
          </w:tcPr>
          <w:p w14:paraId="00A9A8E7"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0.29</w:t>
            </w:r>
          </w:p>
        </w:tc>
        <w:tc>
          <w:tcPr>
            <w:tcW w:w="1134" w:type="dxa"/>
            <w:shd w:val="clear" w:color="auto" w:fill="auto"/>
            <w:noWrap/>
            <w:vAlign w:val="center"/>
            <w:hideMark/>
          </w:tcPr>
          <w:p w14:paraId="1D928042" w14:textId="511CBFBC"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184F2308"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55.9</w:t>
            </w:r>
          </w:p>
        </w:tc>
        <w:tc>
          <w:tcPr>
            <w:tcW w:w="567" w:type="dxa"/>
            <w:tcBorders>
              <w:left w:val="single" w:sz="4" w:space="0" w:color="auto"/>
            </w:tcBorders>
            <w:shd w:val="clear" w:color="auto" w:fill="auto"/>
            <w:noWrap/>
            <w:vAlign w:val="center"/>
            <w:hideMark/>
          </w:tcPr>
          <w:p w14:paraId="2EFFAAD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0.30</w:t>
            </w:r>
          </w:p>
        </w:tc>
        <w:tc>
          <w:tcPr>
            <w:tcW w:w="1134" w:type="dxa"/>
            <w:shd w:val="clear" w:color="auto" w:fill="auto"/>
            <w:noWrap/>
            <w:vAlign w:val="center"/>
            <w:hideMark/>
          </w:tcPr>
          <w:p w14:paraId="1C35B832" w14:textId="5E4DE414"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0.40</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53E81AE9"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71.1</w:t>
            </w:r>
          </w:p>
        </w:tc>
      </w:tr>
      <w:tr w:rsidR="004A6EC7" w:rsidRPr="00131D8F" w14:paraId="22150FF8" w14:textId="77777777" w:rsidTr="004A6EC7">
        <w:trPr>
          <w:trHeight w:val="240"/>
        </w:trPr>
        <w:tc>
          <w:tcPr>
            <w:tcW w:w="2247" w:type="dxa"/>
            <w:gridSpan w:val="2"/>
            <w:vMerge w:val="restart"/>
            <w:tcBorders>
              <w:top w:val="single" w:sz="4" w:space="0" w:color="auto"/>
            </w:tcBorders>
            <w:shd w:val="clear" w:color="auto" w:fill="auto"/>
            <w:noWrap/>
            <w:hideMark/>
          </w:tcPr>
          <w:p w14:paraId="35E48A7A" w14:textId="01AC94D6" w:rsidR="00F5229F" w:rsidRPr="00131D8F" w:rsidRDefault="00F5229F" w:rsidP="004C39D0">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Birthplace/ethnicity</w:t>
            </w:r>
            <w:r>
              <w:rPr>
                <w:rFonts w:ascii="Calibri" w:eastAsia="Times New Roman" w:hAnsi="Calibri" w:cs="Calibri"/>
                <w:color w:val="000000"/>
                <w:sz w:val="18"/>
                <w:szCs w:val="18"/>
                <w:lang w:val="en-GB" w:eastAsia="en-GB"/>
              </w:rPr>
              <w:t xml:space="preserve"> (European-born/White)</w:t>
            </w:r>
          </w:p>
        </w:tc>
        <w:tc>
          <w:tcPr>
            <w:tcW w:w="475" w:type="dxa"/>
            <w:tcBorders>
              <w:top w:val="single" w:sz="4" w:space="0" w:color="auto"/>
              <w:right w:val="single" w:sz="4" w:space="0" w:color="auto"/>
            </w:tcBorders>
            <w:shd w:val="clear" w:color="auto" w:fill="auto"/>
            <w:noWrap/>
            <w:vAlign w:val="center"/>
            <w:hideMark/>
          </w:tcPr>
          <w:p w14:paraId="1BA1327B"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121A4917"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0.48</w:t>
            </w:r>
          </w:p>
        </w:tc>
        <w:tc>
          <w:tcPr>
            <w:tcW w:w="1134" w:type="dxa"/>
            <w:shd w:val="clear" w:color="auto" w:fill="auto"/>
            <w:noWrap/>
            <w:vAlign w:val="center"/>
            <w:hideMark/>
          </w:tcPr>
          <w:p w14:paraId="6D04A88C" w14:textId="447A9FD1"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1.18</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6C2E816"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5E4E7D1D"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0.68</w:t>
            </w:r>
          </w:p>
        </w:tc>
        <w:tc>
          <w:tcPr>
            <w:tcW w:w="1134" w:type="dxa"/>
            <w:shd w:val="clear" w:color="auto" w:fill="auto"/>
            <w:noWrap/>
            <w:vAlign w:val="center"/>
            <w:hideMark/>
          </w:tcPr>
          <w:p w14:paraId="43866BCF" w14:textId="5A397DF5"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1.45</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16E2B221"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88.0</w:t>
            </w:r>
          </w:p>
        </w:tc>
        <w:tc>
          <w:tcPr>
            <w:tcW w:w="567" w:type="dxa"/>
            <w:tcBorders>
              <w:left w:val="single" w:sz="4" w:space="0" w:color="auto"/>
            </w:tcBorders>
            <w:shd w:val="clear" w:color="auto" w:fill="auto"/>
            <w:noWrap/>
            <w:vAlign w:val="center"/>
            <w:hideMark/>
          </w:tcPr>
          <w:p w14:paraId="11D84BDF"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-0.18</w:t>
            </w:r>
          </w:p>
        </w:tc>
        <w:tc>
          <w:tcPr>
            <w:tcW w:w="1134" w:type="dxa"/>
            <w:shd w:val="clear" w:color="auto" w:fill="auto"/>
            <w:noWrap/>
            <w:vAlign w:val="center"/>
            <w:hideMark/>
          </w:tcPr>
          <w:p w14:paraId="7AEAF18D" w14:textId="3B449534"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-0.45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0.10</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241B732"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4E1DAE23"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-0.13</w:t>
            </w:r>
          </w:p>
        </w:tc>
        <w:tc>
          <w:tcPr>
            <w:tcW w:w="1134" w:type="dxa"/>
            <w:shd w:val="clear" w:color="auto" w:fill="auto"/>
            <w:noWrap/>
            <w:vAlign w:val="center"/>
            <w:hideMark/>
          </w:tcPr>
          <w:p w14:paraId="33727374" w14:textId="7C3A2943"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-0.27</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0.01</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48C3FEDC"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48.6</w:t>
            </w:r>
          </w:p>
        </w:tc>
      </w:tr>
      <w:tr w:rsidR="009E36E6" w:rsidRPr="00131D8F" w14:paraId="00631868" w14:textId="77777777" w:rsidTr="009E36E6">
        <w:trPr>
          <w:trHeight w:val="240"/>
        </w:trPr>
        <w:tc>
          <w:tcPr>
            <w:tcW w:w="2247" w:type="dxa"/>
            <w:gridSpan w:val="2"/>
            <w:vMerge/>
            <w:tcBorders>
              <w:bottom w:val="single" w:sz="4" w:space="0" w:color="auto"/>
            </w:tcBorders>
            <w:shd w:val="clear" w:color="auto" w:fill="auto"/>
            <w:noWrap/>
            <w:vAlign w:val="center"/>
            <w:hideMark/>
          </w:tcPr>
          <w:p w14:paraId="67D12759" w14:textId="77777777" w:rsidR="00F5229F" w:rsidRPr="00131D8F" w:rsidRDefault="00F5229F"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5DDF7552"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bottom w:val="single" w:sz="4" w:space="0" w:color="auto"/>
            </w:tcBorders>
            <w:shd w:val="clear" w:color="auto" w:fill="auto"/>
            <w:noWrap/>
            <w:vAlign w:val="center"/>
            <w:hideMark/>
          </w:tcPr>
          <w:p w14:paraId="60A4AB8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tcBorders>
              <w:bottom w:val="single" w:sz="4" w:space="0" w:color="auto"/>
            </w:tcBorders>
            <w:shd w:val="clear" w:color="auto" w:fill="auto"/>
            <w:noWrap/>
            <w:vAlign w:val="center"/>
            <w:hideMark/>
          </w:tcPr>
          <w:p w14:paraId="5F11BA39" w14:textId="34E4B182"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-0.57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0.90</w:t>
            </w:r>
            <w:r>
              <w:rPr>
                <w:rFonts w:ascii="Calibri" w:eastAsia="Times New Roman" w:hAnsi="Calibri" w:cs="Calibri"/>
                <w:sz w:val="18"/>
                <w:szCs w:val="18"/>
                <w:lang w:val="en-GB" w:eastAsia="en-GB"/>
              </w:rPr>
              <w:t>)</w:t>
            </w:r>
          </w:p>
        </w:tc>
        <w:tc>
          <w:tcPr>
            <w:tcW w:w="567" w:type="dxa"/>
            <w:tcBorders>
              <w:bottom w:val="single" w:sz="4" w:space="0" w:color="auto"/>
              <w:right w:val="single" w:sz="4" w:space="0" w:color="auto"/>
            </w:tcBorders>
            <w:shd w:val="clear" w:color="auto" w:fill="auto"/>
            <w:noWrap/>
            <w:vAlign w:val="center"/>
            <w:hideMark/>
          </w:tcPr>
          <w:p w14:paraId="46220D66" w14:textId="08256FB3" w:rsidR="00F5229F" w:rsidRPr="00131D8F" w:rsidRDefault="00F5229F" w:rsidP="00BE7E2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bottom w:val="single" w:sz="4" w:space="0" w:color="auto"/>
            </w:tcBorders>
            <w:shd w:val="clear" w:color="auto" w:fill="auto"/>
            <w:noWrap/>
            <w:vAlign w:val="center"/>
            <w:hideMark/>
          </w:tcPr>
          <w:p w14:paraId="2368E317" w14:textId="77777777" w:rsidR="00F5229F" w:rsidRPr="00C11B9F" w:rsidRDefault="00F5229F" w:rsidP="00487EF5">
            <w:pPr>
              <w:jc w:val="right"/>
              <w:rPr>
                <w:rFonts w:ascii="Calibri" w:eastAsia="Times New Roman" w:hAnsi="Calibri" w:cs="Calibri"/>
                <w:sz w:val="18"/>
                <w:szCs w:val="18"/>
                <w:lang w:val="en-GB" w:eastAsia="en-GB"/>
              </w:rPr>
            </w:pPr>
            <w:r w:rsidRPr="00C11B9F">
              <w:rPr>
                <w:rFonts w:ascii="Calibri" w:eastAsia="Times New Roman" w:hAnsi="Calibri" w:cs="Calibri"/>
                <w:sz w:val="18"/>
                <w:szCs w:val="18"/>
                <w:lang w:val="en-GB" w:eastAsia="en-GB"/>
              </w:rPr>
              <w:t>0.72</w:t>
            </w:r>
          </w:p>
        </w:tc>
        <w:tc>
          <w:tcPr>
            <w:tcW w:w="1134" w:type="dxa"/>
            <w:tcBorders>
              <w:bottom w:val="single" w:sz="4" w:space="0" w:color="auto"/>
            </w:tcBorders>
            <w:shd w:val="clear" w:color="auto" w:fill="auto"/>
            <w:noWrap/>
            <w:vAlign w:val="center"/>
            <w:hideMark/>
          </w:tcPr>
          <w:p w14:paraId="70C3FA2D" w14:textId="0CA61327" w:rsidR="00F5229F" w:rsidRPr="00C11B9F" w:rsidRDefault="00F5229F" w:rsidP="00487EF5">
            <w:pPr>
              <w:jc w:val="left"/>
              <w:rPr>
                <w:rFonts w:ascii="Calibri" w:eastAsia="Times New Roman" w:hAnsi="Calibri" w:cs="Calibri"/>
                <w:sz w:val="18"/>
                <w:szCs w:val="18"/>
                <w:lang w:val="en-GB" w:eastAsia="en-GB"/>
              </w:rPr>
            </w:pPr>
            <w:r w:rsidRPr="00C11B9F">
              <w:rPr>
                <w:rFonts w:ascii="Calibri" w:eastAsia="Times New Roman" w:hAnsi="Calibri" w:cs="Calibri"/>
                <w:sz w:val="18"/>
                <w:szCs w:val="18"/>
                <w:lang w:val="en-GB" w:eastAsia="en-GB"/>
              </w:rPr>
              <w:t>(0.09, 1.35)</w:t>
            </w:r>
          </w:p>
        </w:tc>
        <w:tc>
          <w:tcPr>
            <w:tcW w:w="708" w:type="dxa"/>
            <w:tcBorders>
              <w:bottom w:val="single" w:sz="4" w:space="0" w:color="auto"/>
              <w:right w:val="single" w:sz="4" w:space="0" w:color="auto"/>
            </w:tcBorders>
            <w:shd w:val="clear" w:color="auto" w:fill="auto"/>
            <w:noWrap/>
            <w:vAlign w:val="center"/>
            <w:hideMark/>
          </w:tcPr>
          <w:p w14:paraId="2961828A"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72.5</w:t>
            </w:r>
          </w:p>
        </w:tc>
        <w:tc>
          <w:tcPr>
            <w:tcW w:w="567" w:type="dxa"/>
            <w:tcBorders>
              <w:left w:val="single" w:sz="4" w:space="0" w:color="auto"/>
              <w:bottom w:val="single" w:sz="4" w:space="0" w:color="auto"/>
            </w:tcBorders>
            <w:shd w:val="clear" w:color="auto" w:fill="auto"/>
            <w:noWrap/>
            <w:vAlign w:val="center"/>
            <w:hideMark/>
          </w:tcPr>
          <w:p w14:paraId="1CD9BB15"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-0.10</w:t>
            </w:r>
          </w:p>
        </w:tc>
        <w:tc>
          <w:tcPr>
            <w:tcW w:w="1134" w:type="dxa"/>
            <w:tcBorders>
              <w:bottom w:val="single" w:sz="4" w:space="0" w:color="auto"/>
            </w:tcBorders>
            <w:shd w:val="clear" w:color="auto" w:fill="auto"/>
            <w:noWrap/>
            <w:vAlign w:val="center"/>
            <w:hideMark/>
          </w:tcPr>
          <w:p w14:paraId="357BA070" w14:textId="7B3F0235"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w:t>
            </w:r>
          </w:p>
        </w:tc>
        <w:tc>
          <w:tcPr>
            <w:tcW w:w="567" w:type="dxa"/>
            <w:tcBorders>
              <w:bottom w:val="single" w:sz="4" w:space="0" w:color="auto"/>
              <w:right w:val="single" w:sz="4" w:space="0" w:color="auto"/>
            </w:tcBorders>
            <w:shd w:val="clear" w:color="auto" w:fill="auto"/>
            <w:noWrap/>
            <w:vAlign w:val="center"/>
            <w:hideMark/>
          </w:tcPr>
          <w:p w14:paraId="62C6BAC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bottom w:val="single" w:sz="4" w:space="0" w:color="auto"/>
            </w:tcBorders>
            <w:shd w:val="clear" w:color="auto" w:fill="auto"/>
            <w:noWrap/>
            <w:vAlign w:val="center"/>
            <w:hideMark/>
          </w:tcPr>
          <w:p w14:paraId="7CF97408"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tcBorders>
              <w:bottom w:val="single" w:sz="4" w:space="0" w:color="auto"/>
            </w:tcBorders>
            <w:shd w:val="clear" w:color="auto" w:fill="auto"/>
            <w:noWrap/>
            <w:vAlign w:val="center"/>
            <w:hideMark/>
          </w:tcPr>
          <w:p w14:paraId="61993B80" w14:textId="3885B33E"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-0.33</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0.01</w:t>
            </w:r>
            <w:r>
              <w:rPr>
                <w:rFonts w:ascii="Calibri" w:eastAsia="Times New Roman" w:hAnsi="Calibri" w:cs="Calibri"/>
                <w:sz w:val="18"/>
                <w:szCs w:val="18"/>
                <w:lang w:val="en-GB" w:eastAsia="en-GB"/>
              </w:rPr>
              <w:t>)</w:t>
            </w:r>
          </w:p>
        </w:tc>
        <w:tc>
          <w:tcPr>
            <w:tcW w:w="567" w:type="dxa"/>
            <w:tcBorders>
              <w:bottom w:val="single" w:sz="4" w:space="0" w:color="auto"/>
            </w:tcBorders>
            <w:shd w:val="clear" w:color="auto" w:fill="auto"/>
            <w:noWrap/>
            <w:vAlign w:val="center"/>
            <w:hideMark/>
          </w:tcPr>
          <w:p w14:paraId="4E8C88A6"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48.0</w:t>
            </w:r>
          </w:p>
        </w:tc>
      </w:tr>
      <w:tr w:rsidR="00B74658" w:rsidRPr="00131D8F" w14:paraId="06B8E725" w14:textId="77777777" w:rsidTr="009E36E6">
        <w:trPr>
          <w:trHeight w:val="240"/>
        </w:trPr>
        <w:tc>
          <w:tcPr>
            <w:tcW w:w="11902" w:type="dxa"/>
            <w:gridSpan w:val="15"/>
            <w:tcBorders>
              <w:top w:val="single" w:sz="4" w:space="0" w:color="auto"/>
              <w:bottom w:val="single" w:sz="4" w:space="0" w:color="auto"/>
            </w:tcBorders>
            <w:shd w:val="clear" w:color="auto" w:fill="D9D9D9" w:themeFill="background1" w:themeFillShade="D9"/>
            <w:noWrap/>
            <w:vAlign w:val="center"/>
            <w:hideMark/>
          </w:tcPr>
          <w:p w14:paraId="74AC07EC" w14:textId="68FC5F66" w:rsidR="00B74658" w:rsidRPr="00131D8F" w:rsidRDefault="00B74658" w:rsidP="00B74658">
            <w:pPr>
              <w:jc w:val="left"/>
              <w:rPr>
                <w:rFonts w:ascii="Calibri" w:eastAsia="Times New Roman" w:hAnsi="Calibri" w:cs="Calibri"/>
                <w:sz w:val="18"/>
                <w:szCs w:val="18"/>
                <w:lang w:val="en-GB" w:eastAsia="en-GB"/>
              </w:rPr>
            </w:pPr>
            <w:r>
              <w:rPr>
                <w:rFonts w:ascii="Calibri" w:eastAsia="Times New Roman" w:hAnsi="Calibri" w:cs="Calibri"/>
                <w:b/>
                <w:color w:val="000000"/>
                <w:sz w:val="20"/>
                <w:szCs w:val="20"/>
                <w:lang w:val="en-GB" w:eastAsia="en-GB"/>
              </w:rPr>
              <w:t>Maternal health and behavioural factors</w:t>
            </w:r>
          </w:p>
        </w:tc>
      </w:tr>
      <w:tr w:rsidR="009E36E6" w:rsidRPr="00131D8F" w14:paraId="7CDDDA4F" w14:textId="77777777" w:rsidTr="009E36E6">
        <w:trPr>
          <w:trHeight w:val="240"/>
        </w:trPr>
        <w:tc>
          <w:tcPr>
            <w:tcW w:w="1074" w:type="dxa"/>
            <w:vMerge w:val="restart"/>
            <w:tcBorders>
              <w:top w:val="single" w:sz="4" w:space="0" w:color="auto"/>
            </w:tcBorders>
            <w:shd w:val="clear" w:color="auto" w:fill="auto"/>
            <w:noWrap/>
            <w:hideMark/>
          </w:tcPr>
          <w:p w14:paraId="7E88226C" w14:textId="645F9B9E" w:rsidR="00F5229F" w:rsidRPr="00131D8F" w:rsidRDefault="00F5229F" w:rsidP="00F3764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Pre-pregnancy BMI</w:t>
            </w:r>
            <w:r>
              <w:rPr>
                <w:rFonts w:ascii="Calibri" w:eastAsia="Times New Roman" w:hAnsi="Calibri" w:cs="Calibri"/>
                <w:color w:val="000000"/>
                <w:sz w:val="18"/>
                <w:szCs w:val="18"/>
                <w:lang w:val="en-GB" w:eastAsia="en-GB"/>
              </w:rPr>
              <w:t xml:space="preserve"> (Normal)</w:t>
            </w:r>
          </w:p>
        </w:tc>
        <w:tc>
          <w:tcPr>
            <w:tcW w:w="1173" w:type="dxa"/>
            <w:vMerge w:val="restart"/>
            <w:tcBorders>
              <w:top w:val="single" w:sz="4" w:space="0" w:color="auto"/>
            </w:tcBorders>
            <w:shd w:val="clear" w:color="auto" w:fill="auto"/>
            <w:noWrap/>
            <w:vAlign w:val="center"/>
            <w:hideMark/>
          </w:tcPr>
          <w:p w14:paraId="479D7AFA"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Underweight</w:t>
            </w:r>
          </w:p>
        </w:tc>
        <w:tc>
          <w:tcPr>
            <w:tcW w:w="475" w:type="dxa"/>
            <w:tcBorders>
              <w:top w:val="single" w:sz="4" w:space="0" w:color="auto"/>
              <w:right w:val="single" w:sz="4" w:space="0" w:color="auto"/>
            </w:tcBorders>
            <w:shd w:val="clear" w:color="auto" w:fill="auto"/>
            <w:noWrap/>
            <w:vAlign w:val="center"/>
            <w:hideMark/>
          </w:tcPr>
          <w:p w14:paraId="7F839877"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top w:val="single" w:sz="4" w:space="0" w:color="auto"/>
              <w:left w:val="single" w:sz="4" w:space="0" w:color="auto"/>
            </w:tcBorders>
            <w:shd w:val="clear" w:color="auto" w:fill="auto"/>
            <w:noWrap/>
            <w:vAlign w:val="center"/>
            <w:hideMark/>
          </w:tcPr>
          <w:p w14:paraId="767D10A7"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-0.27</w:t>
            </w:r>
          </w:p>
        </w:tc>
        <w:tc>
          <w:tcPr>
            <w:tcW w:w="1134" w:type="dxa"/>
            <w:tcBorders>
              <w:top w:val="single" w:sz="4" w:space="0" w:color="auto"/>
            </w:tcBorders>
            <w:shd w:val="clear" w:color="auto" w:fill="auto"/>
            <w:noWrap/>
            <w:vAlign w:val="center"/>
            <w:hideMark/>
          </w:tcPr>
          <w:p w14:paraId="67999524" w14:textId="580F5683"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0.55</w:t>
            </w:r>
            <w:r>
              <w:rPr>
                <w:rFonts w:ascii="Calibri" w:eastAsia="Times New Roman" w:hAnsi="Calibri" w:cs="Calibri"/>
                <w:sz w:val="18"/>
                <w:szCs w:val="18"/>
                <w:lang w:val="en-GB" w:eastAsia="en-GB"/>
              </w:rPr>
              <w:t>)</w:t>
            </w:r>
          </w:p>
        </w:tc>
        <w:tc>
          <w:tcPr>
            <w:tcW w:w="567" w:type="dxa"/>
            <w:tcBorders>
              <w:top w:val="single" w:sz="4" w:space="0" w:color="auto"/>
              <w:right w:val="single" w:sz="4" w:space="0" w:color="auto"/>
            </w:tcBorders>
            <w:shd w:val="clear" w:color="auto" w:fill="auto"/>
            <w:noWrap/>
            <w:vAlign w:val="center"/>
            <w:hideMark/>
          </w:tcPr>
          <w:p w14:paraId="09FB6325"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21.5</w:t>
            </w:r>
          </w:p>
        </w:tc>
        <w:tc>
          <w:tcPr>
            <w:tcW w:w="567" w:type="dxa"/>
            <w:tcBorders>
              <w:top w:val="single" w:sz="4" w:space="0" w:color="auto"/>
              <w:left w:val="single" w:sz="4" w:space="0" w:color="auto"/>
            </w:tcBorders>
            <w:shd w:val="clear" w:color="auto" w:fill="auto"/>
            <w:noWrap/>
            <w:vAlign w:val="center"/>
            <w:hideMark/>
          </w:tcPr>
          <w:p w14:paraId="0C17267C"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-0.19</w:t>
            </w:r>
          </w:p>
        </w:tc>
        <w:tc>
          <w:tcPr>
            <w:tcW w:w="1134" w:type="dxa"/>
            <w:tcBorders>
              <w:top w:val="single" w:sz="4" w:space="0" w:color="auto"/>
            </w:tcBorders>
            <w:shd w:val="clear" w:color="auto" w:fill="auto"/>
            <w:noWrap/>
            <w:vAlign w:val="center"/>
            <w:hideMark/>
          </w:tcPr>
          <w:p w14:paraId="0B882BEA" w14:textId="3024BE52"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-0.82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0.43</w:t>
            </w:r>
            <w:r>
              <w:rPr>
                <w:rFonts w:ascii="Calibri" w:eastAsia="Times New Roman" w:hAnsi="Calibri" w:cs="Calibri"/>
                <w:sz w:val="18"/>
                <w:szCs w:val="18"/>
                <w:lang w:val="en-GB" w:eastAsia="en-GB"/>
              </w:rPr>
              <w:t>)</w:t>
            </w:r>
          </w:p>
        </w:tc>
        <w:tc>
          <w:tcPr>
            <w:tcW w:w="708" w:type="dxa"/>
            <w:tcBorders>
              <w:top w:val="single" w:sz="4" w:space="0" w:color="auto"/>
              <w:right w:val="single" w:sz="4" w:space="0" w:color="auto"/>
            </w:tcBorders>
            <w:shd w:val="clear" w:color="auto" w:fill="auto"/>
            <w:noWrap/>
            <w:vAlign w:val="center"/>
            <w:hideMark/>
          </w:tcPr>
          <w:p w14:paraId="02095780"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76.2</w:t>
            </w:r>
          </w:p>
        </w:tc>
        <w:tc>
          <w:tcPr>
            <w:tcW w:w="567" w:type="dxa"/>
            <w:tcBorders>
              <w:top w:val="single" w:sz="4" w:space="0" w:color="auto"/>
              <w:left w:val="single" w:sz="4" w:space="0" w:color="auto"/>
            </w:tcBorders>
            <w:shd w:val="clear" w:color="auto" w:fill="auto"/>
            <w:noWrap/>
            <w:vAlign w:val="center"/>
            <w:hideMark/>
          </w:tcPr>
          <w:p w14:paraId="3B6E7269"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0.43</w:t>
            </w:r>
          </w:p>
        </w:tc>
        <w:tc>
          <w:tcPr>
            <w:tcW w:w="1134" w:type="dxa"/>
            <w:tcBorders>
              <w:top w:val="single" w:sz="4" w:space="0" w:color="auto"/>
            </w:tcBorders>
            <w:shd w:val="clear" w:color="auto" w:fill="auto"/>
            <w:noWrap/>
            <w:vAlign w:val="center"/>
            <w:hideMark/>
          </w:tcPr>
          <w:p w14:paraId="75970394" w14:textId="528CB66B"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0.71</w:t>
            </w:r>
            <w:r>
              <w:rPr>
                <w:rFonts w:ascii="Calibri" w:eastAsia="Times New Roman" w:hAnsi="Calibri" w:cs="Calibri"/>
                <w:sz w:val="18"/>
                <w:szCs w:val="18"/>
                <w:lang w:val="en-GB" w:eastAsia="en-GB"/>
              </w:rPr>
              <w:t>)</w:t>
            </w:r>
          </w:p>
        </w:tc>
        <w:tc>
          <w:tcPr>
            <w:tcW w:w="567" w:type="dxa"/>
            <w:tcBorders>
              <w:top w:val="single" w:sz="4" w:space="0" w:color="auto"/>
              <w:right w:val="single" w:sz="4" w:space="0" w:color="auto"/>
            </w:tcBorders>
            <w:shd w:val="clear" w:color="auto" w:fill="auto"/>
            <w:noWrap/>
            <w:vAlign w:val="center"/>
            <w:hideMark/>
          </w:tcPr>
          <w:p w14:paraId="3D714831"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6.1</w:t>
            </w:r>
          </w:p>
        </w:tc>
        <w:tc>
          <w:tcPr>
            <w:tcW w:w="567" w:type="dxa"/>
            <w:tcBorders>
              <w:top w:val="single" w:sz="4" w:space="0" w:color="auto"/>
              <w:left w:val="single" w:sz="4" w:space="0" w:color="auto"/>
            </w:tcBorders>
            <w:shd w:val="clear" w:color="auto" w:fill="auto"/>
            <w:noWrap/>
            <w:vAlign w:val="center"/>
            <w:hideMark/>
          </w:tcPr>
          <w:p w14:paraId="3DEB4A5B"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tcBorders>
              <w:top w:val="single" w:sz="4" w:space="0" w:color="auto"/>
            </w:tcBorders>
            <w:shd w:val="clear" w:color="auto" w:fill="auto"/>
            <w:noWrap/>
            <w:vAlign w:val="center"/>
            <w:hideMark/>
          </w:tcPr>
          <w:p w14:paraId="6A0BA0F1" w14:textId="7DF84540"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0.24</w:t>
            </w:r>
            <w:r>
              <w:rPr>
                <w:rFonts w:ascii="Calibri" w:eastAsia="Times New Roman" w:hAnsi="Calibri" w:cs="Calibri"/>
                <w:sz w:val="18"/>
                <w:szCs w:val="18"/>
                <w:lang w:val="en-GB" w:eastAsia="en-GB"/>
              </w:rPr>
              <w:t>)</w:t>
            </w:r>
          </w:p>
        </w:tc>
        <w:tc>
          <w:tcPr>
            <w:tcW w:w="567" w:type="dxa"/>
            <w:tcBorders>
              <w:top w:val="single" w:sz="4" w:space="0" w:color="auto"/>
            </w:tcBorders>
            <w:shd w:val="clear" w:color="auto" w:fill="auto"/>
            <w:noWrap/>
            <w:vAlign w:val="center"/>
            <w:hideMark/>
          </w:tcPr>
          <w:p w14:paraId="5B2A3270" w14:textId="77777777" w:rsidR="00F5229F" w:rsidRPr="00131D8F" w:rsidRDefault="00F5229F"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25DC890D" w14:textId="77777777" w:rsidTr="004A6EC7">
        <w:trPr>
          <w:trHeight w:val="240"/>
        </w:trPr>
        <w:tc>
          <w:tcPr>
            <w:tcW w:w="1074" w:type="dxa"/>
            <w:vMerge/>
            <w:shd w:val="clear" w:color="auto" w:fill="auto"/>
            <w:noWrap/>
            <w:vAlign w:val="center"/>
            <w:hideMark/>
          </w:tcPr>
          <w:p w14:paraId="660D10EB" w14:textId="77777777" w:rsidR="00F5229F" w:rsidRPr="00131D8F" w:rsidRDefault="00F5229F"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vAlign w:val="center"/>
            <w:hideMark/>
          </w:tcPr>
          <w:p w14:paraId="1E4EE9E7" w14:textId="77777777" w:rsidR="00F5229F" w:rsidRPr="00131D8F" w:rsidRDefault="00F5229F"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54701749" w14:textId="77777777" w:rsidR="00F5229F" w:rsidRPr="00131D8F" w:rsidRDefault="00F5229F"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6B3A3996"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-0.32</w:t>
            </w:r>
          </w:p>
        </w:tc>
        <w:tc>
          <w:tcPr>
            <w:tcW w:w="1134" w:type="dxa"/>
            <w:shd w:val="clear" w:color="auto" w:fill="auto"/>
            <w:noWrap/>
            <w:vAlign w:val="center"/>
            <w:hideMark/>
          </w:tcPr>
          <w:p w14:paraId="6DF87C96" w14:textId="4821E9B3"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-1.02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70D06D24"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06F7F897"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-0.18</w:t>
            </w:r>
          </w:p>
        </w:tc>
        <w:tc>
          <w:tcPr>
            <w:tcW w:w="1134" w:type="dxa"/>
            <w:shd w:val="clear" w:color="auto" w:fill="auto"/>
            <w:noWrap/>
            <w:vAlign w:val="center"/>
            <w:hideMark/>
          </w:tcPr>
          <w:p w14:paraId="4819CB96" w14:textId="7E98348B"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0.42</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20A40DA4"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68.1</w:t>
            </w:r>
          </w:p>
        </w:tc>
        <w:tc>
          <w:tcPr>
            <w:tcW w:w="567" w:type="dxa"/>
            <w:tcBorders>
              <w:left w:val="single" w:sz="4" w:space="0" w:color="auto"/>
            </w:tcBorders>
            <w:shd w:val="clear" w:color="auto" w:fill="auto"/>
            <w:noWrap/>
            <w:vAlign w:val="center"/>
            <w:hideMark/>
          </w:tcPr>
          <w:p w14:paraId="50ABFF61"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0.33</w:t>
            </w:r>
          </w:p>
        </w:tc>
        <w:tc>
          <w:tcPr>
            <w:tcW w:w="1134" w:type="dxa"/>
            <w:shd w:val="clear" w:color="auto" w:fill="auto"/>
            <w:noWrap/>
            <w:vAlign w:val="center"/>
            <w:hideMark/>
          </w:tcPr>
          <w:p w14:paraId="18E334DA" w14:textId="6DD65521" w:rsidR="00F5229F" w:rsidRPr="00131D8F" w:rsidRDefault="00F5229F"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0.62</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F6F5A0C"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4DDE69CE" w14:textId="77777777" w:rsidR="00F5229F" w:rsidRPr="00131D8F" w:rsidRDefault="00F5229F"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0.11</w:t>
            </w:r>
          </w:p>
        </w:tc>
        <w:tc>
          <w:tcPr>
            <w:tcW w:w="1134" w:type="dxa"/>
            <w:shd w:val="clear" w:color="auto" w:fill="auto"/>
            <w:noWrap/>
            <w:vAlign w:val="center"/>
            <w:hideMark/>
          </w:tcPr>
          <w:p w14:paraId="2835A839" w14:textId="6DA56A9F" w:rsidR="00F5229F"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00F5229F" w:rsidRPr="00131D8F">
              <w:rPr>
                <w:rFonts w:ascii="Calibri" w:eastAsia="Times New Roman" w:hAnsi="Calibri" w:cs="Calibri"/>
                <w:sz w:val="18"/>
                <w:szCs w:val="18"/>
                <w:lang w:val="en-GB" w:eastAsia="en-GB"/>
              </w:rPr>
              <w:t>0.02</w:t>
            </w:r>
            <w:r>
              <w:rPr>
                <w:rFonts w:ascii="Calibri" w:eastAsia="Times New Roman" w:hAnsi="Calibri" w:cs="Calibri"/>
                <w:sz w:val="18"/>
                <w:szCs w:val="18"/>
                <w:lang w:val="en-GB" w:eastAsia="en-GB"/>
              </w:rPr>
              <w:t xml:space="preserve">, </w:t>
            </w:r>
            <w:r w:rsidR="00F5229F"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D836C3F" w14:textId="77777777" w:rsidR="00F5229F" w:rsidRPr="00131D8F" w:rsidRDefault="00F5229F"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07B58C43" w14:textId="77777777" w:rsidTr="004A6EC7">
        <w:trPr>
          <w:trHeight w:val="240"/>
        </w:trPr>
        <w:tc>
          <w:tcPr>
            <w:tcW w:w="1074" w:type="dxa"/>
            <w:vMerge/>
            <w:shd w:val="clear" w:color="auto" w:fill="auto"/>
            <w:noWrap/>
            <w:vAlign w:val="center"/>
            <w:hideMark/>
          </w:tcPr>
          <w:p w14:paraId="18827B3C"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val="restart"/>
            <w:tcBorders>
              <w:top w:val="single" w:sz="4" w:space="0" w:color="auto"/>
            </w:tcBorders>
            <w:shd w:val="clear" w:color="auto" w:fill="auto"/>
            <w:noWrap/>
            <w:vAlign w:val="center"/>
            <w:hideMark/>
          </w:tcPr>
          <w:p w14:paraId="60BE7986"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Overweight</w:t>
            </w:r>
          </w:p>
        </w:tc>
        <w:tc>
          <w:tcPr>
            <w:tcW w:w="475" w:type="dxa"/>
            <w:tcBorders>
              <w:top w:val="single" w:sz="4" w:space="0" w:color="auto"/>
              <w:right w:val="single" w:sz="4" w:space="0" w:color="auto"/>
            </w:tcBorders>
            <w:shd w:val="clear" w:color="auto" w:fill="auto"/>
            <w:noWrap/>
            <w:vAlign w:val="center"/>
            <w:hideMark/>
          </w:tcPr>
          <w:p w14:paraId="0648E386"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354D36F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0.10</w:t>
            </w:r>
          </w:p>
        </w:tc>
        <w:tc>
          <w:tcPr>
            <w:tcW w:w="1134" w:type="dxa"/>
            <w:shd w:val="clear" w:color="auto" w:fill="auto"/>
            <w:noWrap/>
            <w:vAlign w:val="center"/>
            <w:hideMark/>
          </w:tcPr>
          <w:p w14:paraId="29F89533" w14:textId="720F183E"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0.90</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0809148"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83.4</w:t>
            </w:r>
          </w:p>
        </w:tc>
        <w:tc>
          <w:tcPr>
            <w:tcW w:w="567" w:type="dxa"/>
            <w:tcBorders>
              <w:left w:val="single" w:sz="4" w:space="0" w:color="auto"/>
            </w:tcBorders>
            <w:shd w:val="clear" w:color="auto" w:fill="auto"/>
            <w:noWrap/>
            <w:vAlign w:val="center"/>
            <w:hideMark/>
          </w:tcPr>
          <w:p w14:paraId="1F524323"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-0.18</w:t>
            </w:r>
          </w:p>
        </w:tc>
        <w:tc>
          <w:tcPr>
            <w:tcW w:w="1134" w:type="dxa"/>
            <w:shd w:val="clear" w:color="auto" w:fill="auto"/>
            <w:noWrap/>
            <w:vAlign w:val="center"/>
            <w:hideMark/>
          </w:tcPr>
          <w:p w14:paraId="6BA0E250" w14:textId="3FE63BF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-0.49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0.12</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16171312"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71.8</w:t>
            </w:r>
          </w:p>
        </w:tc>
        <w:tc>
          <w:tcPr>
            <w:tcW w:w="567" w:type="dxa"/>
            <w:tcBorders>
              <w:left w:val="single" w:sz="4" w:space="0" w:color="auto"/>
            </w:tcBorders>
            <w:shd w:val="clear" w:color="auto" w:fill="auto"/>
            <w:noWrap/>
            <w:vAlign w:val="center"/>
            <w:hideMark/>
          </w:tcPr>
          <w:p w14:paraId="0E4364B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-0.11</w:t>
            </w:r>
          </w:p>
        </w:tc>
        <w:tc>
          <w:tcPr>
            <w:tcW w:w="1134" w:type="dxa"/>
            <w:shd w:val="clear" w:color="auto" w:fill="auto"/>
            <w:noWrap/>
            <w:vAlign w:val="center"/>
            <w:hideMark/>
          </w:tcPr>
          <w:p w14:paraId="616EAE76" w14:textId="121FED11"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E27DCC0"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75.7</w:t>
            </w:r>
          </w:p>
        </w:tc>
        <w:tc>
          <w:tcPr>
            <w:tcW w:w="567" w:type="dxa"/>
            <w:tcBorders>
              <w:left w:val="single" w:sz="4" w:space="0" w:color="auto"/>
            </w:tcBorders>
            <w:shd w:val="clear" w:color="auto" w:fill="auto"/>
            <w:noWrap/>
            <w:vAlign w:val="center"/>
            <w:hideMark/>
          </w:tcPr>
          <w:p w14:paraId="0A4CA39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-0.04</w:t>
            </w:r>
          </w:p>
        </w:tc>
        <w:tc>
          <w:tcPr>
            <w:tcW w:w="1134" w:type="dxa"/>
            <w:shd w:val="clear" w:color="auto" w:fill="auto"/>
            <w:noWrap/>
            <w:vAlign w:val="center"/>
            <w:hideMark/>
          </w:tcPr>
          <w:p w14:paraId="5FACDE50" w14:textId="03FBCAF2"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0.01</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05D99854"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0B4D828D" w14:textId="77777777" w:rsidTr="004A6EC7">
        <w:trPr>
          <w:trHeight w:val="240"/>
        </w:trPr>
        <w:tc>
          <w:tcPr>
            <w:tcW w:w="1074" w:type="dxa"/>
            <w:vMerge/>
            <w:shd w:val="clear" w:color="auto" w:fill="auto"/>
            <w:noWrap/>
            <w:vAlign w:val="center"/>
            <w:hideMark/>
          </w:tcPr>
          <w:p w14:paraId="5AD28D3A"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vAlign w:val="center"/>
            <w:hideMark/>
          </w:tcPr>
          <w:p w14:paraId="5A80CE53" w14:textId="77777777" w:rsidR="00255353" w:rsidRPr="00131D8F" w:rsidRDefault="00255353"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1A782158"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0DA3E29F"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0.08</w:t>
            </w:r>
          </w:p>
        </w:tc>
        <w:tc>
          <w:tcPr>
            <w:tcW w:w="1134" w:type="dxa"/>
            <w:shd w:val="clear" w:color="auto" w:fill="auto"/>
            <w:noWrap/>
            <w:vAlign w:val="center"/>
            <w:hideMark/>
          </w:tcPr>
          <w:p w14:paraId="353BEF36" w14:textId="5E90BF7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-0.67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0.83</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754C3B5"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80.2</w:t>
            </w:r>
          </w:p>
        </w:tc>
        <w:tc>
          <w:tcPr>
            <w:tcW w:w="567" w:type="dxa"/>
            <w:tcBorders>
              <w:left w:val="single" w:sz="4" w:space="0" w:color="auto"/>
            </w:tcBorders>
            <w:shd w:val="clear" w:color="auto" w:fill="auto"/>
            <w:noWrap/>
            <w:vAlign w:val="center"/>
            <w:hideMark/>
          </w:tcPr>
          <w:p w14:paraId="69E4CF77"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-0.18</w:t>
            </w:r>
          </w:p>
        </w:tc>
        <w:tc>
          <w:tcPr>
            <w:tcW w:w="1134" w:type="dxa"/>
            <w:shd w:val="clear" w:color="auto" w:fill="auto"/>
            <w:noWrap/>
            <w:vAlign w:val="center"/>
            <w:hideMark/>
          </w:tcPr>
          <w:p w14:paraId="0BC457DC" w14:textId="47F5E886"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-0.54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0.17</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66B5B88"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75.3</w:t>
            </w:r>
          </w:p>
        </w:tc>
        <w:tc>
          <w:tcPr>
            <w:tcW w:w="567" w:type="dxa"/>
            <w:tcBorders>
              <w:left w:val="single" w:sz="4" w:space="0" w:color="auto"/>
            </w:tcBorders>
            <w:shd w:val="clear" w:color="auto" w:fill="auto"/>
            <w:noWrap/>
            <w:vAlign w:val="center"/>
            <w:hideMark/>
          </w:tcPr>
          <w:p w14:paraId="5FA32441"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-0.09</w:t>
            </w:r>
          </w:p>
        </w:tc>
        <w:tc>
          <w:tcPr>
            <w:tcW w:w="1134" w:type="dxa"/>
            <w:shd w:val="clear" w:color="auto" w:fill="auto"/>
            <w:noWrap/>
            <w:vAlign w:val="center"/>
            <w:hideMark/>
          </w:tcPr>
          <w:p w14:paraId="3567A4C6" w14:textId="511AF46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0.18</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4291007"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75.6</w:t>
            </w:r>
          </w:p>
        </w:tc>
        <w:tc>
          <w:tcPr>
            <w:tcW w:w="567" w:type="dxa"/>
            <w:tcBorders>
              <w:left w:val="single" w:sz="4" w:space="0" w:color="auto"/>
            </w:tcBorders>
            <w:shd w:val="clear" w:color="auto" w:fill="auto"/>
            <w:noWrap/>
            <w:vAlign w:val="center"/>
            <w:hideMark/>
          </w:tcPr>
          <w:p w14:paraId="1658BD0E"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-0.02</w:t>
            </w:r>
          </w:p>
        </w:tc>
        <w:tc>
          <w:tcPr>
            <w:tcW w:w="1134" w:type="dxa"/>
            <w:shd w:val="clear" w:color="auto" w:fill="auto"/>
            <w:noWrap/>
            <w:vAlign w:val="center"/>
            <w:hideMark/>
          </w:tcPr>
          <w:p w14:paraId="33BAEA17" w14:textId="19343C58"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0.03</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4B33D90"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1BB97CB6" w14:textId="77777777" w:rsidTr="004A6EC7">
        <w:trPr>
          <w:trHeight w:val="240"/>
        </w:trPr>
        <w:tc>
          <w:tcPr>
            <w:tcW w:w="1074" w:type="dxa"/>
            <w:vMerge/>
            <w:shd w:val="clear" w:color="auto" w:fill="auto"/>
            <w:noWrap/>
            <w:vAlign w:val="center"/>
            <w:hideMark/>
          </w:tcPr>
          <w:p w14:paraId="37960868"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val="restart"/>
            <w:tcBorders>
              <w:top w:val="single" w:sz="4" w:space="0" w:color="auto"/>
            </w:tcBorders>
            <w:shd w:val="clear" w:color="auto" w:fill="auto"/>
            <w:noWrap/>
            <w:vAlign w:val="center"/>
            <w:hideMark/>
          </w:tcPr>
          <w:p w14:paraId="11CD4591"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Obesity</w:t>
            </w:r>
          </w:p>
        </w:tc>
        <w:tc>
          <w:tcPr>
            <w:tcW w:w="475" w:type="dxa"/>
            <w:tcBorders>
              <w:top w:val="single" w:sz="4" w:space="0" w:color="auto"/>
              <w:right w:val="single" w:sz="4" w:space="0" w:color="auto"/>
            </w:tcBorders>
            <w:shd w:val="clear" w:color="auto" w:fill="auto"/>
            <w:noWrap/>
            <w:vAlign w:val="center"/>
            <w:hideMark/>
          </w:tcPr>
          <w:p w14:paraId="0AF27F9B"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14160C11"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0.30</w:t>
            </w:r>
          </w:p>
        </w:tc>
        <w:tc>
          <w:tcPr>
            <w:tcW w:w="1134" w:type="dxa"/>
            <w:shd w:val="clear" w:color="auto" w:fill="auto"/>
            <w:noWrap/>
            <w:vAlign w:val="center"/>
            <w:hideMark/>
          </w:tcPr>
          <w:p w14:paraId="352F1094" w14:textId="43318A3B"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-0.45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1.06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99BDAC0"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66.3</w:t>
            </w:r>
          </w:p>
        </w:tc>
        <w:tc>
          <w:tcPr>
            <w:tcW w:w="567" w:type="dxa"/>
            <w:tcBorders>
              <w:left w:val="single" w:sz="4" w:space="0" w:color="auto"/>
            </w:tcBorders>
            <w:shd w:val="clear" w:color="auto" w:fill="auto"/>
            <w:noWrap/>
            <w:vAlign w:val="center"/>
            <w:hideMark/>
          </w:tcPr>
          <w:p w14:paraId="1B23E18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-0.50</w:t>
            </w:r>
          </w:p>
        </w:tc>
        <w:tc>
          <w:tcPr>
            <w:tcW w:w="1134" w:type="dxa"/>
            <w:shd w:val="clear" w:color="auto" w:fill="auto"/>
            <w:noWrap/>
            <w:vAlign w:val="center"/>
            <w:hideMark/>
          </w:tcPr>
          <w:p w14:paraId="29EFB225" w14:textId="51586A61"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-0.89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-0.11</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B9206BC"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65.6</w:t>
            </w:r>
          </w:p>
        </w:tc>
        <w:tc>
          <w:tcPr>
            <w:tcW w:w="567" w:type="dxa"/>
            <w:tcBorders>
              <w:left w:val="single" w:sz="4" w:space="0" w:color="auto"/>
            </w:tcBorders>
            <w:shd w:val="clear" w:color="auto" w:fill="auto"/>
            <w:noWrap/>
            <w:vAlign w:val="center"/>
            <w:hideMark/>
          </w:tcPr>
          <w:p w14:paraId="5C195D9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-0.14</w:t>
            </w:r>
          </w:p>
        </w:tc>
        <w:tc>
          <w:tcPr>
            <w:tcW w:w="1134" w:type="dxa"/>
            <w:shd w:val="clear" w:color="auto" w:fill="auto"/>
            <w:noWrap/>
            <w:vAlign w:val="center"/>
            <w:hideMark/>
          </w:tcPr>
          <w:p w14:paraId="0C5410E5" w14:textId="5B2C6491"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-0.48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1018D86B"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72.6</w:t>
            </w:r>
          </w:p>
        </w:tc>
        <w:tc>
          <w:tcPr>
            <w:tcW w:w="567" w:type="dxa"/>
            <w:tcBorders>
              <w:left w:val="single" w:sz="4" w:space="0" w:color="auto"/>
            </w:tcBorders>
            <w:shd w:val="clear" w:color="auto" w:fill="auto"/>
            <w:noWrap/>
            <w:vAlign w:val="center"/>
            <w:hideMark/>
          </w:tcPr>
          <w:p w14:paraId="24332F54"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0.00</w:t>
            </w:r>
          </w:p>
        </w:tc>
        <w:tc>
          <w:tcPr>
            <w:tcW w:w="1134" w:type="dxa"/>
            <w:shd w:val="clear" w:color="auto" w:fill="auto"/>
            <w:noWrap/>
            <w:vAlign w:val="center"/>
            <w:hideMark/>
          </w:tcPr>
          <w:p w14:paraId="7EA7A513" w14:textId="3035C0DA"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0.07</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0074CBC2"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183B11D2" w14:textId="77777777" w:rsidTr="004A6EC7">
        <w:trPr>
          <w:trHeight w:val="240"/>
        </w:trPr>
        <w:tc>
          <w:tcPr>
            <w:tcW w:w="1074" w:type="dxa"/>
            <w:vMerge/>
            <w:tcBorders>
              <w:bottom w:val="single" w:sz="4" w:space="0" w:color="auto"/>
            </w:tcBorders>
            <w:shd w:val="clear" w:color="auto" w:fill="auto"/>
            <w:noWrap/>
            <w:vAlign w:val="center"/>
            <w:hideMark/>
          </w:tcPr>
          <w:p w14:paraId="35F2248A"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vAlign w:val="center"/>
            <w:hideMark/>
          </w:tcPr>
          <w:p w14:paraId="25709FFC" w14:textId="77777777" w:rsidR="00255353" w:rsidRPr="00131D8F" w:rsidRDefault="00255353" w:rsidP="009D46B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6CB63A3F"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25E56977"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0.24</w:t>
            </w:r>
          </w:p>
        </w:tc>
        <w:tc>
          <w:tcPr>
            <w:tcW w:w="1134" w:type="dxa"/>
            <w:shd w:val="clear" w:color="auto" w:fill="auto"/>
            <w:noWrap/>
            <w:vAlign w:val="center"/>
            <w:hideMark/>
          </w:tcPr>
          <w:p w14:paraId="77EADE31" w14:textId="7A8E6124"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-0.58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1.06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085B0799"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69.2</w:t>
            </w:r>
          </w:p>
        </w:tc>
        <w:tc>
          <w:tcPr>
            <w:tcW w:w="567" w:type="dxa"/>
            <w:tcBorders>
              <w:left w:val="single" w:sz="4" w:space="0" w:color="auto"/>
            </w:tcBorders>
            <w:shd w:val="clear" w:color="auto" w:fill="auto"/>
            <w:noWrap/>
            <w:vAlign w:val="center"/>
            <w:hideMark/>
          </w:tcPr>
          <w:p w14:paraId="273F2D8F"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-0.42</w:t>
            </w:r>
          </w:p>
        </w:tc>
        <w:tc>
          <w:tcPr>
            <w:tcW w:w="1134" w:type="dxa"/>
            <w:shd w:val="clear" w:color="auto" w:fill="auto"/>
            <w:noWrap/>
            <w:vAlign w:val="center"/>
            <w:hideMark/>
          </w:tcPr>
          <w:p w14:paraId="11A67D78" w14:textId="43C756C4"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-0.80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-0.03</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3B2813F3"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57.5</w:t>
            </w:r>
          </w:p>
        </w:tc>
        <w:tc>
          <w:tcPr>
            <w:tcW w:w="567" w:type="dxa"/>
            <w:tcBorders>
              <w:left w:val="single" w:sz="4" w:space="0" w:color="auto"/>
            </w:tcBorders>
            <w:shd w:val="clear" w:color="auto" w:fill="auto"/>
            <w:noWrap/>
            <w:vAlign w:val="center"/>
            <w:hideMark/>
          </w:tcPr>
          <w:p w14:paraId="0B922354"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-0.08</w:t>
            </w:r>
          </w:p>
        </w:tc>
        <w:tc>
          <w:tcPr>
            <w:tcW w:w="1134" w:type="dxa"/>
            <w:shd w:val="clear" w:color="auto" w:fill="auto"/>
            <w:noWrap/>
            <w:vAlign w:val="center"/>
            <w:hideMark/>
          </w:tcPr>
          <w:p w14:paraId="4A3488CD" w14:textId="24549031"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-0.48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0.33</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C70EE19"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79.3</w:t>
            </w:r>
          </w:p>
        </w:tc>
        <w:tc>
          <w:tcPr>
            <w:tcW w:w="567" w:type="dxa"/>
            <w:tcBorders>
              <w:left w:val="single" w:sz="4" w:space="0" w:color="auto"/>
            </w:tcBorders>
            <w:shd w:val="clear" w:color="auto" w:fill="auto"/>
            <w:noWrap/>
            <w:vAlign w:val="center"/>
            <w:hideMark/>
          </w:tcPr>
          <w:p w14:paraId="736B2433"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0.02</w:t>
            </w:r>
          </w:p>
        </w:tc>
        <w:tc>
          <w:tcPr>
            <w:tcW w:w="1134" w:type="dxa"/>
            <w:shd w:val="clear" w:color="auto" w:fill="auto"/>
            <w:noWrap/>
            <w:vAlign w:val="center"/>
            <w:hideMark/>
          </w:tcPr>
          <w:p w14:paraId="1318F946" w14:textId="78E62566"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401F9F9D"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2.7</w:t>
            </w:r>
          </w:p>
        </w:tc>
      </w:tr>
      <w:tr w:rsidR="009E36E6" w:rsidRPr="00131D8F" w14:paraId="0E49BCA5" w14:textId="77777777" w:rsidTr="004A6EC7">
        <w:trPr>
          <w:trHeight w:val="240"/>
        </w:trPr>
        <w:tc>
          <w:tcPr>
            <w:tcW w:w="2247" w:type="dxa"/>
            <w:gridSpan w:val="2"/>
            <w:vMerge w:val="restart"/>
            <w:tcBorders>
              <w:top w:val="single" w:sz="4" w:space="0" w:color="auto"/>
            </w:tcBorders>
            <w:shd w:val="clear" w:color="auto" w:fill="auto"/>
            <w:noWrap/>
            <w:hideMark/>
          </w:tcPr>
          <w:p w14:paraId="2D275937" w14:textId="785E26B1" w:rsidR="00255353" w:rsidRPr="00131D8F" w:rsidRDefault="00255353" w:rsidP="00F3764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Smoking status during pregnancy</w:t>
            </w:r>
            <w:r>
              <w:rPr>
                <w:rFonts w:ascii="Calibri" w:eastAsia="Times New Roman" w:hAnsi="Calibri" w:cs="Calibri"/>
                <w:color w:val="000000"/>
                <w:sz w:val="18"/>
                <w:szCs w:val="18"/>
                <w:lang w:val="en-GB" w:eastAsia="en-GB"/>
              </w:rPr>
              <w:t xml:space="preserve"> (Non-smoker)</w:t>
            </w:r>
          </w:p>
        </w:tc>
        <w:tc>
          <w:tcPr>
            <w:tcW w:w="475" w:type="dxa"/>
            <w:tcBorders>
              <w:top w:val="single" w:sz="4" w:space="0" w:color="auto"/>
              <w:right w:val="single" w:sz="4" w:space="0" w:color="auto"/>
            </w:tcBorders>
            <w:shd w:val="clear" w:color="auto" w:fill="auto"/>
            <w:noWrap/>
            <w:vAlign w:val="center"/>
            <w:hideMark/>
          </w:tcPr>
          <w:p w14:paraId="59966819"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7A246E1B"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-1.74</w:t>
            </w:r>
          </w:p>
        </w:tc>
        <w:tc>
          <w:tcPr>
            <w:tcW w:w="1134" w:type="dxa"/>
            <w:shd w:val="clear" w:color="auto" w:fill="auto"/>
            <w:noWrap/>
            <w:vAlign w:val="center"/>
            <w:hideMark/>
          </w:tcPr>
          <w:p w14:paraId="546FAF14" w14:textId="4F974DBE"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-2.63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-0.85</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B9C63A3"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85.2</w:t>
            </w:r>
          </w:p>
        </w:tc>
        <w:tc>
          <w:tcPr>
            <w:tcW w:w="567" w:type="dxa"/>
            <w:tcBorders>
              <w:left w:val="single" w:sz="4" w:space="0" w:color="auto"/>
            </w:tcBorders>
            <w:shd w:val="clear" w:color="auto" w:fill="auto"/>
            <w:noWrap/>
            <w:vAlign w:val="center"/>
            <w:hideMark/>
          </w:tcPr>
          <w:p w14:paraId="19A74819"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-1.28</w:t>
            </w:r>
          </w:p>
        </w:tc>
        <w:tc>
          <w:tcPr>
            <w:tcW w:w="1134" w:type="dxa"/>
            <w:shd w:val="clear" w:color="auto" w:fill="auto"/>
            <w:noWrap/>
            <w:vAlign w:val="center"/>
            <w:hideMark/>
          </w:tcPr>
          <w:p w14:paraId="3E420937" w14:textId="5DCAAFCE"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-1.47</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-1.08</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6685D0C"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32.0</w:t>
            </w:r>
          </w:p>
        </w:tc>
        <w:tc>
          <w:tcPr>
            <w:tcW w:w="567" w:type="dxa"/>
            <w:tcBorders>
              <w:left w:val="single" w:sz="4" w:space="0" w:color="auto"/>
            </w:tcBorders>
            <w:shd w:val="clear" w:color="auto" w:fill="auto"/>
            <w:noWrap/>
            <w:vAlign w:val="center"/>
            <w:hideMark/>
          </w:tcPr>
          <w:p w14:paraId="6CC6559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0.34</w:t>
            </w:r>
          </w:p>
        </w:tc>
        <w:tc>
          <w:tcPr>
            <w:tcW w:w="1134" w:type="dxa"/>
            <w:shd w:val="clear" w:color="auto" w:fill="auto"/>
            <w:noWrap/>
            <w:vAlign w:val="center"/>
            <w:hideMark/>
          </w:tcPr>
          <w:p w14:paraId="61B60C4F" w14:textId="6A71A1AE"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0.48</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0031A41"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3212E424"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0.40</w:t>
            </w:r>
          </w:p>
        </w:tc>
        <w:tc>
          <w:tcPr>
            <w:tcW w:w="1134" w:type="dxa"/>
            <w:shd w:val="clear" w:color="auto" w:fill="auto"/>
            <w:noWrap/>
            <w:vAlign w:val="center"/>
            <w:hideMark/>
          </w:tcPr>
          <w:p w14:paraId="01539F68" w14:textId="100708B8"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0.56</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001705E4"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87.0</w:t>
            </w:r>
          </w:p>
        </w:tc>
      </w:tr>
      <w:tr w:rsidR="009E36E6" w:rsidRPr="00131D8F" w14:paraId="37AF4537" w14:textId="77777777" w:rsidTr="004A6EC7">
        <w:trPr>
          <w:trHeight w:val="240"/>
        </w:trPr>
        <w:tc>
          <w:tcPr>
            <w:tcW w:w="2247" w:type="dxa"/>
            <w:gridSpan w:val="2"/>
            <w:vMerge/>
            <w:tcBorders>
              <w:bottom w:val="single" w:sz="4" w:space="0" w:color="auto"/>
            </w:tcBorders>
            <w:shd w:val="clear" w:color="auto" w:fill="auto"/>
            <w:noWrap/>
            <w:vAlign w:val="center"/>
            <w:hideMark/>
          </w:tcPr>
          <w:p w14:paraId="73FC8EF3" w14:textId="77777777" w:rsidR="00255353" w:rsidRPr="00131D8F" w:rsidRDefault="00255353"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3B050666"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4AD3564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-1.74</w:t>
            </w:r>
          </w:p>
        </w:tc>
        <w:tc>
          <w:tcPr>
            <w:tcW w:w="1134" w:type="dxa"/>
            <w:shd w:val="clear" w:color="auto" w:fill="auto"/>
            <w:noWrap/>
            <w:vAlign w:val="center"/>
            <w:hideMark/>
          </w:tcPr>
          <w:p w14:paraId="7020E9CD" w14:textId="0CF935F2"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-2.52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-0.96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39B646AC"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79.2</w:t>
            </w:r>
          </w:p>
        </w:tc>
        <w:tc>
          <w:tcPr>
            <w:tcW w:w="567" w:type="dxa"/>
            <w:tcBorders>
              <w:left w:val="single" w:sz="4" w:space="0" w:color="auto"/>
            </w:tcBorders>
            <w:shd w:val="clear" w:color="auto" w:fill="auto"/>
            <w:noWrap/>
            <w:vAlign w:val="center"/>
            <w:hideMark/>
          </w:tcPr>
          <w:p w14:paraId="20C20F3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-1.33</w:t>
            </w:r>
          </w:p>
        </w:tc>
        <w:tc>
          <w:tcPr>
            <w:tcW w:w="1134" w:type="dxa"/>
            <w:shd w:val="clear" w:color="auto" w:fill="auto"/>
            <w:noWrap/>
            <w:vAlign w:val="center"/>
            <w:hideMark/>
          </w:tcPr>
          <w:p w14:paraId="4CFF09BB" w14:textId="3195E04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-1.51</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-1.15</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F251DA7"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12.1</w:t>
            </w:r>
          </w:p>
        </w:tc>
        <w:tc>
          <w:tcPr>
            <w:tcW w:w="567" w:type="dxa"/>
            <w:tcBorders>
              <w:left w:val="single" w:sz="4" w:space="0" w:color="auto"/>
            </w:tcBorders>
            <w:shd w:val="clear" w:color="auto" w:fill="auto"/>
            <w:noWrap/>
            <w:vAlign w:val="center"/>
            <w:hideMark/>
          </w:tcPr>
          <w:p w14:paraId="7DEF7DE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0.33</w:t>
            </w:r>
          </w:p>
        </w:tc>
        <w:tc>
          <w:tcPr>
            <w:tcW w:w="1134" w:type="dxa"/>
            <w:shd w:val="clear" w:color="auto" w:fill="auto"/>
            <w:noWrap/>
            <w:vAlign w:val="center"/>
            <w:hideMark/>
          </w:tcPr>
          <w:p w14:paraId="6484C026" w14:textId="382E7CAC"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0.47</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3CC5C0D"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61F44E4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0.38</w:t>
            </w:r>
          </w:p>
        </w:tc>
        <w:tc>
          <w:tcPr>
            <w:tcW w:w="1134" w:type="dxa"/>
            <w:shd w:val="clear" w:color="auto" w:fill="auto"/>
            <w:noWrap/>
            <w:vAlign w:val="center"/>
            <w:hideMark/>
          </w:tcPr>
          <w:p w14:paraId="7B8B3A3A" w14:textId="6122D30A"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0.50</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745B14B"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70.9</w:t>
            </w:r>
          </w:p>
        </w:tc>
      </w:tr>
      <w:tr w:rsidR="009E36E6" w:rsidRPr="00131D8F" w14:paraId="4E8A433A" w14:textId="77777777" w:rsidTr="004A6EC7">
        <w:trPr>
          <w:trHeight w:val="240"/>
        </w:trPr>
        <w:tc>
          <w:tcPr>
            <w:tcW w:w="2247" w:type="dxa"/>
            <w:gridSpan w:val="2"/>
            <w:vMerge w:val="restart"/>
            <w:tcBorders>
              <w:top w:val="single" w:sz="4" w:space="0" w:color="auto"/>
            </w:tcBorders>
            <w:shd w:val="clear" w:color="auto" w:fill="auto"/>
            <w:noWrap/>
            <w:hideMark/>
          </w:tcPr>
          <w:p w14:paraId="59FF26F2" w14:textId="402C11E3" w:rsidR="00255353" w:rsidRPr="00131D8F" w:rsidRDefault="00255353" w:rsidP="00F3764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Alcohol consumption during pregnancy</w:t>
            </w:r>
            <w:r>
              <w:rPr>
                <w:rFonts w:ascii="Calibri" w:eastAsia="Times New Roman" w:hAnsi="Calibri" w:cs="Calibri"/>
                <w:color w:val="000000"/>
                <w:sz w:val="18"/>
                <w:szCs w:val="18"/>
                <w:lang w:val="en-GB" w:eastAsia="en-GB"/>
              </w:rPr>
              <w:t xml:space="preserve"> (</w:t>
            </w:r>
            <w:proofErr w:type="gramStart"/>
            <w:r>
              <w:rPr>
                <w:rFonts w:ascii="Calibri" w:eastAsia="Times New Roman" w:hAnsi="Calibri" w:cs="Calibri"/>
                <w:color w:val="000000"/>
                <w:sz w:val="18"/>
                <w:szCs w:val="18"/>
                <w:lang w:val="en-GB" w:eastAsia="en-GB"/>
              </w:rPr>
              <w:t>Non-consumer</w:t>
            </w:r>
            <w:proofErr w:type="gramEnd"/>
            <w:r>
              <w:rPr>
                <w:rFonts w:ascii="Calibri" w:eastAsia="Times New Roman" w:hAnsi="Calibri" w:cs="Calibri"/>
                <w:color w:val="000000"/>
                <w:sz w:val="18"/>
                <w:szCs w:val="18"/>
                <w:lang w:val="en-GB" w:eastAsia="en-GB"/>
              </w:rPr>
              <w:t>)</w:t>
            </w:r>
          </w:p>
        </w:tc>
        <w:tc>
          <w:tcPr>
            <w:tcW w:w="475" w:type="dxa"/>
            <w:tcBorders>
              <w:top w:val="single" w:sz="4" w:space="0" w:color="auto"/>
              <w:right w:val="single" w:sz="4" w:space="0" w:color="auto"/>
            </w:tcBorders>
            <w:shd w:val="clear" w:color="auto" w:fill="auto"/>
            <w:noWrap/>
            <w:vAlign w:val="center"/>
            <w:hideMark/>
          </w:tcPr>
          <w:p w14:paraId="2C85F532"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2A1C4C7E"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0.12</w:t>
            </w:r>
          </w:p>
        </w:tc>
        <w:tc>
          <w:tcPr>
            <w:tcW w:w="1134" w:type="dxa"/>
            <w:shd w:val="clear" w:color="auto" w:fill="auto"/>
            <w:noWrap/>
            <w:vAlign w:val="center"/>
            <w:hideMark/>
          </w:tcPr>
          <w:p w14:paraId="509C17EB" w14:textId="121D66B0"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0.40</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0F4E6EC3"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4EFBE0E4"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-0.02</w:t>
            </w:r>
          </w:p>
        </w:tc>
        <w:tc>
          <w:tcPr>
            <w:tcW w:w="1134" w:type="dxa"/>
            <w:shd w:val="clear" w:color="auto" w:fill="auto"/>
            <w:noWrap/>
            <w:vAlign w:val="center"/>
            <w:hideMark/>
          </w:tcPr>
          <w:p w14:paraId="0FE42F8D" w14:textId="178A5970"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4000FB54"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37.2</w:t>
            </w:r>
          </w:p>
        </w:tc>
        <w:tc>
          <w:tcPr>
            <w:tcW w:w="567" w:type="dxa"/>
            <w:tcBorders>
              <w:left w:val="single" w:sz="4" w:space="0" w:color="auto"/>
            </w:tcBorders>
            <w:shd w:val="clear" w:color="auto" w:fill="auto"/>
            <w:noWrap/>
            <w:vAlign w:val="center"/>
            <w:hideMark/>
          </w:tcPr>
          <w:p w14:paraId="00B6ADD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-0.14</w:t>
            </w:r>
          </w:p>
        </w:tc>
        <w:tc>
          <w:tcPr>
            <w:tcW w:w="1134" w:type="dxa"/>
            <w:shd w:val="clear" w:color="auto" w:fill="auto"/>
            <w:noWrap/>
            <w:vAlign w:val="center"/>
            <w:hideMark/>
          </w:tcPr>
          <w:p w14:paraId="07D8AF3A" w14:textId="0E8FA80C"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-0.03</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1EC6F30D"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51670F4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0.16</w:t>
            </w:r>
          </w:p>
        </w:tc>
        <w:tc>
          <w:tcPr>
            <w:tcW w:w="1134" w:type="dxa"/>
            <w:shd w:val="clear" w:color="auto" w:fill="auto"/>
            <w:noWrap/>
            <w:vAlign w:val="center"/>
            <w:hideMark/>
          </w:tcPr>
          <w:p w14:paraId="33F6A52B" w14:textId="2EDCA140"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182B41DC"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3BB6273A" w14:textId="77777777" w:rsidTr="004A6EC7">
        <w:trPr>
          <w:trHeight w:val="240"/>
        </w:trPr>
        <w:tc>
          <w:tcPr>
            <w:tcW w:w="2247" w:type="dxa"/>
            <w:gridSpan w:val="2"/>
            <w:vMerge/>
            <w:tcBorders>
              <w:bottom w:val="single" w:sz="4" w:space="0" w:color="auto"/>
            </w:tcBorders>
            <w:shd w:val="clear" w:color="auto" w:fill="auto"/>
            <w:noWrap/>
            <w:vAlign w:val="center"/>
            <w:hideMark/>
          </w:tcPr>
          <w:p w14:paraId="60FA2881" w14:textId="77777777" w:rsidR="00255353" w:rsidRPr="00131D8F" w:rsidRDefault="00255353" w:rsidP="00131D8F">
            <w:pPr>
              <w:jc w:val="left"/>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77F0B799"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68C0678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0.00</w:t>
            </w:r>
          </w:p>
        </w:tc>
        <w:tc>
          <w:tcPr>
            <w:tcW w:w="1134" w:type="dxa"/>
            <w:shd w:val="clear" w:color="auto" w:fill="auto"/>
            <w:noWrap/>
            <w:vAlign w:val="center"/>
            <w:hideMark/>
          </w:tcPr>
          <w:p w14:paraId="6A92EF4A" w14:textId="2A04B841"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-0.35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0.36</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1F2CFDD"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34.8</w:t>
            </w:r>
          </w:p>
        </w:tc>
        <w:tc>
          <w:tcPr>
            <w:tcW w:w="567" w:type="dxa"/>
            <w:tcBorders>
              <w:left w:val="single" w:sz="4" w:space="0" w:color="auto"/>
            </w:tcBorders>
            <w:shd w:val="clear" w:color="auto" w:fill="auto"/>
            <w:noWrap/>
            <w:vAlign w:val="center"/>
            <w:hideMark/>
          </w:tcPr>
          <w:p w14:paraId="7B1D0CE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-0.04</w:t>
            </w:r>
          </w:p>
        </w:tc>
        <w:tc>
          <w:tcPr>
            <w:tcW w:w="1134" w:type="dxa"/>
            <w:shd w:val="clear" w:color="auto" w:fill="auto"/>
            <w:noWrap/>
            <w:vAlign w:val="center"/>
            <w:hideMark/>
          </w:tcPr>
          <w:p w14:paraId="3C995723" w14:textId="1FCD06CB"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1B0B161"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62.5</w:t>
            </w:r>
          </w:p>
        </w:tc>
        <w:tc>
          <w:tcPr>
            <w:tcW w:w="567" w:type="dxa"/>
            <w:tcBorders>
              <w:left w:val="single" w:sz="4" w:space="0" w:color="auto"/>
            </w:tcBorders>
            <w:shd w:val="clear" w:color="auto" w:fill="auto"/>
            <w:noWrap/>
            <w:vAlign w:val="center"/>
            <w:hideMark/>
          </w:tcPr>
          <w:p w14:paraId="5291C402"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-0.12</w:t>
            </w:r>
          </w:p>
        </w:tc>
        <w:tc>
          <w:tcPr>
            <w:tcW w:w="1134" w:type="dxa"/>
            <w:shd w:val="clear" w:color="auto" w:fill="auto"/>
            <w:noWrap/>
            <w:vAlign w:val="center"/>
            <w:hideMark/>
          </w:tcPr>
          <w:p w14:paraId="114C977F" w14:textId="1158966E"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-0.23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-0.01</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25CA1ED"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c>
          <w:tcPr>
            <w:tcW w:w="567" w:type="dxa"/>
            <w:tcBorders>
              <w:left w:val="single" w:sz="4" w:space="0" w:color="auto"/>
            </w:tcBorders>
            <w:shd w:val="clear" w:color="auto" w:fill="auto"/>
            <w:noWrap/>
            <w:vAlign w:val="center"/>
            <w:hideMark/>
          </w:tcPr>
          <w:p w14:paraId="76BCE32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0.19</w:t>
            </w:r>
          </w:p>
        </w:tc>
        <w:tc>
          <w:tcPr>
            <w:tcW w:w="1134" w:type="dxa"/>
            <w:shd w:val="clear" w:color="auto" w:fill="auto"/>
            <w:noWrap/>
            <w:vAlign w:val="center"/>
            <w:hideMark/>
          </w:tcPr>
          <w:p w14:paraId="69112348" w14:textId="05FF513F"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0.23</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51837897"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w:t>
            </w:r>
          </w:p>
        </w:tc>
      </w:tr>
      <w:tr w:rsidR="009E36E6" w:rsidRPr="00131D8F" w14:paraId="748916D2" w14:textId="77777777" w:rsidTr="004A6EC7">
        <w:trPr>
          <w:trHeight w:val="240"/>
        </w:trPr>
        <w:tc>
          <w:tcPr>
            <w:tcW w:w="1074" w:type="dxa"/>
            <w:vMerge w:val="restart"/>
            <w:tcBorders>
              <w:top w:val="single" w:sz="4" w:space="0" w:color="auto"/>
            </w:tcBorders>
            <w:shd w:val="clear" w:color="auto" w:fill="auto"/>
            <w:noWrap/>
            <w:hideMark/>
          </w:tcPr>
          <w:p w14:paraId="560BA4E6" w14:textId="42012275" w:rsidR="00255353" w:rsidRPr="00131D8F" w:rsidRDefault="00255353" w:rsidP="00F3764A">
            <w:pPr>
              <w:jc w:val="left"/>
              <w:rPr>
                <w:rFonts w:ascii="Calibri" w:eastAsia="Times New Roman" w:hAnsi="Calibri" w:cs="Calibri"/>
                <w:sz w:val="18"/>
                <w:szCs w:val="18"/>
                <w:lang w:val="en-GB" w:eastAsia="en-GB"/>
              </w:rPr>
            </w:pPr>
            <w:r>
              <w:rPr>
                <w:rFonts w:ascii="Calibri" w:eastAsia="Times New Roman" w:hAnsi="Calibri" w:cs="Calibri"/>
                <w:b/>
                <w:color w:val="000000"/>
                <w:sz w:val="18"/>
                <w:szCs w:val="18"/>
                <w:lang w:val="en-GB" w:eastAsia="en-GB"/>
              </w:rPr>
              <w:t xml:space="preserve">Physical activity level during </w:t>
            </w:r>
            <w:proofErr w:type="spellStart"/>
            <w:r>
              <w:rPr>
                <w:rFonts w:ascii="Calibri" w:eastAsia="Times New Roman" w:hAnsi="Calibri" w:cs="Calibri"/>
                <w:b/>
                <w:color w:val="000000"/>
                <w:sz w:val="18"/>
                <w:szCs w:val="18"/>
                <w:lang w:val="en-GB" w:eastAsia="en-GB"/>
              </w:rPr>
              <w:t>pregnancy</w:t>
            </w:r>
            <w:r w:rsidR="00E42127">
              <w:rPr>
                <w:rFonts w:ascii="Calibri" w:eastAsia="Times New Roman" w:hAnsi="Calibri" w:cs="Calibri"/>
                <w:b/>
                <w:color w:val="000000"/>
                <w:sz w:val="18"/>
                <w:szCs w:val="18"/>
                <w:vertAlign w:val="superscript"/>
                <w:lang w:val="en-GB" w:eastAsia="en-GB"/>
              </w:rPr>
              <w:t>a</w:t>
            </w:r>
            <w:proofErr w:type="spellEnd"/>
            <w:r>
              <w:rPr>
                <w:rFonts w:ascii="Calibri" w:eastAsia="Times New Roman" w:hAnsi="Calibri" w:cs="Calibri"/>
                <w:color w:val="000000"/>
                <w:sz w:val="18"/>
                <w:szCs w:val="18"/>
                <w:lang w:val="en-GB" w:eastAsia="en-GB"/>
              </w:rPr>
              <w:t xml:space="preserve"> (High)</w:t>
            </w:r>
          </w:p>
        </w:tc>
        <w:tc>
          <w:tcPr>
            <w:tcW w:w="1173" w:type="dxa"/>
            <w:vMerge w:val="restart"/>
            <w:tcBorders>
              <w:top w:val="single" w:sz="4" w:space="0" w:color="auto"/>
            </w:tcBorders>
            <w:shd w:val="clear" w:color="auto" w:fill="auto"/>
            <w:noWrap/>
            <w:vAlign w:val="center"/>
            <w:hideMark/>
          </w:tcPr>
          <w:p w14:paraId="17C1FAAD"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Low</w:t>
            </w:r>
          </w:p>
        </w:tc>
        <w:tc>
          <w:tcPr>
            <w:tcW w:w="475" w:type="dxa"/>
            <w:tcBorders>
              <w:top w:val="single" w:sz="4" w:space="0" w:color="auto"/>
              <w:right w:val="single" w:sz="4" w:space="0" w:color="auto"/>
            </w:tcBorders>
            <w:shd w:val="clear" w:color="auto" w:fill="auto"/>
            <w:noWrap/>
            <w:vAlign w:val="center"/>
            <w:hideMark/>
          </w:tcPr>
          <w:p w14:paraId="07BA80A3"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18E5B320"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-1.19</w:t>
            </w:r>
          </w:p>
        </w:tc>
        <w:tc>
          <w:tcPr>
            <w:tcW w:w="1134" w:type="dxa"/>
            <w:shd w:val="clear" w:color="auto" w:fill="auto"/>
            <w:noWrap/>
            <w:vAlign w:val="center"/>
            <w:hideMark/>
          </w:tcPr>
          <w:p w14:paraId="3A7B25F3" w14:textId="0E13D5FB"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-2.53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16BB8F1"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93.9</w:t>
            </w:r>
          </w:p>
        </w:tc>
        <w:tc>
          <w:tcPr>
            <w:tcW w:w="567" w:type="dxa"/>
            <w:tcBorders>
              <w:left w:val="single" w:sz="4" w:space="0" w:color="auto"/>
            </w:tcBorders>
            <w:shd w:val="clear" w:color="auto" w:fill="auto"/>
            <w:noWrap/>
            <w:vAlign w:val="center"/>
            <w:hideMark/>
          </w:tcPr>
          <w:p w14:paraId="3CA2AAF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-1.00</w:t>
            </w:r>
          </w:p>
        </w:tc>
        <w:tc>
          <w:tcPr>
            <w:tcW w:w="1134" w:type="dxa"/>
            <w:shd w:val="clear" w:color="auto" w:fill="auto"/>
            <w:noWrap/>
            <w:vAlign w:val="center"/>
            <w:hideMark/>
          </w:tcPr>
          <w:p w14:paraId="7AB52F86" w14:textId="19DBC97A"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-1.46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-0.54</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13ED2603"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81.2</w:t>
            </w:r>
          </w:p>
        </w:tc>
        <w:tc>
          <w:tcPr>
            <w:tcW w:w="567" w:type="dxa"/>
            <w:tcBorders>
              <w:left w:val="single" w:sz="4" w:space="0" w:color="auto"/>
            </w:tcBorders>
            <w:shd w:val="clear" w:color="auto" w:fill="auto"/>
            <w:noWrap/>
            <w:vAlign w:val="center"/>
            <w:hideMark/>
          </w:tcPr>
          <w:p w14:paraId="0BD7FE29"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0.49</w:t>
            </w:r>
          </w:p>
        </w:tc>
        <w:tc>
          <w:tcPr>
            <w:tcW w:w="1134" w:type="dxa"/>
            <w:shd w:val="clear" w:color="auto" w:fill="auto"/>
            <w:noWrap/>
            <w:vAlign w:val="center"/>
            <w:hideMark/>
          </w:tcPr>
          <w:p w14:paraId="025691BB" w14:textId="6C04DB29"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1.13</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E216476"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95.7</w:t>
            </w:r>
          </w:p>
        </w:tc>
        <w:tc>
          <w:tcPr>
            <w:tcW w:w="567" w:type="dxa"/>
            <w:tcBorders>
              <w:left w:val="single" w:sz="4" w:space="0" w:color="auto"/>
            </w:tcBorders>
            <w:shd w:val="clear" w:color="auto" w:fill="auto"/>
            <w:noWrap/>
            <w:vAlign w:val="center"/>
            <w:hideMark/>
          </w:tcPr>
          <w:p w14:paraId="7217DF2E"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0.37</w:t>
            </w:r>
          </w:p>
        </w:tc>
        <w:tc>
          <w:tcPr>
            <w:tcW w:w="1134" w:type="dxa"/>
            <w:shd w:val="clear" w:color="auto" w:fill="auto"/>
            <w:noWrap/>
            <w:vAlign w:val="center"/>
            <w:hideMark/>
          </w:tcPr>
          <w:p w14:paraId="771396D3" w14:textId="76145B4B"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0.19</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0.54</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458E0600"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81.2</w:t>
            </w:r>
          </w:p>
        </w:tc>
      </w:tr>
      <w:tr w:rsidR="009E36E6" w:rsidRPr="00131D8F" w14:paraId="5381DEAC" w14:textId="77777777" w:rsidTr="004A6EC7">
        <w:trPr>
          <w:trHeight w:val="240"/>
        </w:trPr>
        <w:tc>
          <w:tcPr>
            <w:tcW w:w="1074" w:type="dxa"/>
            <w:vMerge/>
            <w:shd w:val="clear" w:color="auto" w:fill="auto"/>
            <w:noWrap/>
            <w:vAlign w:val="center"/>
            <w:hideMark/>
          </w:tcPr>
          <w:p w14:paraId="4A3D7AE9"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tcBorders>
              <w:bottom w:val="single" w:sz="4" w:space="0" w:color="auto"/>
            </w:tcBorders>
            <w:shd w:val="clear" w:color="auto" w:fill="auto"/>
            <w:noWrap/>
            <w:hideMark/>
          </w:tcPr>
          <w:p w14:paraId="33A129F7" w14:textId="77777777" w:rsidR="00255353" w:rsidRPr="00131D8F" w:rsidRDefault="00255353" w:rsidP="00F3764A">
            <w:pPr>
              <w:rPr>
                <w:rFonts w:eastAsia="Times New Roman"/>
                <w:sz w:val="20"/>
                <w:szCs w:val="20"/>
                <w:lang w:val="en-GB" w:eastAsia="en-GB"/>
              </w:rPr>
            </w:pPr>
          </w:p>
        </w:tc>
        <w:tc>
          <w:tcPr>
            <w:tcW w:w="475" w:type="dxa"/>
            <w:tcBorders>
              <w:bottom w:val="single" w:sz="4" w:space="0" w:color="auto"/>
              <w:right w:val="single" w:sz="4" w:space="0" w:color="auto"/>
            </w:tcBorders>
            <w:shd w:val="clear" w:color="auto" w:fill="auto"/>
            <w:noWrap/>
            <w:vAlign w:val="center"/>
            <w:hideMark/>
          </w:tcPr>
          <w:p w14:paraId="48D3C318"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7EF04BC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-1.20</w:t>
            </w:r>
          </w:p>
        </w:tc>
        <w:tc>
          <w:tcPr>
            <w:tcW w:w="1134" w:type="dxa"/>
            <w:shd w:val="clear" w:color="auto" w:fill="auto"/>
            <w:noWrap/>
            <w:vAlign w:val="center"/>
            <w:hideMark/>
          </w:tcPr>
          <w:p w14:paraId="7FBE49DE" w14:textId="2062EC66"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-2.53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0.13</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4224C97A"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93.3</w:t>
            </w:r>
          </w:p>
        </w:tc>
        <w:tc>
          <w:tcPr>
            <w:tcW w:w="567" w:type="dxa"/>
            <w:tcBorders>
              <w:left w:val="single" w:sz="4" w:space="0" w:color="auto"/>
            </w:tcBorders>
            <w:shd w:val="clear" w:color="auto" w:fill="auto"/>
            <w:noWrap/>
            <w:vAlign w:val="center"/>
            <w:hideMark/>
          </w:tcPr>
          <w:p w14:paraId="185222AB"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-1.00</w:t>
            </w:r>
          </w:p>
        </w:tc>
        <w:tc>
          <w:tcPr>
            <w:tcW w:w="1134" w:type="dxa"/>
            <w:shd w:val="clear" w:color="auto" w:fill="auto"/>
            <w:noWrap/>
            <w:vAlign w:val="center"/>
            <w:hideMark/>
          </w:tcPr>
          <w:p w14:paraId="4154BFA0" w14:textId="77191F89"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-1.43</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-0.57</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6B483B3C"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73.5</w:t>
            </w:r>
          </w:p>
        </w:tc>
        <w:tc>
          <w:tcPr>
            <w:tcW w:w="567" w:type="dxa"/>
            <w:tcBorders>
              <w:left w:val="single" w:sz="4" w:space="0" w:color="auto"/>
            </w:tcBorders>
            <w:shd w:val="clear" w:color="auto" w:fill="auto"/>
            <w:noWrap/>
            <w:vAlign w:val="center"/>
            <w:hideMark/>
          </w:tcPr>
          <w:p w14:paraId="4D154C08"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0.48</w:t>
            </w:r>
          </w:p>
        </w:tc>
        <w:tc>
          <w:tcPr>
            <w:tcW w:w="1134" w:type="dxa"/>
            <w:shd w:val="clear" w:color="auto" w:fill="auto"/>
            <w:noWrap/>
            <w:vAlign w:val="center"/>
            <w:hideMark/>
          </w:tcPr>
          <w:p w14:paraId="771D01DA" w14:textId="3D6BCF84"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1.08</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EDCED46"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94.7</w:t>
            </w:r>
          </w:p>
        </w:tc>
        <w:tc>
          <w:tcPr>
            <w:tcW w:w="567" w:type="dxa"/>
            <w:tcBorders>
              <w:left w:val="single" w:sz="4" w:space="0" w:color="auto"/>
            </w:tcBorders>
            <w:shd w:val="clear" w:color="auto" w:fill="auto"/>
            <w:noWrap/>
            <w:vAlign w:val="center"/>
            <w:hideMark/>
          </w:tcPr>
          <w:p w14:paraId="6C87719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0.35</w:t>
            </w:r>
          </w:p>
        </w:tc>
        <w:tc>
          <w:tcPr>
            <w:tcW w:w="1134" w:type="dxa"/>
            <w:shd w:val="clear" w:color="auto" w:fill="auto"/>
            <w:noWrap/>
            <w:vAlign w:val="center"/>
            <w:hideMark/>
          </w:tcPr>
          <w:p w14:paraId="677D1614" w14:textId="6FF3C689"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0.16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0.54</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44C4F899"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79.4</w:t>
            </w:r>
          </w:p>
        </w:tc>
      </w:tr>
      <w:tr w:rsidR="009E36E6" w:rsidRPr="00131D8F" w14:paraId="570227FF" w14:textId="77777777" w:rsidTr="004A6EC7">
        <w:trPr>
          <w:trHeight w:val="240"/>
        </w:trPr>
        <w:tc>
          <w:tcPr>
            <w:tcW w:w="1074" w:type="dxa"/>
            <w:vMerge/>
            <w:shd w:val="clear" w:color="auto" w:fill="auto"/>
            <w:noWrap/>
            <w:vAlign w:val="center"/>
            <w:hideMark/>
          </w:tcPr>
          <w:p w14:paraId="38484533"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val="restart"/>
            <w:tcBorders>
              <w:top w:val="single" w:sz="4" w:space="0" w:color="auto"/>
            </w:tcBorders>
            <w:shd w:val="clear" w:color="auto" w:fill="auto"/>
            <w:noWrap/>
            <w:vAlign w:val="center"/>
            <w:hideMark/>
          </w:tcPr>
          <w:p w14:paraId="479391C4" w14:textId="77777777" w:rsidR="00255353" w:rsidRPr="00131D8F" w:rsidRDefault="00255353" w:rsidP="00F3764A">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Medium</w:t>
            </w:r>
          </w:p>
        </w:tc>
        <w:tc>
          <w:tcPr>
            <w:tcW w:w="475" w:type="dxa"/>
            <w:tcBorders>
              <w:top w:val="single" w:sz="4" w:space="0" w:color="auto"/>
              <w:right w:val="single" w:sz="4" w:space="0" w:color="auto"/>
            </w:tcBorders>
            <w:shd w:val="clear" w:color="auto" w:fill="auto"/>
            <w:noWrap/>
            <w:vAlign w:val="center"/>
            <w:hideMark/>
          </w:tcPr>
          <w:p w14:paraId="034BD6B0"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MA</w:t>
            </w:r>
          </w:p>
        </w:tc>
        <w:tc>
          <w:tcPr>
            <w:tcW w:w="534" w:type="dxa"/>
            <w:tcBorders>
              <w:left w:val="single" w:sz="4" w:space="0" w:color="auto"/>
            </w:tcBorders>
            <w:shd w:val="clear" w:color="auto" w:fill="auto"/>
            <w:noWrap/>
            <w:vAlign w:val="center"/>
            <w:hideMark/>
          </w:tcPr>
          <w:p w14:paraId="0F77C02F"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-0.43</w:t>
            </w:r>
          </w:p>
        </w:tc>
        <w:tc>
          <w:tcPr>
            <w:tcW w:w="1134" w:type="dxa"/>
            <w:shd w:val="clear" w:color="auto" w:fill="auto"/>
            <w:noWrap/>
            <w:vAlign w:val="center"/>
            <w:hideMark/>
          </w:tcPr>
          <w:p w14:paraId="2D562F41" w14:textId="3670CC85"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-1.40</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0.55</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5E5F8C55"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87.3</w:t>
            </w:r>
          </w:p>
        </w:tc>
        <w:tc>
          <w:tcPr>
            <w:tcW w:w="567" w:type="dxa"/>
            <w:tcBorders>
              <w:left w:val="single" w:sz="4" w:space="0" w:color="auto"/>
            </w:tcBorders>
            <w:shd w:val="clear" w:color="auto" w:fill="auto"/>
            <w:noWrap/>
            <w:vAlign w:val="center"/>
            <w:hideMark/>
          </w:tcPr>
          <w:p w14:paraId="12977771"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-0.36</w:t>
            </w:r>
          </w:p>
        </w:tc>
        <w:tc>
          <w:tcPr>
            <w:tcW w:w="1134" w:type="dxa"/>
            <w:shd w:val="clear" w:color="auto" w:fill="auto"/>
            <w:noWrap/>
            <w:vAlign w:val="center"/>
            <w:hideMark/>
          </w:tcPr>
          <w:p w14:paraId="110B8675" w14:textId="6E7E1C85"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0.03</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231F5F9"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71.5</w:t>
            </w:r>
          </w:p>
        </w:tc>
        <w:tc>
          <w:tcPr>
            <w:tcW w:w="567" w:type="dxa"/>
            <w:tcBorders>
              <w:left w:val="single" w:sz="4" w:space="0" w:color="auto"/>
            </w:tcBorders>
            <w:shd w:val="clear" w:color="auto" w:fill="auto"/>
            <w:noWrap/>
            <w:vAlign w:val="center"/>
            <w:hideMark/>
          </w:tcPr>
          <w:p w14:paraId="51B5FF2A"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0.27</w:t>
            </w:r>
          </w:p>
        </w:tc>
        <w:tc>
          <w:tcPr>
            <w:tcW w:w="1134" w:type="dxa"/>
            <w:shd w:val="clear" w:color="auto" w:fill="auto"/>
            <w:noWrap/>
            <w:vAlign w:val="center"/>
            <w:hideMark/>
          </w:tcPr>
          <w:p w14:paraId="0D861CF4" w14:textId="08CD0CAC"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0.04</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0.51</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D1164F3"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64.9</w:t>
            </w:r>
          </w:p>
        </w:tc>
        <w:tc>
          <w:tcPr>
            <w:tcW w:w="567" w:type="dxa"/>
            <w:tcBorders>
              <w:left w:val="single" w:sz="4" w:space="0" w:color="auto"/>
            </w:tcBorders>
            <w:shd w:val="clear" w:color="auto" w:fill="auto"/>
            <w:noWrap/>
            <w:vAlign w:val="center"/>
            <w:hideMark/>
          </w:tcPr>
          <w:p w14:paraId="4F5AB3D7"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0.07</w:t>
            </w:r>
          </w:p>
        </w:tc>
        <w:tc>
          <w:tcPr>
            <w:tcW w:w="1134" w:type="dxa"/>
            <w:shd w:val="clear" w:color="auto" w:fill="auto"/>
            <w:noWrap/>
            <w:vAlign w:val="center"/>
            <w:hideMark/>
          </w:tcPr>
          <w:p w14:paraId="7C6E0DD7" w14:textId="79DEB5D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-0.06</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2515F91A"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65.8</w:t>
            </w:r>
          </w:p>
        </w:tc>
      </w:tr>
      <w:tr w:rsidR="009E36E6" w:rsidRPr="00131D8F" w14:paraId="2FCE6335" w14:textId="77777777" w:rsidTr="009E36E6">
        <w:trPr>
          <w:trHeight w:val="240"/>
        </w:trPr>
        <w:tc>
          <w:tcPr>
            <w:tcW w:w="1074" w:type="dxa"/>
            <w:vMerge/>
            <w:shd w:val="clear" w:color="auto" w:fill="auto"/>
            <w:noWrap/>
            <w:vAlign w:val="center"/>
            <w:hideMark/>
          </w:tcPr>
          <w:p w14:paraId="08C53B68" w14:textId="77777777" w:rsidR="00255353" w:rsidRPr="00131D8F" w:rsidRDefault="00255353" w:rsidP="00131D8F">
            <w:pPr>
              <w:rPr>
                <w:rFonts w:ascii="Calibri" w:eastAsia="Times New Roman" w:hAnsi="Calibri" w:cs="Calibri"/>
                <w:sz w:val="18"/>
                <w:szCs w:val="18"/>
                <w:lang w:val="en-GB" w:eastAsia="en-GB"/>
              </w:rPr>
            </w:pPr>
          </w:p>
        </w:tc>
        <w:tc>
          <w:tcPr>
            <w:tcW w:w="1173" w:type="dxa"/>
            <w:vMerge/>
            <w:shd w:val="clear" w:color="auto" w:fill="auto"/>
            <w:noWrap/>
            <w:vAlign w:val="center"/>
            <w:hideMark/>
          </w:tcPr>
          <w:p w14:paraId="1184A920" w14:textId="77777777" w:rsidR="00255353" w:rsidRPr="00131D8F" w:rsidRDefault="00255353" w:rsidP="009D46BA">
            <w:pPr>
              <w:rPr>
                <w:rFonts w:eastAsia="Times New Roman"/>
                <w:sz w:val="20"/>
                <w:szCs w:val="20"/>
                <w:lang w:val="en-GB" w:eastAsia="en-GB"/>
              </w:rPr>
            </w:pPr>
          </w:p>
        </w:tc>
        <w:tc>
          <w:tcPr>
            <w:tcW w:w="475" w:type="dxa"/>
            <w:tcBorders>
              <w:right w:val="single" w:sz="4" w:space="0" w:color="auto"/>
            </w:tcBorders>
            <w:shd w:val="clear" w:color="auto" w:fill="auto"/>
            <w:noWrap/>
            <w:vAlign w:val="center"/>
            <w:hideMark/>
          </w:tcPr>
          <w:p w14:paraId="2958E7C6" w14:textId="77777777" w:rsidR="00255353" w:rsidRPr="00131D8F" w:rsidRDefault="00255353" w:rsidP="00461A7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SA</w:t>
            </w:r>
          </w:p>
        </w:tc>
        <w:tc>
          <w:tcPr>
            <w:tcW w:w="534" w:type="dxa"/>
            <w:tcBorders>
              <w:left w:val="single" w:sz="4" w:space="0" w:color="auto"/>
            </w:tcBorders>
            <w:shd w:val="clear" w:color="auto" w:fill="auto"/>
            <w:noWrap/>
            <w:vAlign w:val="center"/>
            <w:hideMark/>
          </w:tcPr>
          <w:p w14:paraId="52C064C8"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-0.40</w:t>
            </w:r>
          </w:p>
        </w:tc>
        <w:tc>
          <w:tcPr>
            <w:tcW w:w="1134" w:type="dxa"/>
            <w:shd w:val="clear" w:color="auto" w:fill="auto"/>
            <w:noWrap/>
            <w:vAlign w:val="center"/>
            <w:hideMark/>
          </w:tcPr>
          <w:p w14:paraId="72275A0A" w14:textId="48F692F6"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-1.32</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0.51</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6AB63701"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84.4</w:t>
            </w:r>
          </w:p>
        </w:tc>
        <w:tc>
          <w:tcPr>
            <w:tcW w:w="567" w:type="dxa"/>
            <w:tcBorders>
              <w:left w:val="single" w:sz="4" w:space="0" w:color="auto"/>
            </w:tcBorders>
            <w:shd w:val="clear" w:color="auto" w:fill="auto"/>
            <w:noWrap/>
            <w:vAlign w:val="center"/>
            <w:hideMark/>
          </w:tcPr>
          <w:p w14:paraId="6B69077D"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-0.32</w:t>
            </w:r>
          </w:p>
        </w:tc>
        <w:tc>
          <w:tcPr>
            <w:tcW w:w="1134" w:type="dxa"/>
            <w:shd w:val="clear" w:color="auto" w:fill="auto"/>
            <w:noWrap/>
            <w:vAlign w:val="center"/>
            <w:hideMark/>
          </w:tcPr>
          <w:p w14:paraId="419F02EC" w14:textId="279A88C8"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-0.71</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w:t>
            </w:r>
          </w:p>
        </w:tc>
        <w:tc>
          <w:tcPr>
            <w:tcW w:w="708" w:type="dxa"/>
            <w:tcBorders>
              <w:right w:val="single" w:sz="4" w:space="0" w:color="auto"/>
            </w:tcBorders>
            <w:shd w:val="clear" w:color="auto" w:fill="auto"/>
            <w:noWrap/>
            <w:vAlign w:val="center"/>
            <w:hideMark/>
          </w:tcPr>
          <w:p w14:paraId="0C3FE49D"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67.8</w:t>
            </w:r>
          </w:p>
        </w:tc>
        <w:tc>
          <w:tcPr>
            <w:tcW w:w="567" w:type="dxa"/>
            <w:tcBorders>
              <w:left w:val="single" w:sz="4" w:space="0" w:color="auto"/>
            </w:tcBorders>
            <w:shd w:val="clear" w:color="auto" w:fill="auto"/>
            <w:noWrap/>
            <w:vAlign w:val="center"/>
            <w:hideMark/>
          </w:tcPr>
          <w:p w14:paraId="0A321C73"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0.24</w:t>
            </w:r>
          </w:p>
        </w:tc>
        <w:tc>
          <w:tcPr>
            <w:tcW w:w="1134" w:type="dxa"/>
            <w:shd w:val="clear" w:color="auto" w:fill="auto"/>
            <w:noWrap/>
            <w:vAlign w:val="center"/>
            <w:hideMark/>
          </w:tcPr>
          <w:p w14:paraId="4DBE9864" w14:textId="05EA4E5D"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0.40</w:t>
            </w:r>
            <w:r>
              <w:rPr>
                <w:rFonts w:ascii="Calibri" w:eastAsia="Times New Roman" w:hAnsi="Calibri" w:cs="Calibri"/>
                <w:sz w:val="18"/>
                <w:szCs w:val="18"/>
                <w:lang w:val="en-GB" w:eastAsia="en-GB"/>
              </w:rPr>
              <w:t>)</w:t>
            </w:r>
          </w:p>
        </w:tc>
        <w:tc>
          <w:tcPr>
            <w:tcW w:w="567" w:type="dxa"/>
            <w:tcBorders>
              <w:right w:val="single" w:sz="4" w:space="0" w:color="auto"/>
            </w:tcBorders>
            <w:shd w:val="clear" w:color="auto" w:fill="auto"/>
            <w:noWrap/>
            <w:vAlign w:val="center"/>
            <w:hideMark/>
          </w:tcPr>
          <w:p w14:paraId="23E921E0"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21.4</w:t>
            </w:r>
          </w:p>
        </w:tc>
        <w:tc>
          <w:tcPr>
            <w:tcW w:w="567" w:type="dxa"/>
            <w:tcBorders>
              <w:left w:val="single" w:sz="4" w:space="0" w:color="auto"/>
            </w:tcBorders>
            <w:shd w:val="clear" w:color="auto" w:fill="auto"/>
            <w:noWrap/>
            <w:vAlign w:val="center"/>
            <w:hideMark/>
          </w:tcPr>
          <w:p w14:paraId="41C55748" w14:textId="77777777" w:rsidR="00255353" w:rsidRPr="00131D8F" w:rsidRDefault="00255353" w:rsidP="00487EF5">
            <w:pPr>
              <w:jc w:val="right"/>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0.06</w:t>
            </w:r>
          </w:p>
        </w:tc>
        <w:tc>
          <w:tcPr>
            <w:tcW w:w="1134" w:type="dxa"/>
            <w:shd w:val="clear" w:color="auto" w:fill="auto"/>
            <w:noWrap/>
            <w:vAlign w:val="center"/>
            <w:hideMark/>
          </w:tcPr>
          <w:p w14:paraId="31A37FC5" w14:textId="4C3DCC98" w:rsidR="00255353" w:rsidRPr="00131D8F" w:rsidRDefault="00255353" w:rsidP="00487EF5">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131D8F">
              <w:rPr>
                <w:rFonts w:ascii="Calibri" w:eastAsia="Times New Roman" w:hAnsi="Calibri" w:cs="Calibri"/>
                <w:sz w:val="18"/>
                <w:szCs w:val="18"/>
                <w:lang w:val="en-GB" w:eastAsia="en-GB"/>
              </w:rPr>
              <w:t>-0.08</w:t>
            </w:r>
            <w:r>
              <w:rPr>
                <w:rFonts w:ascii="Calibri" w:eastAsia="Times New Roman" w:hAnsi="Calibri" w:cs="Calibri"/>
                <w:sz w:val="18"/>
                <w:szCs w:val="18"/>
                <w:lang w:val="en-GB" w:eastAsia="en-GB"/>
              </w:rPr>
              <w:t xml:space="preserve">, </w:t>
            </w:r>
            <w:r w:rsidRPr="00131D8F">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w:t>
            </w:r>
          </w:p>
        </w:tc>
        <w:tc>
          <w:tcPr>
            <w:tcW w:w="567" w:type="dxa"/>
            <w:shd w:val="clear" w:color="auto" w:fill="auto"/>
            <w:noWrap/>
            <w:vAlign w:val="center"/>
            <w:hideMark/>
          </w:tcPr>
          <w:p w14:paraId="68696ED9" w14:textId="77777777" w:rsidR="00255353" w:rsidRPr="00131D8F" w:rsidRDefault="00255353" w:rsidP="00131D8F">
            <w:pPr>
              <w:rPr>
                <w:rFonts w:ascii="Calibri" w:eastAsia="Times New Roman" w:hAnsi="Calibri" w:cs="Calibri"/>
                <w:sz w:val="18"/>
                <w:szCs w:val="18"/>
                <w:lang w:val="en-GB" w:eastAsia="en-GB"/>
              </w:rPr>
            </w:pPr>
            <w:r w:rsidRPr="00131D8F">
              <w:rPr>
                <w:rFonts w:ascii="Calibri" w:eastAsia="Times New Roman" w:hAnsi="Calibri" w:cs="Calibri"/>
                <w:sz w:val="18"/>
                <w:szCs w:val="18"/>
                <w:lang w:val="en-GB" w:eastAsia="en-GB"/>
              </w:rPr>
              <w:t>64.0</w:t>
            </w:r>
          </w:p>
        </w:tc>
      </w:tr>
      <w:tr w:rsidR="003D34E1" w:rsidRPr="00131D8F" w14:paraId="333966A8" w14:textId="77777777" w:rsidTr="009E36E6">
        <w:trPr>
          <w:trHeight w:val="240"/>
        </w:trPr>
        <w:tc>
          <w:tcPr>
            <w:tcW w:w="11902" w:type="dxa"/>
            <w:gridSpan w:val="15"/>
            <w:shd w:val="clear" w:color="auto" w:fill="auto"/>
            <w:noWrap/>
          </w:tcPr>
          <w:p w14:paraId="047684B3" w14:textId="098D6B5E" w:rsidR="00550B7A" w:rsidRDefault="00550B7A" w:rsidP="00550B7A">
            <w:pPr>
              <w:jc w:val="both"/>
              <w:rPr>
                <w:rFonts w:eastAsia="Times New Roman"/>
                <w:color w:val="000000"/>
                <w:sz w:val="16"/>
                <w:szCs w:val="16"/>
                <w:lang w:val="en-GB" w:eastAsia="en-GB"/>
              </w:rPr>
            </w:pPr>
            <w:r>
              <w:rPr>
                <w:rFonts w:eastAsia="Times New Roman"/>
                <w:color w:val="000000"/>
                <w:sz w:val="16"/>
                <w:szCs w:val="16"/>
                <w:lang w:val="en-GB" w:eastAsia="en-GB"/>
              </w:rPr>
              <w:lastRenderedPageBreak/>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DASH/E-DII scores per year (for maternal age) or change in the category in comparison with the reference category. Models were adjusted for the seven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seven cohorts for the main analysis (MA): age, educational level, parity, ethnicity/birthplace, pre-pregnancy body mass index (BMI), smoking status during pregnancy, and alcohol consumption during pregnancy; and with adjustment for energy intake for the DASH models and exclusion of participants with implausible energy intake (&lt;500 or &gt;3,500 kcal/day) for the sensitivity analysis (SA).</w:t>
            </w:r>
          </w:p>
          <w:p w14:paraId="7068EDC5" w14:textId="4093B5C0" w:rsidR="00550B7A" w:rsidRDefault="00550B7A" w:rsidP="00550B7A">
            <w:pPr>
              <w:jc w:val="both"/>
              <w:rPr>
                <w:rFonts w:eastAsia="Times New Roman"/>
                <w:color w:val="000000"/>
                <w:sz w:val="16"/>
                <w:szCs w:val="16"/>
                <w:lang w:val="en-GB" w:eastAsia="en-GB"/>
              </w:rPr>
            </w:pPr>
            <w:proofErr w:type="spellStart"/>
            <w:r>
              <w:rPr>
                <w:rFonts w:eastAsia="Times New Roman"/>
                <w:color w:val="000000"/>
                <w:sz w:val="16"/>
                <w:szCs w:val="16"/>
                <w:lang w:val="en-GB" w:eastAsia="en-GB"/>
              </w:rPr>
              <w:t>n.a.</w:t>
            </w:r>
            <w:proofErr w:type="spellEnd"/>
            <w:r>
              <w:rPr>
                <w:rFonts w:eastAsia="Times New Roman"/>
                <w:color w:val="000000"/>
                <w:sz w:val="16"/>
                <w:szCs w:val="16"/>
                <w:lang w:val="en-GB" w:eastAsia="en-GB"/>
              </w:rPr>
              <w:t>, not applicable: Overall estimates based on the EDEN results only (predictor not available for SWS).</w:t>
            </w:r>
          </w:p>
          <w:p w14:paraId="7DB05905" w14:textId="7153FF96" w:rsidR="00E42127" w:rsidRDefault="00E42127" w:rsidP="00550B7A">
            <w:pPr>
              <w:jc w:val="both"/>
              <w:rPr>
                <w:rFonts w:eastAsia="Times New Roman"/>
                <w:color w:val="000000"/>
                <w:sz w:val="16"/>
                <w:szCs w:val="16"/>
                <w:lang w:val="en-GB" w:eastAsia="en-GB"/>
              </w:rPr>
            </w:pPr>
            <w:proofErr w:type="spellStart"/>
            <w:r w:rsidRPr="002E7ED7">
              <w:rPr>
                <w:rFonts w:eastAsia="Times New Roman"/>
                <w:color w:val="000000"/>
                <w:sz w:val="16"/>
                <w:szCs w:val="16"/>
                <w:vertAlign w:val="superscript"/>
                <w:lang w:val="en-GB" w:eastAsia="en-GB"/>
              </w:rPr>
              <w:t>a</w:t>
            </w:r>
            <w:r>
              <w:rPr>
                <w:rFonts w:eastAsia="Times New Roman"/>
                <w:color w:val="000000"/>
                <w:sz w:val="16"/>
                <w:szCs w:val="16"/>
                <w:lang w:val="en-GB" w:eastAsia="en-GB"/>
              </w:rPr>
              <w:t>Main</w:t>
            </w:r>
            <w:proofErr w:type="spellEnd"/>
            <w:r>
              <w:rPr>
                <w:rFonts w:eastAsia="Times New Roman"/>
                <w:color w:val="000000"/>
                <w:sz w:val="16"/>
                <w:szCs w:val="16"/>
                <w:lang w:val="en-GB" w:eastAsia="en-GB"/>
              </w:rPr>
              <w:t xml:space="preserve"> analysis (MA) a</w:t>
            </w:r>
            <w:r w:rsidRPr="002E7ED7">
              <w:rPr>
                <w:rFonts w:eastAsia="Times New Roman"/>
                <w:color w:val="000000"/>
                <w:sz w:val="16"/>
                <w:szCs w:val="16"/>
                <w:lang w:val="en-GB" w:eastAsia="en-GB"/>
              </w:rPr>
              <w:t>dditionally</w:t>
            </w:r>
            <w:r>
              <w:rPr>
                <w:rFonts w:eastAsia="Times New Roman"/>
                <w:color w:val="000000"/>
                <w:sz w:val="16"/>
                <w:szCs w:val="16"/>
                <w:lang w:val="en-GB" w:eastAsia="en-GB"/>
              </w:rPr>
              <w:t xml:space="preserve"> adjusted for household income (available for ALSPAC, EDEN, Generation R, and Lifeways only)</w:t>
            </w:r>
            <w:r>
              <w:rPr>
                <w:rFonts w:eastAsia="Times New Roman"/>
                <w:color w:val="000000"/>
                <w:sz w:val="16"/>
                <w:szCs w:val="16"/>
                <w:lang w:eastAsia="en-GB"/>
              </w:rPr>
              <w:t xml:space="preserve"> </w:t>
            </w:r>
            <w:r>
              <w:rPr>
                <w:rFonts w:eastAsia="Times New Roman"/>
                <w:color w:val="000000"/>
                <w:sz w:val="16"/>
                <w:szCs w:val="16"/>
                <w:lang w:val="en-GB" w:eastAsia="en-GB"/>
              </w:rPr>
              <w:t>and for physical activity level during pregnancy (not available for Generation R only), respectively.</w:t>
            </w:r>
          </w:p>
          <w:p w14:paraId="0B18030B" w14:textId="17C42E93" w:rsidR="003D34E1" w:rsidRPr="003D34E1" w:rsidRDefault="003D34E1" w:rsidP="003D34E1">
            <w:pPr>
              <w:spacing w:line="276" w:lineRule="auto"/>
              <w:jc w:val="both"/>
              <w:rPr>
                <w:rFonts w:eastAsia="Times New Roman"/>
                <w:color w:val="000000"/>
                <w:sz w:val="16"/>
                <w:szCs w:val="16"/>
                <w:lang w:val="en-GB" w:eastAsia="en-GB"/>
              </w:rPr>
            </w:pPr>
          </w:p>
        </w:tc>
      </w:tr>
    </w:tbl>
    <w:p w14:paraId="3B911224" w14:textId="77777777" w:rsidR="004A6FB0" w:rsidRDefault="004A6FB0" w:rsidP="004A6FB0">
      <w:pPr>
        <w:pStyle w:val="NoSpacing"/>
        <w:rPr>
          <w:color w:val="FF0000"/>
        </w:rPr>
      </w:pPr>
    </w:p>
    <w:p w14:paraId="77A7D533" w14:textId="77777777" w:rsidR="00F021B0" w:rsidRDefault="00F021B0" w:rsidP="00F021B0">
      <w:pPr>
        <w:pStyle w:val="NoSpacing"/>
        <w:rPr>
          <w:color w:val="FF0000"/>
        </w:rPr>
      </w:pPr>
    </w:p>
    <w:p w14:paraId="7CAAFAB6" w14:textId="77777777" w:rsidR="00F021B0" w:rsidRDefault="00F021B0" w:rsidP="00F021B0">
      <w:pPr>
        <w:pStyle w:val="NoSpacing"/>
        <w:rPr>
          <w:color w:val="FF0000"/>
        </w:rPr>
      </w:pPr>
    </w:p>
    <w:p w14:paraId="46611B9E" w14:textId="77777777" w:rsidR="00F021B0" w:rsidRDefault="00F021B0" w:rsidP="00F021B0">
      <w:pPr>
        <w:pStyle w:val="NoSpacing"/>
        <w:rPr>
          <w:color w:val="FF0000"/>
        </w:rPr>
      </w:pPr>
    </w:p>
    <w:p w14:paraId="166D4DD9" w14:textId="77777777" w:rsidR="00F021B0" w:rsidRDefault="00F021B0" w:rsidP="00F021B0">
      <w:pPr>
        <w:pStyle w:val="NoSpacing"/>
        <w:rPr>
          <w:color w:val="FF0000"/>
        </w:rPr>
      </w:pPr>
    </w:p>
    <w:p w14:paraId="7A504250" w14:textId="77777777" w:rsidR="00F021B0" w:rsidRDefault="00F021B0" w:rsidP="00F021B0">
      <w:pPr>
        <w:pStyle w:val="NoSpacing"/>
        <w:rPr>
          <w:color w:val="FF0000"/>
        </w:rPr>
      </w:pPr>
    </w:p>
    <w:p w14:paraId="740CF803" w14:textId="77777777" w:rsidR="00F021B0" w:rsidRDefault="00F021B0" w:rsidP="00F021B0">
      <w:pPr>
        <w:pStyle w:val="NoSpacing"/>
        <w:rPr>
          <w:color w:val="FF0000"/>
        </w:rPr>
      </w:pPr>
    </w:p>
    <w:p w14:paraId="30937C28" w14:textId="77777777" w:rsidR="00F021B0" w:rsidRDefault="00F021B0" w:rsidP="00F021B0">
      <w:pPr>
        <w:pStyle w:val="NoSpacing"/>
        <w:rPr>
          <w:color w:val="FF0000"/>
        </w:rPr>
      </w:pPr>
    </w:p>
    <w:p w14:paraId="250EE81E" w14:textId="5C35AF0C" w:rsidR="00E301D8" w:rsidRDefault="00E301D8">
      <w:pPr>
        <w:spacing w:after="200" w:line="276" w:lineRule="auto"/>
        <w:jc w:val="left"/>
        <w:rPr>
          <w:color w:val="FF0000"/>
          <w:sz w:val="24"/>
          <w:szCs w:val="24"/>
          <w:lang w:val="en-GB"/>
        </w:rPr>
      </w:pPr>
      <w:r>
        <w:rPr>
          <w:color w:val="FF0000"/>
        </w:rPr>
        <w:br w:type="page"/>
      </w:r>
    </w:p>
    <w:p w14:paraId="128946D7" w14:textId="7479799A" w:rsidR="00F021B0" w:rsidRPr="00E301D8" w:rsidRDefault="00E301D8" w:rsidP="00E301D8">
      <w:pPr>
        <w:pStyle w:val="NoSpacing"/>
        <w:spacing w:line="276" w:lineRule="auto"/>
        <w:rPr>
          <w:sz w:val="22"/>
          <w:szCs w:val="22"/>
        </w:rPr>
      </w:pPr>
      <w:r w:rsidRPr="00E301D8">
        <w:rPr>
          <w:b/>
          <w:color w:val="0070C0"/>
          <w:sz w:val="22"/>
          <w:szCs w:val="22"/>
        </w:rPr>
        <w:lastRenderedPageBreak/>
        <w:t>Supplemental table S6.</w:t>
      </w:r>
      <w:r w:rsidRPr="00E301D8">
        <w:rPr>
          <w:color w:val="0070C0"/>
          <w:sz w:val="22"/>
          <w:szCs w:val="22"/>
        </w:rPr>
        <w:t xml:space="preserve"> </w:t>
      </w:r>
      <w:r w:rsidRPr="00E301D8">
        <w:rPr>
          <w:sz w:val="22"/>
          <w:szCs w:val="22"/>
        </w:rPr>
        <w:t xml:space="preserve">Comparison of the results between the main analysis (MA), and the sensitivity analysis (SA) with adjustment </w:t>
      </w:r>
      <w:r w:rsidR="00500424">
        <w:rPr>
          <w:sz w:val="22"/>
          <w:szCs w:val="22"/>
        </w:rPr>
        <w:t>for</w:t>
      </w:r>
      <w:r w:rsidR="00500424" w:rsidRPr="00E301D8">
        <w:rPr>
          <w:sz w:val="22"/>
          <w:szCs w:val="22"/>
        </w:rPr>
        <w:t xml:space="preserve"> </w:t>
      </w:r>
      <w:r w:rsidRPr="00E301D8">
        <w:rPr>
          <w:sz w:val="22"/>
          <w:szCs w:val="22"/>
        </w:rPr>
        <w:t xml:space="preserve">energy intake </w:t>
      </w:r>
      <w:r w:rsidR="00500424">
        <w:rPr>
          <w:sz w:val="22"/>
          <w:szCs w:val="22"/>
        </w:rPr>
        <w:t xml:space="preserve">in </w:t>
      </w:r>
      <w:r w:rsidRPr="00E301D8">
        <w:rPr>
          <w:sz w:val="22"/>
          <w:szCs w:val="22"/>
        </w:rPr>
        <w:t>the DASH models and exclusion of participants with implausible energy intake (&lt;500 or &gt;3,500 kcal/day) – focus on parity and birthplace/ethnicity.</w:t>
      </w:r>
    </w:p>
    <w:tbl>
      <w:tblPr>
        <w:tblW w:w="11477" w:type="dxa"/>
        <w:tblCellMar>
          <w:left w:w="28" w:type="dxa"/>
          <w:right w:w="28" w:type="dxa"/>
        </w:tblCellMar>
        <w:tblLook w:val="04A0" w:firstRow="1" w:lastRow="0" w:firstColumn="1" w:lastColumn="0" w:noHBand="0" w:noVBand="1"/>
      </w:tblPr>
      <w:tblGrid>
        <w:gridCol w:w="1555"/>
        <w:gridCol w:w="567"/>
        <w:gridCol w:w="1134"/>
        <w:gridCol w:w="850"/>
        <w:gridCol w:w="567"/>
        <w:gridCol w:w="1134"/>
        <w:gridCol w:w="851"/>
        <w:gridCol w:w="567"/>
        <w:gridCol w:w="992"/>
        <w:gridCol w:w="850"/>
        <w:gridCol w:w="567"/>
        <w:gridCol w:w="993"/>
        <w:gridCol w:w="850"/>
      </w:tblGrid>
      <w:tr w:rsidR="00B91D33" w:rsidRPr="00E301D8" w14:paraId="40DF0EB5" w14:textId="77777777" w:rsidTr="00A85F43">
        <w:trPr>
          <w:trHeight w:val="240"/>
        </w:trPr>
        <w:tc>
          <w:tcPr>
            <w:tcW w:w="1555" w:type="dxa"/>
            <w:shd w:val="clear" w:color="auto" w:fill="auto"/>
            <w:noWrap/>
            <w:vAlign w:val="center"/>
          </w:tcPr>
          <w:p w14:paraId="5C590969" w14:textId="77777777" w:rsidR="00B91D33" w:rsidRPr="00E301D8" w:rsidRDefault="00B91D33" w:rsidP="00E301D8">
            <w:pPr>
              <w:jc w:val="left"/>
              <w:rPr>
                <w:rFonts w:ascii="Calibri" w:eastAsia="Times New Roman" w:hAnsi="Calibri" w:cs="Calibri"/>
                <w:sz w:val="18"/>
                <w:szCs w:val="18"/>
                <w:lang w:val="en-GB" w:eastAsia="en-GB"/>
              </w:rPr>
            </w:pPr>
          </w:p>
        </w:tc>
        <w:tc>
          <w:tcPr>
            <w:tcW w:w="5103" w:type="dxa"/>
            <w:gridSpan w:val="6"/>
            <w:tcBorders>
              <w:right w:val="single" w:sz="4" w:space="0" w:color="auto"/>
            </w:tcBorders>
            <w:shd w:val="clear" w:color="auto" w:fill="auto"/>
            <w:noWrap/>
            <w:vAlign w:val="center"/>
          </w:tcPr>
          <w:p w14:paraId="76999990" w14:textId="77777777" w:rsidR="00B91D33" w:rsidRPr="00F91A6B" w:rsidRDefault="00B91D33" w:rsidP="00E301D8">
            <w:pPr>
              <w:rPr>
                <w:rFonts w:ascii="Calibri" w:eastAsia="Times New Roman" w:hAnsi="Calibri" w:cs="Calibri"/>
                <w:b/>
                <w:color w:val="000000"/>
                <w:sz w:val="20"/>
                <w:szCs w:val="20"/>
                <w:lang w:val="en-GB" w:eastAsia="en-GB"/>
              </w:rPr>
            </w:pPr>
            <w:r w:rsidRPr="00F91A6B">
              <w:rPr>
                <w:rFonts w:ascii="Calibri" w:eastAsia="Times New Roman" w:hAnsi="Calibri" w:cs="Calibri"/>
                <w:b/>
                <w:color w:val="000000"/>
                <w:sz w:val="20"/>
                <w:szCs w:val="20"/>
                <w:lang w:val="en-GB" w:eastAsia="en-GB"/>
              </w:rPr>
              <w:t xml:space="preserve">Adjusted associations between parity </w:t>
            </w:r>
          </w:p>
          <w:p w14:paraId="1846C826" w14:textId="23C2789B" w:rsidR="00B91D33" w:rsidRPr="00F91A6B" w:rsidRDefault="00B91D33" w:rsidP="00E301D8">
            <w:pPr>
              <w:rPr>
                <w:rFonts w:ascii="Calibri" w:eastAsia="Times New Roman" w:hAnsi="Calibri" w:cs="Calibri"/>
                <w:b/>
                <w:color w:val="000000"/>
                <w:sz w:val="20"/>
                <w:szCs w:val="20"/>
                <w:lang w:val="en-GB" w:eastAsia="en-GB"/>
              </w:rPr>
            </w:pPr>
            <w:r w:rsidRPr="00F91A6B">
              <w:rPr>
                <w:rFonts w:ascii="Calibri" w:eastAsia="Times New Roman" w:hAnsi="Calibri" w:cs="Calibri"/>
                <w:b/>
                <w:color w:val="000000"/>
                <w:sz w:val="20"/>
                <w:szCs w:val="20"/>
                <w:lang w:val="en-GB" w:eastAsia="en-GB"/>
              </w:rPr>
              <w:t>(reference = primiparous) and DASH score</w:t>
            </w:r>
          </w:p>
        </w:tc>
        <w:tc>
          <w:tcPr>
            <w:tcW w:w="4819" w:type="dxa"/>
            <w:gridSpan w:val="6"/>
            <w:tcBorders>
              <w:left w:val="single" w:sz="4" w:space="0" w:color="auto"/>
            </w:tcBorders>
            <w:shd w:val="clear" w:color="auto" w:fill="auto"/>
            <w:noWrap/>
            <w:vAlign w:val="center"/>
          </w:tcPr>
          <w:p w14:paraId="12854CD6" w14:textId="77777777" w:rsidR="00B91D33" w:rsidRPr="00F91A6B" w:rsidRDefault="00B91D33" w:rsidP="00E301D8">
            <w:pPr>
              <w:rPr>
                <w:rFonts w:ascii="Calibri" w:eastAsia="Times New Roman" w:hAnsi="Calibri" w:cs="Calibri"/>
                <w:b/>
                <w:color w:val="000000"/>
                <w:sz w:val="20"/>
                <w:szCs w:val="20"/>
                <w:lang w:val="en-GB" w:eastAsia="en-GB"/>
              </w:rPr>
            </w:pPr>
            <w:r w:rsidRPr="00F91A6B">
              <w:rPr>
                <w:rFonts w:ascii="Calibri" w:eastAsia="Times New Roman" w:hAnsi="Calibri" w:cs="Calibri"/>
                <w:b/>
                <w:color w:val="000000"/>
                <w:sz w:val="20"/>
                <w:szCs w:val="20"/>
                <w:lang w:val="en-GB" w:eastAsia="en-GB"/>
              </w:rPr>
              <w:t xml:space="preserve">Adjusted associations between ethnicity/birthplace </w:t>
            </w:r>
          </w:p>
          <w:p w14:paraId="0E17C4A1" w14:textId="248EBA14" w:rsidR="00B91D33" w:rsidRPr="00F91A6B" w:rsidRDefault="00B91D33" w:rsidP="00E301D8">
            <w:pPr>
              <w:rPr>
                <w:rFonts w:ascii="Calibri" w:eastAsia="Times New Roman" w:hAnsi="Calibri" w:cs="Calibri"/>
                <w:b/>
                <w:color w:val="000000"/>
                <w:sz w:val="20"/>
                <w:szCs w:val="20"/>
                <w:lang w:val="en-GB" w:eastAsia="en-GB"/>
              </w:rPr>
            </w:pPr>
            <w:r w:rsidRPr="00F91A6B">
              <w:rPr>
                <w:rFonts w:ascii="Calibri" w:eastAsia="Times New Roman" w:hAnsi="Calibri" w:cs="Calibri"/>
                <w:b/>
                <w:color w:val="000000"/>
                <w:sz w:val="20"/>
                <w:szCs w:val="20"/>
                <w:lang w:val="en-GB" w:eastAsia="en-GB"/>
              </w:rPr>
              <w:t>(reference = European-born/White) and DASH score</w:t>
            </w:r>
          </w:p>
        </w:tc>
      </w:tr>
      <w:tr w:rsidR="001B6765" w:rsidRPr="00E301D8" w14:paraId="6CA83AF6" w14:textId="77777777" w:rsidTr="00A85F43">
        <w:trPr>
          <w:trHeight w:val="240"/>
        </w:trPr>
        <w:tc>
          <w:tcPr>
            <w:tcW w:w="1555" w:type="dxa"/>
            <w:shd w:val="clear" w:color="auto" w:fill="auto"/>
            <w:noWrap/>
            <w:vAlign w:val="center"/>
          </w:tcPr>
          <w:p w14:paraId="484414C3" w14:textId="77777777" w:rsidR="001B6765" w:rsidRPr="00E301D8" w:rsidRDefault="001B6765" w:rsidP="00E301D8">
            <w:pPr>
              <w:jc w:val="left"/>
              <w:rPr>
                <w:rFonts w:ascii="Calibri" w:eastAsia="Times New Roman" w:hAnsi="Calibri" w:cs="Calibri"/>
                <w:sz w:val="18"/>
                <w:szCs w:val="18"/>
                <w:lang w:val="en-GB" w:eastAsia="en-GB"/>
              </w:rPr>
            </w:pPr>
          </w:p>
        </w:tc>
        <w:tc>
          <w:tcPr>
            <w:tcW w:w="2551" w:type="dxa"/>
            <w:gridSpan w:val="3"/>
            <w:tcBorders>
              <w:right w:val="single" w:sz="4" w:space="0" w:color="auto"/>
            </w:tcBorders>
            <w:shd w:val="clear" w:color="auto" w:fill="auto"/>
            <w:noWrap/>
            <w:vAlign w:val="center"/>
          </w:tcPr>
          <w:p w14:paraId="4989E7B6" w14:textId="17D6F739" w:rsidR="001B6765" w:rsidRPr="001B6765" w:rsidRDefault="001B6765" w:rsidP="00E301D8">
            <w:pPr>
              <w:rPr>
                <w:rFonts w:ascii="Calibri" w:eastAsia="Times New Roman" w:hAnsi="Calibri" w:cs="Calibri"/>
                <w:b/>
                <w:sz w:val="18"/>
                <w:szCs w:val="18"/>
                <w:lang w:val="en-GB" w:eastAsia="en-GB"/>
              </w:rPr>
            </w:pPr>
            <w:r w:rsidRPr="001B6765">
              <w:rPr>
                <w:rFonts w:ascii="Calibri" w:eastAsia="Times New Roman" w:hAnsi="Calibri" w:cs="Calibri"/>
                <w:b/>
                <w:sz w:val="18"/>
                <w:szCs w:val="18"/>
                <w:lang w:val="en-GB" w:eastAsia="en-GB"/>
              </w:rPr>
              <w:t>Main analysis</w:t>
            </w:r>
          </w:p>
        </w:tc>
        <w:tc>
          <w:tcPr>
            <w:tcW w:w="2552" w:type="dxa"/>
            <w:gridSpan w:val="3"/>
            <w:tcBorders>
              <w:left w:val="single" w:sz="4" w:space="0" w:color="auto"/>
              <w:right w:val="single" w:sz="4" w:space="0" w:color="auto"/>
            </w:tcBorders>
            <w:shd w:val="clear" w:color="auto" w:fill="auto"/>
            <w:noWrap/>
            <w:vAlign w:val="center"/>
          </w:tcPr>
          <w:p w14:paraId="744C7926" w14:textId="51C6669B" w:rsidR="001B6765" w:rsidRPr="001B6765" w:rsidRDefault="001B6765" w:rsidP="00E301D8">
            <w:pPr>
              <w:rPr>
                <w:rFonts w:ascii="Calibri" w:eastAsia="Times New Roman" w:hAnsi="Calibri" w:cs="Calibri"/>
                <w:b/>
                <w:color w:val="000000"/>
                <w:sz w:val="18"/>
                <w:szCs w:val="18"/>
                <w:lang w:val="en-GB" w:eastAsia="en-GB"/>
              </w:rPr>
            </w:pPr>
            <w:r w:rsidRPr="001B6765">
              <w:rPr>
                <w:rFonts w:ascii="Calibri" w:eastAsia="Times New Roman" w:hAnsi="Calibri" w:cs="Calibri"/>
                <w:b/>
                <w:color w:val="000000"/>
                <w:sz w:val="18"/>
                <w:szCs w:val="18"/>
                <w:lang w:val="en-GB" w:eastAsia="en-GB"/>
              </w:rPr>
              <w:t>Sensitivity analysis</w:t>
            </w:r>
          </w:p>
        </w:tc>
        <w:tc>
          <w:tcPr>
            <w:tcW w:w="2409" w:type="dxa"/>
            <w:gridSpan w:val="3"/>
            <w:tcBorders>
              <w:left w:val="single" w:sz="4" w:space="0" w:color="auto"/>
              <w:right w:val="single" w:sz="4" w:space="0" w:color="auto"/>
            </w:tcBorders>
            <w:shd w:val="clear" w:color="auto" w:fill="auto"/>
            <w:noWrap/>
            <w:vAlign w:val="center"/>
          </w:tcPr>
          <w:p w14:paraId="368EAEE1" w14:textId="49EE68E3" w:rsidR="001B6765" w:rsidRPr="001B6765" w:rsidRDefault="001B6765" w:rsidP="00E301D8">
            <w:pPr>
              <w:rPr>
                <w:rFonts w:ascii="Calibri" w:eastAsia="Times New Roman" w:hAnsi="Calibri" w:cs="Calibri"/>
                <w:b/>
                <w:sz w:val="18"/>
                <w:szCs w:val="18"/>
                <w:lang w:val="en-GB" w:eastAsia="en-GB"/>
              </w:rPr>
            </w:pPr>
            <w:r w:rsidRPr="001B6765">
              <w:rPr>
                <w:rFonts w:ascii="Calibri" w:eastAsia="Times New Roman" w:hAnsi="Calibri" w:cs="Calibri"/>
                <w:b/>
                <w:sz w:val="18"/>
                <w:szCs w:val="18"/>
                <w:lang w:val="en-GB" w:eastAsia="en-GB"/>
              </w:rPr>
              <w:t>Main analysis</w:t>
            </w:r>
          </w:p>
        </w:tc>
        <w:tc>
          <w:tcPr>
            <w:tcW w:w="2410" w:type="dxa"/>
            <w:gridSpan w:val="3"/>
            <w:tcBorders>
              <w:left w:val="single" w:sz="4" w:space="0" w:color="auto"/>
            </w:tcBorders>
            <w:shd w:val="clear" w:color="auto" w:fill="auto"/>
            <w:noWrap/>
            <w:vAlign w:val="center"/>
          </w:tcPr>
          <w:p w14:paraId="2AC1ECDA" w14:textId="3776DB98" w:rsidR="001B6765" w:rsidRPr="001B6765" w:rsidRDefault="001B6765" w:rsidP="00E301D8">
            <w:pPr>
              <w:rPr>
                <w:rFonts w:ascii="Calibri" w:eastAsia="Times New Roman" w:hAnsi="Calibri" w:cs="Calibri"/>
                <w:b/>
                <w:color w:val="000000"/>
                <w:sz w:val="18"/>
                <w:szCs w:val="18"/>
                <w:lang w:val="en-GB" w:eastAsia="en-GB"/>
              </w:rPr>
            </w:pPr>
            <w:r w:rsidRPr="001B6765">
              <w:rPr>
                <w:rFonts w:ascii="Calibri" w:eastAsia="Times New Roman" w:hAnsi="Calibri" w:cs="Calibri"/>
                <w:b/>
                <w:color w:val="000000"/>
                <w:sz w:val="18"/>
                <w:szCs w:val="18"/>
                <w:lang w:val="en-GB" w:eastAsia="en-GB"/>
              </w:rPr>
              <w:t>Sensitivity analysis</w:t>
            </w:r>
          </w:p>
        </w:tc>
      </w:tr>
      <w:tr w:rsidR="00D225D9" w:rsidRPr="00E301D8" w14:paraId="445DA8D1" w14:textId="77777777" w:rsidTr="00E74EF0">
        <w:trPr>
          <w:trHeight w:val="240"/>
        </w:trPr>
        <w:tc>
          <w:tcPr>
            <w:tcW w:w="1555" w:type="dxa"/>
            <w:tcBorders>
              <w:bottom w:val="single" w:sz="4" w:space="0" w:color="auto"/>
            </w:tcBorders>
            <w:shd w:val="clear" w:color="auto" w:fill="auto"/>
            <w:noWrap/>
            <w:vAlign w:val="center"/>
          </w:tcPr>
          <w:p w14:paraId="66ACE7E2" w14:textId="77777777" w:rsidR="00D225D9" w:rsidRPr="00E301D8" w:rsidRDefault="00D225D9" w:rsidP="00D225D9">
            <w:pPr>
              <w:jc w:val="left"/>
              <w:rPr>
                <w:rFonts w:ascii="Calibri" w:eastAsia="Times New Roman" w:hAnsi="Calibri" w:cs="Calibri"/>
                <w:sz w:val="18"/>
                <w:szCs w:val="18"/>
                <w:lang w:val="en-GB" w:eastAsia="en-GB"/>
              </w:rPr>
            </w:pPr>
          </w:p>
        </w:tc>
        <w:tc>
          <w:tcPr>
            <w:tcW w:w="567" w:type="dxa"/>
            <w:tcBorders>
              <w:bottom w:val="single" w:sz="4" w:space="0" w:color="auto"/>
            </w:tcBorders>
            <w:shd w:val="clear" w:color="auto" w:fill="auto"/>
            <w:noWrap/>
            <w:vAlign w:val="center"/>
          </w:tcPr>
          <w:p w14:paraId="1248C111" w14:textId="430CAFAB" w:rsidR="00D225D9" w:rsidRPr="00E301D8" w:rsidRDefault="00D225D9" w:rsidP="00D225D9">
            <w:pPr>
              <w:jc w:val="right"/>
              <w:rPr>
                <w:rFonts w:ascii="Calibri" w:eastAsia="Times New Roman" w:hAnsi="Calibri" w:cs="Calibri"/>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bottom w:val="single" w:sz="4" w:space="0" w:color="auto"/>
            </w:tcBorders>
            <w:shd w:val="clear" w:color="auto" w:fill="auto"/>
            <w:noWrap/>
            <w:vAlign w:val="center"/>
          </w:tcPr>
          <w:p w14:paraId="0C23553D" w14:textId="58BC0072" w:rsidR="00D225D9" w:rsidRDefault="00D225D9" w:rsidP="00D225D9">
            <w:pPr>
              <w:jc w:val="left"/>
              <w:rPr>
                <w:rFonts w:ascii="Calibri" w:eastAsia="Times New Roman" w:hAnsi="Calibri" w:cs="Calibri"/>
                <w:sz w:val="18"/>
                <w:szCs w:val="18"/>
                <w:lang w:val="en-GB" w:eastAsia="en-GB"/>
              </w:rPr>
            </w:pPr>
            <w:r>
              <w:rPr>
                <w:rFonts w:ascii="Calibri" w:eastAsia="Times New Roman" w:hAnsi="Calibri" w:cs="Calibri"/>
                <w:color w:val="000000"/>
                <w:sz w:val="18"/>
                <w:szCs w:val="18"/>
                <w:lang w:val="en-GB" w:eastAsia="en-GB"/>
              </w:rPr>
              <w:t>(95% CI)</w:t>
            </w:r>
          </w:p>
        </w:tc>
        <w:tc>
          <w:tcPr>
            <w:tcW w:w="850" w:type="dxa"/>
            <w:tcBorders>
              <w:bottom w:val="single" w:sz="4" w:space="0" w:color="auto"/>
              <w:right w:val="single" w:sz="4" w:space="0" w:color="auto"/>
            </w:tcBorders>
            <w:shd w:val="clear" w:color="auto" w:fill="auto"/>
            <w:noWrap/>
            <w:vAlign w:val="center"/>
          </w:tcPr>
          <w:p w14:paraId="4289B125" w14:textId="3F6A00A3" w:rsidR="00D225D9" w:rsidRPr="00E301D8" w:rsidRDefault="00D225D9" w:rsidP="00D225D9">
            <w:pPr>
              <w:rPr>
                <w:rFonts w:ascii="Calibri" w:eastAsia="Times New Roman" w:hAnsi="Calibri" w:cs="Calibri"/>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left w:val="single" w:sz="4" w:space="0" w:color="auto"/>
              <w:bottom w:val="single" w:sz="4" w:space="0" w:color="auto"/>
            </w:tcBorders>
            <w:shd w:val="clear" w:color="auto" w:fill="auto"/>
            <w:noWrap/>
            <w:vAlign w:val="center"/>
          </w:tcPr>
          <w:p w14:paraId="375DA3D2" w14:textId="417513D3" w:rsidR="00D225D9" w:rsidRPr="00E301D8" w:rsidRDefault="00D225D9" w:rsidP="00D225D9">
            <w:pPr>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1134" w:type="dxa"/>
            <w:tcBorders>
              <w:bottom w:val="single" w:sz="4" w:space="0" w:color="auto"/>
            </w:tcBorders>
            <w:shd w:val="clear" w:color="auto" w:fill="auto"/>
            <w:noWrap/>
            <w:vAlign w:val="center"/>
          </w:tcPr>
          <w:p w14:paraId="1E627ECA" w14:textId="43866B2E" w:rsidR="00D225D9" w:rsidRDefault="00D225D9"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851" w:type="dxa"/>
            <w:tcBorders>
              <w:bottom w:val="single" w:sz="4" w:space="0" w:color="auto"/>
              <w:right w:val="single" w:sz="4" w:space="0" w:color="auto"/>
            </w:tcBorders>
            <w:shd w:val="clear" w:color="auto" w:fill="auto"/>
            <w:noWrap/>
            <w:vAlign w:val="center"/>
          </w:tcPr>
          <w:p w14:paraId="43A6DA82" w14:textId="16CAA246" w:rsidR="00D225D9" w:rsidRPr="00E301D8" w:rsidRDefault="00D225D9" w:rsidP="00D225D9">
            <w:pPr>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left w:val="single" w:sz="4" w:space="0" w:color="auto"/>
              <w:bottom w:val="single" w:sz="4" w:space="0" w:color="auto"/>
            </w:tcBorders>
            <w:shd w:val="clear" w:color="auto" w:fill="auto"/>
            <w:noWrap/>
            <w:vAlign w:val="center"/>
          </w:tcPr>
          <w:p w14:paraId="73197FDF" w14:textId="1B0B5732" w:rsidR="00D225D9" w:rsidRPr="00E301D8" w:rsidRDefault="00D225D9" w:rsidP="00D225D9">
            <w:pPr>
              <w:jc w:val="right"/>
              <w:rPr>
                <w:rFonts w:ascii="Calibri" w:eastAsia="Times New Roman" w:hAnsi="Calibri" w:cs="Calibri"/>
                <w:sz w:val="18"/>
                <w:szCs w:val="18"/>
                <w:lang w:val="en-GB" w:eastAsia="en-GB"/>
              </w:rPr>
            </w:pPr>
            <w:r>
              <w:rPr>
                <w:rFonts w:ascii="Calibri" w:eastAsia="Times New Roman" w:hAnsi="Calibri" w:cs="Calibri"/>
                <w:color w:val="000000"/>
                <w:sz w:val="18"/>
                <w:szCs w:val="18"/>
                <w:lang w:val="en-GB" w:eastAsia="en-GB"/>
              </w:rPr>
              <w:t>β</w:t>
            </w:r>
          </w:p>
        </w:tc>
        <w:tc>
          <w:tcPr>
            <w:tcW w:w="992" w:type="dxa"/>
            <w:tcBorders>
              <w:bottom w:val="single" w:sz="4" w:space="0" w:color="auto"/>
            </w:tcBorders>
            <w:shd w:val="clear" w:color="auto" w:fill="auto"/>
            <w:noWrap/>
            <w:vAlign w:val="center"/>
          </w:tcPr>
          <w:p w14:paraId="344B7544" w14:textId="1D1CD436" w:rsidR="00D225D9" w:rsidRDefault="00D225D9" w:rsidP="00D225D9">
            <w:pPr>
              <w:jc w:val="left"/>
              <w:rPr>
                <w:rFonts w:ascii="Calibri" w:eastAsia="Times New Roman" w:hAnsi="Calibri" w:cs="Calibri"/>
                <w:sz w:val="18"/>
                <w:szCs w:val="18"/>
                <w:lang w:val="en-GB" w:eastAsia="en-GB"/>
              </w:rPr>
            </w:pPr>
            <w:r>
              <w:rPr>
                <w:rFonts w:ascii="Calibri" w:eastAsia="Times New Roman" w:hAnsi="Calibri" w:cs="Calibri"/>
                <w:color w:val="000000"/>
                <w:sz w:val="18"/>
                <w:szCs w:val="18"/>
                <w:lang w:val="en-GB" w:eastAsia="en-GB"/>
              </w:rPr>
              <w:t>(95% CI)</w:t>
            </w:r>
          </w:p>
        </w:tc>
        <w:tc>
          <w:tcPr>
            <w:tcW w:w="850" w:type="dxa"/>
            <w:tcBorders>
              <w:bottom w:val="single" w:sz="4" w:space="0" w:color="auto"/>
              <w:right w:val="single" w:sz="4" w:space="0" w:color="auto"/>
            </w:tcBorders>
            <w:shd w:val="clear" w:color="auto" w:fill="auto"/>
            <w:noWrap/>
            <w:vAlign w:val="center"/>
          </w:tcPr>
          <w:p w14:paraId="4DDE70DE" w14:textId="7605D42F" w:rsidR="00D225D9" w:rsidRPr="00E301D8" w:rsidRDefault="00D225D9" w:rsidP="00D225D9">
            <w:pPr>
              <w:rPr>
                <w:rFonts w:ascii="Calibri" w:eastAsia="Times New Roman" w:hAnsi="Calibri" w:cs="Calibri"/>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c>
          <w:tcPr>
            <w:tcW w:w="567" w:type="dxa"/>
            <w:tcBorders>
              <w:left w:val="single" w:sz="4" w:space="0" w:color="auto"/>
              <w:bottom w:val="single" w:sz="4" w:space="0" w:color="auto"/>
            </w:tcBorders>
            <w:shd w:val="clear" w:color="auto" w:fill="auto"/>
            <w:noWrap/>
            <w:vAlign w:val="center"/>
          </w:tcPr>
          <w:p w14:paraId="699CD335" w14:textId="2FF92422" w:rsidR="00D225D9" w:rsidRPr="00E301D8" w:rsidRDefault="00D225D9" w:rsidP="00D225D9">
            <w:pPr>
              <w:jc w:val="righ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β</w:t>
            </w:r>
          </w:p>
        </w:tc>
        <w:tc>
          <w:tcPr>
            <w:tcW w:w="993" w:type="dxa"/>
            <w:tcBorders>
              <w:bottom w:val="single" w:sz="4" w:space="0" w:color="auto"/>
            </w:tcBorders>
            <w:shd w:val="clear" w:color="auto" w:fill="auto"/>
            <w:noWrap/>
            <w:vAlign w:val="center"/>
          </w:tcPr>
          <w:p w14:paraId="405F7AEF" w14:textId="03EBEEF8" w:rsidR="00D225D9" w:rsidRDefault="00D225D9"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(95% CI)</w:t>
            </w:r>
          </w:p>
        </w:tc>
        <w:tc>
          <w:tcPr>
            <w:tcW w:w="850" w:type="dxa"/>
            <w:tcBorders>
              <w:bottom w:val="single" w:sz="4" w:space="0" w:color="auto"/>
            </w:tcBorders>
            <w:shd w:val="clear" w:color="auto" w:fill="auto"/>
            <w:noWrap/>
            <w:vAlign w:val="center"/>
          </w:tcPr>
          <w:p w14:paraId="29FC0522" w14:textId="0D3B5692" w:rsidR="00D225D9" w:rsidRPr="00E301D8" w:rsidRDefault="00D225D9" w:rsidP="00D225D9">
            <w:pPr>
              <w:rPr>
                <w:rFonts w:ascii="Calibri" w:eastAsia="Times New Roman" w:hAnsi="Calibri" w:cs="Calibri"/>
                <w:color w:val="000000"/>
                <w:sz w:val="18"/>
                <w:szCs w:val="18"/>
                <w:lang w:val="en-GB" w:eastAsia="en-GB"/>
              </w:rPr>
            </w:pPr>
            <w:proofErr w:type="spellStart"/>
            <w:proofErr w:type="gramStart"/>
            <w:r>
              <w:rPr>
                <w:rFonts w:ascii="Calibri" w:eastAsia="Times New Roman" w:hAnsi="Calibri" w:cs="Calibri"/>
                <w:color w:val="000000"/>
                <w:sz w:val="18"/>
                <w:szCs w:val="18"/>
                <w:lang w:val="en-GB" w:eastAsia="en-GB"/>
              </w:rPr>
              <w:t>Wgt</w:t>
            </w:r>
            <w:proofErr w:type="spellEnd"/>
            <w:r>
              <w:rPr>
                <w:rFonts w:ascii="Calibri" w:eastAsia="Times New Roman" w:hAnsi="Calibri" w:cs="Calibri"/>
                <w:color w:val="000000"/>
                <w:sz w:val="18"/>
                <w:szCs w:val="18"/>
                <w:lang w:val="en-GB" w:eastAsia="en-GB"/>
              </w:rPr>
              <w:t>(</w:t>
            </w:r>
            <w:proofErr w:type="gramEnd"/>
            <w:r>
              <w:rPr>
                <w:rFonts w:ascii="Calibri" w:eastAsia="Times New Roman" w:hAnsi="Calibri" w:cs="Calibri"/>
                <w:color w:val="000000"/>
                <w:sz w:val="18"/>
                <w:szCs w:val="18"/>
                <w:lang w:val="en-GB" w:eastAsia="en-GB"/>
              </w:rPr>
              <w:t>%)</w:t>
            </w:r>
          </w:p>
        </w:tc>
      </w:tr>
      <w:tr w:rsidR="00A85F43" w:rsidRPr="00E301D8" w14:paraId="1134BCBF" w14:textId="77777777" w:rsidTr="00E74EF0">
        <w:trPr>
          <w:trHeight w:val="240"/>
        </w:trPr>
        <w:tc>
          <w:tcPr>
            <w:tcW w:w="2122" w:type="dxa"/>
            <w:gridSpan w:val="2"/>
            <w:tcBorders>
              <w:top w:val="single" w:sz="4" w:space="0" w:color="auto"/>
              <w:bottom w:val="single" w:sz="4" w:space="0" w:color="auto"/>
            </w:tcBorders>
            <w:shd w:val="clear" w:color="auto" w:fill="D9D9D9" w:themeFill="background1" w:themeFillShade="D9"/>
            <w:noWrap/>
            <w:vAlign w:val="center"/>
          </w:tcPr>
          <w:p w14:paraId="64189CA9" w14:textId="0077FDDA" w:rsidR="00A85F43" w:rsidRPr="00E301D8" w:rsidRDefault="00A85F43" w:rsidP="00A85F43">
            <w:pPr>
              <w:jc w:val="left"/>
              <w:rPr>
                <w:rFonts w:ascii="Calibri" w:eastAsia="Times New Roman" w:hAnsi="Calibri" w:cs="Calibri"/>
                <w:sz w:val="18"/>
                <w:szCs w:val="18"/>
                <w:lang w:val="en-GB" w:eastAsia="en-GB"/>
              </w:rPr>
            </w:pPr>
            <w:r w:rsidRPr="00D225D9">
              <w:rPr>
                <w:rFonts w:ascii="Calibri" w:eastAsia="Times New Roman" w:hAnsi="Calibri" w:cs="Calibri"/>
                <w:b/>
                <w:sz w:val="18"/>
                <w:szCs w:val="18"/>
                <w:lang w:val="en-GB" w:eastAsia="en-GB"/>
              </w:rPr>
              <w:t>Pre-pregnancy DASH</w:t>
            </w:r>
          </w:p>
        </w:tc>
        <w:tc>
          <w:tcPr>
            <w:tcW w:w="1134" w:type="dxa"/>
            <w:tcBorders>
              <w:top w:val="single" w:sz="4" w:space="0" w:color="auto"/>
              <w:bottom w:val="single" w:sz="4" w:space="0" w:color="auto"/>
            </w:tcBorders>
            <w:shd w:val="clear" w:color="auto" w:fill="D9D9D9" w:themeFill="background1" w:themeFillShade="D9"/>
            <w:noWrap/>
            <w:vAlign w:val="center"/>
          </w:tcPr>
          <w:p w14:paraId="1F3EE8AC" w14:textId="77777777" w:rsidR="00A85F43" w:rsidRDefault="00A85F43" w:rsidP="00D225D9">
            <w:pPr>
              <w:jc w:val="left"/>
              <w:rPr>
                <w:rFonts w:ascii="Calibri" w:eastAsia="Times New Roman" w:hAnsi="Calibri" w:cs="Calibri"/>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4B70C9D4" w14:textId="77777777" w:rsidR="00A85F43" w:rsidRPr="00E301D8" w:rsidRDefault="00A85F43" w:rsidP="00E301D8">
            <w:pPr>
              <w:rPr>
                <w:rFonts w:ascii="Calibri" w:eastAsia="Times New Roman" w:hAnsi="Calibri" w:cs="Calibri"/>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40FB9E76" w14:textId="77777777" w:rsidR="00A85F43" w:rsidRPr="00E301D8" w:rsidRDefault="00A85F43" w:rsidP="00D225D9">
            <w:pPr>
              <w:jc w:val="right"/>
              <w:rPr>
                <w:rFonts w:ascii="Calibri" w:eastAsia="Times New Roman" w:hAnsi="Calibri" w:cs="Calibri"/>
                <w:color w:val="000000"/>
                <w:sz w:val="18"/>
                <w:szCs w:val="18"/>
                <w:lang w:val="en-GB" w:eastAsia="en-GB"/>
              </w:rPr>
            </w:pPr>
          </w:p>
        </w:tc>
        <w:tc>
          <w:tcPr>
            <w:tcW w:w="1134" w:type="dxa"/>
            <w:tcBorders>
              <w:top w:val="single" w:sz="4" w:space="0" w:color="auto"/>
              <w:bottom w:val="single" w:sz="4" w:space="0" w:color="auto"/>
            </w:tcBorders>
            <w:shd w:val="clear" w:color="auto" w:fill="D9D9D9" w:themeFill="background1" w:themeFillShade="D9"/>
            <w:noWrap/>
            <w:vAlign w:val="center"/>
          </w:tcPr>
          <w:p w14:paraId="0FFAE38C" w14:textId="77777777" w:rsidR="00A85F43" w:rsidRDefault="00A85F43" w:rsidP="00D225D9">
            <w:pPr>
              <w:jc w:val="left"/>
              <w:rPr>
                <w:rFonts w:ascii="Calibri" w:eastAsia="Times New Roman" w:hAnsi="Calibri" w:cs="Calibri"/>
                <w:color w:val="000000"/>
                <w:sz w:val="18"/>
                <w:szCs w:val="18"/>
                <w:lang w:val="en-GB" w:eastAsia="en-GB"/>
              </w:rPr>
            </w:pPr>
          </w:p>
        </w:tc>
        <w:tc>
          <w:tcPr>
            <w:tcW w:w="851" w:type="dxa"/>
            <w:tcBorders>
              <w:top w:val="single" w:sz="4" w:space="0" w:color="auto"/>
              <w:bottom w:val="single" w:sz="4" w:space="0" w:color="auto"/>
            </w:tcBorders>
            <w:shd w:val="clear" w:color="auto" w:fill="D9D9D9" w:themeFill="background1" w:themeFillShade="D9"/>
            <w:noWrap/>
            <w:vAlign w:val="center"/>
          </w:tcPr>
          <w:p w14:paraId="26F81AB2" w14:textId="77777777" w:rsidR="00A85F43" w:rsidRPr="00E301D8" w:rsidRDefault="00A85F43" w:rsidP="00E301D8">
            <w:pPr>
              <w:rPr>
                <w:rFonts w:ascii="Calibri" w:eastAsia="Times New Roman" w:hAnsi="Calibri" w:cs="Calibri"/>
                <w:color w:val="000000"/>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1724F848" w14:textId="77777777" w:rsidR="00A85F43" w:rsidRPr="00E301D8" w:rsidRDefault="00A85F43" w:rsidP="00D225D9">
            <w:pPr>
              <w:jc w:val="right"/>
              <w:rPr>
                <w:rFonts w:ascii="Calibri" w:eastAsia="Times New Roman" w:hAnsi="Calibri" w:cs="Calibri"/>
                <w:sz w:val="18"/>
                <w:szCs w:val="18"/>
                <w:lang w:val="en-GB" w:eastAsia="en-GB"/>
              </w:rPr>
            </w:pPr>
          </w:p>
        </w:tc>
        <w:tc>
          <w:tcPr>
            <w:tcW w:w="992" w:type="dxa"/>
            <w:tcBorders>
              <w:top w:val="single" w:sz="4" w:space="0" w:color="auto"/>
              <w:bottom w:val="single" w:sz="4" w:space="0" w:color="auto"/>
            </w:tcBorders>
            <w:shd w:val="clear" w:color="auto" w:fill="D9D9D9" w:themeFill="background1" w:themeFillShade="D9"/>
            <w:noWrap/>
            <w:vAlign w:val="center"/>
          </w:tcPr>
          <w:p w14:paraId="00559EED" w14:textId="77777777" w:rsidR="00A85F43" w:rsidRDefault="00A85F43" w:rsidP="00D225D9">
            <w:pPr>
              <w:jc w:val="left"/>
              <w:rPr>
                <w:rFonts w:ascii="Calibri" w:eastAsia="Times New Roman" w:hAnsi="Calibri" w:cs="Calibri"/>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6FBEA97C" w14:textId="77777777" w:rsidR="00A85F43" w:rsidRPr="00E301D8" w:rsidRDefault="00A85F43" w:rsidP="00E301D8">
            <w:pPr>
              <w:rPr>
                <w:rFonts w:ascii="Calibri" w:eastAsia="Times New Roman" w:hAnsi="Calibri" w:cs="Calibri"/>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0078ED84" w14:textId="77777777" w:rsidR="00A85F43" w:rsidRPr="00E301D8" w:rsidRDefault="00A85F43" w:rsidP="00D225D9">
            <w:pPr>
              <w:jc w:val="right"/>
              <w:rPr>
                <w:rFonts w:ascii="Calibri" w:eastAsia="Times New Roman" w:hAnsi="Calibri" w:cs="Calibri"/>
                <w:color w:val="000000"/>
                <w:sz w:val="18"/>
                <w:szCs w:val="18"/>
                <w:lang w:val="en-GB" w:eastAsia="en-GB"/>
              </w:rPr>
            </w:pPr>
          </w:p>
        </w:tc>
        <w:tc>
          <w:tcPr>
            <w:tcW w:w="993" w:type="dxa"/>
            <w:tcBorders>
              <w:top w:val="single" w:sz="4" w:space="0" w:color="auto"/>
              <w:bottom w:val="single" w:sz="4" w:space="0" w:color="auto"/>
            </w:tcBorders>
            <w:shd w:val="clear" w:color="auto" w:fill="D9D9D9" w:themeFill="background1" w:themeFillShade="D9"/>
            <w:noWrap/>
            <w:vAlign w:val="center"/>
          </w:tcPr>
          <w:p w14:paraId="3A3C9F5E" w14:textId="77777777" w:rsidR="00A85F43" w:rsidRDefault="00A85F43" w:rsidP="00D225D9">
            <w:pPr>
              <w:jc w:val="left"/>
              <w:rPr>
                <w:rFonts w:ascii="Calibri" w:eastAsia="Times New Roman" w:hAnsi="Calibri" w:cs="Calibri"/>
                <w:color w:val="000000"/>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42BABEC1" w14:textId="77777777" w:rsidR="00A85F43" w:rsidRPr="00E301D8" w:rsidRDefault="00A85F43" w:rsidP="00E301D8">
            <w:pPr>
              <w:rPr>
                <w:rFonts w:ascii="Calibri" w:eastAsia="Times New Roman" w:hAnsi="Calibri" w:cs="Calibri"/>
                <w:color w:val="000000"/>
                <w:sz w:val="18"/>
                <w:szCs w:val="18"/>
                <w:lang w:val="en-GB" w:eastAsia="en-GB"/>
              </w:rPr>
            </w:pPr>
          </w:p>
        </w:tc>
      </w:tr>
      <w:tr w:rsidR="00A85F43" w:rsidRPr="00E301D8" w14:paraId="4E815614" w14:textId="77777777" w:rsidTr="00E74EF0">
        <w:trPr>
          <w:trHeight w:val="240"/>
        </w:trPr>
        <w:tc>
          <w:tcPr>
            <w:tcW w:w="1555" w:type="dxa"/>
            <w:tcBorders>
              <w:top w:val="single" w:sz="4" w:space="0" w:color="auto"/>
            </w:tcBorders>
            <w:shd w:val="clear" w:color="auto" w:fill="auto"/>
            <w:noWrap/>
            <w:vAlign w:val="center"/>
            <w:hideMark/>
          </w:tcPr>
          <w:p w14:paraId="034A9615"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EDEN</w:t>
            </w:r>
          </w:p>
        </w:tc>
        <w:tc>
          <w:tcPr>
            <w:tcW w:w="567" w:type="dxa"/>
            <w:tcBorders>
              <w:top w:val="single" w:sz="4" w:space="0" w:color="auto"/>
            </w:tcBorders>
            <w:shd w:val="clear" w:color="auto" w:fill="auto"/>
            <w:noWrap/>
            <w:vAlign w:val="center"/>
            <w:hideMark/>
          </w:tcPr>
          <w:p w14:paraId="5F6C5F32"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-0.45</w:t>
            </w:r>
          </w:p>
        </w:tc>
        <w:tc>
          <w:tcPr>
            <w:tcW w:w="1134" w:type="dxa"/>
            <w:tcBorders>
              <w:top w:val="single" w:sz="4" w:space="0" w:color="auto"/>
            </w:tcBorders>
            <w:shd w:val="clear" w:color="auto" w:fill="auto"/>
            <w:noWrap/>
            <w:vAlign w:val="center"/>
            <w:hideMark/>
          </w:tcPr>
          <w:p w14:paraId="480DA344" w14:textId="41FB7EBA"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-0.86</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-0.04</w:t>
            </w:r>
            <w:r>
              <w:rPr>
                <w:rFonts w:ascii="Calibri" w:eastAsia="Times New Roman" w:hAnsi="Calibri" w:cs="Calibri"/>
                <w:sz w:val="18"/>
                <w:szCs w:val="18"/>
                <w:lang w:val="en-GB" w:eastAsia="en-GB"/>
              </w:rPr>
              <w:t>)</w:t>
            </w:r>
          </w:p>
        </w:tc>
        <w:tc>
          <w:tcPr>
            <w:tcW w:w="850" w:type="dxa"/>
            <w:tcBorders>
              <w:top w:val="single" w:sz="4" w:space="0" w:color="auto"/>
              <w:right w:val="single" w:sz="4" w:space="0" w:color="auto"/>
            </w:tcBorders>
            <w:shd w:val="clear" w:color="auto" w:fill="auto"/>
            <w:noWrap/>
            <w:vAlign w:val="center"/>
            <w:hideMark/>
          </w:tcPr>
          <w:p w14:paraId="4E3D5553"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44.8</w:t>
            </w:r>
          </w:p>
        </w:tc>
        <w:tc>
          <w:tcPr>
            <w:tcW w:w="567" w:type="dxa"/>
            <w:tcBorders>
              <w:top w:val="single" w:sz="4" w:space="0" w:color="auto"/>
              <w:left w:val="single" w:sz="4" w:space="0" w:color="auto"/>
            </w:tcBorders>
            <w:shd w:val="clear" w:color="auto" w:fill="auto"/>
            <w:noWrap/>
            <w:vAlign w:val="center"/>
            <w:hideMark/>
          </w:tcPr>
          <w:p w14:paraId="21FF2107"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-0.44</w:t>
            </w:r>
          </w:p>
        </w:tc>
        <w:tc>
          <w:tcPr>
            <w:tcW w:w="1134" w:type="dxa"/>
            <w:tcBorders>
              <w:top w:val="single" w:sz="4" w:space="0" w:color="auto"/>
            </w:tcBorders>
            <w:shd w:val="clear" w:color="auto" w:fill="auto"/>
            <w:noWrap/>
            <w:vAlign w:val="center"/>
            <w:hideMark/>
          </w:tcPr>
          <w:p w14:paraId="28D7D0D9" w14:textId="49E9B2F9"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-0.87</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-0.01</w:t>
            </w:r>
            <w:r>
              <w:rPr>
                <w:rFonts w:ascii="Calibri" w:eastAsia="Times New Roman" w:hAnsi="Calibri" w:cs="Calibri"/>
                <w:color w:val="000000"/>
                <w:sz w:val="18"/>
                <w:szCs w:val="18"/>
                <w:lang w:val="en-GB" w:eastAsia="en-GB"/>
              </w:rPr>
              <w:t>)</w:t>
            </w:r>
          </w:p>
        </w:tc>
        <w:tc>
          <w:tcPr>
            <w:tcW w:w="851" w:type="dxa"/>
            <w:tcBorders>
              <w:top w:val="single" w:sz="4" w:space="0" w:color="auto"/>
              <w:right w:val="single" w:sz="4" w:space="0" w:color="auto"/>
            </w:tcBorders>
            <w:shd w:val="clear" w:color="auto" w:fill="auto"/>
            <w:noWrap/>
            <w:vAlign w:val="center"/>
            <w:hideMark/>
          </w:tcPr>
          <w:p w14:paraId="7A73D797"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44.4</w:t>
            </w:r>
          </w:p>
        </w:tc>
        <w:tc>
          <w:tcPr>
            <w:tcW w:w="567" w:type="dxa"/>
            <w:tcBorders>
              <w:top w:val="single" w:sz="4" w:space="0" w:color="auto"/>
              <w:left w:val="single" w:sz="4" w:space="0" w:color="auto"/>
            </w:tcBorders>
            <w:shd w:val="clear" w:color="auto" w:fill="auto"/>
            <w:noWrap/>
            <w:vAlign w:val="center"/>
            <w:hideMark/>
          </w:tcPr>
          <w:p w14:paraId="4922B5FD"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0.65</w:t>
            </w:r>
          </w:p>
        </w:tc>
        <w:tc>
          <w:tcPr>
            <w:tcW w:w="992" w:type="dxa"/>
            <w:tcBorders>
              <w:top w:val="single" w:sz="4" w:space="0" w:color="auto"/>
            </w:tcBorders>
            <w:shd w:val="clear" w:color="auto" w:fill="auto"/>
            <w:noWrap/>
            <w:vAlign w:val="center"/>
            <w:hideMark/>
          </w:tcPr>
          <w:p w14:paraId="1CE08640" w14:textId="218D52A7"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-0.32</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1.61</w:t>
            </w:r>
            <w:r>
              <w:rPr>
                <w:rFonts w:ascii="Calibri" w:eastAsia="Times New Roman" w:hAnsi="Calibri" w:cs="Calibri"/>
                <w:sz w:val="18"/>
                <w:szCs w:val="18"/>
                <w:lang w:val="en-GB" w:eastAsia="en-GB"/>
              </w:rPr>
              <w:t>)</w:t>
            </w:r>
          </w:p>
        </w:tc>
        <w:tc>
          <w:tcPr>
            <w:tcW w:w="850" w:type="dxa"/>
            <w:tcBorders>
              <w:top w:val="single" w:sz="4" w:space="0" w:color="auto"/>
              <w:right w:val="single" w:sz="4" w:space="0" w:color="auto"/>
            </w:tcBorders>
            <w:shd w:val="clear" w:color="auto" w:fill="auto"/>
            <w:noWrap/>
            <w:vAlign w:val="center"/>
            <w:hideMark/>
          </w:tcPr>
          <w:p w14:paraId="6C8B133F"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52.1</w:t>
            </w:r>
          </w:p>
        </w:tc>
        <w:tc>
          <w:tcPr>
            <w:tcW w:w="567" w:type="dxa"/>
            <w:tcBorders>
              <w:top w:val="single" w:sz="4" w:space="0" w:color="auto"/>
              <w:left w:val="single" w:sz="4" w:space="0" w:color="auto"/>
            </w:tcBorders>
            <w:shd w:val="clear" w:color="auto" w:fill="auto"/>
            <w:noWrap/>
            <w:vAlign w:val="center"/>
            <w:hideMark/>
          </w:tcPr>
          <w:p w14:paraId="2E6E5B76"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0.06</w:t>
            </w:r>
          </w:p>
        </w:tc>
        <w:tc>
          <w:tcPr>
            <w:tcW w:w="993" w:type="dxa"/>
            <w:tcBorders>
              <w:top w:val="single" w:sz="4" w:space="0" w:color="auto"/>
            </w:tcBorders>
            <w:shd w:val="clear" w:color="auto" w:fill="auto"/>
            <w:noWrap/>
            <w:vAlign w:val="center"/>
            <w:hideMark/>
          </w:tcPr>
          <w:p w14:paraId="500A4F03" w14:textId="4A974C40"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-1.01</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1.12</w:t>
            </w:r>
            <w:r>
              <w:rPr>
                <w:rFonts w:ascii="Calibri" w:eastAsia="Times New Roman" w:hAnsi="Calibri" w:cs="Calibri"/>
                <w:color w:val="000000"/>
                <w:sz w:val="18"/>
                <w:szCs w:val="18"/>
                <w:lang w:val="en-GB" w:eastAsia="en-GB"/>
              </w:rPr>
              <w:t>)</w:t>
            </w:r>
          </w:p>
        </w:tc>
        <w:tc>
          <w:tcPr>
            <w:tcW w:w="850" w:type="dxa"/>
            <w:tcBorders>
              <w:top w:val="single" w:sz="4" w:space="0" w:color="auto"/>
            </w:tcBorders>
            <w:shd w:val="clear" w:color="auto" w:fill="auto"/>
            <w:noWrap/>
            <w:vAlign w:val="center"/>
            <w:hideMark/>
          </w:tcPr>
          <w:p w14:paraId="3686052D"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47.4</w:t>
            </w:r>
          </w:p>
        </w:tc>
      </w:tr>
      <w:tr w:rsidR="00A85F43" w:rsidRPr="00E301D8" w14:paraId="5E3B7B08" w14:textId="77777777" w:rsidTr="00A85F43">
        <w:trPr>
          <w:trHeight w:val="240"/>
        </w:trPr>
        <w:tc>
          <w:tcPr>
            <w:tcW w:w="1555" w:type="dxa"/>
            <w:shd w:val="clear" w:color="auto" w:fill="auto"/>
            <w:noWrap/>
            <w:vAlign w:val="center"/>
            <w:hideMark/>
          </w:tcPr>
          <w:p w14:paraId="52D02916"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SWS</w:t>
            </w:r>
          </w:p>
        </w:tc>
        <w:tc>
          <w:tcPr>
            <w:tcW w:w="567" w:type="dxa"/>
            <w:shd w:val="clear" w:color="auto" w:fill="auto"/>
            <w:noWrap/>
            <w:vAlign w:val="center"/>
            <w:hideMark/>
          </w:tcPr>
          <w:p w14:paraId="16C51972"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-0.17</w:t>
            </w:r>
          </w:p>
        </w:tc>
        <w:tc>
          <w:tcPr>
            <w:tcW w:w="1134" w:type="dxa"/>
            <w:shd w:val="clear" w:color="auto" w:fill="auto"/>
            <w:noWrap/>
            <w:vAlign w:val="center"/>
            <w:hideMark/>
          </w:tcPr>
          <w:p w14:paraId="6D16F7CA" w14:textId="4B5ACA99"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-0.55</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0.20</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252CF14D"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55.2</w:t>
            </w:r>
          </w:p>
        </w:tc>
        <w:tc>
          <w:tcPr>
            <w:tcW w:w="567" w:type="dxa"/>
            <w:tcBorders>
              <w:left w:val="single" w:sz="4" w:space="0" w:color="auto"/>
            </w:tcBorders>
            <w:shd w:val="clear" w:color="auto" w:fill="auto"/>
            <w:noWrap/>
            <w:vAlign w:val="center"/>
            <w:hideMark/>
          </w:tcPr>
          <w:p w14:paraId="4831E69F"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-0.12</w:t>
            </w:r>
          </w:p>
        </w:tc>
        <w:tc>
          <w:tcPr>
            <w:tcW w:w="1134" w:type="dxa"/>
            <w:shd w:val="clear" w:color="auto" w:fill="auto"/>
            <w:noWrap/>
            <w:vAlign w:val="center"/>
            <w:hideMark/>
          </w:tcPr>
          <w:p w14:paraId="099BEF0F" w14:textId="764C44EB"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-0.51</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0.26</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3E2ED416"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55.6</w:t>
            </w:r>
          </w:p>
        </w:tc>
        <w:tc>
          <w:tcPr>
            <w:tcW w:w="567" w:type="dxa"/>
            <w:tcBorders>
              <w:left w:val="single" w:sz="4" w:space="0" w:color="auto"/>
            </w:tcBorders>
            <w:shd w:val="clear" w:color="auto" w:fill="auto"/>
            <w:noWrap/>
            <w:vAlign w:val="center"/>
            <w:hideMark/>
          </w:tcPr>
          <w:p w14:paraId="258B2E54"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0.30</w:t>
            </w:r>
          </w:p>
        </w:tc>
        <w:tc>
          <w:tcPr>
            <w:tcW w:w="992" w:type="dxa"/>
            <w:shd w:val="clear" w:color="auto" w:fill="auto"/>
            <w:noWrap/>
            <w:vAlign w:val="center"/>
            <w:hideMark/>
          </w:tcPr>
          <w:p w14:paraId="4566778D" w14:textId="48EB08BB"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-0.70</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1.30</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070540EE"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47.9</w:t>
            </w:r>
          </w:p>
        </w:tc>
        <w:tc>
          <w:tcPr>
            <w:tcW w:w="567" w:type="dxa"/>
            <w:tcBorders>
              <w:left w:val="single" w:sz="4" w:space="0" w:color="auto"/>
            </w:tcBorders>
            <w:shd w:val="clear" w:color="auto" w:fill="auto"/>
            <w:noWrap/>
            <w:vAlign w:val="center"/>
            <w:hideMark/>
          </w:tcPr>
          <w:p w14:paraId="6F98A2BB"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0.26</w:t>
            </w:r>
          </w:p>
        </w:tc>
        <w:tc>
          <w:tcPr>
            <w:tcW w:w="993" w:type="dxa"/>
            <w:shd w:val="clear" w:color="auto" w:fill="auto"/>
            <w:noWrap/>
            <w:vAlign w:val="center"/>
            <w:hideMark/>
          </w:tcPr>
          <w:p w14:paraId="38ED3777" w14:textId="73FCE3A0"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-0.76</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1.27</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7F759E01"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52.6</w:t>
            </w:r>
          </w:p>
        </w:tc>
      </w:tr>
      <w:tr w:rsidR="00A85F43" w:rsidRPr="00E301D8" w14:paraId="66226A0F" w14:textId="77777777" w:rsidTr="00A85F43">
        <w:trPr>
          <w:trHeight w:val="240"/>
        </w:trPr>
        <w:tc>
          <w:tcPr>
            <w:tcW w:w="1555" w:type="dxa"/>
            <w:shd w:val="clear" w:color="auto" w:fill="auto"/>
            <w:noWrap/>
            <w:vAlign w:val="center"/>
            <w:hideMark/>
          </w:tcPr>
          <w:p w14:paraId="2AEBC6B0" w14:textId="4879A563" w:rsidR="004B73C1" w:rsidRPr="00E301D8" w:rsidRDefault="004B73C1" w:rsidP="00E301D8">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Overall</w:t>
            </w:r>
          </w:p>
        </w:tc>
        <w:tc>
          <w:tcPr>
            <w:tcW w:w="567" w:type="dxa"/>
            <w:shd w:val="clear" w:color="auto" w:fill="auto"/>
            <w:noWrap/>
            <w:vAlign w:val="center"/>
            <w:hideMark/>
          </w:tcPr>
          <w:p w14:paraId="32320D2E"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-0.30</w:t>
            </w:r>
          </w:p>
        </w:tc>
        <w:tc>
          <w:tcPr>
            <w:tcW w:w="1134" w:type="dxa"/>
            <w:shd w:val="clear" w:color="auto" w:fill="auto"/>
            <w:noWrap/>
            <w:vAlign w:val="center"/>
            <w:hideMark/>
          </w:tcPr>
          <w:p w14:paraId="6B67DBEF" w14:textId="3C70B79D"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-0.57</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-0.02</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0A6D4282" w14:textId="6997F689" w:rsidR="004B73C1" w:rsidRPr="00E301D8" w:rsidRDefault="004B73C1" w:rsidP="00E301D8">
            <w:pP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(I²=</w:t>
            </w:r>
            <w:r w:rsidRPr="00E301D8">
              <w:rPr>
                <w:rFonts w:ascii="Calibri" w:eastAsia="Times New Roman" w:hAnsi="Calibri" w:cs="Calibri"/>
                <w:sz w:val="18"/>
                <w:szCs w:val="18"/>
                <w:lang w:val="en-GB" w:eastAsia="en-GB"/>
              </w:rPr>
              <w:t>0.0</w:t>
            </w:r>
            <w:r>
              <w:rPr>
                <w:rFonts w:ascii="Calibri" w:eastAsia="Times New Roman" w:hAnsi="Calibri" w:cs="Calibri"/>
                <w:sz w:val="18"/>
                <w:szCs w:val="18"/>
                <w:lang w:val="en-GB" w:eastAsia="en-GB"/>
              </w:rPr>
              <w:t>%)</w:t>
            </w:r>
          </w:p>
        </w:tc>
        <w:tc>
          <w:tcPr>
            <w:tcW w:w="567" w:type="dxa"/>
            <w:tcBorders>
              <w:left w:val="single" w:sz="4" w:space="0" w:color="auto"/>
            </w:tcBorders>
            <w:shd w:val="clear" w:color="auto" w:fill="auto"/>
            <w:noWrap/>
            <w:vAlign w:val="center"/>
            <w:hideMark/>
          </w:tcPr>
          <w:p w14:paraId="1C9D313F"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-0.27</w:t>
            </w:r>
          </w:p>
        </w:tc>
        <w:tc>
          <w:tcPr>
            <w:tcW w:w="1134" w:type="dxa"/>
            <w:shd w:val="clear" w:color="auto" w:fill="auto"/>
            <w:noWrap/>
            <w:vAlign w:val="center"/>
            <w:hideMark/>
          </w:tcPr>
          <w:p w14:paraId="51ED8DBD" w14:textId="1332FDCC"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-0.57</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0.04</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21635E3C" w14:textId="1A6058F8" w:rsidR="004B73C1" w:rsidRPr="00E301D8" w:rsidRDefault="004B73C1" w:rsidP="00E301D8">
            <w:pP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(I²=</w:t>
            </w:r>
            <w:r w:rsidRPr="00E301D8">
              <w:rPr>
                <w:rFonts w:ascii="Calibri" w:eastAsia="Times New Roman" w:hAnsi="Calibri" w:cs="Calibri"/>
                <w:color w:val="000000"/>
                <w:sz w:val="18"/>
                <w:szCs w:val="18"/>
                <w:lang w:val="en-GB" w:eastAsia="en-GB"/>
              </w:rPr>
              <w:t>13.2</w:t>
            </w:r>
            <w:r>
              <w:rPr>
                <w:rFonts w:ascii="Calibri" w:eastAsia="Times New Roman" w:hAnsi="Calibri" w:cs="Calibri"/>
                <w:color w:val="000000"/>
                <w:sz w:val="18"/>
                <w:szCs w:val="18"/>
                <w:lang w:val="en-GB" w:eastAsia="en-GB"/>
              </w:rPr>
              <w:t>%)</w:t>
            </w:r>
          </w:p>
        </w:tc>
        <w:tc>
          <w:tcPr>
            <w:tcW w:w="567" w:type="dxa"/>
            <w:tcBorders>
              <w:left w:val="single" w:sz="4" w:space="0" w:color="auto"/>
            </w:tcBorders>
            <w:shd w:val="clear" w:color="auto" w:fill="auto"/>
            <w:noWrap/>
            <w:vAlign w:val="center"/>
            <w:hideMark/>
          </w:tcPr>
          <w:p w14:paraId="7C22DDB7"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0.48</w:t>
            </w:r>
          </w:p>
        </w:tc>
        <w:tc>
          <w:tcPr>
            <w:tcW w:w="992" w:type="dxa"/>
            <w:shd w:val="clear" w:color="auto" w:fill="auto"/>
            <w:noWrap/>
            <w:vAlign w:val="center"/>
            <w:hideMark/>
          </w:tcPr>
          <w:p w14:paraId="0CFFD36F" w14:textId="151D109E"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-0.21</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1.18</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4D5F1168" w14:textId="4F705420" w:rsidR="004B73C1" w:rsidRPr="00E301D8" w:rsidRDefault="004B73C1" w:rsidP="00E301D8">
            <w:pP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(I²=</w:t>
            </w:r>
            <w:r w:rsidRPr="00E301D8">
              <w:rPr>
                <w:rFonts w:ascii="Calibri" w:eastAsia="Times New Roman" w:hAnsi="Calibri" w:cs="Calibri"/>
                <w:sz w:val="18"/>
                <w:szCs w:val="18"/>
                <w:lang w:val="en-GB" w:eastAsia="en-GB"/>
              </w:rPr>
              <w:t>0.0</w:t>
            </w:r>
            <w:r>
              <w:rPr>
                <w:rFonts w:ascii="Calibri" w:eastAsia="Times New Roman" w:hAnsi="Calibri" w:cs="Calibri"/>
                <w:sz w:val="18"/>
                <w:szCs w:val="18"/>
                <w:lang w:val="en-GB" w:eastAsia="en-GB"/>
              </w:rPr>
              <w:t>%)</w:t>
            </w:r>
          </w:p>
        </w:tc>
        <w:tc>
          <w:tcPr>
            <w:tcW w:w="567" w:type="dxa"/>
            <w:tcBorders>
              <w:left w:val="single" w:sz="4" w:space="0" w:color="auto"/>
            </w:tcBorders>
            <w:shd w:val="clear" w:color="auto" w:fill="auto"/>
            <w:noWrap/>
            <w:vAlign w:val="center"/>
            <w:hideMark/>
          </w:tcPr>
          <w:p w14:paraId="532B9294"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0.16</w:t>
            </w:r>
          </w:p>
        </w:tc>
        <w:tc>
          <w:tcPr>
            <w:tcW w:w="993" w:type="dxa"/>
            <w:shd w:val="clear" w:color="auto" w:fill="auto"/>
            <w:noWrap/>
            <w:vAlign w:val="center"/>
            <w:hideMark/>
          </w:tcPr>
          <w:p w14:paraId="12797B5E" w14:textId="3ACC591C"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-0.57</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0.90</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597E8789" w14:textId="6D1234AD" w:rsidR="004B73C1" w:rsidRPr="00E301D8" w:rsidRDefault="004B73C1" w:rsidP="00E301D8">
            <w:pP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(I²=</w:t>
            </w:r>
            <w:r w:rsidRPr="00E301D8">
              <w:rPr>
                <w:rFonts w:ascii="Calibri" w:eastAsia="Times New Roman" w:hAnsi="Calibri" w:cs="Calibri"/>
                <w:color w:val="000000"/>
                <w:sz w:val="18"/>
                <w:szCs w:val="18"/>
                <w:lang w:val="en-GB" w:eastAsia="en-GB"/>
              </w:rPr>
              <w:t>0.0</w:t>
            </w:r>
            <w:r>
              <w:rPr>
                <w:rFonts w:ascii="Calibri" w:eastAsia="Times New Roman" w:hAnsi="Calibri" w:cs="Calibri"/>
                <w:color w:val="000000"/>
                <w:sz w:val="18"/>
                <w:szCs w:val="18"/>
                <w:lang w:val="en-GB" w:eastAsia="en-GB"/>
              </w:rPr>
              <w:t>%)</w:t>
            </w:r>
          </w:p>
        </w:tc>
      </w:tr>
      <w:tr w:rsidR="00A85F43" w:rsidRPr="00E301D8" w14:paraId="04C180CF" w14:textId="77777777" w:rsidTr="00E74EF0">
        <w:trPr>
          <w:trHeight w:val="75"/>
        </w:trPr>
        <w:tc>
          <w:tcPr>
            <w:tcW w:w="1555" w:type="dxa"/>
            <w:tcBorders>
              <w:bottom w:val="single" w:sz="4" w:space="0" w:color="auto"/>
            </w:tcBorders>
            <w:shd w:val="clear" w:color="auto" w:fill="auto"/>
            <w:noWrap/>
            <w:vAlign w:val="center"/>
            <w:hideMark/>
          </w:tcPr>
          <w:p w14:paraId="514BB2BD" w14:textId="77777777" w:rsidR="008D0FBD" w:rsidRPr="00E301D8" w:rsidRDefault="008D0FBD" w:rsidP="00E301D8">
            <w:pPr>
              <w:rPr>
                <w:rFonts w:ascii="Calibri" w:eastAsia="Times New Roman" w:hAnsi="Calibri" w:cs="Calibri"/>
                <w:color w:val="000000"/>
                <w:sz w:val="8"/>
                <w:szCs w:val="8"/>
                <w:lang w:val="en-GB" w:eastAsia="en-GB"/>
              </w:rPr>
            </w:pPr>
          </w:p>
        </w:tc>
        <w:tc>
          <w:tcPr>
            <w:tcW w:w="567" w:type="dxa"/>
            <w:tcBorders>
              <w:bottom w:val="single" w:sz="4" w:space="0" w:color="auto"/>
            </w:tcBorders>
            <w:shd w:val="clear" w:color="auto" w:fill="auto"/>
            <w:noWrap/>
            <w:vAlign w:val="center"/>
            <w:hideMark/>
          </w:tcPr>
          <w:p w14:paraId="6014EF13" w14:textId="77777777" w:rsidR="008D0FBD" w:rsidRPr="00E301D8" w:rsidRDefault="008D0FBD" w:rsidP="00D225D9">
            <w:pPr>
              <w:jc w:val="right"/>
              <w:rPr>
                <w:rFonts w:eastAsia="Times New Roman"/>
                <w:sz w:val="8"/>
                <w:szCs w:val="8"/>
                <w:lang w:val="en-GB" w:eastAsia="en-GB"/>
              </w:rPr>
            </w:pPr>
          </w:p>
        </w:tc>
        <w:tc>
          <w:tcPr>
            <w:tcW w:w="1134" w:type="dxa"/>
            <w:tcBorders>
              <w:bottom w:val="single" w:sz="4" w:space="0" w:color="auto"/>
            </w:tcBorders>
            <w:shd w:val="clear" w:color="auto" w:fill="auto"/>
            <w:noWrap/>
            <w:vAlign w:val="center"/>
            <w:hideMark/>
          </w:tcPr>
          <w:p w14:paraId="7C452382" w14:textId="77777777" w:rsidR="008D0FBD" w:rsidRPr="00E301D8" w:rsidRDefault="008D0FBD" w:rsidP="00D225D9">
            <w:pPr>
              <w:jc w:val="left"/>
              <w:rPr>
                <w:rFonts w:eastAsia="Times New Roman"/>
                <w:sz w:val="8"/>
                <w:szCs w:val="8"/>
                <w:lang w:val="en-GB" w:eastAsia="en-GB"/>
              </w:rPr>
            </w:pPr>
          </w:p>
        </w:tc>
        <w:tc>
          <w:tcPr>
            <w:tcW w:w="850" w:type="dxa"/>
            <w:tcBorders>
              <w:bottom w:val="single" w:sz="4" w:space="0" w:color="auto"/>
              <w:right w:val="single" w:sz="4" w:space="0" w:color="auto"/>
            </w:tcBorders>
            <w:shd w:val="clear" w:color="auto" w:fill="auto"/>
            <w:noWrap/>
            <w:vAlign w:val="center"/>
            <w:hideMark/>
          </w:tcPr>
          <w:p w14:paraId="03702E9D" w14:textId="77777777" w:rsidR="008D0FBD" w:rsidRPr="00E301D8" w:rsidRDefault="008D0FBD" w:rsidP="00E301D8">
            <w:pPr>
              <w:rPr>
                <w:rFonts w:eastAsia="Times New Roman"/>
                <w:sz w:val="8"/>
                <w:szCs w:val="8"/>
                <w:lang w:val="en-GB" w:eastAsia="en-GB"/>
              </w:rPr>
            </w:pPr>
          </w:p>
        </w:tc>
        <w:tc>
          <w:tcPr>
            <w:tcW w:w="567" w:type="dxa"/>
            <w:tcBorders>
              <w:left w:val="single" w:sz="4" w:space="0" w:color="auto"/>
              <w:bottom w:val="single" w:sz="4" w:space="0" w:color="auto"/>
            </w:tcBorders>
            <w:shd w:val="clear" w:color="auto" w:fill="auto"/>
            <w:noWrap/>
            <w:vAlign w:val="center"/>
            <w:hideMark/>
          </w:tcPr>
          <w:p w14:paraId="01B8DE3C" w14:textId="77777777" w:rsidR="008D0FBD" w:rsidRPr="00E301D8" w:rsidRDefault="008D0FBD" w:rsidP="00D225D9">
            <w:pPr>
              <w:jc w:val="right"/>
              <w:rPr>
                <w:rFonts w:ascii="Calibri" w:eastAsia="Times New Roman" w:hAnsi="Calibri" w:cs="Calibri"/>
                <w:color w:val="000000"/>
                <w:sz w:val="8"/>
                <w:szCs w:val="8"/>
                <w:lang w:val="en-GB" w:eastAsia="en-GB"/>
              </w:rPr>
            </w:pPr>
            <w:r w:rsidRPr="00E301D8">
              <w:rPr>
                <w:rFonts w:ascii="Calibri" w:eastAsia="Times New Roman" w:hAnsi="Calibri" w:cs="Calibri"/>
                <w:color w:val="000000"/>
                <w:sz w:val="8"/>
                <w:szCs w:val="8"/>
                <w:lang w:val="en-GB" w:eastAsia="en-GB"/>
              </w:rPr>
              <w:t> </w:t>
            </w:r>
          </w:p>
        </w:tc>
        <w:tc>
          <w:tcPr>
            <w:tcW w:w="1134" w:type="dxa"/>
            <w:tcBorders>
              <w:bottom w:val="single" w:sz="4" w:space="0" w:color="auto"/>
            </w:tcBorders>
            <w:shd w:val="clear" w:color="auto" w:fill="auto"/>
            <w:noWrap/>
            <w:vAlign w:val="center"/>
            <w:hideMark/>
          </w:tcPr>
          <w:p w14:paraId="1F3A2D6A" w14:textId="77777777" w:rsidR="008D0FBD" w:rsidRPr="00E301D8" w:rsidRDefault="008D0FBD" w:rsidP="00D225D9">
            <w:pPr>
              <w:jc w:val="left"/>
              <w:rPr>
                <w:rFonts w:eastAsia="Times New Roman"/>
                <w:sz w:val="8"/>
                <w:szCs w:val="8"/>
                <w:lang w:val="en-GB" w:eastAsia="en-GB"/>
              </w:rPr>
            </w:pPr>
          </w:p>
        </w:tc>
        <w:tc>
          <w:tcPr>
            <w:tcW w:w="851" w:type="dxa"/>
            <w:tcBorders>
              <w:bottom w:val="single" w:sz="4" w:space="0" w:color="auto"/>
              <w:right w:val="single" w:sz="4" w:space="0" w:color="auto"/>
            </w:tcBorders>
            <w:shd w:val="clear" w:color="auto" w:fill="auto"/>
            <w:noWrap/>
            <w:vAlign w:val="center"/>
            <w:hideMark/>
          </w:tcPr>
          <w:p w14:paraId="15ECEBB1" w14:textId="77777777" w:rsidR="008D0FBD" w:rsidRPr="00E301D8" w:rsidRDefault="008D0FBD" w:rsidP="00E301D8">
            <w:pPr>
              <w:rPr>
                <w:rFonts w:eastAsia="Times New Roman"/>
                <w:sz w:val="8"/>
                <w:szCs w:val="8"/>
                <w:lang w:val="en-GB" w:eastAsia="en-GB"/>
              </w:rPr>
            </w:pPr>
          </w:p>
        </w:tc>
        <w:tc>
          <w:tcPr>
            <w:tcW w:w="567" w:type="dxa"/>
            <w:tcBorders>
              <w:left w:val="single" w:sz="4" w:space="0" w:color="auto"/>
              <w:bottom w:val="single" w:sz="4" w:space="0" w:color="auto"/>
            </w:tcBorders>
            <w:shd w:val="clear" w:color="auto" w:fill="auto"/>
            <w:noWrap/>
            <w:vAlign w:val="center"/>
            <w:hideMark/>
          </w:tcPr>
          <w:p w14:paraId="3D1A90E9" w14:textId="77777777" w:rsidR="008D0FBD" w:rsidRPr="00E301D8" w:rsidRDefault="008D0FBD" w:rsidP="00D225D9">
            <w:pPr>
              <w:jc w:val="right"/>
              <w:rPr>
                <w:rFonts w:ascii="Calibri" w:eastAsia="Times New Roman" w:hAnsi="Calibri" w:cs="Calibri"/>
                <w:sz w:val="8"/>
                <w:szCs w:val="8"/>
                <w:lang w:val="en-GB" w:eastAsia="en-GB"/>
              </w:rPr>
            </w:pPr>
            <w:r w:rsidRPr="00E301D8">
              <w:rPr>
                <w:rFonts w:ascii="Calibri" w:eastAsia="Times New Roman" w:hAnsi="Calibri" w:cs="Calibri"/>
                <w:sz w:val="8"/>
                <w:szCs w:val="8"/>
                <w:lang w:val="en-GB" w:eastAsia="en-GB"/>
              </w:rPr>
              <w:t> </w:t>
            </w:r>
          </w:p>
        </w:tc>
        <w:tc>
          <w:tcPr>
            <w:tcW w:w="992" w:type="dxa"/>
            <w:tcBorders>
              <w:bottom w:val="single" w:sz="4" w:space="0" w:color="auto"/>
            </w:tcBorders>
            <w:shd w:val="clear" w:color="auto" w:fill="auto"/>
            <w:noWrap/>
            <w:vAlign w:val="center"/>
            <w:hideMark/>
          </w:tcPr>
          <w:p w14:paraId="1718FD9A" w14:textId="77777777" w:rsidR="008D0FBD" w:rsidRPr="00E301D8" w:rsidRDefault="008D0FBD" w:rsidP="00D225D9">
            <w:pPr>
              <w:jc w:val="left"/>
              <w:rPr>
                <w:rFonts w:eastAsia="Times New Roman"/>
                <w:sz w:val="8"/>
                <w:szCs w:val="8"/>
                <w:lang w:val="en-GB" w:eastAsia="en-GB"/>
              </w:rPr>
            </w:pPr>
          </w:p>
        </w:tc>
        <w:tc>
          <w:tcPr>
            <w:tcW w:w="850" w:type="dxa"/>
            <w:tcBorders>
              <w:bottom w:val="single" w:sz="4" w:space="0" w:color="auto"/>
              <w:right w:val="single" w:sz="4" w:space="0" w:color="auto"/>
            </w:tcBorders>
            <w:shd w:val="clear" w:color="auto" w:fill="auto"/>
            <w:noWrap/>
            <w:vAlign w:val="center"/>
            <w:hideMark/>
          </w:tcPr>
          <w:p w14:paraId="34C5CA33" w14:textId="77777777" w:rsidR="008D0FBD" w:rsidRPr="00E301D8" w:rsidRDefault="008D0FBD" w:rsidP="00E301D8">
            <w:pPr>
              <w:rPr>
                <w:rFonts w:eastAsia="Times New Roman"/>
                <w:sz w:val="8"/>
                <w:szCs w:val="8"/>
                <w:lang w:val="en-GB" w:eastAsia="en-GB"/>
              </w:rPr>
            </w:pPr>
          </w:p>
        </w:tc>
        <w:tc>
          <w:tcPr>
            <w:tcW w:w="567" w:type="dxa"/>
            <w:tcBorders>
              <w:left w:val="single" w:sz="4" w:space="0" w:color="auto"/>
              <w:bottom w:val="single" w:sz="4" w:space="0" w:color="auto"/>
            </w:tcBorders>
            <w:shd w:val="clear" w:color="auto" w:fill="auto"/>
            <w:noWrap/>
            <w:vAlign w:val="center"/>
            <w:hideMark/>
          </w:tcPr>
          <w:p w14:paraId="22EAC46C" w14:textId="77777777" w:rsidR="008D0FBD" w:rsidRPr="00E301D8" w:rsidRDefault="008D0FBD" w:rsidP="00D225D9">
            <w:pPr>
              <w:jc w:val="right"/>
              <w:rPr>
                <w:rFonts w:ascii="Calibri" w:eastAsia="Times New Roman" w:hAnsi="Calibri" w:cs="Calibri"/>
                <w:color w:val="000000"/>
                <w:sz w:val="8"/>
                <w:szCs w:val="8"/>
                <w:lang w:val="en-GB" w:eastAsia="en-GB"/>
              </w:rPr>
            </w:pPr>
            <w:r w:rsidRPr="00E301D8">
              <w:rPr>
                <w:rFonts w:ascii="Calibri" w:eastAsia="Times New Roman" w:hAnsi="Calibri" w:cs="Calibri"/>
                <w:color w:val="000000"/>
                <w:sz w:val="8"/>
                <w:szCs w:val="8"/>
                <w:lang w:val="en-GB" w:eastAsia="en-GB"/>
              </w:rPr>
              <w:t> </w:t>
            </w:r>
          </w:p>
        </w:tc>
        <w:tc>
          <w:tcPr>
            <w:tcW w:w="993" w:type="dxa"/>
            <w:tcBorders>
              <w:bottom w:val="single" w:sz="4" w:space="0" w:color="auto"/>
            </w:tcBorders>
            <w:shd w:val="clear" w:color="auto" w:fill="auto"/>
            <w:noWrap/>
            <w:vAlign w:val="center"/>
            <w:hideMark/>
          </w:tcPr>
          <w:p w14:paraId="376DD376" w14:textId="77777777" w:rsidR="008D0FBD" w:rsidRPr="00E301D8" w:rsidRDefault="008D0FBD" w:rsidP="00D225D9">
            <w:pPr>
              <w:jc w:val="left"/>
              <w:rPr>
                <w:rFonts w:eastAsia="Times New Roman"/>
                <w:sz w:val="8"/>
                <w:szCs w:val="8"/>
                <w:lang w:val="en-GB" w:eastAsia="en-GB"/>
              </w:rPr>
            </w:pPr>
          </w:p>
        </w:tc>
        <w:tc>
          <w:tcPr>
            <w:tcW w:w="850" w:type="dxa"/>
            <w:tcBorders>
              <w:bottom w:val="single" w:sz="4" w:space="0" w:color="auto"/>
            </w:tcBorders>
            <w:shd w:val="clear" w:color="auto" w:fill="auto"/>
            <w:noWrap/>
            <w:vAlign w:val="center"/>
            <w:hideMark/>
          </w:tcPr>
          <w:p w14:paraId="0B5631CF" w14:textId="77777777" w:rsidR="008D0FBD" w:rsidRPr="00E301D8" w:rsidRDefault="008D0FBD" w:rsidP="00E301D8">
            <w:pPr>
              <w:rPr>
                <w:rFonts w:eastAsia="Times New Roman"/>
                <w:sz w:val="8"/>
                <w:szCs w:val="8"/>
                <w:lang w:val="en-GB" w:eastAsia="en-GB"/>
              </w:rPr>
            </w:pPr>
          </w:p>
        </w:tc>
      </w:tr>
      <w:tr w:rsidR="00A85F43" w:rsidRPr="00E301D8" w14:paraId="0BF50658" w14:textId="77777777" w:rsidTr="00E74EF0">
        <w:trPr>
          <w:trHeight w:val="240"/>
        </w:trPr>
        <w:tc>
          <w:tcPr>
            <w:tcW w:w="2122" w:type="dxa"/>
            <w:gridSpan w:val="2"/>
            <w:tcBorders>
              <w:top w:val="single" w:sz="4" w:space="0" w:color="auto"/>
              <w:bottom w:val="single" w:sz="4" w:space="0" w:color="auto"/>
            </w:tcBorders>
            <w:shd w:val="clear" w:color="auto" w:fill="D9D9D9" w:themeFill="background1" w:themeFillShade="D9"/>
            <w:noWrap/>
            <w:vAlign w:val="center"/>
          </w:tcPr>
          <w:p w14:paraId="5E60BFC5" w14:textId="6855E2C6" w:rsidR="00A85F43" w:rsidRPr="00E301D8" w:rsidRDefault="00A85F43" w:rsidP="00A85F43">
            <w:pPr>
              <w:jc w:val="left"/>
              <w:rPr>
                <w:rFonts w:ascii="Calibri" w:eastAsia="Times New Roman" w:hAnsi="Calibri" w:cs="Calibri"/>
                <w:sz w:val="18"/>
                <w:szCs w:val="18"/>
                <w:lang w:val="en-GB" w:eastAsia="en-GB"/>
              </w:rPr>
            </w:pPr>
            <w:r w:rsidRPr="00D225D9">
              <w:rPr>
                <w:rFonts w:ascii="Calibri" w:eastAsia="Times New Roman" w:hAnsi="Calibri" w:cs="Calibri"/>
                <w:b/>
                <w:sz w:val="18"/>
                <w:szCs w:val="18"/>
                <w:lang w:val="en-GB" w:eastAsia="en-GB"/>
              </w:rPr>
              <w:t>Pregnancy DASH</w:t>
            </w:r>
          </w:p>
        </w:tc>
        <w:tc>
          <w:tcPr>
            <w:tcW w:w="1134" w:type="dxa"/>
            <w:tcBorders>
              <w:top w:val="single" w:sz="4" w:space="0" w:color="auto"/>
              <w:bottom w:val="single" w:sz="4" w:space="0" w:color="auto"/>
            </w:tcBorders>
            <w:shd w:val="clear" w:color="auto" w:fill="D9D9D9" w:themeFill="background1" w:themeFillShade="D9"/>
            <w:noWrap/>
            <w:vAlign w:val="center"/>
          </w:tcPr>
          <w:p w14:paraId="40A9E433" w14:textId="77777777" w:rsidR="00A85F43" w:rsidRDefault="00A85F43" w:rsidP="00D225D9">
            <w:pPr>
              <w:jc w:val="left"/>
              <w:rPr>
                <w:rFonts w:ascii="Calibri" w:eastAsia="Times New Roman" w:hAnsi="Calibri" w:cs="Calibri"/>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50A44720" w14:textId="77777777" w:rsidR="00A85F43" w:rsidRPr="00E301D8" w:rsidRDefault="00A85F43" w:rsidP="00E301D8">
            <w:pPr>
              <w:rPr>
                <w:rFonts w:ascii="Calibri" w:eastAsia="Times New Roman" w:hAnsi="Calibri" w:cs="Calibri"/>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49498538" w14:textId="77777777" w:rsidR="00A85F43" w:rsidRPr="00E301D8" w:rsidRDefault="00A85F43" w:rsidP="00D225D9">
            <w:pPr>
              <w:jc w:val="right"/>
              <w:rPr>
                <w:rFonts w:ascii="Calibri" w:eastAsia="Times New Roman" w:hAnsi="Calibri" w:cs="Calibri"/>
                <w:color w:val="000000"/>
                <w:sz w:val="18"/>
                <w:szCs w:val="18"/>
                <w:lang w:val="en-GB" w:eastAsia="en-GB"/>
              </w:rPr>
            </w:pPr>
          </w:p>
        </w:tc>
        <w:tc>
          <w:tcPr>
            <w:tcW w:w="1134" w:type="dxa"/>
            <w:tcBorders>
              <w:top w:val="single" w:sz="4" w:space="0" w:color="auto"/>
              <w:bottom w:val="single" w:sz="4" w:space="0" w:color="auto"/>
            </w:tcBorders>
            <w:shd w:val="clear" w:color="auto" w:fill="D9D9D9" w:themeFill="background1" w:themeFillShade="D9"/>
            <w:noWrap/>
            <w:vAlign w:val="center"/>
          </w:tcPr>
          <w:p w14:paraId="24889315" w14:textId="77777777" w:rsidR="00A85F43" w:rsidRDefault="00A85F43" w:rsidP="00D225D9">
            <w:pPr>
              <w:jc w:val="left"/>
              <w:rPr>
                <w:rFonts w:ascii="Calibri" w:eastAsia="Times New Roman" w:hAnsi="Calibri" w:cs="Calibri"/>
                <w:color w:val="000000"/>
                <w:sz w:val="18"/>
                <w:szCs w:val="18"/>
                <w:lang w:val="en-GB" w:eastAsia="en-GB"/>
              </w:rPr>
            </w:pPr>
          </w:p>
        </w:tc>
        <w:tc>
          <w:tcPr>
            <w:tcW w:w="851" w:type="dxa"/>
            <w:tcBorders>
              <w:top w:val="single" w:sz="4" w:space="0" w:color="auto"/>
              <w:bottom w:val="single" w:sz="4" w:space="0" w:color="auto"/>
            </w:tcBorders>
            <w:shd w:val="clear" w:color="auto" w:fill="D9D9D9" w:themeFill="background1" w:themeFillShade="D9"/>
            <w:noWrap/>
            <w:vAlign w:val="center"/>
          </w:tcPr>
          <w:p w14:paraId="267F4906" w14:textId="77777777" w:rsidR="00A85F43" w:rsidRPr="00E301D8" w:rsidRDefault="00A85F43" w:rsidP="00E301D8">
            <w:pPr>
              <w:rPr>
                <w:rFonts w:ascii="Calibri" w:eastAsia="Times New Roman" w:hAnsi="Calibri" w:cs="Calibri"/>
                <w:color w:val="000000"/>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7C212E16" w14:textId="77777777" w:rsidR="00A85F43" w:rsidRPr="00E301D8" w:rsidRDefault="00A85F43" w:rsidP="00D225D9">
            <w:pPr>
              <w:jc w:val="right"/>
              <w:rPr>
                <w:rFonts w:ascii="Calibri" w:eastAsia="Times New Roman" w:hAnsi="Calibri" w:cs="Calibri"/>
                <w:sz w:val="18"/>
                <w:szCs w:val="18"/>
                <w:lang w:val="en-GB" w:eastAsia="en-GB"/>
              </w:rPr>
            </w:pPr>
          </w:p>
        </w:tc>
        <w:tc>
          <w:tcPr>
            <w:tcW w:w="992" w:type="dxa"/>
            <w:tcBorders>
              <w:top w:val="single" w:sz="4" w:space="0" w:color="auto"/>
              <w:bottom w:val="single" w:sz="4" w:space="0" w:color="auto"/>
            </w:tcBorders>
            <w:shd w:val="clear" w:color="auto" w:fill="D9D9D9" w:themeFill="background1" w:themeFillShade="D9"/>
            <w:noWrap/>
            <w:vAlign w:val="center"/>
          </w:tcPr>
          <w:p w14:paraId="1FF20A10" w14:textId="77777777" w:rsidR="00A85F43" w:rsidRDefault="00A85F43" w:rsidP="00D225D9">
            <w:pPr>
              <w:jc w:val="left"/>
              <w:rPr>
                <w:rFonts w:ascii="Calibri" w:eastAsia="Times New Roman" w:hAnsi="Calibri" w:cs="Calibri"/>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2378DC42" w14:textId="77777777" w:rsidR="00A85F43" w:rsidRPr="00E301D8" w:rsidRDefault="00A85F43" w:rsidP="00E301D8">
            <w:pPr>
              <w:rPr>
                <w:rFonts w:ascii="Calibri" w:eastAsia="Times New Roman" w:hAnsi="Calibri" w:cs="Calibri"/>
                <w:sz w:val="18"/>
                <w:szCs w:val="18"/>
                <w:lang w:val="en-GB" w:eastAsia="en-GB"/>
              </w:rPr>
            </w:pPr>
          </w:p>
        </w:tc>
        <w:tc>
          <w:tcPr>
            <w:tcW w:w="567" w:type="dxa"/>
            <w:tcBorders>
              <w:top w:val="single" w:sz="4" w:space="0" w:color="auto"/>
              <w:bottom w:val="single" w:sz="4" w:space="0" w:color="auto"/>
            </w:tcBorders>
            <w:shd w:val="clear" w:color="auto" w:fill="D9D9D9" w:themeFill="background1" w:themeFillShade="D9"/>
            <w:noWrap/>
            <w:vAlign w:val="center"/>
          </w:tcPr>
          <w:p w14:paraId="6EA69EA6" w14:textId="77777777" w:rsidR="00A85F43" w:rsidRPr="00E301D8" w:rsidRDefault="00A85F43" w:rsidP="00D225D9">
            <w:pPr>
              <w:jc w:val="right"/>
              <w:rPr>
                <w:rFonts w:ascii="Calibri" w:eastAsia="Times New Roman" w:hAnsi="Calibri" w:cs="Calibri"/>
                <w:color w:val="000000"/>
                <w:sz w:val="18"/>
                <w:szCs w:val="18"/>
                <w:lang w:val="en-GB" w:eastAsia="en-GB"/>
              </w:rPr>
            </w:pPr>
          </w:p>
        </w:tc>
        <w:tc>
          <w:tcPr>
            <w:tcW w:w="993" w:type="dxa"/>
            <w:tcBorders>
              <w:top w:val="single" w:sz="4" w:space="0" w:color="auto"/>
              <w:bottom w:val="single" w:sz="4" w:space="0" w:color="auto"/>
            </w:tcBorders>
            <w:shd w:val="clear" w:color="auto" w:fill="D9D9D9" w:themeFill="background1" w:themeFillShade="D9"/>
            <w:noWrap/>
            <w:vAlign w:val="center"/>
          </w:tcPr>
          <w:p w14:paraId="09213BDF" w14:textId="77777777" w:rsidR="00A85F43" w:rsidRDefault="00A85F43" w:rsidP="00D225D9">
            <w:pPr>
              <w:jc w:val="left"/>
              <w:rPr>
                <w:rFonts w:ascii="Calibri" w:eastAsia="Times New Roman" w:hAnsi="Calibri" w:cs="Calibri"/>
                <w:color w:val="000000"/>
                <w:sz w:val="18"/>
                <w:szCs w:val="18"/>
                <w:lang w:val="en-GB" w:eastAsia="en-GB"/>
              </w:rPr>
            </w:pPr>
          </w:p>
        </w:tc>
        <w:tc>
          <w:tcPr>
            <w:tcW w:w="850" w:type="dxa"/>
            <w:tcBorders>
              <w:top w:val="single" w:sz="4" w:space="0" w:color="auto"/>
              <w:bottom w:val="single" w:sz="4" w:space="0" w:color="auto"/>
            </w:tcBorders>
            <w:shd w:val="clear" w:color="auto" w:fill="D9D9D9" w:themeFill="background1" w:themeFillShade="D9"/>
            <w:noWrap/>
            <w:vAlign w:val="center"/>
          </w:tcPr>
          <w:p w14:paraId="5B028D56" w14:textId="77777777" w:rsidR="00A85F43" w:rsidRPr="00E301D8" w:rsidRDefault="00A85F43" w:rsidP="00E301D8">
            <w:pPr>
              <w:rPr>
                <w:rFonts w:ascii="Calibri" w:eastAsia="Times New Roman" w:hAnsi="Calibri" w:cs="Calibri"/>
                <w:color w:val="000000"/>
                <w:sz w:val="18"/>
                <w:szCs w:val="18"/>
                <w:lang w:val="en-GB" w:eastAsia="en-GB"/>
              </w:rPr>
            </w:pPr>
          </w:p>
        </w:tc>
      </w:tr>
      <w:tr w:rsidR="00A85F43" w:rsidRPr="00E301D8" w14:paraId="1D40EFB3" w14:textId="77777777" w:rsidTr="00E74EF0">
        <w:trPr>
          <w:trHeight w:val="240"/>
        </w:trPr>
        <w:tc>
          <w:tcPr>
            <w:tcW w:w="1555" w:type="dxa"/>
            <w:tcBorders>
              <w:top w:val="single" w:sz="4" w:space="0" w:color="auto"/>
            </w:tcBorders>
            <w:shd w:val="clear" w:color="auto" w:fill="auto"/>
            <w:noWrap/>
            <w:vAlign w:val="center"/>
            <w:hideMark/>
          </w:tcPr>
          <w:p w14:paraId="3265E7EC"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ALSPAC</w:t>
            </w:r>
          </w:p>
        </w:tc>
        <w:tc>
          <w:tcPr>
            <w:tcW w:w="567" w:type="dxa"/>
            <w:tcBorders>
              <w:top w:val="single" w:sz="4" w:space="0" w:color="auto"/>
            </w:tcBorders>
            <w:shd w:val="clear" w:color="auto" w:fill="auto"/>
            <w:noWrap/>
            <w:vAlign w:val="center"/>
            <w:hideMark/>
          </w:tcPr>
          <w:p w14:paraId="0A7F2952"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-0.16</w:t>
            </w:r>
          </w:p>
        </w:tc>
        <w:tc>
          <w:tcPr>
            <w:tcW w:w="1134" w:type="dxa"/>
            <w:tcBorders>
              <w:top w:val="single" w:sz="4" w:space="0" w:color="auto"/>
            </w:tcBorders>
            <w:shd w:val="clear" w:color="auto" w:fill="auto"/>
            <w:noWrap/>
            <w:vAlign w:val="center"/>
            <w:hideMark/>
          </w:tcPr>
          <w:p w14:paraId="5F9B7373" w14:textId="65C8106B"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-0.31</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0.00</w:t>
            </w:r>
            <w:r>
              <w:rPr>
                <w:rFonts w:ascii="Calibri" w:eastAsia="Times New Roman" w:hAnsi="Calibri" w:cs="Calibri"/>
                <w:sz w:val="18"/>
                <w:szCs w:val="18"/>
                <w:lang w:val="en-GB" w:eastAsia="en-GB"/>
              </w:rPr>
              <w:t>)</w:t>
            </w:r>
          </w:p>
        </w:tc>
        <w:tc>
          <w:tcPr>
            <w:tcW w:w="850" w:type="dxa"/>
            <w:tcBorders>
              <w:top w:val="single" w:sz="4" w:space="0" w:color="auto"/>
              <w:right w:val="single" w:sz="4" w:space="0" w:color="auto"/>
            </w:tcBorders>
            <w:shd w:val="clear" w:color="auto" w:fill="auto"/>
            <w:noWrap/>
            <w:vAlign w:val="center"/>
            <w:hideMark/>
          </w:tcPr>
          <w:p w14:paraId="69A8F2B8"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19.9</w:t>
            </w:r>
          </w:p>
        </w:tc>
        <w:tc>
          <w:tcPr>
            <w:tcW w:w="567" w:type="dxa"/>
            <w:tcBorders>
              <w:top w:val="single" w:sz="4" w:space="0" w:color="auto"/>
              <w:left w:val="single" w:sz="4" w:space="0" w:color="auto"/>
            </w:tcBorders>
            <w:shd w:val="clear" w:color="auto" w:fill="auto"/>
            <w:noWrap/>
            <w:vAlign w:val="center"/>
            <w:hideMark/>
          </w:tcPr>
          <w:p w14:paraId="117464EC"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-0.21</w:t>
            </w:r>
          </w:p>
        </w:tc>
        <w:tc>
          <w:tcPr>
            <w:tcW w:w="1134" w:type="dxa"/>
            <w:tcBorders>
              <w:top w:val="single" w:sz="4" w:space="0" w:color="auto"/>
            </w:tcBorders>
            <w:shd w:val="clear" w:color="auto" w:fill="auto"/>
            <w:noWrap/>
            <w:vAlign w:val="center"/>
            <w:hideMark/>
          </w:tcPr>
          <w:p w14:paraId="5DFF6680" w14:textId="31283C4D"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-0.44</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0.01</w:t>
            </w:r>
            <w:r>
              <w:rPr>
                <w:rFonts w:ascii="Calibri" w:eastAsia="Times New Roman" w:hAnsi="Calibri" w:cs="Calibri"/>
                <w:color w:val="000000"/>
                <w:sz w:val="18"/>
                <w:szCs w:val="18"/>
                <w:lang w:val="en-GB" w:eastAsia="en-GB"/>
              </w:rPr>
              <w:t>)</w:t>
            </w:r>
          </w:p>
        </w:tc>
        <w:tc>
          <w:tcPr>
            <w:tcW w:w="851" w:type="dxa"/>
            <w:tcBorders>
              <w:top w:val="single" w:sz="4" w:space="0" w:color="auto"/>
              <w:right w:val="single" w:sz="4" w:space="0" w:color="auto"/>
            </w:tcBorders>
            <w:shd w:val="clear" w:color="auto" w:fill="auto"/>
            <w:noWrap/>
            <w:vAlign w:val="center"/>
            <w:hideMark/>
          </w:tcPr>
          <w:p w14:paraId="2A0C2B8C"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20.0</w:t>
            </w:r>
          </w:p>
        </w:tc>
        <w:tc>
          <w:tcPr>
            <w:tcW w:w="567" w:type="dxa"/>
            <w:tcBorders>
              <w:top w:val="single" w:sz="4" w:space="0" w:color="auto"/>
              <w:left w:val="single" w:sz="4" w:space="0" w:color="auto"/>
            </w:tcBorders>
            <w:shd w:val="clear" w:color="auto" w:fill="auto"/>
            <w:noWrap/>
            <w:vAlign w:val="center"/>
            <w:hideMark/>
          </w:tcPr>
          <w:p w14:paraId="2FEF54AE"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1.11</w:t>
            </w:r>
          </w:p>
        </w:tc>
        <w:tc>
          <w:tcPr>
            <w:tcW w:w="992" w:type="dxa"/>
            <w:tcBorders>
              <w:top w:val="single" w:sz="4" w:space="0" w:color="auto"/>
            </w:tcBorders>
            <w:shd w:val="clear" w:color="auto" w:fill="auto"/>
            <w:noWrap/>
            <w:vAlign w:val="center"/>
            <w:hideMark/>
          </w:tcPr>
          <w:p w14:paraId="3CEF4CAF" w14:textId="0692F546"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0.75</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1.48</w:t>
            </w:r>
            <w:r>
              <w:rPr>
                <w:rFonts w:ascii="Calibri" w:eastAsia="Times New Roman" w:hAnsi="Calibri" w:cs="Calibri"/>
                <w:sz w:val="18"/>
                <w:szCs w:val="18"/>
                <w:lang w:val="en-GB" w:eastAsia="en-GB"/>
              </w:rPr>
              <w:t>)</w:t>
            </w:r>
          </w:p>
        </w:tc>
        <w:tc>
          <w:tcPr>
            <w:tcW w:w="850" w:type="dxa"/>
            <w:tcBorders>
              <w:top w:val="single" w:sz="4" w:space="0" w:color="auto"/>
              <w:right w:val="single" w:sz="4" w:space="0" w:color="auto"/>
            </w:tcBorders>
            <w:shd w:val="clear" w:color="auto" w:fill="auto"/>
            <w:noWrap/>
            <w:vAlign w:val="center"/>
            <w:hideMark/>
          </w:tcPr>
          <w:p w14:paraId="435DA227"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26.1</w:t>
            </w:r>
          </w:p>
        </w:tc>
        <w:tc>
          <w:tcPr>
            <w:tcW w:w="567" w:type="dxa"/>
            <w:tcBorders>
              <w:top w:val="single" w:sz="4" w:space="0" w:color="auto"/>
              <w:left w:val="single" w:sz="4" w:space="0" w:color="auto"/>
            </w:tcBorders>
            <w:shd w:val="clear" w:color="auto" w:fill="auto"/>
            <w:noWrap/>
            <w:vAlign w:val="center"/>
            <w:hideMark/>
          </w:tcPr>
          <w:p w14:paraId="7A227E11"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1.14</w:t>
            </w:r>
          </w:p>
        </w:tc>
        <w:tc>
          <w:tcPr>
            <w:tcW w:w="993" w:type="dxa"/>
            <w:tcBorders>
              <w:top w:val="single" w:sz="4" w:space="0" w:color="auto"/>
            </w:tcBorders>
            <w:shd w:val="clear" w:color="auto" w:fill="auto"/>
            <w:noWrap/>
            <w:vAlign w:val="center"/>
            <w:hideMark/>
          </w:tcPr>
          <w:p w14:paraId="1CA704C9" w14:textId="014477AE"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0.58</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1.70</w:t>
            </w:r>
            <w:r>
              <w:rPr>
                <w:rFonts w:ascii="Calibri" w:eastAsia="Times New Roman" w:hAnsi="Calibri" w:cs="Calibri"/>
                <w:color w:val="000000"/>
                <w:sz w:val="18"/>
                <w:szCs w:val="18"/>
                <w:lang w:val="en-GB" w:eastAsia="en-GB"/>
              </w:rPr>
              <w:t>)</w:t>
            </w:r>
          </w:p>
        </w:tc>
        <w:tc>
          <w:tcPr>
            <w:tcW w:w="850" w:type="dxa"/>
            <w:tcBorders>
              <w:top w:val="single" w:sz="4" w:space="0" w:color="auto"/>
            </w:tcBorders>
            <w:shd w:val="clear" w:color="auto" w:fill="auto"/>
            <w:noWrap/>
            <w:vAlign w:val="center"/>
            <w:hideMark/>
          </w:tcPr>
          <w:p w14:paraId="4E6F41ED"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26.4</w:t>
            </w:r>
          </w:p>
        </w:tc>
      </w:tr>
      <w:tr w:rsidR="00A85F43" w:rsidRPr="00E301D8" w14:paraId="58B14115" w14:textId="77777777" w:rsidTr="00A85F43">
        <w:trPr>
          <w:trHeight w:val="240"/>
        </w:trPr>
        <w:tc>
          <w:tcPr>
            <w:tcW w:w="1555" w:type="dxa"/>
            <w:shd w:val="clear" w:color="auto" w:fill="auto"/>
            <w:noWrap/>
            <w:vAlign w:val="center"/>
            <w:hideMark/>
          </w:tcPr>
          <w:p w14:paraId="5F386E42"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EDEN</w:t>
            </w:r>
          </w:p>
        </w:tc>
        <w:tc>
          <w:tcPr>
            <w:tcW w:w="567" w:type="dxa"/>
            <w:shd w:val="clear" w:color="auto" w:fill="auto"/>
            <w:noWrap/>
            <w:vAlign w:val="center"/>
            <w:hideMark/>
          </w:tcPr>
          <w:p w14:paraId="12EAB7B7"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-0.79</w:t>
            </w:r>
          </w:p>
        </w:tc>
        <w:tc>
          <w:tcPr>
            <w:tcW w:w="1134" w:type="dxa"/>
            <w:shd w:val="clear" w:color="auto" w:fill="auto"/>
            <w:noWrap/>
            <w:vAlign w:val="center"/>
            <w:hideMark/>
          </w:tcPr>
          <w:p w14:paraId="1B198B4A" w14:textId="0A51C93B"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-1.21</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-0.37</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3E01513A"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16.4</w:t>
            </w:r>
          </w:p>
        </w:tc>
        <w:tc>
          <w:tcPr>
            <w:tcW w:w="567" w:type="dxa"/>
            <w:tcBorders>
              <w:left w:val="single" w:sz="4" w:space="0" w:color="auto"/>
            </w:tcBorders>
            <w:shd w:val="clear" w:color="auto" w:fill="auto"/>
            <w:noWrap/>
            <w:vAlign w:val="center"/>
            <w:hideMark/>
          </w:tcPr>
          <w:p w14:paraId="5395F283"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-0.85</w:t>
            </w:r>
          </w:p>
        </w:tc>
        <w:tc>
          <w:tcPr>
            <w:tcW w:w="1134" w:type="dxa"/>
            <w:shd w:val="clear" w:color="auto" w:fill="auto"/>
            <w:noWrap/>
            <w:vAlign w:val="center"/>
            <w:hideMark/>
          </w:tcPr>
          <w:p w14:paraId="2EA46FB0" w14:textId="373759B6"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-1.28</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-0.42</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755D8C8C"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16.3</w:t>
            </w:r>
          </w:p>
        </w:tc>
        <w:tc>
          <w:tcPr>
            <w:tcW w:w="567" w:type="dxa"/>
            <w:tcBorders>
              <w:left w:val="single" w:sz="4" w:space="0" w:color="auto"/>
            </w:tcBorders>
            <w:shd w:val="clear" w:color="auto" w:fill="auto"/>
            <w:noWrap/>
            <w:vAlign w:val="center"/>
            <w:hideMark/>
          </w:tcPr>
          <w:p w14:paraId="20E5E05B"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0.94</w:t>
            </w:r>
          </w:p>
        </w:tc>
        <w:tc>
          <w:tcPr>
            <w:tcW w:w="992" w:type="dxa"/>
            <w:shd w:val="clear" w:color="auto" w:fill="auto"/>
            <w:noWrap/>
            <w:vAlign w:val="center"/>
            <w:hideMark/>
          </w:tcPr>
          <w:p w14:paraId="091F62C1" w14:textId="4842495B"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-0.04</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1.91</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141C31F3"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19.2</w:t>
            </w:r>
          </w:p>
        </w:tc>
        <w:tc>
          <w:tcPr>
            <w:tcW w:w="567" w:type="dxa"/>
            <w:tcBorders>
              <w:left w:val="single" w:sz="4" w:space="0" w:color="auto"/>
            </w:tcBorders>
            <w:shd w:val="clear" w:color="auto" w:fill="auto"/>
            <w:noWrap/>
            <w:vAlign w:val="center"/>
            <w:hideMark/>
          </w:tcPr>
          <w:p w14:paraId="18B4F4B9"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0.81</w:t>
            </w:r>
          </w:p>
        </w:tc>
        <w:tc>
          <w:tcPr>
            <w:tcW w:w="993" w:type="dxa"/>
            <w:shd w:val="clear" w:color="auto" w:fill="auto"/>
            <w:noWrap/>
            <w:vAlign w:val="center"/>
            <w:hideMark/>
          </w:tcPr>
          <w:p w14:paraId="02C55EDF" w14:textId="706F0C32"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-0.24</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1.86</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68D5447C"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17.3</w:t>
            </w:r>
          </w:p>
        </w:tc>
      </w:tr>
      <w:tr w:rsidR="00A85F43" w:rsidRPr="00E301D8" w14:paraId="33CC57F5" w14:textId="77777777" w:rsidTr="00A85F43">
        <w:trPr>
          <w:trHeight w:val="240"/>
        </w:trPr>
        <w:tc>
          <w:tcPr>
            <w:tcW w:w="1555" w:type="dxa"/>
            <w:shd w:val="clear" w:color="auto" w:fill="auto"/>
            <w:noWrap/>
            <w:vAlign w:val="center"/>
            <w:hideMark/>
          </w:tcPr>
          <w:p w14:paraId="231AB306"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Generation R</w:t>
            </w:r>
          </w:p>
        </w:tc>
        <w:tc>
          <w:tcPr>
            <w:tcW w:w="567" w:type="dxa"/>
            <w:shd w:val="clear" w:color="auto" w:fill="auto"/>
            <w:noWrap/>
            <w:vAlign w:val="center"/>
            <w:hideMark/>
          </w:tcPr>
          <w:p w14:paraId="5252B256"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-0.82</w:t>
            </w:r>
          </w:p>
        </w:tc>
        <w:tc>
          <w:tcPr>
            <w:tcW w:w="1134" w:type="dxa"/>
            <w:shd w:val="clear" w:color="auto" w:fill="auto"/>
            <w:noWrap/>
            <w:vAlign w:val="center"/>
            <w:hideMark/>
          </w:tcPr>
          <w:p w14:paraId="479256FA" w14:textId="41AEBF5F"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-1.07</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-0.58</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541F8EBC"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19.0</w:t>
            </w:r>
          </w:p>
        </w:tc>
        <w:tc>
          <w:tcPr>
            <w:tcW w:w="567" w:type="dxa"/>
            <w:tcBorders>
              <w:left w:val="single" w:sz="4" w:space="0" w:color="auto"/>
            </w:tcBorders>
            <w:shd w:val="clear" w:color="auto" w:fill="auto"/>
            <w:noWrap/>
            <w:vAlign w:val="center"/>
            <w:hideMark/>
          </w:tcPr>
          <w:p w14:paraId="59B39AF0"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-0.87</w:t>
            </w:r>
          </w:p>
        </w:tc>
        <w:tc>
          <w:tcPr>
            <w:tcW w:w="1134" w:type="dxa"/>
            <w:shd w:val="clear" w:color="auto" w:fill="auto"/>
            <w:noWrap/>
            <w:vAlign w:val="center"/>
            <w:hideMark/>
          </w:tcPr>
          <w:p w14:paraId="26D65D1B" w14:textId="210C0B19"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-1.11</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-0.63</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08BE9D0B"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19.7</w:t>
            </w:r>
          </w:p>
        </w:tc>
        <w:tc>
          <w:tcPr>
            <w:tcW w:w="567" w:type="dxa"/>
            <w:tcBorders>
              <w:left w:val="single" w:sz="4" w:space="0" w:color="auto"/>
            </w:tcBorders>
            <w:shd w:val="clear" w:color="auto" w:fill="auto"/>
            <w:noWrap/>
            <w:vAlign w:val="center"/>
            <w:hideMark/>
          </w:tcPr>
          <w:p w14:paraId="139B665F"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-0.11</w:t>
            </w:r>
          </w:p>
        </w:tc>
        <w:tc>
          <w:tcPr>
            <w:tcW w:w="992" w:type="dxa"/>
            <w:shd w:val="clear" w:color="auto" w:fill="auto"/>
            <w:noWrap/>
            <w:vAlign w:val="center"/>
            <w:hideMark/>
          </w:tcPr>
          <w:p w14:paraId="2E1CB532" w14:textId="0A70CD08"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-0.37</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0.15</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1E5FFA82"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26.9</w:t>
            </w:r>
          </w:p>
        </w:tc>
        <w:tc>
          <w:tcPr>
            <w:tcW w:w="567" w:type="dxa"/>
            <w:tcBorders>
              <w:left w:val="single" w:sz="4" w:space="0" w:color="auto"/>
            </w:tcBorders>
            <w:shd w:val="clear" w:color="auto" w:fill="auto"/>
            <w:noWrap/>
            <w:vAlign w:val="center"/>
            <w:hideMark/>
          </w:tcPr>
          <w:p w14:paraId="631A21AB"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0.12</w:t>
            </w:r>
          </w:p>
        </w:tc>
        <w:tc>
          <w:tcPr>
            <w:tcW w:w="993" w:type="dxa"/>
            <w:shd w:val="clear" w:color="auto" w:fill="auto"/>
            <w:noWrap/>
            <w:vAlign w:val="center"/>
            <w:hideMark/>
          </w:tcPr>
          <w:p w14:paraId="6B15FE17" w14:textId="48D03834"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-0.14</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0.38</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45C1B868"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31.6</w:t>
            </w:r>
          </w:p>
        </w:tc>
      </w:tr>
      <w:tr w:rsidR="00A85F43" w:rsidRPr="00E301D8" w14:paraId="72EB4CCA" w14:textId="77777777" w:rsidTr="00A85F43">
        <w:trPr>
          <w:trHeight w:val="240"/>
        </w:trPr>
        <w:tc>
          <w:tcPr>
            <w:tcW w:w="1555" w:type="dxa"/>
            <w:shd w:val="clear" w:color="auto" w:fill="auto"/>
            <w:noWrap/>
            <w:vAlign w:val="center"/>
            <w:hideMark/>
          </w:tcPr>
          <w:p w14:paraId="4157143E" w14:textId="77777777" w:rsidR="008D0FBD" w:rsidRPr="00E301D8" w:rsidRDefault="008D0FBD"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Lifeways</w:t>
            </w:r>
          </w:p>
        </w:tc>
        <w:tc>
          <w:tcPr>
            <w:tcW w:w="567" w:type="dxa"/>
            <w:shd w:val="clear" w:color="auto" w:fill="auto"/>
            <w:noWrap/>
            <w:vAlign w:val="center"/>
            <w:hideMark/>
          </w:tcPr>
          <w:p w14:paraId="44B057E1" w14:textId="77777777" w:rsidR="008D0FBD" w:rsidRPr="00E301D8" w:rsidRDefault="008D0FBD"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-1.53</w:t>
            </w:r>
          </w:p>
        </w:tc>
        <w:tc>
          <w:tcPr>
            <w:tcW w:w="1134" w:type="dxa"/>
            <w:shd w:val="clear" w:color="auto" w:fill="auto"/>
            <w:noWrap/>
            <w:vAlign w:val="center"/>
            <w:hideMark/>
          </w:tcPr>
          <w:p w14:paraId="6B4326F2" w14:textId="2F4A5F45" w:rsidR="008D0FBD" w:rsidRPr="00E301D8" w:rsidRDefault="008D0FBD"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-2.16</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-0.89</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0A3A00D0" w14:textId="77777777" w:rsidR="008D0FBD" w:rsidRPr="00E301D8" w:rsidRDefault="008D0FBD"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13.0</w:t>
            </w:r>
          </w:p>
        </w:tc>
        <w:tc>
          <w:tcPr>
            <w:tcW w:w="567" w:type="dxa"/>
            <w:tcBorders>
              <w:left w:val="single" w:sz="4" w:space="0" w:color="auto"/>
            </w:tcBorders>
            <w:shd w:val="clear" w:color="auto" w:fill="auto"/>
            <w:noWrap/>
            <w:vAlign w:val="center"/>
            <w:hideMark/>
          </w:tcPr>
          <w:p w14:paraId="6E3DD871" w14:textId="77777777" w:rsidR="008D0FBD" w:rsidRPr="00E301D8" w:rsidRDefault="008D0FBD"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-1.65</w:t>
            </w:r>
          </w:p>
        </w:tc>
        <w:tc>
          <w:tcPr>
            <w:tcW w:w="1134" w:type="dxa"/>
            <w:shd w:val="clear" w:color="auto" w:fill="auto"/>
            <w:noWrap/>
            <w:vAlign w:val="center"/>
            <w:hideMark/>
          </w:tcPr>
          <w:p w14:paraId="4454A77F" w14:textId="5E7451B1" w:rsidR="008D0FBD" w:rsidRPr="00E301D8" w:rsidRDefault="008D0FBD"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-2.30</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-1.00</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7EAA94B1" w14:textId="77777777" w:rsidR="008D0FBD" w:rsidRPr="00E301D8" w:rsidRDefault="008D0FBD"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12.3</w:t>
            </w:r>
          </w:p>
        </w:tc>
        <w:tc>
          <w:tcPr>
            <w:tcW w:w="567" w:type="dxa"/>
            <w:tcBorders>
              <w:left w:val="single" w:sz="4" w:space="0" w:color="auto"/>
            </w:tcBorders>
            <w:shd w:val="clear" w:color="auto" w:fill="auto"/>
            <w:noWrap/>
            <w:vAlign w:val="center"/>
          </w:tcPr>
          <w:p w14:paraId="7117372B" w14:textId="7F9323DC" w:rsidR="008D0FBD" w:rsidRPr="00E301D8" w:rsidRDefault="008D0FBD" w:rsidP="00D225D9">
            <w:pPr>
              <w:jc w:val="right"/>
              <w:rPr>
                <w:rFonts w:ascii="Calibri" w:eastAsia="Times New Roman" w:hAnsi="Calibri" w:cs="Calibri"/>
                <w:sz w:val="18"/>
                <w:szCs w:val="18"/>
                <w:lang w:val="en-GB" w:eastAsia="en-GB"/>
              </w:rPr>
            </w:pPr>
          </w:p>
        </w:tc>
        <w:tc>
          <w:tcPr>
            <w:tcW w:w="992" w:type="dxa"/>
            <w:shd w:val="clear" w:color="auto" w:fill="auto"/>
            <w:noWrap/>
            <w:vAlign w:val="center"/>
            <w:hideMark/>
          </w:tcPr>
          <w:p w14:paraId="4B6A7150" w14:textId="6C10945C" w:rsidR="008D0FBD" w:rsidRPr="00E301D8" w:rsidRDefault="008D0FBD" w:rsidP="00D225D9">
            <w:pPr>
              <w:jc w:val="left"/>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0" w:type="dxa"/>
            <w:tcBorders>
              <w:right w:val="single" w:sz="4" w:space="0" w:color="auto"/>
            </w:tcBorders>
            <w:shd w:val="clear" w:color="auto" w:fill="auto"/>
            <w:noWrap/>
            <w:vAlign w:val="center"/>
            <w:hideMark/>
          </w:tcPr>
          <w:p w14:paraId="4D89ED91" w14:textId="77777777" w:rsidR="008D0FBD" w:rsidRPr="00E301D8" w:rsidRDefault="008D0FBD" w:rsidP="00E301D8">
            <w:pPr>
              <w:jc w:val="left"/>
              <w:rPr>
                <w:rFonts w:eastAsia="Times New Roman"/>
                <w:sz w:val="20"/>
                <w:szCs w:val="20"/>
                <w:lang w:val="en-GB" w:eastAsia="en-GB"/>
              </w:rPr>
            </w:pPr>
          </w:p>
        </w:tc>
        <w:tc>
          <w:tcPr>
            <w:tcW w:w="567" w:type="dxa"/>
            <w:tcBorders>
              <w:left w:val="single" w:sz="4" w:space="0" w:color="auto"/>
            </w:tcBorders>
            <w:shd w:val="clear" w:color="auto" w:fill="auto"/>
            <w:noWrap/>
            <w:vAlign w:val="center"/>
            <w:hideMark/>
          </w:tcPr>
          <w:p w14:paraId="3F6BB5E8" w14:textId="6856C90E" w:rsidR="008D0FBD" w:rsidRPr="00E301D8" w:rsidRDefault="008D0FBD" w:rsidP="00D225D9">
            <w:pPr>
              <w:jc w:val="right"/>
              <w:rPr>
                <w:rFonts w:ascii="Calibri" w:eastAsia="Times New Roman" w:hAnsi="Calibri" w:cs="Calibri"/>
                <w:sz w:val="18"/>
                <w:szCs w:val="18"/>
                <w:lang w:val="en-GB" w:eastAsia="en-GB"/>
              </w:rPr>
            </w:pPr>
          </w:p>
        </w:tc>
        <w:tc>
          <w:tcPr>
            <w:tcW w:w="993" w:type="dxa"/>
            <w:shd w:val="clear" w:color="auto" w:fill="auto"/>
            <w:noWrap/>
            <w:vAlign w:val="center"/>
            <w:hideMark/>
          </w:tcPr>
          <w:p w14:paraId="68C49144" w14:textId="23DFDD45" w:rsidR="008D0FBD" w:rsidRPr="00E301D8" w:rsidRDefault="008D0FBD" w:rsidP="00D225D9">
            <w:pPr>
              <w:jc w:val="left"/>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0" w:type="dxa"/>
            <w:shd w:val="clear" w:color="auto" w:fill="auto"/>
            <w:noWrap/>
            <w:vAlign w:val="center"/>
            <w:hideMark/>
          </w:tcPr>
          <w:p w14:paraId="5805D5E3" w14:textId="77777777" w:rsidR="008D0FBD" w:rsidRPr="00E301D8" w:rsidRDefault="008D0FBD" w:rsidP="00E301D8">
            <w:pPr>
              <w:rPr>
                <w:rFonts w:eastAsia="Times New Roman"/>
                <w:sz w:val="20"/>
                <w:szCs w:val="20"/>
                <w:lang w:val="en-GB" w:eastAsia="en-GB"/>
              </w:rPr>
            </w:pPr>
          </w:p>
        </w:tc>
      </w:tr>
      <w:tr w:rsidR="00A85F43" w:rsidRPr="00E301D8" w14:paraId="43368B77" w14:textId="77777777" w:rsidTr="00A85F43">
        <w:trPr>
          <w:trHeight w:val="240"/>
        </w:trPr>
        <w:tc>
          <w:tcPr>
            <w:tcW w:w="1555" w:type="dxa"/>
            <w:shd w:val="clear" w:color="auto" w:fill="auto"/>
            <w:noWrap/>
            <w:vAlign w:val="center"/>
            <w:hideMark/>
          </w:tcPr>
          <w:p w14:paraId="47EDCDBB" w14:textId="77777777" w:rsidR="008D0FBD" w:rsidRPr="00E301D8" w:rsidRDefault="008D0FBD"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REPRO_PL</w:t>
            </w:r>
          </w:p>
        </w:tc>
        <w:tc>
          <w:tcPr>
            <w:tcW w:w="567" w:type="dxa"/>
            <w:shd w:val="clear" w:color="auto" w:fill="auto"/>
            <w:noWrap/>
            <w:vAlign w:val="center"/>
            <w:hideMark/>
          </w:tcPr>
          <w:p w14:paraId="08FA4B97" w14:textId="77777777" w:rsidR="008D0FBD" w:rsidRPr="00E301D8" w:rsidRDefault="008D0FBD"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-0.35</w:t>
            </w:r>
          </w:p>
        </w:tc>
        <w:tc>
          <w:tcPr>
            <w:tcW w:w="1134" w:type="dxa"/>
            <w:shd w:val="clear" w:color="auto" w:fill="auto"/>
            <w:noWrap/>
            <w:vAlign w:val="center"/>
            <w:hideMark/>
          </w:tcPr>
          <w:p w14:paraId="7F3FA193" w14:textId="7C13B03B" w:rsidR="008D0FBD" w:rsidRPr="00E301D8" w:rsidRDefault="008D0FBD"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-0.94</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0.24</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472683C8" w14:textId="77777777" w:rsidR="008D0FBD" w:rsidRPr="00E301D8" w:rsidRDefault="008D0FBD"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13.7</w:t>
            </w:r>
          </w:p>
        </w:tc>
        <w:tc>
          <w:tcPr>
            <w:tcW w:w="567" w:type="dxa"/>
            <w:tcBorders>
              <w:left w:val="single" w:sz="4" w:space="0" w:color="auto"/>
            </w:tcBorders>
            <w:shd w:val="clear" w:color="auto" w:fill="auto"/>
            <w:noWrap/>
            <w:vAlign w:val="center"/>
            <w:hideMark/>
          </w:tcPr>
          <w:p w14:paraId="2B9A6168" w14:textId="77777777" w:rsidR="008D0FBD" w:rsidRPr="00E301D8" w:rsidRDefault="008D0FBD"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-0.56</w:t>
            </w:r>
          </w:p>
        </w:tc>
        <w:tc>
          <w:tcPr>
            <w:tcW w:w="1134" w:type="dxa"/>
            <w:shd w:val="clear" w:color="auto" w:fill="auto"/>
            <w:noWrap/>
            <w:vAlign w:val="center"/>
            <w:hideMark/>
          </w:tcPr>
          <w:p w14:paraId="3D007866" w14:textId="56040D91" w:rsidR="008D0FBD" w:rsidRPr="00E301D8" w:rsidRDefault="008D0FBD"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-1.15</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0.02</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5617AD2E" w14:textId="77777777" w:rsidR="008D0FBD" w:rsidRPr="00E301D8" w:rsidRDefault="008D0FBD"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13.4</w:t>
            </w:r>
          </w:p>
        </w:tc>
        <w:tc>
          <w:tcPr>
            <w:tcW w:w="567" w:type="dxa"/>
            <w:tcBorders>
              <w:left w:val="single" w:sz="4" w:space="0" w:color="auto"/>
            </w:tcBorders>
            <w:shd w:val="clear" w:color="auto" w:fill="auto"/>
            <w:noWrap/>
            <w:vAlign w:val="center"/>
          </w:tcPr>
          <w:p w14:paraId="655BAC87" w14:textId="2AAECBE2" w:rsidR="008D0FBD" w:rsidRPr="00E301D8" w:rsidRDefault="008D0FBD" w:rsidP="00D225D9">
            <w:pPr>
              <w:jc w:val="right"/>
              <w:rPr>
                <w:rFonts w:ascii="Calibri" w:eastAsia="Times New Roman" w:hAnsi="Calibri" w:cs="Calibri"/>
                <w:sz w:val="18"/>
                <w:szCs w:val="18"/>
                <w:lang w:val="en-GB" w:eastAsia="en-GB"/>
              </w:rPr>
            </w:pPr>
          </w:p>
        </w:tc>
        <w:tc>
          <w:tcPr>
            <w:tcW w:w="992" w:type="dxa"/>
            <w:shd w:val="clear" w:color="auto" w:fill="auto"/>
            <w:noWrap/>
            <w:vAlign w:val="center"/>
            <w:hideMark/>
          </w:tcPr>
          <w:p w14:paraId="79D874F7" w14:textId="48B7375B" w:rsidR="008D0FBD" w:rsidRPr="00E301D8" w:rsidRDefault="008D0FBD" w:rsidP="00D225D9">
            <w:pPr>
              <w:jc w:val="left"/>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0" w:type="dxa"/>
            <w:tcBorders>
              <w:right w:val="single" w:sz="4" w:space="0" w:color="auto"/>
            </w:tcBorders>
            <w:shd w:val="clear" w:color="auto" w:fill="auto"/>
            <w:noWrap/>
            <w:vAlign w:val="center"/>
            <w:hideMark/>
          </w:tcPr>
          <w:p w14:paraId="000C1222" w14:textId="77777777" w:rsidR="008D0FBD" w:rsidRPr="00E301D8" w:rsidRDefault="008D0FBD" w:rsidP="00E301D8">
            <w:pPr>
              <w:rPr>
                <w:rFonts w:eastAsia="Times New Roman"/>
                <w:sz w:val="20"/>
                <w:szCs w:val="20"/>
                <w:lang w:val="en-GB" w:eastAsia="en-GB"/>
              </w:rPr>
            </w:pPr>
          </w:p>
        </w:tc>
        <w:tc>
          <w:tcPr>
            <w:tcW w:w="567" w:type="dxa"/>
            <w:tcBorders>
              <w:left w:val="single" w:sz="4" w:space="0" w:color="auto"/>
            </w:tcBorders>
            <w:shd w:val="clear" w:color="auto" w:fill="auto"/>
            <w:noWrap/>
            <w:vAlign w:val="center"/>
            <w:hideMark/>
          </w:tcPr>
          <w:p w14:paraId="6A205321" w14:textId="739A6AE8" w:rsidR="008D0FBD" w:rsidRPr="00E301D8" w:rsidRDefault="008D0FBD" w:rsidP="00D225D9">
            <w:pPr>
              <w:jc w:val="right"/>
              <w:rPr>
                <w:rFonts w:ascii="Calibri" w:eastAsia="Times New Roman" w:hAnsi="Calibri" w:cs="Calibri"/>
                <w:sz w:val="18"/>
                <w:szCs w:val="18"/>
                <w:lang w:val="en-GB" w:eastAsia="en-GB"/>
              </w:rPr>
            </w:pPr>
          </w:p>
        </w:tc>
        <w:tc>
          <w:tcPr>
            <w:tcW w:w="993" w:type="dxa"/>
            <w:shd w:val="clear" w:color="auto" w:fill="auto"/>
            <w:noWrap/>
            <w:vAlign w:val="center"/>
            <w:hideMark/>
          </w:tcPr>
          <w:p w14:paraId="33DA9DE7" w14:textId="1EAC1294" w:rsidR="008D0FBD" w:rsidRPr="00E301D8" w:rsidRDefault="008D0FBD" w:rsidP="00D225D9">
            <w:pPr>
              <w:jc w:val="left"/>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0" w:type="dxa"/>
            <w:shd w:val="clear" w:color="auto" w:fill="auto"/>
            <w:noWrap/>
            <w:vAlign w:val="center"/>
            <w:hideMark/>
          </w:tcPr>
          <w:p w14:paraId="64E869FA" w14:textId="77777777" w:rsidR="008D0FBD" w:rsidRPr="00E301D8" w:rsidRDefault="008D0FBD" w:rsidP="00E301D8">
            <w:pPr>
              <w:rPr>
                <w:rFonts w:eastAsia="Times New Roman"/>
                <w:sz w:val="20"/>
                <w:szCs w:val="20"/>
                <w:lang w:val="en-GB" w:eastAsia="en-GB"/>
              </w:rPr>
            </w:pPr>
          </w:p>
        </w:tc>
      </w:tr>
      <w:tr w:rsidR="00A85F43" w:rsidRPr="00E301D8" w14:paraId="7177314B" w14:textId="77777777" w:rsidTr="00A85F43">
        <w:trPr>
          <w:trHeight w:val="240"/>
        </w:trPr>
        <w:tc>
          <w:tcPr>
            <w:tcW w:w="1555" w:type="dxa"/>
            <w:shd w:val="clear" w:color="auto" w:fill="auto"/>
            <w:noWrap/>
            <w:vAlign w:val="center"/>
            <w:hideMark/>
          </w:tcPr>
          <w:p w14:paraId="1E91206F" w14:textId="77777777" w:rsidR="00837F1A" w:rsidRPr="00E301D8" w:rsidRDefault="00837F1A"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ROLO</w:t>
            </w:r>
          </w:p>
        </w:tc>
        <w:tc>
          <w:tcPr>
            <w:tcW w:w="567" w:type="dxa"/>
            <w:shd w:val="clear" w:color="auto" w:fill="auto"/>
            <w:noWrap/>
            <w:vAlign w:val="center"/>
            <w:hideMark/>
          </w:tcPr>
          <w:p w14:paraId="409611C0" w14:textId="0EA2D610" w:rsidR="00837F1A" w:rsidRPr="00E301D8" w:rsidRDefault="00837F1A" w:rsidP="00D225D9">
            <w:pPr>
              <w:jc w:val="right"/>
              <w:rPr>
                <w:rFonts w:ascii="Calibri" w:eastAsia="Times New Roman" w:hAnsi="Calibri" w:cs="Calibri"/>
                <w:sz w:val="18"/>
                <w:szCs w:val="18"/>
                <w:lang w:val="en-GB" w:eastAsia="en-GB"/>
              </w:rPr>
            </w:pPr>
          </w:p>
        </w:tc>
        <w:tc>
          <w:tcPr>
            <w:tcW w:w="1134" w:type="dxa"/>
            <w:shd w:val="clear" w:color="auto" w:fill="auto"/>
            <w:noWrap/>
            <w:vAlign w:val="center"/>
            <w:hideMark/>
          </w:tcPr>
          <w:p w14:paraId="53962D0C" w14:textId="41A948D4" w:rsidR="00837F1A" w:rsidRPr="00E301D8" w:rsidRDefault="008D0FBD" w:rsidP="00D225D9">
            <w:pPr>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0" w:type="dxa"/>
            <w:tcBorders>
              <w:right w:val="single" w:sz="4" w:space="0" w:color="auto"/>
            </w:tcBorders>
            <w:shd w:val="clear" w:color="auto" w:fill="auto"/>
            <w:noWrap/>
            <w:vAlign w:val="center"/>
            <w:hideMark/>
          </w:tcPr>
          <w:p w14:paraId="434B0C3C" w14:textId="77777777" w:rsidR="00837F1A" w:rsidRPr="00E301D8" w:rsidRDefault="00837F1A" w:rsidP="00E301D8">
            <w:pPr>
              <w:rPr>
                <w:rFonts w:eastAsia="Times New Roman"/>
                <w:sz w:val="20"/>
                <w:szCs w:val="20"/>
                <w:lang w:val="en-GB" w:eastAsia="en-GB"/>
              </w:rPr>
            </w:pPr>
          </w:p>
        </w:tc>
        <w:tc>
          <w:tcPr>
            <w:tcW w:w="567" w:type="dxa"/>
            <w:tcBorders>
              <w:left w:val="single" w:sz="4" w:space="0" w:color="auto"/>
            </w:tcBorders>
            <w:shd w:val="clear" w:color="auto" w:fill="auto"/>
            <w:noWrap/>
            <w:vAlign w:val="center"/>
            <w:hideMark/>
          </w:tcPr>
          <w:p w14:paraId="312142B3" w14:textId="5D2322E9" w:rsidR="00837F1A" w:rsidRPr="00E301D8" w:rsidRDefault="00837F1A" w:rsidP="00D225D9">
            <w:pPr>
              <w:jc w:val="right"/>
              <w:rPr>
                <w:rFonts w:ascii="Calibri" w:eastAsia="Times New Roman" w:hAnsi="Calibri" w:cs="Calibri"/>
                <w:sz w:val="18"/>
                <w:szCs w:val="18"/>
                <w:lang w:val="en-GB" w:eastAsia="en-GB"/>
              </w:rPr>
            </w:pPr>
          </w:p>
        </w:tc>
        <w:tc>
          <w:tcPr>
            <w:tcW w:w="1134" w:type="dxa"/>
            <w:shd w:val="clear" w:color="auto" w:fill="auto"/>
            <w:noWrap/>
            <w:vAlign w:val="center"/>
            <w:hideMark/>
          </w:tcPr>
          <w:p w14:paraId="36EB92E1" w14:textId="4AE184C4" w:rsidR="00837F1A" w:rsidRPr="00E301D8" w:rsidRDefault="008D0FBD" w:rsidP="00D225D9">
            <w:pPr>
              <w:jc w:val="left"/>
              <w:rPr>
                <w:rFonts w:eastAsia="Times New Roman"/>
                <w:sz w:val="20"/>
                <w:szCs w:val="20"/>
                <w:lang w:val="en-GB" w:eastAsia="en-GB"/>
              </w:rPr>
            </w:pPr>
            <w:r w:rsidRPr="00E301D8">
              <w:rPr>
                <w:rFonts w:ascii="Calibri" w:eastAsia="Times New Roman" w:hAnsi="Calibri" w:cs="Calibri"/>
                <w:sz w:val="18"/>
                <w:szCs w:val="18"/>
                <w:lang w:val="en-GB" w:eastAsia="en-GB"/>
              </w:rPr>
              <w:t>RC</w:t>
            </w:r>
          </w:p>
        </w:tc>
        <w:tc>
          <w:tcPr>
            <w:tcW w:w="851" w:type="dxa"/>
            <w:tcBorders>
              <w:right w:val="single" w:sz="4" w:space="0" w:color="auto"/>
            </w:tcBorders>
            <w:shd w:val="clear" w:color="auto" w:fill="auto"/>
            <w:noWrap/>
            <w:vAlign w:val="center"/>
            <w:hideMark/>
          </w:tcPr>
          <w:p w14:paraId="066E8E8B" w14:textId="77777777" w:rsidR="00837F1A" w:rsidRPr="00E301D8" w:rsidRDefault="00837F1A" w:rsidP="00E301D8">
            <w:pPr>
              <w:jc w:val="left"/>
              <w:rPr>
                <w:rFonts w:eastAsia="Times New Roman"/>
                <w:sz w:val="20"/>
                <w:szCs w:val="20"/>
                <w:lang w:val="en-GB" w:eastAsia="en-GB"/>
              </w:rPr>
            </w:pPr>
          </w:p>
        </w:tc>
        <w:tc>
          <w:tcPr>
            <w:tcW w:w="567" w:type="dxa"/>
            <w:tcBorders>
              <w:left w:val="single" w:sz="4" w:space="0" w:color="auto"/>
            </w:tcBorders>
            <w:shd w:val="clear" w:color="auto" w:fill="auto"/>
            <w:noWrap/>
            <w:vAlign w:val="center"/>
            <w:hideMark/>
          </w:tcPr>
          <w:p w14:paraId="5A5F24F0" w14:textId="77777777" w:rsidR="00837F1A" w:rsidRPr="00E301D8" w:rsidRDefault="00837F1A"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0.07</w:t>
            </w:r>
          </w:p>
        </w:tc>
        <w:tc>
          <w:tcPr>
            <w:tcW w:w="992" w:type="dxa"/>
            <w:shd w:val="clear" w:color="auto" w:fill="auto"/>
            <w:noWrap/>
            <w:vAlign w:val="center"/>
            <w:hideMark/>
          </w:tcPr>
          <w:p w14:paraId="4CFF6235" w14:textId="11295C58" w:rsidR="00837F1A" w:rsidRPr="00E301D8" w:rsidRDefault="00837F1A"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-2.37</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2.51</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7C677C51" w14:textId="77777777" w:rsidR="00837F1A" w:rsidRPr="00E301D8" w:rsidRDefault="00837F1A"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7.3</w:t>
            </w:r>
          </w:p>
        </w:tc>
        <w:tc>
          <w:tcPr>
            <w:tcW w:w="567" w:type="dxa"/>
            <w:tcBorders>
              <w:left w:val="single" w:sz="4" w:space="0" w:color="auto"/>
            </w:tcBorders>
            <w:shd w:val="clear" w:color="auto" w:fill="auto"/>
            <w:noWrap/>
            <w:vAlign w:val="center"/>
            <w:hideMark/>
          </w:tcPr>
          <w:p w14:paraId="2919334D" w14:textId="77777777" w:rsidR="00837F1A" w:rsidRPr="00E301D8" w:rsidRDefault="00837F1A"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0.20</w:t>
            </w:r>
          </w:p>
        </w:tc>
        <w:tc>
          <w:tcPr>
            <w:tcW w:w="993" w:type="dxa"/>
            <w:shd w:val="clear" w:color="auto" w:fill="auto"/>
            <w:noWrap/>
            <w:vAlign w:val="center"/>
            <w:hideMark/>
          </w:tcPr>
          <w:p w14:paraId="7C5E13EC" w14:textId="39D3006D" w:rsidR="00837F1A" w:rsidRPr="00E301D8" w:rsidRDefault="00837F1A"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-2.64</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3.04</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402F4BAE" w14:textId="77777777" w:rsidR="00837F1A" w:rsidRPr="00E301D8" w:rsidRDefault="00837F1A"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4.3</w:t>
            </w:r>
          </w:p>
        </w:tc>
      </w:tr>
      <w:tr w:rsidR="00A85F43" w:rsidRPr="00E301D8" w14:paraId="40FA893D" w14:textId="77777777" w:rsidTr="00A85F43">
        <w:trPr>
          <w:trHeight w:val="240"/>
        </w:trPr>
        <w:tc>
          <w:tcPr>
            <w:tcW w:w="1555" w:type="dxa"/>
            <w:shd w:val="clear" w:color="auto" w:fill="auto"/>
            <w:noWrap/>
            <w:vAlign w:val="center"/>
            <w:hideMark/>
          </w:tcPr>
          <w:p w14:paraId="04AAF758" w14:textId="77777777" w:rsidR="004B73C1" w:rsidRPr="00E301D8" w:rsidRDefault="004B73C1" w:rsidP="00E301D8">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SWS</w:t>
            </w:r>
          </w:p>
        </w:tc>
        <w:tc>
          <w:tcPr>
            <w:tcW w:w="567" w:type="dxa"/>
            <w:shd w:val="clear" w:color="auto" w:fill="auto"/>
            <w:noWrap/>
            <w:vAlign w:val="center"/>
            <w:hideMark/>
          </w:tcPr>
          <w:p w14:paraId="2DDFB06E"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-0.80</w:t>
            </w:r>
          </w:p>
        </w:tc>
        <w:tc>
          <w:tcPr>
            <w:tcW w:w="1134" w:type="dxa"/>
            <w:shd w:val="clear" w:color="auto" w:fill="auto"/>
            <w:noWrap/>
            <w:vAlign w:val="center"/>
            <w:hideMark/>
          </w:tcPr>
          <w:p w14:paraId="45736424" w14:textId="6E0F67C5"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-1.13</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-0.48</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76D59490"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17.9</w:t>
            </w:r>
          </w:p>
        </w:tc>
        <w:tc>
          <w:tcPr>
            <w:tcW w:w="567" w:type="dxa"/>
            <w:tcBorders>
              <w:left w:val="single" w:sz="4" w:space="0" w:color="auto"/>
            </w:tcBorders>
            <w:shd w:val="clear" w:color="auto" w:fill="auto"/>
            <w:noWrap/>
            <w:vAlign w:val="center"/>
            <w:hideMark/>
          </w:tcPr>
          <w:p w14:paraId="7AB15032"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-0.82</w:t>
            </w:r>
          </w:p>
        </w:tc>
        <w:tc>
          <w:tcPr>
            <w:tcW w:w="1134" w:type="dxa"/>
            <w:shd w:val="clear" w:color="auto" w:fill="auto"/>
            <w:noWrap/>
            <w:vAlign w:val="center"/>
            <w:hideMark/>
          </w:tcPr>
          <w:p w14:paraId="676096B9" w14:textId="4F85B076"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-1.14</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-0.49</w:t>
            </w:r>
            <w:r>
              <w:rPr>
                <w:rFonts w:ascii="Calibri" w:eastAsia="Times New Roman" w:hAnsi="Calibri" w:cs="Calibri"/>
                <w:color w:val="000000"/>
                <w:sz w:val="18"/>
                <w:szCs w:val="18"/>
                <w:lang w:val="en-GB" w:eastAsia="en-GB"/>
              </w:rPr>
              <w:t>)</w:t>
            </w:r>
          </w:p>
        </w:tc>
        <w:tc>
          <w:tcPr>
            <w:tcW w:w="851" w:type="dxa"/>
            <w:tcBorders>
              <w:right w:val="single" w:sz="4" w:space="0" w:color="auto"/>
            </w:tcBorders>
            <w:shd w:val="clear" w:color="auto" w:fill="auto"/>
            <w:noWrap/>
            <w:vAlign w:val="center"/>
            <w:hideMark/>
          </w:tcPr>
          <w:p w14:paraId="7F832F9D"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18.3</w:t>
            </w:r>
          </w:p>
        </w:tc>
        <w:tc>
          <w:tcPr>
            <w:tcW w:w="567" w:type="dxa"/>
            <w:tcBorders>
              <w:left w:val="single" w:sz="4" w:space="0" w:color="auto"/>
            </w:tcBorders>
            <w:shd w:val="clear" w:color="auto" w:fill="auto"/>
            <w:noWrap/>
            <w:vAlign w:val="center"/>
            <w:hideMark/>
          </w:tcPr>
          <w:p w14:paraId="66C69644"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1.13</w:t>
            </w:r>
          </w:p>
        </w:tc>
        <w:tc>
          <w:tcPr>
            <w:tcW w:w="992" w:type="dxa"/>
            <w:shd w:val="clear" w:color="auto" w:fill="auto"/>
            <w:noWrap/>
            <w:vAlign w:val="center"/>
            <w:hideMark/>
          </w:tcPr>
          <w:p w14:paraId="1797834F" w14:textId="4720E4D7"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0.27</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2.00</w:t>
            </w:r>
            <w:r>
              <w:rPr>
                <w:rFonts w:ascii="Calibri" w:eastAsia="Times New Roman" w:hAnsi="Calibri" w:cs="Calibri"/>
                <w:sz w:val="18"/>
                <w:szCs w:val="18"/>
                <w:lang w:val="en-GB" w:eastAsia="en-GB"/>
              </w:rPr>
              <w:t>)</w:t>
            </w:r>
          </w:p>
        </w:tc>
        <w:tc>
          <w:tcPr>
            <w:tcW w:w="850" w:type="dxa"/>
            <w:tcBorders>
              <w:right w:val="single" w:sz="4" w:space="0" w:color="auto"/>
            </w:tcBorders>
            <w:shd w:val="clear" w:color="auto" w:fill="auto"/>
            <w:noWrap/>
            <w:vAlign w:val="center"/>
            <w:hideMark/>
          </w:tcPr>
          <w:p w14:paraId="2A951FFA" w14:textId="77777777" w:rsidR="004B73C1" w:rsidRPr="00E301D8" w:rsidRDefault="004B73C1" w:rsidP="00E301D8">
            <w:pPr>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20.5</w:t>
            </w:r>
          </w:p>
        </w:tc>
        <w:tc>
          <w:tcPr>
            <w:tcW w:w="567" w:type="dxa"/>
            <w:tcBorders>
              <w:left w:val="single" w:sz="4" w:space="0" w:color="auto"/>
            </w:tcBorders>
            <w:shd w:val="clear" w:color="auto" w:fill="auto"/>
            <w:noWrap/>
            <w:vAlign w:val="center"/>
            <w:hideMark/>
          </w:tcPr>
          <w:p w14:paraId="35F88F17"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1.15</w:t>
            </w:r>
          </w:p>
        </w:tc>
        <w:tc>
          <w:tcPr>
            <w:tcW w:w="993" w:type="dxa"/>
            <w:shd w:val="clear" w:color="auto" w:fill="auto"/>
            <w:noWrap/>
            <w:vAlign w:val="center"/>
            <w:hideMark/>
          </w:tcPr>
          <w:p w14:paraId="6C54063B" w14:textId="50D900EB"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0.28</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2.02</w:t>
            </w:r>
            <w:r>
              <w:rPr>
                <w:rFonts w:ascii="Calibri" w:eastAsia="Times New Roman" w:hAnsi="Calibri" w:cs="Calibri"/>
                <w:color w:val="000000"/>
                <w:sz w:val="18"/>
                <w:szCs w:val="18"/>
                <w:lang w:val="en-GB" w:eastAsia="en-GB"/>
              </w:rPr>
              <w:t>)</w:t>
            </w:r>
          </w:p>
        </w:tc>
        <w:tc>
          <w:tcPr>
            <w:tcW w:w="850" w:type="dxa"/>
            <w:shd w:val="clear" w:color="auto" w:fill="auto"/>
            <w:noWrap/>
            <w:vAlign w:val="center"/>
            <w:hideMark/>
          </w:tcPr>
          <w:p w14:paraId="6E800988" w14:textId="77777777" w:rsidR="004B73C1" w:rsidRPr="00E301D8" w:rsidRDefault="004B73C1" w:rsidP="00E301D8">
            <w:pPr>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20.4</w:t>
            </w:r>
          </w:p>
        </w:tc>
      </w:tr>
      <w:tr w:rsidR="00A85F43" w:rsidRPr="00E301D8" w14:paraId="3A50E366" w14:textId="77777777" w:rsidTr="00945D97">
        <w:trPr>
          <w:trHeight w:val="240"/>
        </w:trPr>
        <w:tc>
          <w:tcPr>
            <w:tcW w:w="1555" w:type="dxa"/>
            <w:tcBorders>
              <w:bottom w:val="single" w:sz="4" w:space="0" w:color="auto"/>
            </w:tcBorders>
            <w:shd w:val="clear" w:color="auto" w:fill="auto"/>
            <w:noWrap/>
            <w:vAlign w:val="center"/>
            <w:hideMark/>
          </w:tcPr>
          <w:p w14:paraId="666FB31D" w14:textId="61C4576D" w:rsidR="004B73C1" w:rsidRPr="00E301D8" w:rsidRDefault="004B73C1" w:rsidP="00591FD5">
            <w:pPr>
              <w:jc w:val="lef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Overall</w:t>
            </w:r>
          </w:p>
        </w:tc>
        <w:tc>
          <w:tcPr>
            <w:tcW w:w="567" w:type="dxa"/>
            <w:tcBorders>
              <w:bottom w:val="single" w:sz="4" w:space="0" w:color="auto"/>
            </w:tcBorders>
            <w:shd w:val="clear" w:color="auto" w:fill="auto"/>
            <w:noWrap/>
            <w:vAlign w:val="center"/>
            <w:hideMark/>
          </w:tcPr>
          <w:p w14:paraId="66374416"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-0.71</w:t>
            </w:r>
          </w:p>
        </w:tc>
        <w:tc>
          <w:tcPr>
            <w:tcW w:w="1134" w:type="dxa"/>
            <w:tcBorders>
              <w:bottom w:val="single" w:sz="4" w:space="0" w:color="auto"/>
            </w:tcBorders>
            <w:shd w:val="clear" w:color="auto" w:fill="auto"/>
            <w:noWrap/>
            <w:vAlign w:val="center"/>
            <w:hideMark/>
          </w:tcPr>
          <w:p w14:paraId="24819F9E" w14:textId="20FB5F5D"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-1.09</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-0.33</w:t>
            </w:r>
            <w:r>
              <w:rPr>
                <w:rFonts w:ascii="Calibri" w:eastAsia="Times New Roman" w:hAnsi="Calibri" w:cs="Calibri"/>
                <w:sz w:val="18"/>
                <w:szCs w:val="18"/>
                <w:lang w:val="en-GB" w:eastAsia="en-GB"/>
              </w:rPr>
              <w:t>)</w:t>
            </w:r>
          </w:p>
        </w:tc>
        <w:tc>
          <w:tcPr>
            <w:tcW w:w="850" w:type="dxa"/>
            <w:tcBorders>
              <w:bottom w:val="single" w:sz="4" w:space="0" w:color="auto"/>
              <w:right w:val="single" w:sz="4" w:space="0" w:color="auto"/>
            </w:tcBorders>
            <w:shd w:val="clear" w:color="auto" w:fill="auto"/>
            <w:noWrap/>
            <w:vAlign w:val="center"/>
            <w:hideMark/>
          </w:tcPr>
          <w:p w14:paraId="1BD52779" w14:textId="0BF36E88" w:rsidR="004B73C1" w:rsidRPr="00E301D8" w:rsidRDefault="004B73C1" w:rsidP="00E301D8">
            <w:pP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(I²=</w:t>
            </w:r>
            <w:r w:rsidRPr="00E301D8">
              <w:rPr>
                <w:rFonts w:ascii="Calibri" w:eastAsia="Times New Roman" w:hAnsi="Calibri" w:cs="Calibri"/>
                <w:sz w:val="18"/>
                <w:szCs w:val="18"/>
                <w:lang w:val="en-GB" w:eastAsia="en-GB"/>
              </w:rPr>
              <w:t>87.8</w:t>
            </w:r>
            <w:r>
              <w:rPr>
                <w:rFonts w:ascii="Calibri" w:eastAsia="Times New Roman" w:hAnsi="Calibri" w:cs="Calibri"/>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5B5813D6"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-0.78</w:t>
            </w:r>
          </w:p>
        </w:tc>
        <w:tc>
          <w:tcPr>
            <w:tcW w:w="1134" w:type="dxa"/>
            <w:tcBorders>
              <w:bottom w:val="single" w:sz="4" w:space="0" w:color="auto"/>
            </w:tcBorders>
            <w:shd w:val="clear" w:color="auto" w:fill="auto"/>
            <w:noWrap/>
            <w:vAlign w:val="center"/>
            <w:hideMark/>
          </w:tcPr>
          <w:p w14:paraId="154CF8B6" w14:textId="4B28F705"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-1.13</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-0.43</w:t>
            </w:r>
            <w:r>
              <w:rPr>
                <w:rFonts w:ascii="Calibri" w:eastAsia="Times New Roman" w:hAnsi="Calibri" w:cs="Calibri"/>
                <w:color w:val="000000"/>
                <w:sz w:val="18"/>
                <w:szCs w:val="18"/>
                <w:lang w:val="en-GB" w:eastAsia="en-GB"/>
              </w:rPr>
              <w:t>)</w:t>
            </w:r>
          </w:p>
        </w:tc>
        <w:tc>
          <w:tcPr>
            <w:tcW w:w="851" w:type="dxa"/>
            <w:tcBorders>
              <w:bottom w:val="single" w:sz="4" w:space="0" w:color="auto"/>
              <w:right w:val="single" w:sz="4" w:space="0" w:color="auto"/>
            </w:tcBorders>
            <w:shd w:val="clear" w:color="auto" w:fill="auto"/>
            <w:noWrap/>
            <w:vAlign w:val="center"/>
            <w:hideMark/>
          </w:tcPr>
          <w:p w14:paraId="44EE1A49" w14:textId="2258C7D2" w:rsidR="004B73C1" w:rsidRPr="00E301D8" w:rsidRDefault="004B73C1" w:rsidP="00E301D8">
            <w:pP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(I²=</w:t>
            </w:r>
            <w:r w:rsidRPr="00E301D8">
              <w:rPr>
                <w:rFonts w:ascii="Calibri" w:eastAsia="Times New Roman" w:hAnsi="Calibri" w:cs="Calibri"/>
                <w:color w:val="000000"/>
                <w:sz w:val="18"/>
                <w:szCs w:val="18"/>
                <w:lang w:val="en-GB" w:eastAsia="en-GB"/>
              </w:rPr>
              <w:t>82.6</w:t>
            </w:r>
            <w:r>
              <w:rPr>
                <w:rFonts w:ascii="Calibri" w:eastAsia="Times New Roman" w:hAnsi="Calibri" w:cs="Calibri"/>
                <w:color w:val="000000"/>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7D7336E3" w14:textId="77777777" w:rsidR="004B73C1" w:rsidRPr="00E301D8" w:rsidRDefault="004B73C1" w:rsidP="00D225D9">
            <w:pPr>
              <w:jc w:val="right"/>
              <w:rPr>
                <w:rFonts w:ascii="Calibri" w:eastAsia="Times New Roman" w:hAnsi="Calibri" w:cs="Calibri"/>
                <w:sz w:val="18"/>
                <w:szCs w:val="18"/>
                <w:lang w:val="en-GB" w:eastAsia="en-GB"/>
              </w:rPr>
            </w:pPr>
            <w:r w:rsidRPr="00E301D8">
              <w:rPr>
                <w:rFonts w:ascii="Calibri" w:eastAsia="Times New Roman" w:hAnsi="Calibri" w:cs="Calibri"/>
                <w:sz w:val="18"/>
                <w:szCs w:val="18"/>
                <w:lang w:val="en-GB" w:eastAsia="en-GB"/>
              </w:rPr>
              <w:t>0.68</w:t>
            </w:r>
          </w:p>
        </w:tc>
        <w:tc>
          <w:tcPr>
            <w:tcW w:w="992" w:type="dxa"/>
            <w:tcBorders>
              <w:bottom w:val="single" w:sz="4" w:space="0" w:color="auto"/>
            </w:tcBorders>
            <w:shd w:val="clear" w:color="auto" w:fill="auto"/>
            <w:noWrap/>
            <w:vAlign w:val="center"/>
            <w:hideMark/>
          </w:tcPr>
          <w:p w14:paraId="4B6EAB2A" w14:textId="54DE689F" w:rsidR="004B73C1" w:rsidRPr="00E301D8" w:rsidRDefault="004B73C1" w:rsidP="00D225D9">
            <w:pPr>
              <w:jc w:val="left"/>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w:t>
            </w:r>
            <w:r w:rsidRPr="00E301D8">
              <w:rPr>
                <w:rFonts w:ascii="Calibri" w:eastAsia="Times New Roman" w:hAnsi="Calibri" w:cs="Calibri"/>
                <w:sz w:val="18"/>
                <w:szCs w:val="18"/>
                <w:lang w:val="en-GB" w:eastAsia="en-GB"/>
              </w:rPr>
              <w:t>-0.09</w:t>
            </w:r>
            <w:r>
              <w:rPr>
                <w:rFonts w:ascii="Calibri" w:eastAsia="Times New Roman" w:hAnsi="Calibri" w:cs="Calibri"/>
                <w:sz w:val="18"/>
                <w:szCs w:val="18"/>
                <w:lang w:val="en-GB" w:eastAsia="en-GB"/>
              </w:rPr>
              <w:t xml:space="preserve">, </w:t>
            </w:r>
            <w:r w:rsidRPr="00E301D8">
              <w:rPr>
                <w:rFonts w:ascii="Calibri" w:eastAsia="Times New Roman" w:hAnsi="Calibri" w:cs="Calibri"/>
                <w:sz w:val="18"/>
                <w:szCs w:val="18"/>
                <w:lang w:val="en-GB" w:eastAsia="en-GB"/>
              </w:rPr>
              <w:t>1.45</w:t>
            </w:r>
            <w:r>
              <w:rPr>
                <w:rFonts w:ascii="Calibri" w:eastAsia="Times New Roman" w:hAnsi="Calibri" w:cs="Calibri"/>
                <w:sz w:val="18"/>
                <w:szCs w:val="18"/>
                <w:lang w:val="en-GB" w:eastAsia="en-GB"/>
              </w:rPr>
              <w:t>)</w:t>
            </w:r>
          </w:p>
        </w:tc>
        <w:tc>
          <w:tcPr>
            <w:tcW w:w="850" w:type="dxa"/>
            <w:tcBorders>
              <w:bottom w:val="single" w:sz="4" w:space="0" w:color="auto"/>
              <w:right w:val="single" w:sz="4" w:space="0" w:color="auto"/>
            </w:tcBorders>
            <w:shd w:val="clear" w:color="auto" w:fill="auto"/>
            <w:noWrap/>
            <w:vAlign w:val="center"/>
            <w:hideMark/>
          </w:tcPr>
          <w:p w14:paraId="6FA94A77" w14:textId="78EDFAC2" w:rsidR="004B73C1" w:rsidRPr="00E301D8" w:rsidRDefault="004B73C1" w:rsidP="00E301D8">
            <w:pPr>
              <w:rPr>
                <w:rFonts w:ascii="Calibri" w:eastAsia="Times New Roman" w:hAnsi="Calibri" w:cs="Calibri"/>
                <w:sz w:val="18"/>
                <w:szCs w:val="18"/>
                <w:lang w:val="en-GB" w:eastAsia="en-GB"/>
              </w:rPr>
            </w:pPr>
            <w:r>
              <w:rPr>
                <w:rFonts w:ascii="Calibri" w:eastAsia="Times New Roman" w:hAnsi="Calibri" w:cs="Calibri"/>
                <w:sz w:val="18"/>
                <w:szCs w:val="18"/>
                <w:lang w:val="en-GB" w:eastAsia="en-GB"/>
              </w:rPr>
              <w:t>(I²=</w:t>
            </w:r>
            <w:r w:rsidRPr="00E301D8">
              <w:rPr>
                <w:rFonts w:ascii="Calibri" w:eastAsia="Times New Roman" w:hAnsi="Calibri" w:cs="Calibri"/>
                <w:sz w:val="18"/>
                <w:szCs w:val="18"/>
                <w:lang w:val="en-GB" w:eastAsia="en-GB"/>
              </w:rPr>
              <w:t>88.0</w:t>
            </w:r>
            <w:r>
              <w:rPr>
                <w:rFonts w:ascii="Calibri" w:eastAsia="Times New Roman" w:hAnsi="Calibri" w:cs="Calibri"/>
                <w:sz w:val="18"/>
                <w:szCs w:val="18"/>
                <w:lang w:val="en-GB" w:eastAsia="en-GB"/>
              </w:rPr>
              <w:t>%)</w:t>
            </w:r>
          </w:p>
        </w:tc>
        <w:tc>
          <w:tcPr>
            <w:tcW w:w="567" w:type="dxa"/>
            <w:tcBorders>
              <w:left w:val="single" w:sz="4" w:space="0" w:color="auto"/>
              <w:bottom w:val="single" w:sz="4" w:space="0" w:color="auto"/>
            </w:tcBorders>
            <w:shd w:val="clear" w:color="auto" w:fill="auto"/>
            <w:noWrap/>
            <w:vAlign w:val="center"/>
            <w:hideMark/>
          </w:tcPr>
          <w:p w14:paraId="4C9A99C3" w14:textId="77777777" w:rsidR="004B73C1" w:rsidRPr="00E301D8" w:rsidRDefault="004B73C1" w:rsidP="00D225D9">
            <w:pPr>
              <w:jc w:val="right"/>
              <w:rPr>
                <w:rFonts w:ascii="Calibri" w:eastAsia="Times New Roman" w:hAnsi="Calibri" w:cs="Calibri"/>
                <w:color w:val="000000"/>
                <w:sz w:val="18"/>
                <w:szCs w:val="18"/>
                <w:lang w:val="en-GB" w:eastAsia="en-GB"/>
              </w:rPr>
            </w:pPr>
            <w:r w:rsidRPr="00E301D8">
              <w:rPr>
                <w:rFonts w:ascii="Calibri" w:eastAsia="Times New Roman" w:hAnsi="Calibri" w:cs="Calibri"/>
                <w:color w:val="000000"/>
                <w:sz w:val="18"/>
                <w:szCs w:val="18"/>
                <w:lang w:val="en-GB" w:eastAsia="en-GB"/>
              </w:rPr>
              <w:t>0.72</w:t>
            </w:r>
          </w:p>
        </w:tc>
        <w:tc>
          <w:tcPr>
            <w:tcW w:w="993" w:type="dxa"/>
            <w:tcBorders>
              <w:bottom w:val="single" w:sz="4" w:space="0" w:color="auto"/>
            </w:tcBorders>
            <w:shd w:val="clear" w:color="auto" w:fill="auto"/>
            <w:noWrap/>
            <w:vAlign w:val="center"/>
            <w:hideMark/>
          </w:tcPr>
          <w:p w14:paraId="26A39932" w14:textId="0523ED7C" w:rsidR="004B73C1" w:rsidRPr="00E301D8" w:rsidRDefault="004B73C1" w:rsidP="00D225D9">
            <w:pPr>
              <w:jc w:val="left"/>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w:t>
            </w:r>
            <w:r w:rsidRPr="00E301D8">
              <w:rPr>
                <w:rFonts w:ascii="Calibri" w:eastAsia="Times New Roman" w:hAnsi="Calibri" w:cs="Calibri"/>
                <w:color w:val="000000"/>
                <w:sz w:val="18"/>
                <w:szCs w:val="18"/>
                <w:lang w:val="en-GB" w:eastAsia="en-GB"/>
              </w:rPr>
              <w:t>0.09</w:t>
            </w:r>
            <w:r>
              <w:rPr>
                <w:rFonts w:ascii="Calibri" w:eastAsia="Times New Roman" w:hAnsi="Calibri" w:cs="Calibri"/>
                <w:color w:val="000000"/>
                <w:sz w:val="18"/>
                <w:szCs w:val="18"/>
                <w:lang w:val="en-GB" w:eastAsia="en-GB"/>
              </w:rPr>
              <w:t xml:space="preserve">, </w:t>
            </w:r>
            <w:r w:rsidRPr="00E301D8">
              <w:rPr>
                <w:rFonts w:ascii="Calibri" w:eastAsia="Times New Roman" w:hAnsi="Calibri" w:cs="Calibri"/>
                <w:color w:val="000000"/>
                <w:sz w:val="18"/>
                <w:szCs w:val="18"/>
                <w:lang w:val="en-GB" w:eastAsia="en-GB"/>
              </w:rPr>
              <w:t>1.35</w:t>
            </w:r>
            <w:r>
              <w:rPr>
                <w:rFonts w:ascii="Calibri" w:eastAsia="Times New Roman" w:hAnsi="Calibri" w:cs="Calibri"/>
                <w:color w:val="000000"/>
                <w:sz w:val="18"/>
                <w:szCs w:val="18"/>
                <w:lang w:val="en-GB" w:eastAsia="en-GB"/>
              </w:rPr>
              <w:t>)</w:t>
            </w:r>
          </w:p>
        </w:tc>
        <w:tc>
          <w:tcPr>
            <w:tcW w:w="850" w:type="dxa"/>
            <w:tcBorders>
              <w:bottom w:val="single" w:sz="4" w:space="0" w:color="auto"/>
            </w:tcBorders>
            <w:shd w:val="clear" w:color="auto" w:fill="auto"/>
            <w:noWrap/>
            <w:vAlign w:val="center"/>
            <w:hideMark/>
          </w:tcPr>
          <w:p w14:paraId="6D38E25C" w14:textId="559894CA" w:rsidR="004B73C1" w:rsidRPr="00E301D8" w:rsidRDefault="004B73C1" w:rsidP="00E301D8">
            <w:pPr>
              <w:rPr>
                <w:rFonts w:ascii="Calibri" w:eastAsia="Times New Roman" w:hAnsi="Calibri" w:cs="Calibri"/>
                <w:color w:val="000000"/>
                <w:sz w:val="18"/>
                <w:szCs w:val="18"/>
                <w:lang w:val="en-GB" w:eastAsia="en-GB"/>
              </w:rPr>
            </w:pPr>
            <w:r>
              <w:rPr>
                <w:rFonts w:ascii="Calibri" w:eastAsia="Times New Roman" w:hAnsi="Calibri" w:cs="Calibri"/>
                <w:color w:val="000000"/>
                <w:sz w:val="18"/>
                <w:szCs w:val="18"/>
                <w:lang w:val="en-GB" w:eastAsia="en-GB"/>
              </w:rPr>
              <w:t>(I²=</w:t>
            </w:r>
            <w:r w:rsidRPr="00E301D8">
              <w:rPr>
                <w:rFonts w:ascii="Calibri" w:eastAsia="Times New Roman" w:hAnsi="Calibri" w:cs="Calibri"/>
                <w:color w:val="000000"/>
                <w:sz w:val="18"/>
                <w:szCs w:val="18"/>
                <w:lang w:val="en-GB" w:eastAsia="en-GB"/>
              </w:rPr>
              <w:t>72.5</w:t>
            </w:r>
            <w:r>
              <w:rPr>
                <w:rFonts w:ascii="Calibri" w:eastAsia="Times New Roman" w:hAnsi="Calibri" w:cs="Calibri"/>
                <w:color w:val="000000"/>
                <w:sz w:val="18"/>
                <w:szCs w:val="18"/>
                <w:lang w:val="en-GB" w:eastAsia="en-GB"/>
              </w:rPr>
              <w:t>%)</w:t>
            </w:r>
          </w:p>
        </w:tc>
      </w:tr>
      <w:tr w:rsidR="00A85F43" w:rsidRPr="00E301D8" w14:paraId="2BD8C12C" w14:textId="77777777" w:rsidTr="00945D97">
        <w:trPr>
          <w:trHeight w:val="240"/>
        </w:trPr>
        <w:tc>
          <w:tcPr>
            <w:tcW w:w="11477" w:type="dxa"/>
            <w:gridSpan w:val="13"/>
            <w:tcBorders>
              <w:top w:val="single" w:sz="4" w:space="0" w:color="auto"/>
            </w:tcBorders>
            <w:shd w:val="clear" w:color="auto" w:fill="auto"/>
            <w:noWrap/>
            <w:vAlign w:val="center"/>
          </w:tcPr>
          <w:p w14:paraId="6F6FC10C" w14:textId="0F3095CA" w:rsidR="004D589D" w:rsidRDefault="004D589D" w:rsidP="004D589D">
            <w:pPr>
              <w:jc w:val="both"/>
              <w:rPr>
                <w:rFonts w:eastAsia="Times New Roman"/>
                <w:color w:val="000000"/>
                <w:sz w:val="16"/>
                <w:szCs w:val="16"/>
                <w:lang w:val="en-GB" w:eastAsia="en-GB"/>
              </w:rPr>
            </w:pPr>
            <w:r>
              <w:rPr>
                <w:rFonts w:eastAsia="Times New Roman"/>
                <w:color w:val="000000"/>
                <w:sz w:val="16"/>
                <w:szCs w:val="16"/>
                <w:lang w:val="en-GB" w:eastAsia="en-GB"/>
              </w:rPr>
              <w:t>Values are standardized regression coefficients (β), and their 95% confidence intervals (CI), study weights (%) and I</w:t>
            </w:r>
            <w:r>
              <w:rPr>
                <w:rFonts w:eastAsia="Times New Roman"/>
                <w:color w:val="000000"/>
                <w:sz w:val="16"/>
                <w:szCs w:val="16"/>
                <w:vertAlign w:val="superscript"/>
                <w:lang w:val="en-GB" w:eastAsia="en-GB"/>
              </w:rPr>
              <w:t>2</w:t>
            </w:r>
            <w:r>
              <w:rPr>
                <w:rFonts w:eastAsia="Times New Roman"/>
                <w:color w:val="000000"/>
                <w:sz w:val="16"/>
                <w:szCs w:val="16"/>
                <w:lang w:val="en-GB" w:eastAsia="en-GB"/>
              </w:rPr>
              <w:t xml:space="preserve"> statistics. Regression coefficients are expressed as changes in standardized DASH scores per change in the category in comparison with the reference category. Models were adjusted for the seven </w:t>
            </w:r>
            <w:r w:rsidR="000F47D2">
              <w:rPr>
                <w:rFonts w:eastAsia="Times New Roman"/>
                <w:color w:val="000000"/>
                <w:sz w:val="16"/>
                <w:szCs w:val="16"/>
                <w:lang w:val="en-GB" w:eastAsia="en-GB"/>
              </w:rPr>
              <w:t>predictors</w:t>
            </w:r>
            <w:r>
              <w:rPr>
                <w:rFonts w:eastAsia="Times New Roman"/>
                <w:color w:val="000000"/>
                <w:sz w:val="16"/>
                <w:szCs w:val="16"/>
                <w:lang w:val="en-GB" w:eastAsia="en-GB"/>
              </w:rPr>
              <w:t xml:space="preserve"> available in all seven cohorts for the main analysis (MA): age, educational level, parity, ethnicity/birthplace, pre-pregnancy body mass index (BMI), smoking status during pregnancy, and alcohol consumption during pregnancy; and with adjustment for energy intake for the DASH models and exclusion of participants with implausible energy intake (&lt;500 or &gt;3,500 kcal/day) for the sensitivity analysis (SA).</w:t>
            </w:r>
          </w:p>
          <w:p w14:paraId="2BE92FBA" w14:textId="72837B53" w:rsidR="00A85F43" w:rsidRPr="00A85F43" w:rsidRDefault="000F6949" w:rsidP="000F6949">
            <w:pPr>
              <w:jc w:val="both"/>
              <w:rPr>
                <w:rFonts w:eastAsia="Times New Roman"/>
                <w:color w:val="000000"/>
                <w:sz w:val="16"/>
                <w:szCs w:val="16"/>
                <w:lang w:val="en-GB" w:eastAsia="en-GB"/>
              </w:rPr>
            </w:pPr>
            <w:r>
              <w:rPr>
                <w:rFonts w:eastAsia="Times New Roman"/>
                <w:color w:val="000000"/>
                <w:sz w:val="16"/>
                <w:szCs w:val="16"/>
                <w:lang w:val="en-GB" w:eastAsia="en-GB"/>
              </w:rPr>
              <w:t xml:space="preserve">RC, recruitment criteria: Second gravida was a recruitment criterion for ROLO. </w:t>
            </w:r>
            <w:r>
              <w:rPr>
                <w:rFonts w:eastAsia="Times New Roman"/>
                <w:sz w:val="16"/>
                <w:szCs w:val="16"/>
                <w:lang w:val="en-GB" w:eastAsia="en-GB"/>
              </w:rPr>
              <w:t>“White Irish” and “European white” were recruitment criteria for Lifeways and REPRO_PL, respectively.</w:t>
            </w:r>
          </w:p>
        </w:tc>
      </w:tr>
    </w:tbl>
    <w:p w14:paraId="5DDE5424" w14:textId="38592BD8" w:rsidR="00B4630E" w:rsidRPr="009942BB" w:rsidRDefault="00B4630E" w:rsidP="009942BB">
      <w:pPr>
        <w:spacing w:after="200" w:line="276" w:lineRule="auto"/>
        <w:jc w:val="left"/>
        <w:rPr>
          <w:rFonts w:eastAsia="Times New Roman"/>
          <w:b/>
          <w:color w:val="0070C0"/>
          <w:lang w:val="en-GB" w:eastAsia="en-GB"/>
        </w:rPr>
      </w:pPr>
    </w:p>
    <w:sectPr w:rsidR="00B4630E" w:rsidRPr="009942BB" w:rsidSect="003C493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566DE" w14:textId="77777777" w:rsidR="00990753" w:rsidRDefault="00990753" w:rsidP="00262254">
      <w:r>
        <w:separator/>
      </w:r>
    </w:p>
    <w:p w14:paraId="6E181675" w14:textId="77777777" w:rsidR="00990753" w:rsidRDefault="00990753" w:rsidP="00262254"/>
  </w:endnote>
  <w:endnote w:type="continuationSeparator" w:id="0">
    <w:p w14:paraId="1D0D282A" w14:textId="77777777" w:rsidR="00990753" w:rsidRDefault="00990753" w:rsidP="00262254">
      <w:r>
        <w:continuationSeparator/>
      </w:r>
    </w:p>
    <w:p w14:paraId="1CCAA66E" w14:textId="77777777" w:rsidR="00990753" w:rsidRDefault="00990753" w:rsidP="00262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92374"/>
      <w:docPartObj>
        <w:docPartGallery w:val="Page Numbers (Bottom of Page)"/>
        <w:docPartUnique/>
      </w:docPartObj>
    </w:sdtPr>
    <w:sdtEndPr/>
    <w:sdtContent>
      <w:p w14:paraId="60DC0AD0" w14:textId="2FD3F2F6" w:rsidR="00424156" w:rsidRPr="002B3FEB" w:rsidRDefault="00424156" w:rsidP="00262254">
        <w:pPr>
          <w:pStyle w:val="Footer"/>
        </w:pPr>
        <w:r>
          <w:fldChar w:fldCharType="begin"/>
        </w:r>
        <w:r>
          <w:instrText>PAGE   \* MERGEFORMAT</w:instrText>
        </w:r>
        <w:r>
          <w:fldChar w:fldCharType="separate"/>
        </w:r>
        <w:r>
          <w:rPr>
            <w:noProof/>
          </w:rPr>
          <w:t>50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1E25" w14:textId="77777777" w:rsidR="00990753" w:rsidRDefault="00990753" w:rsidP="00262254">
      <w:r>
        <w:separator/>
      </w:r>
    </w:p>
    <w:p w14:paraId="26514583" w14:textId="77777777" w:rsidR="00990753" w:rsidRDefault="00990753" w:rsidP="00262254"/>
  </w:footnote>
  <w:footnote w:type="continuationSeparator" w:id="0">
    <w:p w14:paraId="57C6F6D3" w14:textId="77777777" w:rsidR="00990753" w:rsidRDefault="00990753" w:rsidP="00262254">
      <w:r>
        <w:continuationSeparator/>
      </w:r>
    </w:p>
    <w:p w14:paraId="06F7D466" w14:textId="77777777" w:rsidR="00990753" w:rsidRDefault="00990753" w:rsidP="002622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B56DD"/>
    <w:multiLevelType w:val="multilevel"/>
    <w:tmpl w:val="300A3D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770E1F"/>
    <w:multiLevelType w:val="hybridMultilevel"/>
    <w:tmpl w:val="CDF0F7BE"/>
    <w:lvl w:ilvl="0" w:tplc="BDC6F5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D126B4"/>
    <w:multiLevelType w:val="hybridMultilevel"/>
    <w:tmpl w:val="C5C21A72"/>
    <w:lvl w:ilvl="0" w:tplc="8D50CEFA">
      <w:start w:val="5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7E461B3"/>
    <w:multiLevelType w:val="hybridMultilevel"/>
    <w:tmpl w:val="FA2C3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8303A8"/>
    <w:multiLevelType w:val="hybridMultilevel"/>
    <w:tmpl w:val="DFE28402"/>
    <w:lvl w:ilvl="0" w:tplc="3DA2DA22">
      <w:start w:val="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117F4"/>
    <w:multiLevelType w:val="hybridMultilevel"/>
    <w:tmpl w:val="FBA44468"/>
    <w:lvl w:ilvl="0" w:tplc="EF3C6EBE">
      <w:start w:val="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E8544A"/>
    <w:multiLevelType w:val="hybridMultilevel"/>
    <w:tmpl w:val="409E43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DD0EAE"/>
    <w:multiLevelType w:val="hybridMultilevel"/>
    <w:tmpl w:val="544C6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1732F7"/>
    <w:multiLevelType w:val="hybridMultilevel"/>
    <w:tmpl w:val="6B7E2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44477F"/>
    <w:multiLevelType w:val="hybridMultilevel"/>
    <w:tmpl w:val="FD565D86"/>
    <w:lvl w:ilvl="0" w:tplc="B042542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E601C2"/>
    <w:multiLevelType w:val="hybridMultilevel"/>
    <w:tmpl w:val="4950047A"/>
    <w:lvl w:ilvl="0" w:tplc="41F49046">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01ED6"/>
    <w:multiLevelType w:val="hybridMultilevel"/>
    <w:tmpl w:val="6834F702"/>
    <w:lvl w:ilvl="0" w:tplc="E74CEC4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0"/>
  </w:num>
  <w:num w:numId="5">
    <w:abstractNumId w:val="2"/>
  </w:num>
  <w:num w:numId="6">
    <w:abstractNumId w:val="9"/>
  </w:num>
  <w:num w:numId="7">
    <w:abstractNumId w:val="3"/>
  </w:num>
  <w:num w:numId="8">
    <w:abstractNumId w:val="11"/>
  </w:num>
  <w:num w:numId="9">
    <w:abstractNumId w:val="4"/>
  </w:num>
  <w:num w:numId="10">
    <w:abstractNumId w:val="1"/>
  </w:num>
  <w:num w:numId="11">
    <w:abstractNumId w:val="8"/>
  </w:num>
  <w:num w:numId="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CA" w:vendorID="64" w:dllVersion="6" w:nlCheck="1" w:checkStyle="1"/>
  <w:activeWritingStyle w:appName="MSWord" w:lang="en-SG" w:vendorID="64" w:dllVersion="6" w:nlCheck="1" w:checkStyle="1"/>
  <w:activeWritingStyle w:appName="MSWord" w:lang="en-US" w:vendorID="64" w:dllVersion="6" w:nlCheck="1" w:checkStyle="1"/>
  <w:activeWritingStyle w:appName="MSWord" w:lang="en-GB" w:vendorID="64" w:dllVersion="0" w:nlCheck="1" w:checkStyle="0"/>
  <w:activeWritingStyle w:appName="MSWord" w:lang="en-SG"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SG" w:vendorID="64" w:dllVersion="4096" w:nlCheck="1" w:checkStyle="0"/>
  <w:activeWritingStyle w:appName="MSWord" w:lang="fr-FR" w:vendorID="64" w:dllVersion="4096" w:nlCheck="1" w:checkStyle="0"/>
  <w:activeWritingStyle w:appName="MSWord" w:lang="en-AU" w:vendorID="64" w:dllVersion="6" w:nlCheck="1" w:checkStyle="1"/>
  <w:activeWritingStyle w:appName="MSWord" w:lang="fr-FR" w:vendorID="64" w:dllVersion="0" w:nlCheck="1" w:checkStyle="0"/>
  <w:activeWritingStyle w:appName="MSWord" w:lang="en-AU" w:vendorID="64" w:dllVersion="0" w:nlCheck="1" w:checkStyle="0"/>
  <w:activeWritingStyle w:appName="MSWord" w:lang="en-AU"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671A45-B2A0-4876-9209-1F4E5CEEB843}"/>
    <w:docVar w:name="dgnword-eventsink" w:val="2234020341280"/>
  </w:docVars>
  <w:rsids>
    <w:rsidRoot w:val="00BB3BB1"/>
    <w:rsid w:val="00000858"/>
    <w:rsid w:val="00000A50"/>
    <w:rsid w:val="00001BF6"/>
    <w:rsid w:val="00001DA4"/>
    <w:rsid w:val="00001FE2"/>
    <w:rsid w:val="000020E6"/>
    <w:rsid w:val="00002ED0"/>
    <w:rsid w:val="00002F9E"/>
    <w:rsid w:val="00003AC5"/>
    <w:rsid w:val="00004B43"/>
    <w:rsid w:val="00004FBA"/>
    <w:rsid w:val="00005170"/>
    <w:rsid w:val="00005C79"/>
    <w:rsid w:val="000060C3"/>
    <w:rsid w:val="000061FE"/>
    <w:rsid w:val="00006E7D"/>
    <w:rsid w:val="00006EBA"/>
    <w:rsid w:val="00007B84"/>
    <w:rsid w:val="000107F2"/>
    <w:rsid w:val="000109B4"/>
    <w:rsid w:val="00010DE2"/>
    <w:rsid w:val="000116E9"/>
    <w:rsid w:val="00011E4F"/>
    <w:rsid w:val="00011FAD"/>
    <w:rsid w:val="00012E9D"/>
    <w:rsid w:val="000133CF"/>
    <w:rsid w:val="000142C0"/>
    <w:rsid w:val="000145B8"/>
    <w:rsid w:val="0001466A"/>
    <w:rsid w:val="00014BA7"/>
    <w:rsid w:val="00016817"/>
    <w:rsid w:val="0002013E"/>
    <w:rsid w:val="00020D51"/>
    <w:rsid w:val="000218C8"/>
    <w:rsid w:val="000220D2"/>
    <w:rsid w:val="00022CF0"/>
    <w:rsid w:val="000254E4"/>
    <w:rsid w:val="0002580B"/>
    <w:rsid w:val="00025D15"/>
    <w:rsid w:val="00026060"/>
    <w:rsid w:val="000263CC"/>
    <w:rsid w:val="00030534"/>
    <w:rsid w:val="00030A22"/>
    <w:rsid w:val="0003363D"/>
    <w:rsid w:val="00034269"/>
    <w:rsid w:val="0003442D"/>
    <w:rsid w:val="00034961"/>
    <w:rsid w:val="00034C2C"/>
    <w:rsid w:val="00036237"/>
    <w:rsid w:val="00036262"/>
    <w:rsid w:val="0003690E"/>
    <w:rsid w:val="00037ABA"/>
    <w:rsid w:val="0004080C"/>
    <w:rsid w:val="00041645"/>
    <w:rsid w:val="0004236F"/>
    <w:rsid w:val="000430D0"/>
    <w:rsid w:val="00043417"/>
    <w:rsid w:val="000441CA"/>
    <w:rsid w:val="00044375"/>
    <w:rsid w:val="0004444A"/>
    <w:rsid w:val="00045022"/>
    <w:rsid w:val="00045978"/>
    <w:rsid w:val="00045C75"/>
    <w:rsid w:val="00045E70"/>
    <w:rsid w:val="00046518"/>
    <w:rsid w:val="00047F0B"/>
    <w:rsid w:val="00050484"/>
    <w:rsid w:val="000507E7"/>
    <w:rsid w:val="00050DB9"/>
    <w:rsid w:val="00050E92"/>
    <w:rsid w:val="0005190C"/>
    <w:rsid w:val="000519E9"/>
    <w:rsid w:val="00051AB6"/>
    <w:rsid w:val="00051ECC"/>
    <w:rsid w:val="00052683"/>
    <w:rsid w:val="0005275D"/>
    <w:rsid w:val="00052ED0"/>
    <w:rsid w:val="000539B0"/>
    <w:rsid w:val="00053D6C"/>
    <w:rsid w:val="00054BD4"/>
    <w:rsid w:val="00054BDE"/>
    <w:rsid w:val="00054CF5"/>
    <w:rsid w:val="00054FE6"/>
    <w:rsid w:val="0005541C"/>
    <w:rsid w:val="000556FD"/>
    <w:rsid w:val="00055A57"/>
    <w:rsid w:val="0005669B"/>
    <w:rsid w:val="000566BD"/>
    <w:rsid w:val="00056933"/>
    <w:rsid w:val="0005771D"/>
    <w:rsid w:val="00057740"/>
    <w:rsid w:val="000609FB"/>
    <w:rsid w:val="00060CAB"/>
    <w:rsid w:val="000618A9"/>
    <w:rsid w:val="00061AF1"/>
    <w:rsid w:val="00061B2D"/>
    <w:rsid w:val="00062761"/>
    <w:rsid w:val="00062D50"/>
    <w:rsid w:val="00063A70"/>
    <w:rsid w:val="00063D02"/>
    <w:rsid w:val="00063E64"/>
    <w:rsid w:val="00064D85"/>
    <w:rsid w:val="0006503A"/>
    <w:rsid w:val="00065580"/>
    <w:rsid w:val="00065695"/>
    <w:rsid w:val="0006625C"/>
    <w:rsid w:val="000663B8"/>
    <w:rsid w:val="00066640"/>
    <w:rsid w:val="0006679D"/>
    <w:rsid w:val="00066987"/>
    <w:rsid w:val="000670E6"/>
    <w:rsid w:val="00071553"/>
    <w:rsid w:val="000715F0"/>
    <w:rsid w:val="00071C18"/>
    <w:rsid w:val="0007232D"/>
    <w:rsid w:val="00072593"/>
    <w:rsid w:val="00072966"/>
    <w:rsid w:val="00072D6C"/>
    <w:rsid w:val="00073661"/>
    <w:rsid w:val="0007399B"/>
    <w:rsid w:val="00074CE9"/>
    <w:rsid w:val="00075B4E"/>
    <w:rsid w:val="0007671F"/>
    <w:rsid w:val="00076784"/>
    <w:rsid w:val="00080555"/>
    <w:rsid w:val="000805AB"/>
    <w:rsid w:val="000808FA"/>
    <w:rsid w:val="00080C81"/>
    <w:rsid w:val="00080C87"/>
    <w:rsid w:val="00081EC1"/>
    <w:rsid w:val="00082116"/>
    <w:rsid w:val="00082701"/>
    <w:rsid w:val="00084B05"/>
    <w:rsid w:val="00084FF5"/>
    <w:rsid w:val="00085491"/>
    <w:rsid w:val="00086164"/>
    <w:rsid w:val="0008624C"/>
    <w:rsid w:val="0008629E"/>
    <w:rsid w:val="000863D7"/>
    <w:rsid w:val="000865CF"/>
    <w:rsid w:val="00086B84"/>
    <w:rsid w:val="00086E77"/>
    <w:rsid w:val="000874C3"/>
    <w:rsid w:val="00087D1A"/>
    <w:rsid w:val="00087D39"/>
    <w:rsid w:val="0009012A"/>
    <w:rsid w:val="000902D2"/>
    <w:rsid w:val="000903D3"/>
    <w:rsid w:val="00090A8E"/>
    <w:rsid w:val="00090E54"/>
    <w:rsid w:val="000916DD"/>
    <w:rsid w:val="00091EAB"/>
    <w:rsid w:val="00091FA3"/>
    <w:rsid w:val="00093745"/>
    <w:rsid w:val="0009463F"/>
    <w:rsid w:val="00094A3B"/>
    <w:rsid w:val="000957C1"/>
    <w:rsid w:val="00095CF6"/>
    <w:rsid w:val="00096617"/>
    <w:rsid w:val="000973D2"/>
    <w:rsid w:val="00097525"/>
    <w:rsid w:val="00097FCC"/>
    <w:rsid w:val="000A0239"/>
    <w:rsid w:val="000A0251"/>
    <w:rsid w:val="000A0A95"/>
    <w:rsid w:val="000A10E7"/>
    <w:rsid w:val="000A115D"/>
    <w:rsid w:val="000A26FA"/>
    <w:rsid w:val="000A3CF2"/>
    <w:rsid w:val="000A4F69"/>
    <w:rsid w:val="000A5BEE"/>
    <w:rsid w:val="000A5C34"/>
    <w:rsid w:val="000A5EB3"/>
    <w:rsid w:val="000A6724"/>
    <w:rsid w:val="000A67FF"/>
    <w:rsid w:val="000A7763"/>
    <w:rsid w:val="000B026B"/>
    <w:rsid w:val="000B0919"/>
    <w:rsid w:val="000B0E29"/>
    <w:rsid w:val="000B11C9"/>
    <w:rsid w:val="000B1942"/>
    <w:rsid w:val="000B1E2E"/>
    <w:rsid w:val="000B2ABD"/>
    <w:rsid w:val="000B2CFD"/>
    <w:rsid w:val="000B3229"/>
    <w:rsid w:val="000B3727"/>
    <w:rsid w:val="000B3C40"/>
    <w:rsid w:val="000B3F66"/>
    <w:rsid w:val="000B4583"/>
    <w:rsid w:val="000B47AB"/>
    <w:rsid w:val="000B6184"/>
    <w:rsid w:val="000B6886"/>
    <w:rsid w:val="000B7D02"/>
    <w:rsid w:val="000C0B71"/>
    <w:rsid w:val="000C2D88"/>
    <w:rsid w:val="000C33F2"/>
    <w:rsid w:val="000C3722"/>
    <w:rsid w:val="000C397A"/>
    <w:rsid w:val="000C3CC8"/>
    <w:rsid w:val="000C3E86"/>
    <w:rsid w:val="000C40DD"/>
    <w:rsid w:val="000C4B05"/>
    <w:rsid w:val="000C5913"/>
    <w:rsid w:val="000C5E54"/>
    <w:rsid w:val="000C72B3"/>
    <w:rsid w:val="000D0A69"/>
    <w:rsid w:val="000D1B66"/>
    <w:rsid w:val="000D1EDF"/>
    <w:rsid w:val="000D26AE"/>
    <w:rsid w:val="000D362E"/>
    <w:rsid w:val="000D3752"/>
    <w:rsid w:val="000D3D8F"/>
    <w:rsid w:val="000D41E6"/>
    <w:rsid w:val="000D5212"/>
    <w:rsid w:val="000D6607"/>
    <w:rsid w:val="000D6684"/>
    <w:rsid w:val="000D7052"/>
    <w:rsid w:val="000D7828"/>
    <w:rsid w:val="000E0115"/>
    <w:rsid w:val="000E06A2"/>
    <w:rsid w:val="000E0896"/>
    <w:rsid w:val="000E0C21"/>
    <w:rsid w:val="000E130C"/>
    <w:rsid w:val="000E1478"/>
    <w:rsid w:val="000E152C"/>
    <w:rsid w:val="000E168E"/>
    <w:rsid w:val="000E224F"/>
    <w:rsid w:val="000E2ACE"/>
    <w:rsid w:val="000E3F0C"/>
    <w:rsid w:val="000E45A8"/>
    <w:rsid w:val="000E49A8"/>
    <w:rsid w:val="000E5476"/>
    <w:rsid w:val="000E5626"/>
    <w:rsid w:val="000E5C0D"/>
    <w:rsid w:val="000E5F2B"/>
    <w:rsid w:val="000E64DF"/>
    <w:rsid w:val="000E7969"/>
    <w:rsid w:val="000F024A"/>
    <w:rsid w:val="000F25C9"/>
    <w:rsid w:val="000F3192"/>
    <w:rsid w:val="000F31D7"/>
    <w:rsid w:val="000F34C0"/>
    <w:rsid w:val="000F3A17"/>
    <w:rsid w:val="000F3A81"/>
    <w:rsid w:val="000F3C3C"/>
    <w:rsid w:val="000F4018"/>
    <w:rsid w:val="000F40A6"/>
    <w:rsid w:val="000F47D2"/>
    <w:rsid w:val="000F488C"/>
    <w:rsid w:val="000F4E9C"/>
    <w:rsid w:val="000F68BF"/>
    <w:rsid w:val="000F6949"/>
    <w:rsid w:val="000F72B6"/>
    <w:rsid w:val="000F746C"/>
    <w:rsid w:val="000F74A1"/>
    <w:rsid w:val="000F7784"/>
    <w:rsid w:val="000F7C5D"/>
    <w:rsid w:val="000F7D49"/>
    <w:rsid w:val="00101328"/>
    <w:rsid w:val="00101BBB"/>
    <w:rsid w:val="00102462"/>
    <w:rsid w:val="001025C8"/>
    <w:rsid w:val="0010279E"/>
    <w:rsid w:val="001028BB"/>
    <w:rsid w:val="00102CFB"/>
    <w:rsid w:val="00103332"/>
    <w:rsid w:val="00103694"/>
    <w:rsid w:val="001038D5"/>
    <w:rsid w:val="001047AF"/>
    <w:rsid w:val="00104F20"/>
    <w:rsid w:val="00105C33"/>
    <w:rsid w:val="001063F8"/>
    <w:rsid w:val="001064A6"/>
    <w:rsid w:val="00106BA9"/>
    <w:rsid w:val="001076E2"/>
    <w:rsid w:val="00107BE7"/>
    <w:rsid w:val="00107D30"/>
    <w:rsid w:val="001102A9"/>
    <w:rsid w:val="00110DBC"/>
    <w:rsid w:val="0011259D"/>
    <w:rsid w:val="0011268E"/>
    <w:rsid w:val="001128BF"/>
    <w:rsid w:val="00112F1B"/>
    <w:rsid w:val="001141DF"/>
    <w:rsid w:val="00114655"/>
    <w:rsid w:val="00114D53"/>
    <w:rsid w:val="00115B1E"/>
    <w:rsid w:val="00116002"/>
    <w:rsid w:val="00116133"/>
    <w:rsid w:val="00116375"/>
    <w:rsid w:val="001169CA"/>
    <w:rsid w:val="001173E0"/>
    <w:rsid w:val="001179F0"/>
    <w:rsid w:val="00117D17"/>
    <w:rsid w:val="00117EEC"/>
    <w:rsid w:val="0012088B"/>
    <w:rsid w:val="0012119D"/>
    <w:rsid w:val="00121747"/>
    <w:rsid w:val="00121789"/>
    <w:rsid w:val="0012182E"/>
    <w:rsid w:val="001218A4"/>
    <w:rsid w:val="00121C4C"/>
    <w:rsid w:val="00121EC4"/>
    <w:rsid w:val="00123A86"/>
    <w:rsid w:val="00123D41"/>
    <w:rsid w:val="001240F0"/>
    <w:rsid w:val="00124D51"/>
    <w:rsid w:val="00125EC8"/>
    <w:rsid w:val="00126169"/>
    <w:rsid w:val="00126AC0"/>
    <w:rsid w:val="001277F1"/>
    <w:rsid w:val="00130309"/>
    <w:rsid w:val="00130638"/>
    <w:rsid w:val="0013080F"/>
    <w:rsid w:val="00131907"/>
    <w:rsid w:val="00131D8F"/>
    <w:rsid w:val="00131FF5"/>
    <w:rsid w:val="001325F7"/>
    <w:rsid w:val="00133BE4"/>
    <w:rsid w:val="00134628"/>
    <w:rsid w:val="0013478F"/>
    <w:rsid w:val="00134AEB"/>
    <w:rsid w:val="001353BE"/>
    <w:rsid w:val="001356AE"/>
    <w:rsid w:val="00136994"/>
    <w:rsid w:val="00136A71"/>
    <w:rsid w:val="00136F17"/>
    <w:rsid w:val="00137460"/>
    <w:rsid w:val="00137ABC"/>
    <w:rsid w:val="001408B0"/>
    <w:rsid w:val="00140975"/>
    <w:rsid w:val="00140E39"/>
    <w:rsid w:val="0014138C"/>
    <w:rsid w:val="00141805"/>
    <w:rsid w:val="00141A6D"/>
    <w:rsid w:val="00141DBB"/>
    <w:rsid w:val="00142F79"/>
    <w:rsid w:val="00143094"/>
    <w:rsid w:val="0014385A"/>
    <w:rsid w:val="00143B80"/>
    <w:rsid w:val="00143D6B"/>
    <w:rsid w:val="00143D7D"/>
    <w:rsid w:val="00144781"/>
    <w:rsid w:val="00145574"/>
    <w:rsid w:val="00145E25"/>
    <w:rsid w:val="00146990"/>
    <w:rsid w:val="00146CBA"/>
    <w:rsid w:val="00147D31"/>
    <w:rsid w:val="00150017"/>
    <w:rsid w:val="0015060F"/>
    <w:rsid w:val="00150BE0"/>
    <w:rsid w:val="0015139C"/>
    <w:rsid w:val="0015258A"/>
    <w:rsid w:val="00152E90"/>
    <w:rsid w:val="00153088"/>
    <w:rsid w:val="001532F7"/>
    <w:rsid w:val="001534D8"/>
    <w:rsid w:val="0015353E"/>
    <w:rsid w:val="00153CC1"/>
    <w:rsid w:val="00154293"/>
    <w:rsid w:val="001559A4"/>
    <w:rsid w:val="00155F5E"/>
    <w:rsid w:val="0015611E"/>
    <w:rsid w:val="00156BB7"/>
    <w:rsid w:val="0015793E"/>
    <w:rsid w:val="00157E35"/>
    <w:rsid w:val="00161CE9"/>
    <w:rsid w:val="00161F5F"/>
    <w:rsid w:val="00162C7C"/>
    <w:rsid w:val="00162DDE"/>
    <w:rsid w:val="00162F1C"/>
    <w:rsid w:val="00163181"/>
    <w:rsid w:val="001637D4"/>
    <w:rsid w:val="001639E7"/>
    <w:rsid w:val="00164749"/>
    <w:rsid w:val="001652F3"/>
    <w:rsid w:val="00165A0C"/>
    <w:rsid w:val="00166EA5"/>
    <w:rsid w:val="001671B4"/>
    <w:rsid w:val="001673AF"/>
    <w:rsid w:val="00170605"/>
    <w:rsid w:val="00171E1E"/>
    <w:rsid w:val="00171EC5"/>
    <w:rsid w:val="00171EF7"/>
    <w:rsid w:val="00172B53"/>
    <w:rsid w:val="00173B86"/>
    <w:rsid w:val="00174835"/>
    <w:rsid w:val="00174CC2"/>
    <w:rsid w:val="00174E0F"/>
    <w:rsid w:val="0017522F"/>
    <w:rsid w:val="00175766"/>
    <w:rsid w:val="00176AD1"/>
    <w:rsid w:val="001779DD"/>
    <w:rsid w:val="00180811"/>
    <w:rsid w:val="00181873"/>
    <w:rsid w:val="00181BDA"/>
    <w:rsid w:val="001822A7"/>
    <w:rsid w:val="00182BDD"/>
    <w:rsid w:val="001833F0"/>
    <w:rsid w:val="0018392D"/>
    <w:rsid w:val="00183D55"/>
    <w:rsid w:val="00183E3C"/>
    <w:rsid w:val="00184124"/>
    <w:rsid w:val="00184435"/>
    <w:rsid w:val="00184C40"/>
    <w:rsid w:val="001852A6"/>
    <w:rsid w:val="00185511"/>
    <w:rsid w:val="00185CA7"/>
    <w:rsid w:val="00186766"/>
    <w:rsid w:val="00186832"/>
    <w:rsid w:val="00186D90"/>
    <w:rsid w:val="00186F1E"/>
    <w:rsid w:val="00186FD6"/>
    <w:rsid w:val="001905B7"/>
    <w:rsid w:val="001906C0"/>
    <w:rsid w:val="00190A48"/>
    <w:rsid w:val="00190B1A"/>
    <w:rsid w:val="0019228B"/>
    <w:rsid w:val="00192D7B"/>
    <w:rsid w:val="0019350F"/>
    <w:rsid w:val="00193716"/>
    <w:rsid w:val="0019377F"/>
    <w:rsid w:val="00193DB0"/>
    <w:rsid w:val="001941AE"/>
    <w:rsid w:val="001945C1"/>
    <w:rsid w:val="001949BA"/>
    <w:rsid w:val="00195A3A"/>
    <w:rsid w:val="00195DA5"/>
    <w:rsid w:val="0019637C"/>
    <w:rsid w:val="00196A4C"/>
    <w:rsid w:val="001971D6"/>
    <w:rsid w:val="001974F1"/>
    <w:rsid w:val="0019769D"/>
    <w:rsid w:val="001A0300"/>
    <w:rsid w:val="001A0343"/>
    <w:rsid w:val="001A060D"/>
    <w:rsid w:val="001A0E6A"/>
    <w:rsid w:val="001A130E"/>
    <w:rsid w:val="001A2014"/>
    <w:rsid w:val="001A2562"/>
    <w:rsid w:val="001A373E"/>
    <w:rsid w:val="001A37FE"/>
    <w:rsid w:val="001A49A9"/>
    <w:rsid w:val="001A4A39"/>
    <w:rsid w:val="001A5DD6"/>
    <w:rsid w:val="001A7239"/>
    <w:rsid w:val="001B057B"/>
    <w:rsid w:val="001B0984"/>
    <w:rsid w:val="001B1521"/>
    <w:rsid w:val="001B193A"/>
    <w:rsid w:val="001B23E6"/>
    <w:rsid w:val="001B359E"/>
    <w:rsid w:val="001B3626"/>
    <w:rsid w:val="001B4EA4"/>
    <w:rsid w:val="001B5437"/>
    <w:rsid w:val="001B612A"/>
    <w:rsid w:val="001B639D"/>
    <w:rsid w:val="001B64A1"/>
    <w:rsid w:val="001B6765"/>
    <w:rsid w:val="001B694F"/>
    <w:rsid w:val="001B784C"/>
    <w:rsid w:val="001C0166"/>
    <w:rsid w:val="001C0C25"/>
    <w:rsid w:val="001C26A0"/>
    <w:rsid w:val="001C2B54"/>
    <w:rsid w:val="001C3058"/>
    <w:rsid w:val="001C35CA"/>
    <w:rsid w:val="001C3D52"/>
    <w:rsid w:val="001C4199"/>
    <w:rsid w:val="001C604F"/>
    <w:rsid w:val="001C615B"/>
    <w:rsid w:val="001C6170"/>
    <w:rsid w:val="001C6309"/>
    <w:rsid w:val="001C65DA"/>
    <w:rsid w:val="001D06B9"/>
    <w:rsid w:val="001D0739"/>
    <w:rsid w:val="001D0B56"/>
    <w:rsid w:val="001D13E3"/>
    <w:rsid w:val="001D1D66"/>
    <w:rsid w:val="001D49C6"/>
    <w:rsid w:val="001D4D05"/>
    <w:rsid w:val="001D4D1D"/>
    <w:rsid w:val="001D4DC5"/>
    <w:rsid w:val="001D5F43"/>
    <w:rsid w:val="001D69D0"/>
    <w:rsid w:val="001D700B"/>
    <w:rsid w:val="001D7742"/>
    <w:rsid w:val="001D7A62"/>
    <w:rsid w:val="001E055F"/>
    <w:rsid w:val="001E0817"/>
    <w:rsid w:val="001E0842"/>
    <w:rsid w:val="001E113C"/>
    <w:rsid w:val="001E2039"/>
    <w:rsid w:val="001E2C15"/>
    <w:rsid w:val="001E361E"/>
    <w:rsid w:val="001E390F"/>
    <w:rsid w:val="001E3BFE"/>
    <w:rsid w:val="001E3CDB"/>
    <w:rsid w:val="001E447F"/>
    <w:rsid w:val="001E4E60"/>
    <w:rsid w:val="001E5347"/>
    <w:rsid w:val="001E567C"/>
    <w:rsid w:val="001E5A87"/>
    <w:rsid w:val="001E7140"/>
    <w:rsid w:val="001E74F5"/>
    <w:rsid w:val="001F14D1"/>
    <w:rsid w:val="001F151B"/>
    <w:rsid w:val="001F16E9"/>
    <w:rsid w:val="001F1A36"/>
    <w:rsid w:val="001F1DF3"/>
    <w:rsid w:val="001F2A82"/>
    <w:rsid w:val="001F2EDD"/>
    <w:rsid w:val="001F3435"/>
    <w:rsid w:val="001F3D69"/>
    <w:rsid w:val="001F416E"/>
    <w:rsid w:val="001F4356"/>
    <w:rsid w:val="001F4FC6"/>
    <w:rsid w:val="001F5E50"/>
    <w:rsid w:val="001F6764"/>
    <w:rsid w:val="001F6883"/>
    <w:rsid w:val="001F7188"/>
    <w:rsid w:val="001F7225"/>
    <w:rsid w:val="001F7388"/>
    <w:rsid w:val="001F7499"/>
    <w:rsid w:val="001F7B2B"/>
    <w:rsid w:val="001F7D91"/>
    <w:rsid w:val="00201E13"/>
    <w:rsid w:val="00202085"/>
    <w:rsid w:val="0020342A"/>
    <w:rsid w:val="00203C6B"/>
    <w:rsid w:val="002049A2"/>
    <w:rsid w:val="00205012"/>
    <w:rsid w:val="00205541"/>
    <w:rsid w:val="00205D4C"/>
    <w:rsid w:val="00205EDF"/>
    <w:rsid w:val="002061DE"/>
    <w:rsid w:val="00206320"/>
    <w:rsid w:val="002064F6"/>
    <w:rsid w:val="00206DE0"/>
    <w:rsid w:val="00206F9A"/>
    <w:rsid w:val="00206FAA"/>
    <w:rsid w:val="00207840"/>
    <w:rsid w:val="0021012A"/>
    <w:rsid w:val="00211143"/>
    <w:rsid w:val="00211446"/>
    <w:rsid w:val="002125BA"/>
    <w:rsid w:val="00212B44"/>
    <w:rsid w:val="00213934"/>
    <w:rsid w:val="00213C3B"/>
    <w:rsid w:val="00213E48"/>
    <w:rsid w:val="002141D6"/>
    <w:rsid w:val="00214639"/>
    <w:rsid w:val="00214C6C"/>
    <w:rsid w:val="00214F44"/>
    <w:rsid w:val="002152DC"/>
    <w:rsid w:val="002159D8"/>
    <w:rsid w:val="00216741"/>
    <w:rsid w:val="00216EFA"/>
    <w:rsid w:val="002176CC"/>
    <w:rsid w:val="0021784B"/>
    <w:rsid w:val="00217B33"/>
    <w:rsid w:val="002200C5"/>
    <w:rsid w:val="002200CA"/>
    <w:rsid w:val="00220587"/>
    <w:rsid w:val="00221653"/>
    <w:rsid w:val="002217AB"/>
    <w:rsid w:val="00222025"/>
    <w:rsid w:val="00223A9F"/>
    <w:rsid w:val="00223CC2"/>
    <w:rsid w:val="00223E30"/>
    <w:rsid w:val="002252E3"/>
    <w:rsid w:val="0022632A"/>
    <w:rsid w:val="002267FF"/>
    <w:rsid w:val="00226F20"/>
    <w:rsid w:val="00227C29"/>
    <w:rsid w:val="00230494"/>
    <w:rsid w:val="00230910"/>
    <w:rsid w:val="002318D0"/>
    <w:rsid w:val="00231D2E"/>
    <w:rsid w:val="00232478"/>
    <w:rsid w:val="00232B44"/>
    <w:rsid w:val="00232E47"/>
    <w:rsid w:val="0023316F"/>
    <w:rsid w:val="00233D0B"/>
    <w:rsid w:val="00233FFB"/>
    <w:rsid w:val="002352F9"/>
    <w:rsid w:val="0023688B"/>
    <w:rsid w:val="00236BFB"/>
    <w:rsid w:val="0023736D"/>
    <w:rsid w:val="002377F4"/>
    <w:rsid w:val="00237EC1"/>
    <w:rsid w:val="002409BC"/>
    <w:rsid w:val="002413C6"/>
    <w:rsid w:val="00241646"/>
    <w:rsid w:val="00241DBB"/>
    <w:rsid w:val="0024252F"/>
    <w:rsid w:val="00243031"/>
    <w:rsid w:val="002433AF"/>
    <w:rsid w:val="002439C1"/>
    <w:rsid w:val="002440A5"/>
    <w:rsid w:val="00244166"/>
    <w:rsid w:val="00244556"/>
    <w:rsid w:val="00244599"/>
    <w:rsid w:val="0024479C"/>
    <w:rsid w:val="00244E41"/>
    <w:rsid w:val="002451EB"/>
    <w:rsid w:val="00245682"/>
    <w:rsid w:val="00245EB0"/>
    <w:rsid w:val="002468ED"/>
    <w:rsid w:val="00246DA6"/>
    <w:rsid w:val="00247621"/>
    <w:rsid w:val="00247CEA"/>
    <w:rsid w:val="0025044E"/>
    <w:rsid w:val="002504A2"/>
    <w:rsid w:val="002505E0"/>
    <w:rsid w:val="0025086D"/>
    <w:rsid w:val="00250A54"/>
    <w:rsid w:val="00250B1D"/>
    <w:rsid w:val="00250DF0"/>
    <w:rsid w:val="0025131B"/>
    <w:rsid w:val="0025152C"/>
    <w:rsid w:val="00251BAA"/>
    <w:rsid w:val="00251BDC"/>
    <w:rsid w:val="00251E56"/>
    <w:rsid w:val="00251E8F"/>
    <w:rsid w:val="00252E61"/>
    <w:rsid w:val="00252E68"/>
    <w:rsid w:val="00252FD1"/>
    <w:rsid w:val="00253582"/>
    <w:rsid w:val="002536C5"/>
    <w:rsid w:val="00253A72"/>
    <w:rsid w:val="00253B09"/>
    <w:rsid w:val="00253B31"/>
    <w:rsid w:val="00253F43"/>
    <w:rsid w:val="0025494B"/>
    <w:rsid w:val="00255353"/>
    <w:rsid w:val="002555EA"/>
    <w:rsid w:val="00255AA1"/>
    <w:rsid w:val="00255D15"/>
    <w:rsid w:val="00256BB1"/>
    <w:rsid w:val="00256D93"/>
    <w:rsid w:val="00256F0B"/>
    <w:rsid w:val="00257E99"/>
    <w:rsid w:val="00257EAC"/>
    <w:rsid w:val="00260A98"/>
    <w:rsid w:val="00261393"/>
    <w:rsid w:val="0026170E"/>
    <w:rsid w:val="002618F7"/>
    <w:rsid w:val="00262254"/>
    <w:rsid w:val="00262814"/>
    <w:rsid w:val="0026310F"/>
    <w:rsid w:val="0026319A"/>
    <w:rsid w:val="00263338"/>
    <w:rsid w:val="00263433"/>
    <w:rsid w:val="002654EC"/>
    <w:rsid w:val="0026724F"/>
    <w:rsid w:val="0026740F"/>
    <w:rsid w:val="002676D9"/>
    <w:rsid w:val="00267AB5"/>
    <w:rsid w:val="00267F38"/>
    <w:rsid w:val="00267FD9"/>
    <w:rsid w:val="00270117"/>
    <w:rsid w:val="00270739"/>
    <w:rsid w:val="00270868"/>
    <w:rsid w:val="00270878"/>
    <w:rsid w:val="0027174D"/>
    <w:rsid w:val="00271A5F"/>
    <w:rsid w:val="00271E61"/>
    <w:rsid w:val="00271EE7"/>
    <w:rsid w:val="00272173"/>
    <w:rsid w:val="002738DE"/>
    <w:rsid w:val="00273BE2"/>
    <w:rsid w:val="00275615"/>
    <w:rsid w:val="002757CE"/>
    <w:rsid w:val="00275DA5"/>
    <w:rsid w:val="0027607F"/>
    <w:rsid w:val="00276340"/>
    <w:rsid w:val="0027679A"/>
    <w:rsid w:val="002768C2"/>
    <w:rsid w:val="002768CD"/>
    <w:rsid w:val="002776AD"/>
    <w:rsid w:val="0027784A"/>
    <w:rsid w:val="00277910"/>
    <w:rsid w:val="00280358"/>
    <w:rsid w:val="00280448"/>
    <w:rsid w:val="00280933"/>
    <w:rsid w:val="002810CE"/>
    <w:rsid w:val="00281133"/>
    <w:rsid w:val="00281346"/>
    <w:rsid w:val="00281700"/>
    <w:rsid w:val="00281B24"/>
    <w:rsid w:val="00282B1E"/>
    <w:rsid w:val="00283979"/>
    <w:rsid w:val="00283F5B"/>
    <w:rsid w:val="002841EB"/>
    <w:rsid w:val="0028429B"/>
    <w:rsid w:val="0028461E"/>
    <w:rsid w:val="0028561E"/>
    <w:rsid w:val="00285E18"/>
    <w:rsid w:val="002865C8"/>
    <w:rsid w:val="00286668"/>
    <w:rsid w:val="002873C7"/>
    <w:rsid w:val="00287A1C"/>
    <w:rsid w:val="00287E3F"/>
    <w:rsid w:val="0029017C"/>
    <w:rsid w:val="002904C6"/>
    <w:rsid w:val="0029190A"/>
    <w:rsid w:val="00292B75"/>
    <w:rsid w:val="00292FCB"/>
    <w:rsid w:val="002931EC"/>
    <w:rsid w:val="00293826"/>
    <w:rsid w:val="00293DEC"/>
    <w:rsid w:val="00293F4C"/>
    <w:rsid w:val="00293FC7"/>
    <w:rsid w:val="00295339"/>
    <w:rsid w:val="00295C67"/>
    <w:rsid w:val="00296C0F"/>
    <w:rsid w:val="00297A12"/>
    <w:rsid w:val="002A189C"/>
    <w:rsid w:val="002A1F36"/>
    <w:rsid w:val="002A21E6"/>
    <w:rsid w:val="002A25F2"/>
    <w:rsid w:val="002A2D2F"/>
    <w:rsid w:val="002A300C"/>
    <w:rsid w:val="002A3FB6"/>
    <w:rsid w:val="002A4202"/>
    <w:rsid w:val="002A4C34"/>
    <w:rsid w:val="002A5055"/>
    <w:rsid w:val="002A5A85"/>
    <w:rsid w:val="002A5E3B"/>
    <w:rsid w:val="002A655F"/>
    <w:rsid w:val="002A6806"/>
    <w:rsid w:val="002A6AA3"/>
    <w:rsid w:val="002A702A"/>
    <w:rsid w:val="002A75BD"/>
    <w:rsid w:val="002A7DFD"/>
    <w:rsid w:val="002B04F6"/>
    <w:rsid w:val="002B10B2"/>
    <w:rsid w:val="002B149F"/>
    <w:rsid w:val="002B28DD"/>
    <w:rsid w:val="002B33F4"/>
    <w:rsid w:val="002B3EB4"/>
    <w:rsid w:val="002B3FEB"/>
    <w:rsid w:val="002B44D6"/>
    <w:rsid w:val="002B491A"/>
    <w:rsid w:val="002B4B5B"/>
    <w:rsid w:val="002B4FD0"/>
    <w:rsid w:val="002B5BA7"/>
    <w:rsid w:val="002C032E"/>
    <w:rsid w:val="002C13DA"/>
    <w:rsid w:val="002C1807"/>
    <w:rsid w:val="002C2236"/>
    <w:rsid w:val="002C2C88"/>
    <w:rsid w:val="002C3389"/>
    <w:rsid w:val="002C3558"/>
    <w:rsid w:val="002C4603"/>
    <w:rsid w:val="002C46E8"/>
    <w:rsid w:val="002C4F9B"/>
    <w:rsid w:val="002C514A"/>
    <w:rsid w:val="002C553C"/>
    <w:rsid w:val="002C5C4E"/>
    <w:rsid w:val="002C5FEF"/>
    <w:rsid w:val="002C7273"/>
    <w:rsid w:val="002C749A"/>
    <w:rsid w:val="002D09D2"/>
    <w:rsid w:val="002D17CB"/>
    <w:rsid w:val="002D2299"/>
    <w:rsid w:val="002D2767"/>
    <w:rsid w:val="002D304B"/>
    <w:rsid w:val="002D3389"/>
    <w:rsid w:val="002D3F4C"/>
    <w:rsid w:val="002D4288"/>
    <w:rsid w:val="002D5837"/>
    <w:rsid w:val="002D5F94"/>
    <w:rsid w:val="002D639E"/>
    <w:rsid w:val="002D65FC"/>
    <w:rsid w:val="002D680F"/>
    <w:rsid w:val="002D7ECE"/>
    <w:rsid w:val="002E0265"/>
    <w:rsid w:val="002E0351"/>
    <w:rsid w:val="002E06C7"/>
    <w:rsid w:val="002E076E"/>
    <w:rsid w:val="002E1943"/>
    <w:rsid w:val="002E1E65"/>
    <w:rsid w:val="002E241D"/>
    <w:rsid w:val="002E26B8"/>
    <w:rsid w:val="002E2CE7"/>
    <w:rsid w:val="002E2E08"/>
    <w:rsid w:val="002E30C1"/>
    <w:rsid w:val="002E42BC"/>
    <w:rsid w:val="002E4F36"/>
    <w:rsid w:val="002E5217"/>
    <w:rsid w:val="002E5C56"/>
    <w:rsid w:val="002E5F0C"/>
    <w:rsid w:val="002E6357"/>
    <w:rsid w:val="002E7777"/>
    <w:rsid w:val="002E7EBA"/>
    <w:rsid w:val="002E7ED7"/>
    <w:rsid w:val="002F067A"/>
    <w:rsid w:val="002F3622"/>
    <w:rsid w:val="002F409D"/>
    <w:rsid w:val="002F42A8"/>
    <w:rsid w:val="002F46BB"/>
    <w:rsid w:val="002F62FC"/>
    <w:rsid w:val="002F631C"/>
    <w:rsid w:val="002F664C"/>
    <w:rsid w:val="002F6679"/>
    <w:rsid w:val="00300777"/>
    <w:rsid w:val="00300CBE"/>
    <w:rsid w:val="003029E9"/>
    <w:rsid w:val="00302B40"/>
    <w:rsid w:val="00302CAB"/>
    <w:rsid w:val="003031FE"/>
    <w:rsid w:val="00303232"/>
    <w:rsid w:val="00303350"/>
    <w:rsid w:val="003036E1"/>
    <w:rsid w:val="00304858"/>
    <w:rsid w:val="00305104"/>
    <w:rsid w:val="003060EA"/>
    <w:rsid w:val="00306240"/>
    <w:rsid w:val="0030664E"/>
    <w:rsid w:val="00306846"/>
    <w:rsid w:val="00306EDE"/>
    <w:rsid w:val="00307390"/>
    <w:rsid w:val="0030776C"/>
    <w:rsid w:val="003102DB"/>
    <w:rsid w:val="003112C9"/>
    <w:rsid w:val="00312F1A"/>
    <w:rsid w:val="00313060"/>
    <w:rsid w:val="00313129"/>
    <w:rsid w:val="0031483F"/>
    <w:rsid w:val="00315B75"/>
    <w:rsid w:val="003170AC"/>
    <w:rsid w:val="003206DA"/>
    <w:rsid w:val="00320D19"/>
    <w:rsid w:val="003212AC"/>
    <w:rsid w:val="003215A5"/>
    <w:rsid w:val="003218BE"/>
    <w:rsid w:val="00321B6A"/>
    <w:rsid w:val="00323C6B"/>
    <w:rsid w:val="00324142"/>
    <w:rsid w:val="00324537"/>
    <w:rsid w:val="00325181"/>
    <w:rsid w:val="00325410"/>
    <w:rsid w:val="0032633F"/>
    <w:rsid w:val="0032652A"/>
    <w:rsid w:val="00326B50"/>
    <w:rsid w:val="0032729F"/>
    <w:rsid w:val="00333296"/>
    <w:rsid w:val="0033414F"/>
    <w:rsid w:val="003343EB"/>
    <w:rsid w:val="00334ADB"/>
    <w:rsid w:val="0033537A"/>
    <w:rsid w:val="003353AA"/>
    <w:rsid w:val="00335C3F"/>
    <w:rsid w:val="00335D30"/>
    <w:rsid w:val="003361E5"/>
    <w:rsid w:val="00336CD9"/>
    <w:rsid w:val="00336D3C"/>
    <w:rsid w:val="00336F9F"/>
    <w:rsid w:val="00337092"/>
    <w:rsid w:val="003403C9"/>
    <w:rsid w:val="003403FE"/>
    <w:rsid w:val="00340453"/>
    <w:rsid w:val="003404B7"/>
    <w:rsid w:val="003406C9"/>
    <w:rsid w:val="00341050"/>
    <w:rsid w:val="0034179D"/>
    <w:rsid w:val="00341E92"/>
    <w:rsid w:val="00342D22"/>
    <w:rsid w:val="00342D63"/>
    <w:rsid w:val="00342D80"/>
    <w:rsid w:val="00343687"/>
    <w:rsid w:val="00344098"/>
    <w:rsid w:val="00344503"/>
    <w:rsid w:val="0034480B"/>
    <w:rsid w:val="00344FE8"/>
    <w:rsid w:val="00345227"/>
    <w:rsid w:val="003455A6"/>
    <w:rsid w:val="00345870"/>
    <w:rsid w:val="00346AA8"/>
    <w:rsid w:val="003474C6"/>
    <w:rsid w:val="00347B0C"/>
    <w:rsid w:val="00350400"/>
    <w:rsid w:val="00351C9A"/>
    <w:rsid w:val="00351CCD"/>
    <w:rsid w:val="003521D2"/>
    <w:rsid w:val="00353025"/>
    <w:rsid w:val="0035316B"/>
    <w:rsid w:val="003532A9"/>
    <w:rsid w:val="00353493"/>
    <w:rsid w:val="00353E02"/>
    <w:rsid w:val="003543D3"/>
    <w:rsid w:val="00354437"/>
    <w:rsid w:val="0035449E"/>
    <w:rsid w:val="00354D52"/>
    <w:rsid w:val="0035576C"/>
    <w:rsid w:val="003557F1"/>
    <w:rsid w:val="00355C2E"/>
    <w:rsid w:val="00355DEE"/>
    <w:rsid w:val="00355EAA"/>
    <w:rsid w:val="00356F52"/>
    <w:rsid w:val="00360022"/>
    <w:rsid w:val="00361140"/>
    <w:rsid w:val="003615A4"/>
    <w:rsid w:val="00361AC4"/>
    <w:rsid w:val="00361EC7"/>
    <w:rsid w:val="00362652"/>
    <w:rsid w:val="00362655"/>
    <w:rsid w:val="0036345B"/>
    <w:rsid w:val="00363616"/>
    <w:rsid w:val="00363CB9"/>
    <w:rsid w:val="00363D71"/>
    <w:rsid w:val="00364782"/>
    <w:rsid w:val="003647A2"/>
    <w:rsid w:val="00364DDD"/>
    <w:rsid w:val="00365DD4"/>
    <w:rsid w:val="003665A2"/>
    <w:rsid w:val="003669E9"/>
    <w:rsid w:val="00366B98"/>
    <w:rsid w:val="00366D96"/>
    <w:rsid w:val="00367982"/>
    <w:rsid w:val="003702CA"/>
    <w:rsid w:val="003704A8"/>
    <w:rsid w:val="00372635"/>
    <w:rsid w:val="00373507"/>
    <w:rsid w:val="003742F9"/>
    <w:rsid w:val="00374C55"/>
    <w:rsid w:val="003756CD"/>
    <w:rsid w:val="003759A1"/>
    <w:rsid w:val="003765A8"/>
    <w:rsid w:val="003769D6"/>
    <w:rsid w:val="00376A6D"/>
    <w:rsid w:val="003770E2"/>
    <w:rsid w:val="00377BCB"/>
    <w:rsid w:val="00377D9F"/>
    <w:rsid w:val="0038010C"/>
    <w:rsid w:val="0038050C"/>
    <w:rsid w:val="00380FDC"/>
    <w:rsid w:val="003811AF"/>
    <w:rsid w:val="00381A6B"/>
    <w:rsid w:val="003822AB"/>
    <w:rsid w:val="003823D1"/>
    <w:rsid w:val="00382FEC"/>
    <w:rsid w:val="003834F1"/>
    <w:rsid w:val="0038357E"/>
    <w:rsid w:val="00383921"/>
    <w:rsid w:val="003841FF"/>
    <w:rsid w:val="0038477A"/>
    <w:rsid w:val="00384AB3"/>
    <w:rsid w:val="0038559A"/>
    <w:rsid w:val="00386E41"/>
    <w:rsid w:val="00387F45"/>
    <w:rsid w:val="0039026F"/>
    <w:rsid w:val="0039056A"/>
    <w:rsid w:val="00390801"/>
    <w:rsid w:val="003926E3"/>
    <w:rsid w:val="00392731"/>
    <w:rsid w:val="00393228"/>
    <w:rsid w:val="00393280"/>
    <w:rsid w:val="003932BD"/>
    <w:rsid w:val="00393648"/>
    <w:rsid w:val="003942CB"/>
    <w:rsid w:val="003956D8"/>
    <w:rsid w:val="00395A47"/>
    <w:rsid w:val="00396211"/>
    <w:rsid w:val="00396DB9"/>
    <w:rsid w:val="0039706A"/>
    <w:rsid w:val="00397426"/>
    <w:rsid w:val="00397711"/>
    <w:rsid w:val="003979DA"/>
    <w:rsid w:val="00397E69"/>
    <w:rsid w:val="003A05C9"/>
    <w:rsid w:val="003A23C0"/>
    <w:rsid w:val="003A2478"/>
    <w:rsid w:val="003A2AC1"/>
    <w:rsid w:val="003A4B10"/>
    <w:rsid w:val="003A56A8"/>
    <w:rsid w:val="003B28C8"/>
    <w:rsid w:val="003B35C7"/>
    <w:rsid w:val="003B3D82"/>
    <w:rsid w:val="003B3FB8"/>
    <w:rsid w:val="003B41E0"/>
    <w:rsid w:val="003B49C5"/>
    <w:rsid w:val="003B521F"/>
    <w:rsid w:val="003B536F"/>
    <w:rsid w:val="003B6B99"/>
    <w:rsid w:val="003B6C9F"/>
    <w:rsid w:val="003B7326"/>
    <w:rsid w:val="003C00E7"/>
    <w:rsid w:val="003C04EC"/>
    <w:rsid w:val="003C079E"/>
    <w:rsid w:val="003C13B1"/>
    <w:rsid w:val="003C14A1"/>
    <w:rsid w:val="003C2C07"/>
    <w:rsid w:val="003C337D"/>
    <w:rsid w:val="003C3DCB"/>
    <w:rsid w:val="003C4937"/>
    <w:rsid w:val="003C53D7"/>
    <w:rsid w:val="003C59E9"/>
    <w:rsid w:val="003C5C9C"/>
    <w:rsid w:val="003C6638"/>
    <w:rsid w:val="003C6981"/>
    <w:rsid w:val="003C7709"/>
    <w:rsid w:val="003D05D8"/>
    <w:rsid w:val="003D105E"/>
    <w:rsid w:val="003D1791"/>
    <w:rsid w:val="003D1922"/>
    <w:rsid w:val="003D1A8C"/>
    <w:rsid w:val="003D2481"/>
    <w:rsid w:val="003D262F"/>
    <w:rsid w:val="003D34A3"/>
    <w:rsid w:val="003D34E1"/>
    <w:rsid w:val="003D3872"/>
    <w:rsid w:val="003D3FF0"/>
    <w:rsid w:val="003D4EB1"/>
    <w:rsid w:val="003D5108"/>
    <w:rsid w:val="003D52CC"/>
    <w:rsid w:val="003D540E"/>
    <w:rsid w:val="003D5467"/>
    <w:rsid w:val="003D6034"/>
    <w:rsid w:val="003D610A"/>
    <w:rsid w:val="003D6552"/>
    <w:rsid w:val="003D727B"/>
    <w:rsid w:val="003D73DD"/>
    <w:rsid w:val="003D75CA"/>
    <w:rsid w:val="003E0069"/>
    <w:rsid w:val="003E11C7"/>
    <w:rsid w:val="003E1450"/>
    <w:rsid w:val="003E182A"/>
    <w:rsid w:val="003E1E5D"/>
    <w:rsid w:val="003E22DF"/>
    <w:rsid w:val="003E2662"/>
    <w:rsid w:val="003E28E4"/>
    <w:rsid w:val="003E2A31"/>
    <w:rsid w:val="003E2EE0"/>
    <w:rsid w:val="003E363D"/>
    <w:rsid w:val="003E3ACD"/>
    <w:rsid w:val="003E3CAF"/>
    <w:rsid w:val="003E4063"/>
    <w:rsid w:val="003E427F"/>
    <w:rsid w:val="003E43E3"/>
    <w:rsid w:val="003E4C78"/>
    <w:rsid w:val="003E51E5"/>
    <w:rsid w:val="003E55DF"/>
    <w:rsid w:val="003E5B97"/>
    <w:rsid w:val="003E5E0D"/>
    <w:rsid w:val="003E6822"/>
    <w:rsid w:val="003E6B95"/>
    <w:rsid w:val="003E729E"/>
    <w:rsid w:val="003E74D4"/>
    <w:rsid w:val="003E7579"/>
    <w:rsid w:val="003E79AE"/>
    <w:rsid w:val="003F0223"/>
    <w:rsid w:val="003F1AEF"/>
    <w:rsid w:val="003F1DF1"/>
    <w:rsid w:val="003F2A83"/>
    <w:rsid w:val="003F2D53"/>
    <w:rsid w:val="003F2E85"/>
    <w:rsid w:val="003F3F14"/>
    <w:rsid w:val="003F3F65"/>
    <w:rsid w:val="003F48B4"/>
    <w:rsid w:val="003F5070"/>
    <w:rsid w:val="003F5561"/>
    <w:rsid w:val="003F5C5D"/>
    <w:rsid w:val="003F5E01"/>
    <w:rsid w:val="003F62EB"/>
    <w:rsid w:val="003F631F"/>
    <w:rsid w:val="003F6C07"/>
    <w:rsid w:val="003F76D0"/>
    <w:rsid w:val="00400395"/>
    <w:rsid w:val="00400C76"/>
    <w:rsid w:val="00400D84"/>
    <w:rsid w:val="00401757"/>
    <w:rsid w:val="00401A78"/>
    <w:rsid w:val="00402913"/>
    <w:rsid w:val="00402D83"/>
    <w:rsid w:val="00402E19"/>
    <w:rsid w:val="00404BB6"/>
    <w:rsid w:val="00405E00"/>
    <w:rsid w:val="00405E16"/>
    <w:rsid w:val="0040690D"/>
    <w:rsid w:val="00406F3A"/>
    <w:rsid w:val="004075E4"/>
    <w:rsid w:val="004078AB"/>
    <w:rsid w:val="00407EDE"/>
    <w:rsid w:val="004100AF"/>
    <w:rsid w:val="004104AD"/>
    <w:rsid w:val="0041052A"/>
    <w:rsid w:val="0041153F"/>
    <w:rsid w:val="00412C35"/>
    <w:rsid w:val="00412D2D"/>
    <w:rsid w:val="00413CA7"/>
    <w:rsid w:val="00413F1E"/>
    <w:rsid w:val="00414AA2"/>
    <w:rsid w:val="00414E8E"/>
    <w:rsid w:val="004151F6"/>
    <w:rsid w:val="004153BF"/>
    <w:rsid w:val="00417E81"/>
    <w:rsid w:val="004205CF"/>
    <w:rsid w:val="0042181B"/>
    <w:rsid w:val="00421C1D"/>
    <w:rsid w:val="00421C64"/>
    <w:rsid w:val="00422273"/>
    <w:rsid w:val="0042284D"/>
    <w:rsid w:val="00422CD6"/>
    <w:rsid w:val="004236AB"/>
    <w:rsid w:val="00424156"/>
    <w:rsid w:val="004241E9"/>
    <w:rsid w:val="00424BAC"/>
    <w:rsid w:val="004273CE"/>
    <w:rsid w:val="0042766E"/>
    <w:rsid w:val="00427762"/>
    <w:rsid w:val="004277BD"/>
    <w:rsid w:val="00427B95"/>
    <w:rsid w:val="00427F3D"/>
    <w:rsid w:val="00430604"/>
    <w:rsid w:val="00430AA0"/>
    <w:rsid w:val="00431B37"/>
    <w:rsid w:val="004322DD"/>
    <w:rsid w:val="0043277B"/>
    <w:rsid w:val="00432A4B"/>
    <w:rsid w:val="00432BF3"/>
    <w:rsid w:val="00432D31"/>
    <w:rsid w:val="004338B1"/>
    <w:rsid w:val="0043398D"/>
    <w:rsid w:val="00434922"/>
    <w:rsid w:val="00436D7A"/>
    <w:rsid w:val="004371B8"/>
    <w:rsid w:val="004408FA"/>
    <w:rsid w:val="0044161C"/>
    <w:rsid w:val="00441EC6"/>
    <w:rsid w:val="004421D5"/>
    <w:rsid w:val="00442444"/>
    <w:rsid w:val="00442EE4"/>
    <w:rsid w:val="0044401D"/>
    <w:rsid w:val="00444D23"/>
    <w:rsid w:val="00446234"/>
    <w:rsid w:val="0044729D"/>
    <w:rsid w:val="00447E5C"/>
    <w:rsid w:val="0045002A"/>
    <w:rsid w:val="004507E9"/>
    <w:rsid w:val="004509CF"/>
    <w:rsid w:val="00450B34"/>
    <w:rsid w:val="004510BE"/>
    <w:rsid w:val="00451619"/>
    <w:rsid w:val="004520A9"/>
    <w:rsid w:val="0045262B"/>
    <w:rsid w:val="004526D2"/>
    <w:rsid w:val="00452E81"/>
    <w:rsid w:val="004539E3"/>
    <w:rsid w:val="00454E3C"/>
    <w:rsid w:val="0045602A"/>
    <w:rsid w:val="0045639A"/>
    <w:rsid w:val="004567E3"/>
    <w:rsid w:val="00456E6F"/>
    <w:rsid w:val="004601FB"/>
    <w:rsid w:val="0046040F"/>
    <w:rsid w:val="00460654"/>
    <w:rsid w:val="00461688"/>
    <w:rsid w:val="00461999"/>
    <w:rsid w:val="00461A7F"/>
    <w:rsid w:val="0046204D"/>
    <w:rsid w:val="004622C8"/>
    <w:rsid w:val="004626C6"/>
    <w:rsid w:val="0046489C"/>
    <w:rsid w:val="00465111"/>
    <w:rsid w:val="00465382"/>
    <w:rsid w:val="00465CFB"/>
    <w:rsid w:val="00465D72"/>
    <w:rsid w:val="00465E1F"/>
    <w:rsid w:val="00465F8A"/>
    <w:rsid w:val="004665A7"/>
    <w:rsid w:val="00466BA7"/>
    <w:rsid w:val="004678E1"/>
    <w:rsid w:val="00467ACD"/>
    <w:rsid w:val="00470136"/>
    <w:rsid w:val="00470FD3"/>
    <w:rsid w:val="00470FF6"/>
    <w:rsid w:val="004715A5"/>
    <w:rsid w:val="004723C1"/>
    <w:rsid w:val="0047273E"/>
    <w:rsid w:val="004735CE"/>
    <w:rsid w:val="004737FA"/>
    <w:rsid w:val="0047533E"/>
    <w:rsid w:val="0047554E"/>
    <w:rsid w:val="0047637E"/>
    <w:rsid w:val="004764A7"/>
    <w:rsid w:val="00476BF7"/>
    <w:rsid w:val="004772B8"/>
    <w:rsid w:val="004800FB"/>
    <w:rsid w:val="0048133E"/>
    <w:rsid w:val="0048188D"/>
    <w:rsid w:val="00482F2D"/>
    <w:rsid w:val="0048301C"/>
    <w:rsid w:val="004838CF"/>
    <w:rsid w:val="00483FC3"/>
    <w:rsid w:val="004845FB"/>
    <w:rsid w:val="0048492E"/>
    <w:rsid w:val="0048547F"/>
    <w:rsid w:val="00485664"/>
    <w:rsid w:val="00485864"/>
    <w:rsid w:val="004859C2"/>
    <w:rsid w:val="00485C5F"/>
    <w:rsid w:val="004862F6"/>
    <w:rsid w:val="00486445"/>
    <w:rsid w:val="00486E13"/>
    <w:rsid w:val="00486EDF"/>
    <w:rsid w:val="00486F93"/>
    <w:rsid w:val="00487EF5"/>
    <w:rsid w:val="00490989"/>
    <w:rsid w:val="00490C50"/>
    <w:rsid w:val="0049126B"/>
    <w:rsid w:val="004913B5"/>
    <w:rsid w:val="0049163A"/>
    <w:rsid w:val="0049181E"/>
    <w:rsid w:val="00491966"/>
    <w:rsid w:val="00491AE4"/>
    <w:rsid w:val="00491DB0"/>
    <w:rsid w:val="004923E2"/>
    <w:rsid w:val="00492599"/>
    <w:rsid w:val="0049293D"/>
    <w:rsid w:val="0049348E"/>
    <w:rsid w:val="00493719"/>
    <w:rsid w:val="00493C0E"/>
    <w:rsid w:val="00493F87"/>
    <w:rsid w:val="004940B8"/>
    <w:rsid w:val="00495757"/>
    <w:rsid w:val="00495DA6"/>
    <w:rsid w:val="00496BDB"/>
    <w:rsid w:val="00497727"/>
    <w:rsid w:val="00497A77"/>
    <w:rsid w:val="00497B16"/>
    <w:rsid w:val="00497DD7"/>
    <w:rsid w:val="004A0016"/>
    <w:rsid w:val="004A01A6"/>
    <w:rsid w:val="004A070A"/>
    <w:rsid w:val="004A1960"/>
    <w:rsid w:val="004A2908"/>
    <w:rsid w:val="004A41ED"/>
    <w:rsid w:val="004A5170"/>
    <w:rsid w:val="004A578D"/>
    <w:rsid w:val="004A5ACB"/>
    <w:rsid w:val="004A6EC7"/>
    <w:rsid w:val="004A6FB0"/>
    <w:rsid w:val="004A7DB7"/>
    <w:rsid w:val="004A7DF6"/>
    <w:rsid w:val="004A7ECD"/>
    <w:rsid w:val="004A7F32"/>
    <w:rsid w:val="004B096C"/>
    <w:rsid w:val="004B0972"/>
    <w:rsid w:val="004B1A93"/>
    <w:rsid w:val="004B3020"/>
    <w:rsid w:val="004B30E3"/>
    <w:rsid w:val="004B317C"/>
    <w:rsid w:val="004B36C0"/>
    <w:rsid w:val="004B37AC"/>
    <w:rsid w:val="004B3EFC"/>
    <w:rsid w:val="004B3F44"/>
    <w:rsid w:val="004B47DC"/>
    <w:rsid w:val="004B4E17"/>
    <w:rsid w:val="004B5F96"/>
    <w:rsid w:val="004B71B7"/>
    <w:rsid w:val="004B73C1"/>
    <w:rsid w:val="004C035C"/>
    <w:rsid w:val="004C0866"/>
    <w:rsid w:val="004C0F3F"/>
    <w:rsid w:val="004C18D1"/>
    <w:rsid w:val="004C199D"/>
    <w:rsid w:val="004C1E95"/>
    <w:rsid w:val="004C2A21"/>
    <w:rsid w:val="004C2CD9"/>
    <w:rsid w:val="004C2F26"/>
    <w:rsid w:val="004C3651"/>
    <w:rsid w:val="004C3686"/>
    <w:rsid w:val="004C39D0"/>
    <w:rsid w:val="004C3FA3"/>
    <w:rsid w:val="004C4CA3"/>
    <w:rsid w:val="004C4D97"/>
    <w:rsid w:val="004C504A"/>
    <w:rsid w:val="004C5CA3"/>
    <w:rsid w:val="004C5F3F"/>
    <w:rsid w:val="004C65ED"/>
    <w:rsid w:val="004C77BB"/>
    <w:rsid w:val="004C7FB7"/>
    <w:rsid w:val="004D068A"/>
    <w:rsid w:val="004D0F62"/>
    <w:rsid w:val="004D0F64"/>
    <w:rsid w:val="004D114D"/>
    <w:rsid w:val="004D18B3"/>
    <w:rsid w:val="004D1CA6"/>
    <w:rsid w:val="004D1CEB"/>
    <w:rsid w:val="004D2B8E"/>
    <w:rsid w:val="004D2C63"/>
    <w:rsid w:val="004D2D6D"/>
    <w:rsid w:val="004D3CB4"/>
    <w:rsid w:val="004D50A2"/>
    <w:rsid w:val="004D51F3"/>
    <w:rsid w:val="004D5791"/>
    <w:rsid w:val="004D589D"/>
    <w:rsid w:val="004D69D3"/>
    <w:rsid w:val="004D6D24"/>
    <w:rsid w:val="004D731E"/>
    <w:rsid w:val="004D7A7A"/>
    <w:rsid w:val="004D7C81"/>
    <w:rsid w:val="004E109F"/>
    <w:rsid w:val="004E20A1"/>
    <w:rsid w:val="004E20CD"/>
    <w:rsid w:val="004E29C6"/>
    <w:rsid w:val="004E345E"/>
    <w:rsid w:val="004E364E"/>
    <w:rsid w:val="004E4356"/>
    <w:rsid w:val="004E44DC"/>
    <w:rsid w:val="004E547F"/>
    <w:rsid w:val="004E5569"/>
    <w:rsid w:val="004E55D7"/>
    <w:rsid w:val="004E5B1B"/>
    <w:rsid w:val="004E5B4C"/>
    <w:rsid w:val="004E5DFF"/>
    <w:rsid w:val="004E624A"/>
    <w:rsid w:val="004E63EF"/>
    <w:rsid w:val="004E6569"/>
    <w:rsid w:val="004E65D3"/>
    <w:rsid w:val="004E6D12"/>
    <w:rsid w:val="004E6F47"/>
    <w:rsid w:val="004E7DB8"/>
    <w:rsid w:val="004E7F8D"/>
    <w:rsid w:val="004F0519"/>
    <w:rsid w:val="004F0898"/>
    <w:rsid w:val="004F0D10"/>
    <w:rsid w:val="004F1C63"/>
    <w:rsid w:val="004F348D"/>
    <w:rsid w:val="004F3B36"/>
    <w:rsid w:val="004F42FF"/>
    <w:rsid w:val="004F495B"/>
    <w:rsid w:val="004F4D7E"/>
    <w:rsid w:val="004F5026"/>
    <w:rsid w:val="004F55D2"/>
    <w:rsid w:val="004F6262"/>
    <w:rsid w:val="004F6A49"/>
    <w:rsid w:val="004F766A"/>
    <w:rsid w:val="004F7F72"/>
    <w:rsid w:val="00500424"/>
    <w:rsid w:val="005007CA"/>
    <w:rsid w:val="00500E19"/>
    <w:rsid w:val="00503933"/>
    <w:rsid w:val="005039E4"/>
    <w:rsid w:val="00503AB9"/>
    <w:rsid w:val="00503BE2"/>
    <w:rsid w:val="005048CE"/>
    <w:rsid w:val="00505038"/>
    <w:rsid w:val="00505278"/>
    <w:rsid w:val="00505D3A"/>
    <w:rsid w:val="00505D99"/>
    <w:rsid w:val="0050656C"/>
    <w:rsid w:val="00506744"/>
    <w:rsid w:val="005074E6"/>
    <w:rsid w:val="0050772E"/>
    <w:rsid w:val="00507A2B"/>
    <w:rsid w:val="00510710"/>
    <w:rsid w:val="0051089A"/>
    <w:rsid w:val="00510A01"/>
    <w:rsid w:val="00511596"/>
    <w:rsid w:val="00511DD2"/>
    <w:rsid w:val="00511F69"/>
    <w:rsid w:val="00512741"/>
    <w:rsid w:val="00513AC2"/>
    <w:rsid w:val="00514138"/>
    <w:rsid w:val="005145DB"/>
    <w:rsid w:val="00514C7E"/>
    <w:rsid w:val="00515D91"/>
    <w:rsid w:val="00516D1F"/>
    <w:rsid w:val="00517C93"/>
    <w:rsid w:val="00517D4C"/>
    <w:rsid w:val="00517EA0"/>
    <w:rsid w:val="00520220"/>
    <w:rsid w:val="00520221"/>
    <w:rsid w:val="005205B6"/>
    <w:rsid w:val="0052123F"/>
    <w:rsid w:val="00522404"/>
    <w:rsid w:val="00522480"/>
    <w:rsid w:val="00524FB2"/>
    <w:rsid w:val="00525F16"/>
    <w:rsid w:val="00527124"/>
    <w:rsid w:val="00527829"/>
    <w:rsid w:val="00527C93"/>
    <w:rsid w:val="005309DD"/>
    <w:rsid w:val="00531A22"/>
    <w:rsid w:val="005325B1"/>
    <w:rsid w:val="00532920"/>
    <w:rsid w:val="005329B5"/>
    <w:rsid w:val="005329FE"/>
    <w:rsid w:val="00532AC2"/>
    <w:rsid w:val="00532DB9"/>
    <w:rsid w:val="00533B75"/>
    <w:rsid w:val="00533C81"/>
    <w:rsid w:val="00535397"/>
    <w:rsid w:val="005357CE"/>
    <w:rsid w:val="00536872"/>
    <w:rsid w:val="00536BAC"/>
    <w:rsid w:val="00537F91"/>
    <w:rsid w:val="00540F14"/>
    <w:rsid w:val="005418AC"/>
    <w:rsid w:val="005423FB"/>
    <w:rsid w:val="00542570"/>
    <w:rsid w:val="00542576"/>
    <w:rsid w:val="005427F5"/>
    <w:rsid w:val="005429BD"/>
    <w:rsid w:val="00543944"/>
    <w:rsid w:val="00543F0E"/>
    <w:rsid w:val="005440CA"/>
    <w:rsid w:val="0054432B"/>
    <w:rsid w:val="00544469"/>
    <w:rsid w:val="0054499E"/>
    <w:rsid w:val="00544AC5"/>
    <w:rsid w:val="00544E52"/>
    <w:rsid w:val="00546172"/>
    <w:rsid w:val="00546817"/>
    <w:rsid w:val="00546CB9"/>
    <w:rsid w:val="005470EB"/>
    <w:rsid w:val="0054751F"/>
    <w:rsid w:val="00547540"/>
    <w:rsid w:val="00547B94"/>
    <w:rsid w:val="0055058A"/>
    <w:rsid w:val="00550B7A"/>
    <w:rsid w:val="00550BFD"/>
    <w:rsid w:val="00551F1B"/>
    <w:rsid w:val="005522B4"/>
    <w:rsid w:val="0055355A"/>
    <w:rsid w:val="00553E16"/>
    <w:rsid w:val="0055660F"/>
    <w:rsid w:val="00556DE1"/>
    <w:rsid w:val="005577EC"/>
    <w:rsid w:val="00560205"/>
    <w:rsid w:val="0056060B"/>
    <w:rsid w:val="0056133D"/>
    <w:rsid w:val="00561751"/>
    <w:rsid w:val="005617BC"/>
    <w:rsid w:val="0056351E"/>
    <w:rsid w:val="005636B5"/>
    <w:rsid w:val="0056418A"/>
    <w:rsid w:val="0056431A"/>
    <w:rsid w:val="00564351"/>
    <w:rsid w:val="005643EC"/>
    <w:rsid w:val="00565604"/>
    <w:rsid w:val="005658CB"/>
    <w:rsid w:val="00565B40"/>
    <w:rsid w:val="0056795E"/>
    <w:rsid w:val="005704A0"/>
    <w:rsid w:val="00571634"/>
    <w:rsid w:val="00571DDC"/>
    <w:rsid w:val="00571F16"/>
    <w:rsid w:val="00573121"/>
    <w:rsid w:val="00573810"/>
    <w:rsid w:val="005739C1"/>
    <w:rsid w:val="00574501"/>
    <w:rsid w:val="00574E38"/>
    <w:rsid w:val="0057533E"/>
    <w:rsid w:val="0057535D"/>
    <w:rsid w:val="005762D7"/>
    <w:rsid w:val="00580193"/>
    <w:rsid w:val="005816EC"/>
    <w:rsid w:val="00581CF8"/>
    <w:rsid w:val="0058330D"/>
    <w:rsid w:val="00583630"/>
    <w:rsid w:val="005842EB"/>
    <w:rsid w:val="005846B3"/>
    <w:rsid w:val="005849D7"/>
    <w:rsid w:val="00584AB8"/>
    <w:rsid w:val="00585348"/>
    <w:rsid w:val="00585F2C"/>
    <w:rsid w:val="0058606F"/>
    <w:rsid w:val="00586CEA"/>
    <w:rsid w:val="00586DC6"/>
    <w:rsid w:val="00586F8E"/>
    <w:rsid w:val="005871B7"/>
    <w:rsid w:val="0058768E"/>
    <w:rsid w:val="00587C6F"/>
    <w:rsid w:val="005904FE"/>
    <w:rsid w:val="00590FFA"/>
    <w:rsid w:val="0059199C"/>
    <w:rsid w:val="00591FD5"/>
    <w:rsid w:val="00592A21"/>
    <w:rsid w:val="00593784"/>
    <w:rsid w:val="0059507C"/>
    <w:rsid w:val="005951AA"/>
    <w:rsid w:val="00595EED"/>
    <w:rsid w:val="005963B9"/>
    <w:rsid w:val="005969CB"/>
    <w:rsid w:val="00596FA6"/>
    <w:rsid w:val="0059788F"/>
    <w:rsid w:val="005A025D"/>
    <w:rsid w:val="005A0B6B"/>
    <w:rsid w:val="005A1DBB"/>
    <w:rsid w:val="005A20C1"/>
    <w:rsid w:val="005A2818"/>
    <w:rsid w:val="005A307A"/>
    <w:rsid w:val="005A375B"/>
    <w:rsid w:val="005A38D2"/>
    <w:rsid w:val="005A3D10"/>
    <w:rsid w:val="005A4350"/>
    <w:rsid w:val="005A4A29"/>
    <w:rsid w:val="005A58D3"/>
    <w:rsid w:val="005A5A50"/>
    <w:rsid w:val="005A67F4"/>
    <w:rsid w:val="005A6E70"/>
    <w:rsid w:val="005B071F"/>
    <w:rsid w:val="005B0E64"/>
    <w:rsid w:val="005B0FBE"/>
    <w:rsid w:val="005B1284"/>
    <w:rsid w:val="005B1ACA"/>
    <w:rsid w:val="005B312B"/>
    <w:rsid w:val="005B3AEC"/>
    <w:rsid w:val="005B430E"/>
    <w:rsid w:val="005B47CA"/>
    <w:rsid w:val="005B5005"/>
    <w:rsid w:val="005B54F4"/>
    <w:rsid w:val="005B5804"/>
    <w:rsid w:val="005B5918"/>
    <w:rsid w:val="005B5C90"/>
    <w:rsid w:val="005B6578"/>
    <w:rsid w:val="005B699E"/>
    <w:rsid w:val="005C01D9"/>
    <w:rsid w:val="005C0425"/>
    <w:rsid w:val="005C078E"/>
    <w:rsid w:val="005C0AE6"/>
    <w:rsid w:val="005C11FE"/>
    <w:rsid w:val="005C1C33"/>
    <w:rsid w:val="005C1F86"/>
    <w:rsid w:val="005C28C7"/>
    <w:rsid w:val="005C2ACC"/>
    <w:rsid w:val="005C2C4D"/>
    <w:rsid w:val="005C4BE9"/>
    <w:rsid w:val="005C5656"/>
    <w:rsid w:val="005C5D91"/>
    <w:rsid w:val="005C6103"/>
    <w:rsid w:val="005C7CDB"/>
    <w:rsid w:val="005D0469"/>
    <w:rsid w:val="005D0AAD"/>
    <w:rsid w:val="005D1624"/>
    <w:rsid w:val="005D19C6"/>
    <w:rsid w:val="005D1BA6"/>
    <w:rsid w:val="005D24C8"/>
    <w:rsid w:val="005D25DB"/>
    <w:rsid w:val="005D32A4"/>
    <w:rsid w:val="005D3BA0"/>
    <w:rsid w:val="005D3E27"/>
    <w:rsid w:val="005D3E7D"/>
    <w:rsid w:val="005D3EC7"/>
    <w:rsid w:val="005D418F"/>
    <w:rsid w:val="005D44E2"/>
    <w:rsid w:val="005D4E02"/>
    <w:rsid w:val="005D5052"/>
    <w:rsid w:val="005D50DA"/>
    <w:rsid w:val="005D573B"/>
    <w:rsid w:val="005D5A8A"/>
    <w:rsid w:val="005D5EA5"/>
    <w:rsid w:val="005D61AD"/>
    <w:rsid w:val="005D61FC"/>
    <w:rsid w:val="005D7212"/>
    <w:rsid w:val="005D73BA"/>
    <w:rsid w:val="005D79D5"/>
    <w:rsid w:val="005D7A00"/>
    <w:rsid w:val="005E017C"/>
    <w:rsid w:val="005E08C0"/>
    <w:rsid w:val="005E0F0B"/>
    <w:rsid w:val="005E1990"/>
    <w:rsid w:val="005E5317"/>
    <w:rsid w:val="005E68C7"/>
    <w:rsid w:val="005E70EB"/>
    <w:rsid w:val="005E73C4"/>
    <w:rsid w:val="005F00CD"/>
    <w:rsid w:val="005F2A46"/>
    <w:rsid w:val="005F3DC9"/>
    <w:rsid w:val="005F4132"/>
    <w:rsid w:val="005F423E"/>
    <w:rsid w:val="005F457D"/>
    <w:rsid w:val="005F47ED"/>
    <w:rsid w:val="005F4A35"/>
    <w:rsid w:val="005F5C0E"/>
    <w:rsid w:val="005F6190"/>
    <w:rsid w:val="005F64E0"/>
    <w:rsid w:val="005F66B6"/>
    <w:rsid w:val="005F6C5A"/>
    <w:rsid w:val="005F7196"/>
    <w:rsid w:val="005F720D"/>
    <w:rsid w:val="005F7690"/>
    <w:rsid w:val="005F7F05"/>
    <w:rsid w:val="006006D2"/>
    <w:rsid w:val="00601B2C"/>
    <w:rsid w:val="0060207C"/>
    <w:rsid w:val="00602AAC"/>
    <w:rsid w:val="00602C70"/>
    <w:rsid w:val="00603882"/>
    <w:rsid w:val="00603A04"/>
    <w:rsid w:val="00604054"/>
    <w:rsid w:val="006044B3"/>
    <w:rsid w:val="006050A9"/>
    <w:rsid w:val="0060656A"/>
    <w:rsid w:val="00606D99"/>
    <w:rsid w:val="006073D4"/>
    <w:rsid w:val="00607414"/>
    <w:rsid w:val="006075B6"/>
    <w:rsid w:val="00607CF2"/>
    <w:rsid w:val="00610058"/>
    <w:rsid w:val="00610B51"/>
    <w:rsid w:val="0061161E"/>
    <w:rsid w:val="00612335"/>
    <w:rsid w:val="006124C7"/>
    <w:rsid w:val="00613030"/>
    <w:rsid w:val="0061426C"/>
    <w:rsid w:val="0061481E"/>
    <w:rsid w:val="00614B57"/>
    <w:rsid w:val="006158B9"/>
    <w:rsid w:val="00615E7A"/>
    <w:rsid w:val="006169B7"/>
    <w:rsid w:val="00617032"/>
    <w:rsid w:val="00617603"/>
    <w:rsid w:val="00617A31"/>
    <w:rsid w:val="00617FB6"/>
    <w:rsid w:val="00620E32"/>
    <w:rsid w:val="00622004"/>
    <w:rsid w:val="00622251"/>
    <w:rsid w:val="0062353D"/>
    <w:rsid w:val="006237F4"/>
    <w:rsid w:val="0062517C"/>
    <w:rsid w:val="00625294"/>
    <w:rsid w:val="006255FA"/>
    <w:rsid w:val="006257BB"/>
    <w:rsid w:val="00625BE4"/>
    <w:rsid w:val="006260BC"/>
    <w:rsid w:val="00626C16"/>
    <w:rsid w:val="00630057"/>
    <w:rsid w:val="006308DF"/>
    <w:rsid w:val="00630C24"/>
    <w:rsid w:val="00630CA9"/>
    <w:rsid w:val="0063185D"/>
    <w:rsid w:val="006327A8"/>
    <w:rsid w:val="006349DA"/>
    <w:rsid w:val="00634F86"/>
    <w:rsid w:val="00635711"/>
    <w:rsid w:val="00635ACE"/>
    <w:rsid w:val="00635EA1"/>
    <w:rsid w:val="006361ED"/>
    <w:rsid w:val="00636842"/>
    <w:rsid w:val="00636FEA"/>
    <w:rsid w:val="0063715F"/>
    <w:rsid w:val="00637D58"/>
    <w:rsid w:val="00637FF1"/>
    <w:rsid w:val="0064068F"/>
    <w:rsid w:val="006408EC"/>
    <w:rsid w:val="006443E6"/>
    <w:rsid w:val="00644DA8"/>
    <w:rsid w:val="00644ED8"/>
    <w:rsid w:val="00644F17"/>
    <w:rsid w:val="00644FF3"/>
    <w:rsid w:val="006469E1"/>
    <w:rsid w:val="0064725B"/>
    <w:rsid w:val="00647900"/>
    <w:rsid w:val="00647E67"/>
    <w:rsid w:val="006504A6"/>
    <w:rsid w:val="00650B76"/>
    <w:rsid w:val="00650EDB"/>
    <w:rsid w:val="006514F5"/>
    <w:rsid w:val="0065195A"/>
    <w:rsid w:val="00651F34"/>
    <w:rsid w:val="006525DF"/>
    <w:rsid w:val="00652FD5"/>
    <w:rsid w:val="00652FED"/>
    <w:rsid w:val="006533A3"/>
    <w:rsid w:val="00653E0C"/>
    <w:rsid w:val="0065449B"/>
    <w:rsid w:val="006555EA"/>
    <w:rsid w:val="00655682"/>
    <w:rsid w:val="0065621B"/>
    <w:rsid w:val="0065643A"/>
    <w:rsid w:val="00656D98"/>
    <w:rsid w:val="0065764F"/>
    <w:rsid w:val="0065773B"/>
    <w:rsid w:val="00660D27"/>
    <w:rsid w:val="0066214B"/>
    <w:rsid w:val="006627C5"/>
    <w:rsid w:val="006628C0"/>
    <w:rsid w:val="00662EFA"/>
    <w:rsid w:val="00663894"/>
    <w:rsid w:val="00663A09"/>
    <w:rsid w:val="00663D0B"/>
    <w:rsid w:val="00664738"/>
    <w:rsid w:val="00664973"/>
    <w:rsid w:val="00664B1B"/>
    <w:rsid w:val="00665A34"/>
    <w:rsid w:val="00665AEE"/>
    <w:rsid w:val="006662CB"/>
    <w:rsid w:val="00666C6F"/>
    <w:rsid w:val="006673A2"/>
    <w:rsid w:val="006674B2"/>
    <w:rsid w:val="00670930"/>
    <w:rsid w:val="006713C0"/>
    <w:rsid w:val="00671437"/>
    <w:rsid w:val="00671B38"/>
    <w:rsid w:val="00672434"/>
    <w:rsid w:val="006724CD"/>
    <w:rsid w:val="006724E3"/>
    <w:rsid w:val="00672E63"/>
    <w:rsid w:val="00673455"/>
    <w:rsid w:val="00673497"/>
    <w:rsid w:val="00673E6E"/>
    <w:rsid w:val="00673F27"/>
    <w:rsid w:val="00674CD0"/>
    <w:rsid w:val="00674E6A"/>
    <w:rsid w:val="00675CE7"/>
    <w:rsid w:val="006764A1"/>
    <w:rsid w:val="00676852"/>
    <w:rsid w:val="006770D4"/>
    <w:rsid w:val="006770ED"/>
    <w:rsid w:val="00677C8C"/>
    <w:rsid w:val="006802F3"/>
    <w:rsid w:val="0068090E"/>
    <w:rsid w:val="00680F24"/>
    <w:rsid w:val="00681099"/>
    <w:rsid w:val="0068145D"/>
    <w:rsid w:val="00681791"/>
    <w:rsid w:val="00681B89"/>
    <w:rsid w:val="006820C2"/>
    <w:rsid w:val="00682489"/>
    <w:rsid w:val="00682511"/>
    <w:rsid w:val="0068282A"/>
    <w:rsid w:val="006828A3"/>
    <w:rsid w:val="00682ABB"/>
    <w:rsid w:val="006831FD"/>
    <w:rsid w:val="0068489C"/>
    <w:rsid w:val="00685613"/>
    <w:rsid w:val="00685732"/>
    <w:rsid w:val="00686EE1"/>
    <w:rsid w:val="00687225"/>
    <w:rsid w:val="00687DEA"/>
    <w:rsid w:val="006902AB"/>
    <w:rsid w:val="0069089E"/>
    <w:rsid w:val="00691288"/>
    <w:rsid w:val="006915F9"/>
    <w:rsid w:val="00691765"/>
    <w:rsid w:val="00691B47"/>
    <w:rsid w:val="00692D66"/>
    <w:rsid w:val="00693136"/>
    <w:rsid w:val="0069380E"/>
    <w:rsid w:val="0069393A"/>
    <w:rsid w:val="00694D57"/>
    <w:rsid w:val="00695199"/>
    <w:rsid w:val="0069521F"/>
    <w:rsid w:val="00695B31"/>
    <w:rsid w:val="00695FC2"/>
    <w:rsid w:val="00696823"/>
    <w:rsid w:val="006968AC"/>
    <w:rsid w:val="00696E88"/>
    <w:rsid w:val="00696F9A"/>
    <w:rsid w:val="00697B23"/>
    <w:rsid w:val="006A04F3"/>
    <w:rsid w:val="006A1626"/>
    <w:rsid w:val="006A1998"/>
    <w:rsid w:val="006A1A81"/>
    <w:rsid w:val="006A2886"/>
    <w:rsid w:val="006A3626"/>
    <w:rsid w:val="006A388E"/>
    <w:rsid w:val="006A4040"/>
    <w:rsid w:val="006A4381"/>
    <w:rsid w:val="006A4515"/>
    <w:rsid w:val="006A49FD"/>
    <w:rsid w:val="006A5287"/>
    <w:rsid w:val="006A64B4"/>
    <w:rsid w:val="006A70E6"/>
    <w:rsid w:val="006A75EF"/>
    <w:rsid w:val="006A7868"/>
    <w:rsid w:val="006A7DED"/>
    <w:rsid w:val="006A7F92"/>
    <w:rsid w:val="006B022A"/>
    <w:rsid w:val="006B0789"/>
    <w:rsid w:val="006B1165"/>
    <w:rsid w:val="006B1207"/>
    <w:rsid w:val="006B3017"/>
    <w:rsid w:val="006B4499"/>
    <w:rsid w:val="006B4AE8"/>
    <w:rsid w:val="006B4ED4"/>
    <w:rsid w:val="006B5157"/>
    <w:rsid w:val="006B5953"/>
    <w:rsid w:val="006B7148"/>
    <w:rsid w:val="006B765A"/>
    <w:rsid w:val="006B7E5C"/>
    <w:rsid w:val="006C0689"/>
    <w:rsid w:val="006C06A2"/>
    <w:rsid w:val="006C0D50"/>
    <w:rsid w:val="006C1301"/>
    <w:rsid w:val="006C1389"/>
    <w:rsid w:val="006C16C4"/>
    <w:rsid w:val="006C16F9"/>
    <w:rsid w:val="006C1FB2"/>
    <w:rsid w:val="006C1FDF"/>
    <w:rsid w:val="006C26F2"/>
    <w:rsid w:val="006C324E"/>
    <w:rsid w:val="006C3483"/>
    <w:rsid w:val="006C37CC"/>
    <w:rsid w:val="006C4BB8"/>
    <w:rsid w:val="006C501E"/>
    <w:rsid w:val="006C5704"/>
    <w:rsid w:val="006C6E55"/>
    <w:rsid w:val="006C71B2"/>
    <w:rsid w:val="006C73B4"/>
    <w:rsid w:val="006C7C4E"/>
    <w:rsid w:val="006C7DFA"/>
    <w:rsid w:val="006D0358"/>
    <w:rsid w:val="006D07AD"/>
    <w:rsid w:val="006D1D04"/>
    <w:rsid w:val="006D217E"/>
    <w:rsid w:val="006D228B"/>
    <w:rsid w:val="006D25E5"/>
    <w:rsid w:val="006D25EA"/>
    <w:rsid w:val="006D2D68"/>
    <w:rsid w:val="006D2FAC"/>
    <w:rsid w:val="006D3B64"/>
    <w:rsid w:val="006D3B7D"/>
    <w:rsid w:val="006D460C"/>
    <w:rsid w:val="006D46C4"/>
    <w:rsid w:val="006D4709"/>
    <w:rsid w:val="006D48A8"/>
    <w:rsid w:val="006D5D90"/>
    <w:rsid w:val="006D6710"/>
    <w:rsid w:val="006D68E1"/>
    <w:rsid w:val="006D6E98"/>
    <w:rsid w:val="006D747A"/>
    <w:rsid w:val="006E0F2A"/>
    <w:rsid w:val="006E1066"/>
    <w:rsid w:val="006E16C4"/>
    <w:rsid w:val="006E18FF"/>
    <w:rsid w:val="006E1958"/>
    <w:rsid w:val="006E24FA"/>
    <w:rsid w:val="006E26B4"/>
    <w:rsid w:val="006E3198"/>
    <w:rsid w:val="006E3CA8"/>
    <w:rsid w:val="006E3E6D"/>
    <w:rsid w:val="006E3F12"/>
    <w:rsid w:val="006E45F4"/>
    <w:rsid w:val="006E495A"/>
    <w:rsid w:val="006E49A8"/>
    <w:rsid w:val="006E4BEF"/>
    <w:rsid w:val="006E4D22"/>
    <w:rsid w:val="006E5536"/>
    <w:rsid w:val="006E65BB"/>
    <w:rsid w:val="006E67D8"/>
    <w:rsid w:val="006E67F8"/>
    <w:rsid w:val="006E7084"/>
    <w:rsid w:val="006E7318"/>
    <w:rsid w:val="006E74FC"/>
    <w:rsid w:val="006E7782"/>
    <w:rsid w:val="006F1602"/>
    <w:rsid w:val="006F1B5D"/>
    <w:rsid w:val="006F1E97"/>
    <w:rsid w:val="006F24C7"/>
    <w:rsid w:val="006F2996"/>
    <w:rsid w:val="006F2CE4"/>
    <w:rsid w:val="006F34F6"/>
    <w:rsid w:val="006F362D"/>
    <w:rsid w:val="006F3FA0"/>
    <w:rsid w:val="006F52CC"/>
    <w:rsid w:val="006F5497"/>
    <w:rsid w:val="006F699A"/>
    <w:rsid w:val="006F7348"/>
    <w:rsid w:val="007007B9"/>
    <w:rsid w:val="0070192A"/>
    <w:rsid w:val="0070284C"/>
    <w:rsid w:val="00703064"/>
    <w:rsid w:val="00704014"/>
    <w:rsid w:val="00704273"/>
    <w:rsid w:val="007043EC"/>
    <w:rsid w:val="007046DD"/>
    <w:rsid w:val="0070580E"/>
    <w:rsid w:val="00705923"/>
    <w:rsid w:val="00705F08"/>
    <w:rsid w:val="00706F71"/>
    <w:rsid w:val="007074DE"/>
    <w:rsid w:val="007079EE"/>
    <w:rsid w:val="007100F2"/>
    <w:rsid w:val="007111E2"/>
    <w:rsid w:val="0071130D"/>
    <w:rsid w:val="00712AB6"/>
    <w:rsid w:val="00712C0D"/>
    <w:rsid w:val="007135EC"/>
    <w:rsid w:val="00714C9A"/>
    <w:rsid w:val="00714F0B"/>
    <w:rsid w:val="007155A4"/>
    <w:rsid w:val="007158A2"/>
    <w:rsid w:val="007162EB"/>
    <w:rsid w:val="0071652D"/>
    <w:rsid w:val="007169BE"/>
    <w:rsid w:val="007174B2"/>
    <w:rsid w:val="00717915"/>
    <w:rsid w:val="00721393"/>
    <w:rsid w:val="00721EDD"/>
    <w:rsid w:val="007223AA"/>
    <w:rsid w:val="00722400"/>
    <w:rsid w:val="0072333A"/>
    <w:rsid w:val="00723583"/>
    <w:rsid w:val="00723FBE"/>
    <w:rsid w:val="007246FB"/>
    <w:rsid w:val="00724950"/>
    <w:rsid w:val="007249E5"/>
    <w:rsid w:val="0072540A"/>
    <w:rsid w:val="00725553"/>
    <w:rsid w:val="0072558E"/>
    <w:rsid w:val="007255C7"/>
    <w:rsid w:val="007265A5"/>
    <w:rsid w:val="007267D9"/>
    <w:rsid w:val="00726E73"/>
    <w:rsid w:val="00727488"/>
    <w:rsid w:val="00727BA2"/>
    <w:rsid w:val="00730268"/>
    <w:rsid w:val="00730468"/>
    <w:rsid w:val="007315C7"/>
    <w:rsid w:val="00731731"/>
    <w:rsid w:val="00731D49"/>
    <w:rsid w:val="00732388"/>
    <w:rsid w:val="00732D23"/>
    <w:rsid w:val="00733C9E"/>
    <w:rsid w:val="00735278"/>
    <w:rsid w:val="00735F1B"/>
    <w:rsid w:val="007363B6"/>
    <w:rsid w:val="00737135"/>
    <w:rsid w:val="007372F9"/>
    <w:rsid w:val="00737A7D"/>
    <w:rsid w:val="00740CB2"/>
    <w:rsid w:val="0074103B"/>
    <w:rsid w:val="007414AC"/>
    <w:rsid w:val="007415B7"/>
    <w:rsid w:val="00742128"/>
    <w:rsid w:val="00743EB4"/>
    <w:rsid w:val="00744284"/>
    <w:rsid w:val="007442CF"/>
    <w:rsid w:val="0074475A"/>
    <w:rsid w:val="00745DA4"/>
    <w:rsid w:val="00745E0F"/>
    <w:rsid w:val="00746108"/>
    <w:rsid w:val="0074623A"/>
    <w:rsid w:val="00746AAC"/>
    <w:rsid w:val="00746E20"/>
    <w:rsid w:val="00746E3E"/>
    <w:rsid w:val="00747211"/>
    <w:rsid w:val="00747ADB"/>
    <w:rsid w:val="00750918"/>
    <w:rsid w:val="00750DEE"/>
    <w:rsid w:val="00751F01"/>
    <w:rsid w:val="007524C7"/>
    <w:rsid w:val="00752965"/>
    <w:rsid w:val="007531E3"/>
    <w:rsid w:val="00753E4B"/>
    <w:rsid w:val="0075406F"/>
    <w:rsid w:val="00754885"/>
    <w:rsid w:val="00755DCE"/>
    <w:rsid w:val="00756422"/>
    <w:rsid w:val="00756A7D"/>
    <w:rsid w:val="00756C20"/>
    <w:rsid w:val="007574FD"/>
    <w:rsid w:val="00760869"/>
    <w:rsid w:val="00760E4B"/>
    <w:rsid w:val="007623B8"/>
    <w:rsid w:val="00762570"/>
    <w:rsid w:val="007627A4"/>
    <w:rsid w:val="007642D5"/>
    <w:rsid w:val="00764763"/>
    <w:rsid w:val="00765AC9"/>
    <w:rsid w:val="007661B6"/>
    <w:rsid w:val="007661C0"/>
    <w:rsid w:val="007676D9"/>
    <w:rsid w:val="0077011D"/>
    <w:rsid w:val="007703FF"/>
    <w:rsid w:val="007706B0"/>
    <w:rsid w:val="00770A4C"/>
    <w:rsid w:val="00771F9B"/>
    <w:rsid w:val="00774027"/>
    <w:rsid w:val="00774454"/>
    <w:rsid w:val="00774F6D"/>
    <w:rsid w:val="00775ECA"/>
    <w:rsid w:val="00776067"/>
    <w:rsid w:val="00777884"/>
    <w:rsid w:val="00777BB6"/>
    <w:rsid w:val="00780866"/>
    <w:rsid w:val="00780C40"/>
    <w:rsid w:val="007815F3"/>
    <w:rsid w:val="007816C2"/>
    <w:rsid w:val="00781F01"/>
    <w:rsid w:val="00782F9B"/>
    <w:rsid w:val="0078392C"/>
    <w:rsid w:val="00783FB3"/>
    <w:rsid w:val="00784345"/>
    <w:rsid w:val="00784C96"/>
    <w:rsid w:val="00785573"/>
    <w:rsid w:val="007861F0"/>
    <w:rsid w:val="00786A90"/>
    <w:rsid w:val="00786F91"/>
    <w:rsid w:val="00787A1D"/>
    <w:rsid w:val="00787AE7"/>
    <w:rsid w:val="00790DF3"/>
    <w:rsid w:val="00791347"/>
    <w:rsid w:val="0079182A"/>
    <w:rsid w:val="00792F0F"/>
    <w:rsid w:val="00793386"/>
    <w:rsid w:val="00793CCD"/>
    <w:rsid w:val="007943E9"/>
    <w:rsid w:val="0079485E"/>
    <w:rsid w:val="0079522D"/>
    <w:rsid w:val="0079562D"/>
    <w:rsid w:val="00795724"/>
    <w:rsid w:val="007963BA"/>
    <w:rsid w:val="00796A31"/>
    <w:rsid w:val="00796BA2"/>
    <w:rsid w:val="00796D97"/>
    <w:rsid w:val="007A0237"/>
    <w:rsid w:val="007A046A"/>
    <w:rsid w:val="007A063B"/>
    <w:rsid w:val="007A06D3"/>
    <w:rsid w:val="007A0D05"/>
    <w:rsid w:val="007A3352"/>
    <w:rsid w:val="007A35AA"/>
    <w:rsid w:val="007A46CB"/>
    <w:rsid w:val="007A4D29"/>
    <w:rsid w:val="007A5264"/>
    <w:rsid w:val="007A5B9D"/>
    <w:rsid w:val="007A613D"/>
    <w:rsid w:val="007A6263"/>
    <w:rsid w:val="007A78FD"/>
    <w:rsid w:val="007B06EE"/>
    <w:rsid w:val="007B0905"/>
    <w:rsid w:val="007B0B5A"/>
    <w:rsid w:val="007B1462"/>
    <w:rsid w:val="007B15B8"/>
    <w:rsid w:val="007B286C"/>
    <w:rsid w:val="007B2878"/>
    <w:rsid w:val="007B3025"/>
    <w:rsid w:val="007B3649"/>
    <w:rsid w:val="007B3EC8"/>
    <w:rsid w:val="007B4742"/>
    <w:rsid w:val="007B48EE"/>
    <w:rsid w:val="007B508E"/>
    <w:rsid w:val="007B696E"/>
    <w:rsid w:val="007B6B3B"/>
    <w:rsid w:val="007B6BDD"/>
    <w:rsid w:val="007B6C72"/>
    <w:rsid w:val="007B7588"/>
    <w:rsid w:val="007B77E3"/>
    <w:rsid w:val="007C0C01"/>
    <w:rsid w:val="007C0C4A"/>
    <w:rsid w:val="007C0D12"/>
    <w:rsid w:val="007C1F28"/>
    <w:rsid w:val="007C1FD4"/>
    <w:rsid w:val="007C2069"/>
    <w:rsid w:val="007C24E0"/>
    <w:rsid w:val="007C263E"/>
    <w:rsid w:val="007C279D"/>
    <w:rsid w:val="007C3CAE"/>
    <w:rsid w:val="007C3D7C"/>
    <w:rsid w:val="007C3DF9"/>
    <w:rsid w:val="007C3E77"/>
    <w:rsid w:val="007C3F1C"/>
    <w:rsid w:val="007C5534"/>
    <w:rsid w:val="007C5E0C"/>
    <w:rsid w:val="007C6252"/>
    <w:rsid w:val="007C6A6A"/>
    <w:rsid w:val="007C6E09"/>
    <w:rsid w:val="007C7AD3"/>
    <w:rsid w:val="007D06A7"/>
    <w:rsid w:val="007D0FAD"/>
    <w:rsid w:val="007D11EC"/>
    <w:rsid w:val="007D15C6"/>
    <w:rsid w:val="007D1773"/>
    <w:rsid w:val="007D2583"/>
    <w:rsid w:val="007D2F96"/>
    <w:rsid w:val="007D38AF"/>
    <w:rsid w:val="007D46DB"/>
    <w:rsid w:val="007D5539"/>
    <w:rsid w:val="007D6018"/>
    <w:rsid w:val="007D64F7"/>
    <w:rsid w:val="007D72F4"/>
    <w:rsid w:val="007D7C05"/>
    <w:rsid w:val="007E0104"/>
    <w:rsid w:val="007E02F7"/>
    <w:rsid w:val="007E0E5D"/>
    <w:rsid w:val="007E36CA"/>
    <w:rsid w:val="007E3A6F"/>
    <w:rsid w:val="007E3AD7"/>
    <w:rsid w:val="007E3C3E"/>
    <w:rsid w:val="007E4B59"/>
    <w:rsid w:val="007E5707"/>
    <w:rsid w:val="007E5A5A"/>
    <w:rsid w:val="007E5E2A"/>
    <w:rsid w:val="007E6B2F"/>
    <w:rsid w:val="007E70B9"/>
    <w:rsid w:val="007E710E"/>
    <w:rsid w:val="007E7B7D"/>
    <w:rsid w:val="007F02CC"/>
    <w:rsid w:val="007F03A2"/>
    <w:rsid w:val="007F12BF"/>
    <w:rsid w:val="007F15FD"/>
    <w:rsid w:val="007F16A8"/>
    <w:rsid w:val="007F1AB6"/>
    <w:rsid w:val="007F303A"/>
    <w:rsid w:val="007F3067"/>
    <w:rsid w:val="007F56FE"/>
    <w:rsid w:val="007F6538"/>
    <w:rsid w:val="007F661F"/>
    <w:rsid w:val="007F673F"/>
    <w:rsid w:val="007F7E34"/>
    <w:rsid w:val="00800735"/>
    <w:rsid w:val="00800B18"/>
    <w:rsid w:val="00800D37"/>
    <w:rsid w:val="00801C8E"/>
    <w:rsid w:val="00801F52"/>
    <w:rsid w:val="00802375"/>
    <w:rsid w:val="008027D0"/>
    <w:rsid w:val="00802D1F"/>
    <w:rsid w:val="008032A1"/>
    <w:rsid w:val="0080515A"/>
    <w:rsid w:val="00805746"/>
    <w:rsid w:val="00805786"/>
    <w:rsid w:val="00805B67"/>
    <w:rsid w:val="00805F67"/>
    <w:rsid w:val="00805FB1"/>
    <w:rsid w:val="00806039"/>
    <w:rsid w:val="00806066"/>
    <w:rsid w:val="00807176"/>
    <w:rsid w:val="008075D9"/>
    <w:rsid w:val="00810009"/>
    <w:rsid w:val="008118E0"/>
    <w:rsid w:val="00811D7E"/>
    <w:rsid w:val="00812504"/>
    <w:rsid w:val="0081281B"/>
    <w:rsid w:val="00812BA0"/>
    <w:rsid w:val="00813778"/>
    <w:rsid w:val="008137C7"/>
    <w:rsid w:val="00813C0E"/>
    <w:rsid w:val="00815C42"/>
    <w:rsid w:val="00815F03"/>
    <w:rsid w:val="008170A6"/>
    <w:rsid w:val="0081742A"/>
    <w:rsid w:val="00820014"/>
    <w:rsid w:val="0082047C"/>
    <w:rsid w:val="00823AAC"/>
    <w:rsid w:val="00824816"/>
    <w:rsid w:val="0082600B"/>
    <w:rsid w:val="00826E91"/>
    <w:rsid w:val="00827256"/>
    <w:rsid w:val="008278FD"/>
    <w:rsid w:val="00830008"/>
    <w:rsid w:val="00830191"/>
    <w:rsid w:val="008306DA"/>
    <w:rsid w:val="00830A0E"/>
    <w:rsid w:val="00830FF1"/>
    <w:rsid w:val="00831DB6"/>
    <w:rsid w:val="00831E8B"/>
    <w:rsid w:val="008321E4"/>
    <w:rsid w:val="008336D3"/>
    <w:rsid w:val="00833D9F"/>
    <w:rsid w:val="00834E4A"/>
    <w:rsid w:val="00835228"/>
    <w:rsid w:val="0083583C"/>
    <w:rsid w:val="00835AA2"/>
    <w:rsid w:val="00836120"/>
    <w:rsid w:val="00836736"/>
    <w:rsid w:val="00836D29"/>
    <w:rsid w:val="00837289"/>
    <w:rsid w:val="00837A40"/>
    <w:rsid w:val="00837F1A"/>
    <w:rsid w:val="008406B2"/>
    <w:rsid w:val="0084144D"/>
    <w:rsid w:val="00841F76"/>
    <w:rsid w:val="0084355F"/>
    <w:rsid w:val="008444E7"/>
    <w:rsid w:val="00844883"/>
    <w:rsid w:val="00844AFE"/>
    <w:rsid w:val="00844DED"/>
    <w:rsid w:val="00845AD6"/>
    <w:rsid w:val="00846053"/>
    <w:rsid w:val="008461AA"/>
    <w:rsid w:val="00846CA4"/>
    <w:rsid w:val="00846FA0"/>
    <w:rsid w:val="00847E24"/>
    <w:rsid w:val="00847FF5"/>
    <w:rsid w:val="00850157"/>
    <w:rsid w:val="00850B38"/>
    <w:rsid w:val="00850BA7"/>
    <w:rsid w:val="00850BDC"/>
    <w:rsid w:val="00850D05"/>
    <w:rsid w:val="0085199C"/>
    <w:rsid w:val="0085281B"/>
    <w:rsid w:val="00852ECD"/>
    <w:rsid w:val="008531CA"/>
    <w:rsid w:val="00853828"/>
    <w:rsid w:val="0085512D"/>
    <w:rsid w:val="00856545"/>
    <w:rsid w:val="00856C31"/>
    <w:rsid w:val="00857CB5"/>
    <w:rsid w:val="00860E2D"/>
    <w:rsid w:val="00861385"/>
    <w:rsid w:val="00861E5B"/>
    <w:rsid w:val="00863A10"/>
    <w:rsid w:val="00863C04"/>
    <w:rsid w:val="00863D95"/>
    <w:rsid w:val="00864FA3"/>
    <w:rsid w:val="008660DF"/>
    <w:rsid w:val="008673A2"/>
    <w:rsid w:val="00867737"/>
    <w:rsid w:val="008708A0"/>
    <w:rsid w:val="0087119C"/>
    <w:rsid w:val="008721F9"/>
    <w:rsid w:val="00873B39"/>
    <w:rsid w:val="00873DAC"/>
    <w:rsid w:val="00874BDB"/>
    <w:rsid w:val="00876EB1"/>
    <w:rsid w:val="00876FA3"/>
    <w:rsid w:val="0087776E"/>
    <w:rsid w:val="00877946"/>
    <w:rsid w:val="00877BC7"/>
    <w:rsid w:val="0088009A"/>
    <w:rsid w:val="008803F6"/>
    <w:rsid w:val="00880C5F"/>
    <w:rsid w:val="00880E93"/>
    <w:rsid w:val="00882CBF"/>
    <w:rsid w:val="00883AFC"/>
    <w:rsid w:val="00883FC4"/>
    <w:rsid w:val="008848D5"/>
    <w:rsid w:val="00884A4D"/>
    <w:rsid w:val="008853CE"/>
    <w:rsid w:val="0088557F"/>
    <w:rsid w:val="00885D26"/>
    <w:rsid w:val="00886AAA"/>
    <w:rsid w:val="00886ED3"/>
    <w:rsid w:val="00887265"/>
    <w:rsid w:val="00887EFE"/>
    <w:rsid w:val="00890017"/>
    <w:rsid w:val="00891034"/>
    <w:rsid w:val="00891956"/>
    <w:rsid w:val="0089196A"/>
    <w:rsid w:val="00892B4F"/>
    <w:rsid w:val="00892C52"/>
    <w:rsid w:val="008932A8"/>
    <w:rsid w:val="008935C3"/>
    <w:rsid w:val="008937AA"/>
    <w:rsid w:val="00893B48"/>
    <w:rsid w:val="008949CF"/>
    <w:rsid w:val="008964F3"/>
    <w:rsid w:val="0089733B"/>
    <w:rsid w:val="00897635"/>
    <w:rsid w:val="0089778A"/>
    <w:rsid w:val="008977F3"/>
    <w:rsid w:val="008A0619"/>
    <w:rsid w:val="008A1309"/>
    <w:rsid w:val="008A196E"/>
    <w:rsid w:val="008A2DA9"/>
    <w:rsid w:val="008A3389"/>
    <w:rsid w:val="008A35AE"/>
    <w:rsid w:val="008A3750"/>
    <w:rsid w:val="008A37F3"/>
    <w:rsid w:val="008A4958"/>
    <w:rsid w:val="008A5593"/>
    <w:rsid w:val="008A66D0"/>
    <w:rsid w:val="008A7289"/>
    <w:rsid w:val="008B01DE"/>
    <w:rsid w:val="008B07B3"/>
    <w:rsid w:val="008B0DD3"/>
    <w:rsid w:val="008B1FE5"/>
    <w:rsid w:val="008B23D8"/>
    <w:rsid w:val="008B27F4"/>
    <w:rsid w:val="008B314F"/>
    <w:rsid w:val="008B3A3D"/>
    <w:rsid w:val="008B43DA"/>
    <w:rsid w:val="008B4AE7"/>
    <w:rsid w:val="008B5361"/>
    <w:rsid w:val="008B59C6"/>
    <w:rsid w:val="008B6144"/>
    <w:rsid w:val="008B6190"/>
    <w:rsid w:val="008B631E"/>
    <w:rsid w:val="008C0309"/>
    <w:rsid w:val="008C05EF"/>
    <w:rsid w:val="008C0CC8"/>
    <w:rsid w:val="008C17AC"/>
    <w:rsid w:val="008C20A3"/>
    <w:rsid w:val="008C242C"/>
    <w:rsid w:val="008C26CD"/>
    <w:rsid w:val="008C380E"/>
    <w:rsid w:val="008C3EA3"/>
    <w:rsid w:val="008C3FDC"/>
    <w:rsid w:val="008C499A"/>
    <w:rsid w:val="008C49AE"/>
    <w:rsid w:val="008C4CD7"/>
    <w:rsid w:val="008C504A"/>
    <w:rsid w:val="008C6248"/>
    <w:rsid w:val="008C63FA"/>
    <w:rsid w:val="008C6968"/>
    <w:rsid w:val="008C6F23"/>
    <w:rsid w:val="008C7326"/>
    <w:rsid w:val="008C7BAA"/>
    <w:rsid w:val="008D0154"/>
    <w:rsid w:val="008D0A6F"/>
    <w:rsid w:val="008D0B0C"/>
    <w:rsid w:val="008D0FBD"/>
    <w:rsid w:val="008D1476"/>
    <w:rsid w:val="008D3310"/>
    <w:rsid w:val="008D381B"/>
    <w:rsid w:val="008D4024"/>
    <w:rsid w:val="008D44A3"/>
    <w:rsid w:val="008D4C50"/>
    <w:rsid w:val="008D5297"/>
    <w:rsid w:val="008D558D"/>
    <w:rsid w:val="008D6B14"/>
    <w:rsid w:val="008D6D19"/>
    <w:rsid w:val="008D710E"/>
    <w:rsid w:val="008D741B"/>
    <w:rsid w:val="008E050B"/>
    <w:rsid w:val="008E077F"/>
    <w:rsid w:val="008E1073"/>
    <w:rsid w:val="008E139A"/>
    <w:rsid w:val="008E1602"/>
    <w:rsid w:val="008E1E5A"/>
    <w:rsid w:val="008E2C9F"/>
    <w:rsid w:val="008E3247"/>
    <w:rsid w:val="008E5A90"/>
    <w:rsid w:val="008E5C4E"/>
    <w:rsid w:val="008E5F98"/>
    <w:rsid w:val="008E64A1"/>
    <w:rsid w:val="008E670F"/>
    <w:rsid w:val="008E686B"/>
    <w:rsid w:val="008E695B"/>
    <w:rsid w:val="008E755B"/>
    <w:rsid w:val="008E756A"/>
    <w:rsid w:val="008E7BDE"/>
    <w:rsid w:val="008E7FAD"/>
    <w:rsid w:val="008F0643"/>
    <w:rsid w:val="008F0747"/>
    <w:rsid w:val="008F12AB"/>
    <w:rsid w:val="008F1503"/>
    <w:rsid w:val="008F2425"/>
    <w:rsid w:val="008F42B2"/>
    <w:rsid w:val="008F42C2"/>
    <w:rsid w:val="008F4417"/>
    <w:rsid w:val="008F49F2"/>
    <w:rsid w:val="008F5105"/>
    <w:rsid w:val="008F5F3D"/>
    <w:rsid w:val="008F6915"/>
    <w:rsid w:val="008F6A02"/>
    <w:rsid w:val="008F6AFC"/>
    <w:rsid w:val="008F6E3E"/>
    <w:rsid w:val="009015C2"/>
    <w:rsid w:val="0090173D"/>
    <w:rsid w:val="009019EE"/>
    <w:rsid w:val="00901E51"/>
    <w:rsid w:val="00902B97"/>
    <w:rsid w:val="009044A9"/>
    <w:rsid w:val="009048EC"/>
    <w:rsid w:val="009050D6"/>
    <w:rsid w:val="00905266"/>
    <w:rsid w:val="00905903"/>
    <w:rsid w:val="00905A7A"/>
    <w:rsid w:val="00905C1C"/>
    <w:rsid w:val="00906B84"/>
    <w:rsid w:val="00906E6A"/>
    <w:rsid w:val="00907E3B"/>
    <w:rsid w:val="009107C1"/>
    <w:rsid w:val="0091238E"/>
    <w:rsid w:val="00912573"/>
    <w:rsid w:val="0091347D"/>
    <w:rsid w:val="00914F8C"/>
    <w:rsid w:val="00915010"/>
    <w:rsid w:val="00915441"/>
    <w:rsid w:val="00915A90"/>
    <w:rsid w:val="00915C49"/>
    <w:rsid w:val="00915CD9"/>
    <w:rsid w:val="00915F37"/>
    <w:rsid w:val="009163D0"/>
    <w:rsid w:val="009166ED"/>
    <w:rsid w:val="009169A7"/>
    <w:rsid w:val="00916B26"/>
    <w:rsid w:val="00917091"/>
    <w:rsid w:val="00917397"/>
    <w:rsid w:val="00921249"/>
    <w:rsid w:val="00921399"/>
    <w:rsid w:val="00921811"/>
    <w:rsid w:val="009218F4"/>
    <w:rsid w:val="00921AC3"/>
    <w:rsid w:val="00922273"/>
    <w:rsid w:val="00922EB4"/>
    <w:rsid w:val="0092302D"/>
    <w:rsid w:val="009237EA"/>
    <w:rsid w:val="00923BF1"/>
    <w:rsid w:val="00924E64"/>
    <w:rsid w:val="00925640"/>
    <w:rsid w:val="009258A3"/>
    <w:rsid w:val="00926126"/>
    <w:rsid w:val="00926E75"/>
    <w:rsid w:val="009273CB"/>
    <w:rsid w:val="00930735"/>
    <w:rsid w:val="00930E1D"/>
    <w:rsid w:val="00930F8A"/>
    <w:rsid w:val="009311B3"/>
    <w:rsid w:val="0093138A"/>
    <w:rsid w:val="00931715"/>
    <w:rsid w:val="00931D21"/>
    <w:rsid w:val="00931FB1"/>
    <w:rsid w:val="009328D6"/>
    <w:rsid w:val="00932B4F"/>
    <w:rsid w:val="009331EB"/>
    <w:rsid w:val="00933813"/>
    <w:rsid w:val="009339D9"/>
    <w:rsid w:val="00933A0B"/>
    <w:rsid w:val="00935337"/>
    <w:rsid w:val="00936850"/>
    <w:rsid w:val="00936D1C"/>
    <w:rsid w:val="00937983"/>
    <w:rsid w:val="00937B5C"/>
    <w:rsid w:val="00940011"/>
    <w:rsid w:val="009403EA"/>
    <w:rsid w:val="00940532"/>
    <w:rsid w:val="00940551"/>
    <w:rsid w:val="009405A2"/>
    <w:rsid w:val="00940BF7"/>
    <w:rsid w:val="00941E79"/>
    <w:rsid w:val="0094216E"/>
    <w:rsid w:val="00942333"/>
    <w:rsid w:val="00942529"/>
    <w:rsid w:val="00942744"/>
    <w:rsid w:val="00942AFF"/>
    <w:rsid w:val="009434DE"/>
    <w:rsid w:val="009453E8"/>
    <w:rsid w:val="00945AA0"/>
    <w:rsid w:val="00945C55"/>
    <w:rsid w:val="00945D97"/>
    <w:rsid w:val="00946CAE"/>
    <w:rsid w:val="00946D3D"/>
    <w:rsid w:val="009470DF"/>
    <w:rsid w:val="00947116"/>
    <w:rsid w:val="00950992"/>
    <w:rsid w:val="00951149"/>
    <w:rsid w:val="00952B43"/>
    <w:rsid w:val="00952DF0"/>
    <w:rsid w:val="009533EC"/>
    <w:rsid w:val="00953964"/>
    <w:rsid w:val="00954AA2"/>
    <w:rsid w:val="00954E38"/>
    <w:rsid w:val="009551F6"/>
    <w:rsid w:val="00956601"/>
    <w:rsid w:val="00957775"/>
    <w:rsid w:val="00960399"/>
    <w:rsid w:val="00961646"/>
    <w:rsid w:val="0096175E"/>
    <w:rsid w:val="00961B91"/>
    <w:rsid w:val="009620C5"/>
    <w:rsid w:val="009624B9"/>
    <w:rsid w:val="0096313C"/>
    <w:rsid w:val="0096463B"/>
    <w:rsid w:val="00964658"/>
    <w:rsid w:val="0096475B"/>
    <w:rsid w:val="009654C4"/>
    <w:rsid w:val="0096571A"/>
    <w:rsid w:val="009663C1"/>
    <w:rsid w:val="0096679B"/>
    <w:rsid w:val="00966839"/>
    <w:rsid w:val="009669E9"/>
    <w:rsid w:val="009671E4"/>
    <w:rsid w:val="009674B8"/>
    <w:rsid w:val="00970974"/>
    <w:rsid w:val="00970B37"/>
    <w:rsid w:val="00971F9F"/>
    <w:rsid w:val="00972938"/>
    <w:rsid w:val="00972EDB"/>
    <w:rsid w:val="0097335F"/>
    <w:rsid w:val="00973478"/>
    <w:rsid w:val="009735B3"/>
    <w:rsid w:val="009737A2"/>
    <w:rsid w:val="00974580"/>
    <w:rsid w:val="00974A4E"/>
    <w:rsid w:val="0097502C"/>
    <w:rsid w:val="00975841"/>
    <w:rsid w:val="0097676F"/>
    <w:rsid w:val="0097759C"/>
    <w:rsid w:val="00977688"/>
    <w:rsid w:val="00977711"/>
    <w:rsid w:val="00980388"/>
    <w:rsid w:val="00980C41"/>
    <w:rsid w:val="00982863"/>
    <w:rsid w:val="00983AAC"/>
    <w:rsid w:val="0098420E"/>
    <w:rsid w:val="00984378"/>
    <w:rsid w:val="00984B66"/>
    <w:rsid w:val="00985039"/>
    <w:rsid w:val="00985178"/>
    <w:rsid w:val="00985250"/>
    <w:rsid w:val="0098546B"/>
    <w:rsid w:val="00985704"/>
    <w:rsid w:val="009857EA"/>
    <w:rsid w:val="00985872"/>
    <w:rsid w:val="00985BB4"/>
    <w:rsid w:val="00986BF7"/>
    <w:rsid w:val="0098743D"/>
    <w:rsid w:val="009906AE"/>
    <w:rsid w:val="009906CE"/>
    <w:rsid w:val="00990753"/>
    <w:rsid w:val="009916EF"/>
    <w:rsid w:val="00992AA7"/>
    <w:rsid w:val="00993B28"/>
    <w:rsid w:val="00993BF4"/>
    <w:rsid w:val="009942BB"/>
    <w:rsid w:val="0099548B"/>
    <w:rsid w:val="00995595"/>
    <w:rsid w:val="00995A4A"/>
    <w:rsid w:val="00995F72"/>
    <w:rsid w:val="00996950"/>
    <w:rsid w:val="0099775E"/>
    <w:rsid w:val="00997A08"/>
    <w:rsid w:val="009A04E0"/>
    <w:rsid w:val="009A0BEC"/>
    <w:rsid w:val="009A1F33"/>
    <w:rsid w:val="009A1F94"/>
    <w:rsid w:val="009A2059"/>
    <w:rsid w:val="009A2138"/>
    <w:rsid w:val="009A262A"/>
    <w:rsid w:val="009A30B1"/>
    <w:rsid w:val="009A3A30"/>
    <w:rsid w:val="009A4244"/>
    <w:rsid w:val="009A60FA"/>
    <w:rsid w:val="009A66D6"/>
    <w:rsid w:val="009A6A51"/>
    <w:rsid w:val="009A7DA9"/>
    <w:rsid w:val="009B06E4"/>
    <w:rsid w:val="009B12BF"/>
    <w:rsid w:val="009B162B"/>
    <w:rsid w:val="009B1E6E"/>
    <w:rsid w:val="009B1E85"/>
    <w:rsid w:val="009B2C66"/>
    <w:rsid w:val="009B316E"/>
    <w:rsid w:val="009B3560"/>
    <w:rsid w:val="009B379D"/>
    <w:rsid w:val="009B3A99"/>
    <w:rsid w:val="009B5E7B"/>
    <w:rsid w:val="009B660C"/>
    <w:rsid w:val="009B682D"/>
    <w:rsid w:val="009B77F7"/>
    <w:rsid w:val="009B7B90"/>
    <w:rsid w:val="009C02CE"/>
    <w:rsid w:val="009C12AF"/>
    <w:rsid w:val="009C18A5"/>
    <w:rsid w:val="009C2257"/>
    <w:rsid w:val="009C24A1"/>
    <w:rsid w:val="009C3ACF"/>
    <w:rsid w:val="009C4236"/>
    <w:rsid w:val="009C4EBD"/>
    <w:rsid w:val="009C5393"/>
    <w:rsid w:val="009C5A76"/>
    <w:rsid w:val="009C5C57"/>
    <w:rsid w:val="009C6D7B"/>
    <w:rsid w:val="009C7150"/>
    <w:rsid w:val="009D09DE"/>
    <w:rsid w:val="009D0AA8"/>
    <w:rsid w:val="009D1649"/>
    <w:rsid w:val="009D23A7"/>
    <w:rsid w:val="009D26AD"/>
    <w:rsid w:val="009D3343"/>
    <w:rsid w:val="009D4465"/>
    <w:rsid w:val="009D446B"/>
    <w:rsid w:val="009D46BA"/>
    <w:rsid w:val="009D49EF"/>
    <w:rsid w:val="009D4BE4"/>
    <w:rsid w:val="009D545A"/>
    <w:rsid w:val="009D5981"/>
    <w:rsid w:val="009D70A8"/>
    <w:rsid w:val="009D7DB2"/>
    <w:rsid w:val="009E028C"/>
    <w:rsid w:val="009E083A"/>
    <w:rsid w:val="009E0936"/>
    <w:rsid w:val="009E0EE7"/>
    <w:rsid w:val="009E136B"/>
    <w:rsid w:val="009E1390"/>
    <w:rsid w:val="009E202A"/>
    <w:rsid w:val="009E2229"/>
    <w:rsid w:val="009E282D"/>
    <w:rsid w:val="009E2BB2"/>
    <w:rsid w:val="009E2DEE"/>
    <w:rsid w:val="009E36E6"/>
    <w:rsid w:val="009E384A"/>
    <w:rsid w:val="009E3B60"/>
    <w:rsid w:val="009E4741"/>
    <w:rsid w:val="009E4D25"/>
    <w:rsid w:val="009E5216"/>
    <w:rsid w:val="009E5327"/>
    <w:rsid w:val="009E654D"/>
    <w:rsid w:val="009E65E4"/>
    <w:rsid w:val="009E70CF"/>
    <w:rsid w:val="009E718E"/>
    <w:rsid w:val="009F03A6"/>
    <w:rsid w:val="009F095B"/>
    <w:rsid w:val="009F0FF3"/>
    <w:rsid w:val="009F1119"/>
    <w:rsid w:val="009F18AC"/>
    <w:rsid w:val="009F2582"/>
    <w:rsid w:val="009F269B"/>
    <w:rsid w:val="009F3056"/>
    <w:rsid w:val="009F38FB"/>
    <w:rsid w:val="009F4806"/>
    <w:rsid w:val="009F6328"/>
    <w:rsid w:val="009F6AE3"/>
    <w:rsid w:val="009F705C"/>
    <w:rsid w:val="009F74CF"/>
    <w:rsid w:val="009F7D0A"/>
    <w:rsid w:val="00A010E6"/>
    <w:rsid w:val="00A015E8"/>
    <w:rsid w:val="00A024B1"/>
    <w:rsid w:val="00A0277E"/>
    <w:rsid w:val="00A02882"/>
    <w:rsid w:val="00A02A6D"/>
    <w:rsid w:val="00A0425F"/>
    <w:rsid w:val="00A042B5"/>
    <w:rsid w:val="00A046F4"/>
    <w:rsid w:val="00A056DB"/>
    <w:rsid w:val="00A056E4"/>
    <w:rsid w:val="00A05770"/>
    <w:rsid w:val="00A05E70"/>
    <w:rsid w:val="00A061D2"/>
    <w:rsid w:val="00A065DE"/>
    <w:rsid w:val="00A0744D"/>
    <w:rsid w:val="00A079CD"/>
    <w:rsid w:val="00A07B19"/>
    <w:rsid w:val="00A07B47"/>
    <w:rsid w:val="00A1079F"/>
    <w:rsid w:val="00A126D6"/>
    <w:rsid w:val="00A12DAA"/>
    <w:rsid w:val="00A12EF2"/>
    <w:rsid w:val="00A13FE0"/>
    <w:rsid w:val="00A1510E"/>
    <w:rsid w:val="00A16BBA"/>
    <w:rsid w:val="00A16E3F"/>
    <w:rsid w:val="00A16EF1"/>
    <w:rsid w:val="00A1720E"/>
    <w:rsid w:val="00A17780"/>
    <w:rsid w:val="00A177E8"/>
    <w:rsid w:val="00A20408"/>
    <w:rsid w:val="00A20957"/>
    <w:rsid w:val="00A209F1"/>
    <w:rsid w:val="00A20AE9"/>
    <w:rsid w:val="00A20F18"/>
    <w:rsid w:val="00A211A8"/>
    <w:rsid w:val="00A22684"/>
    <w:rsid w:val="00A22D73"/>
    <w:rsid w:val="00A22E4F"/>
    <w:rsid w:val="00A232F2"/>
    <w:rsid w:val="00A23585"/>
    <w:rsid w:val="00A251DF"/>
    <w:rsid w:val="00A25901"/>
    <w:rsid w:val="00A25C00"/>
    <w:rsid w:val="00A25DC4"/>
    <w:rsid w:val="00A26403"/>
    <w:rsid w:val="00A27A10"/>
    <w:rsid w:val="00A30A3C"/>
    <w:rsid w:val="00A30D97"/>
    <w:rsid w:val="00A314D0"/>
    <w:rsid w:val="00A31EED"/>
    <w:rsid w:val="00A32E8F"/>
    <w:rsid w:val="00A3382C"/>
    <w:rsid w:val="00A3383A"/>
    <w:rsid w:val="00A33BEB"/>
    <w:rsid w:val="00A34608"/>
    <w:rsid w:val="00A34E86"/>
    <w:rsid w:val="00A34F52"/>
    <w:rsid w:val="00A36C4F"/>
    <w:rsid w:val="00A403D4"/>
    <w:rsid w:val="00A40724"/>
    <w:rsid w:val="00A42224"/>
    <w:rsid w:val="00A427F1"/>
    <w:rsid w:val="00A42ED8"/>
    <w:rsid w:val="00A43227"/>
    <w:rsid w:val="00A43398"/>
    <w:rsid w:val="00A43ADA"/>
    <w:rsid w:val="00A43D1C"/>
    <w:rsid w:val="00A45135"/>
    <w:rsid w:val="00A4585B"/>
    <w:rsid w:val="00A45DBB"/>
    <w:rsid w:val="00A45ED2"/>
    <w:rsid w:val="00A45F2D"/>
    <w:rsid w:val="00A46701"/>
    <w:rsid w:val="00A46BAC"/>
    <w:rsid w:val="00A470A6"/>
    <w:rsid w:val="00A47750"/>
    <w:rsid w:val="00A47A75"/>
    <w:rsid w:val="00A514CB"/>
    <w:rsid w:val="00A53474"/>
    <w:rsid w:val="00A54003"/>
    <w:rsid w:val="00A54731"/>
    <w:rsid w:val="00A5474B"/>
    <w:rsid w:val="00A5475B"/>
    <w:rsid w:val="00A56365"/>
    <w:rsid w:val="00A56E65"/>
    <w:rsid w:val="00A573DF"/>
    <w:rsid w:val="00A57620"/>
    <w:rsid w:val="00A57B77"/>
    <w:rsid w:val="00A61A09"/>
    <w:rsid w:val="00A62252"/>
    <w:rsid w:val="00A62A7A"/>
    <w:rsid w:val="00A62B9F"/>
    <w:rsid w:val="00A62DE2"/>
    <w:rsid w:val="00A6320B"/>
    <w:rsid w:val="00A632DE"/>
    <w:rsid w:val="00A639D1"/>
    <w:rsid w:val="00A63A0C"/>
    <w:rsid w:val="00A64713"/>
    <w:rsid w:val="00A65787"/>
    <w:rsid w:val="00A6655B"/>
    <w:rsid w:val="00A667E0"/>
    <w:rsid w:val="00A66BEB"/>
    <w:rsid w:val="00A6742A"/>
    <w:rsid w:val="00A678F4"/>
    <w:rsid w:val="00A70BF4"/>
    <w:rsid w:val="00A7122A"/>
    <w:rsid w:val="00A716DD"/>
    <w:rsid w:val="00A71BF7"/>
    <w:rsid w:val="00A71BFE"/>
    <w:rsid w:val="00A72124"/>
    <w:rsid w:val="00A72D07"/>
    <w:rsid w:val="00A72DC1"/>
    <w:rsid w:val="00A7323B"/>
    <w:rsid w:val="00A734D9"/>
    <w:rsid w:val="00A740D7"/>
    <w:rsid w:val="00A74CC3"/>
    <w:rsid w:val="00A750CF"/>
    <w:rsid w:val="00A7510A"/>
    <w:rsid w:val="00A763EA"/>
    <w:rsid w:val="00A765C0"/>
    <w:rsid w:val="00A769B9"/>
    <w:rsid w:val="00A7760E"/>
    <w:rsid w:val="00A77D67"/>
    <w:rsid w:val="00A77D7B"/>
    <w:rsid w:val="00A80096"/>
    <w:rsid w:val="00A80866"/>
    <w:rsid w:val="00A8126F"/>
    <w:rsid w:val="00A81995"/>
    <w:rsid w:val="00A82C27"/>
    <w:rsid w:val="00A82F89"/>
    <w:rsid w:val="00A83941"/>
    <w:rsid w:val="00A839E7"/>
    <w:rsid w:val="00A84E0A"/>
    <w:rsid w:val="00A857B4"/>
    <w:rsid w:val="00A85D45"/>
    <w:rsid w:val="00A85F43"/>
    <w:rsid w:val="00A86245"/>
    <w:rsid w:val="00A870DD"/>
    <w:rsid w:val="00A873D9"/>
    <w:rsid w:val="00A876AF"/>
    <w:rsid w:val="00A87B73"/>
    <w:rsid w:val="00A90208"/>
    <w:rsid w:val="00A9127D"/>
    <w:rsid w:val="00A91505"/>
    <w:rsid w:val="00A91622"/>
    <w:rsid w:val="00A91FF7"/>
    <w:rsid w:val="00A924FC"/>
    <w:rsid w:val="00A92ABE"/>
    <w:rsid w:val="00A9332C"/>
    <w:rsid w:val="00A9427B"/>
    <w:rsid w:val="00A94B54"/>
    <w:rsid w:val="00A94BE1"/>
    <w:rsid w:val="00A94DC9"/>
    <w:rsid w:val="00A94F59"/>
    <w:rsid w:val="00A952F0"/>
    <w:rsid w:val="00A95541"/>
    <w:rsid w:val="00A95892"/>
    <w:rsid w:val="00A966CB"/>
    <w:rsid w:val="00A973D7"/>
    <w:rsid w:val="00AA181F"/>
    <w:rsid w:val="00AA2055"/>
    <w:rsid w:val="00AA225A"/>
    <w:rsid w:val="00AA23EC"/>
    <w:rsid w:val="00AA3F2E"/>
    <w:rsid w:val="00AA47CD"/>
    <w:rsid w:val="00AA5094"/>
    <w:rsid w:val="00AA51B2"/>
    <w:rsid w:val="00AA53B4"/>
    <w:rsid w:val="00AA5BF5"/>
    <w:rsid w:val="00AA62C5"/>
    <w:rsid w:val="00AA63AC"/>
    <w:rsid w:val="00AA6F85"/>
    <w:rsid w:val="00AA743F"/>
    <w:rsid w:val="00AB091A"/>
    <w:rsid w:val="00AB0979"/>
    <w:rsid w:val="00AB1691"/>
    <w:rsid w:val="00AB17CA"/>
    <w:rsid w:val="00AB1CC9"/>
    <w:rsid w:val="00AB227B"/>
    <w:rsid w:val="00AB30D7"/>
    <w:rsid w:val="00AB32AA"/>
    <w:rsid w:val="00AB3328"/>
    <w:rsid w:val="00AB3C0F"/>
    <w:rsid w:val="00AB4010"/>
    <w:rsid w:val="00AB40EA"/>
    <w:rsid w:val="00AB499D"/>
    <w:rsid w:val="00AB4EFA"/>
    <w:rsid w:val="00AB5982"/>
    <w:rsid w:val="00AB6001"/>
    <w:rsid w:val="00AB7216"/>
    <w:rsid w:val="00AB7D0E"/>
    <w:rsid w:val="00AC0B22"/>
    <w:rsid w:val="00AC1C78"/>
    <w:rsid w:val="00AC2B59"/>
    <w:rsid w:val="00AC2D34"/>
    <w:rsid w:val="00AC2D45"/>
    <w:rsid w:val="00AC314B"/>
    <w:rsid w:val="00AC31E2"/>
    <w:rsid w:val="00AC322B"/>
    <w:rsid w:val="00AC4B47"/>
    <w:rsid w:val="00AC5171"/>
    <w:rsid w:val="00AC5460"/>
    <w:rsid w:val="00AC55F4"/>
    <w:rsid w:val="00AC5731"/>
    <w:rsid w:val="00AC578B"/>
    <w:rsid w:val="00AC582F"/>
    <w:rsid w:val="00AC629E"/>
    <w:rsid w:val="00AC65DA"/>
    <w:rsid w:val="00AC6766"/>
    <w:rsid w:val="00AC7824"/>
    <w:rsid w:val="00AC7F8A"/>
    <w:rsid w:val="00AD0027"/>
    <w:rsid w:val="00AD045B"/>
    <w:rsid w:val="00AD0D93"/>
    <w:rsid w:val="00AD0DAB"/>
    <w:rsid w:val="00AD0E27"/>
    <w:rsid w:val="00AD1C33"/>
    <w:rsid w:val="00AD24BE"/>
    <w:rsid w:val="00AD263A"/>
    <w:rsid w:val="00AD26F3"/>
    <w:rsid w:val="00AD2B07"/>
    <w:rsid w:val="00AD2B5F"/>
    <w:rsid w:val="00AD2C16"/>
    <w:rsid w:val="00AD52D0"/>
    <w:rsid w:val="00AD559E"/>
    <w:rsid w:val="00AD5766"/>
    <w:rsid w:val="00AD661F"/>
    <w:rsid w:val="00AD70D0"/>
    <w:rsid w:val="00AE04C8"/>
    <w:rsid w:val="00AE04E4"/>
    <w:rsid w:val="00AE0BC1"/>
    <w:rsid w:val="00AE1718"/>
    <w:rsid w:val="00AE1884"/>
    <w:rsid w:val="00AE2168"/>
    <w:rsid w:val="00AE274D"/>
    <w:rsid w:val="00AE2991"/>
    <w:rsid w:val="00AE2C41"/>
    <w:rsid w:val="00AE329D"/>
    <w:rsid w:val="00AE364D"/>
    <w:rsid w:val="00AE41BC"/>
    <w:rsid w:val="00AE42ED"/>
    <w:rsid w:val="00AE431E"/>
    <w:rsid w:val="00AE46D7"/>
    <w:rsid w:val="00AE4C0B"/>
    <w:rsid w:val="00AE530F"/>
    <w:rsid w:val="00AE5D77"/>
    <w:rsid w:val="00AE6778"/>
    <w:rsid w:val="00AE690A"/>
    <w:rsid w:val="00AE7045"/>
    <w:rsid w:val="00AE78C4"/>
    <w:rsid w:val="00AE7AEB"/>
    <w:rsid w:val="00AF0ED4"/>
    <w:rsid w:val="00AF1070"/>
    <w:rsid w:val="00AF18A3"/>
    <w:rsid w:val="00AF1C8E"/>
    <w:rsid w:val="00AF3067"/>
    <w:rsid w:val="00AF3413"/>
    <w:rsid w:val="00AF352C"/>
    <w:rsid w:val="00AF471F"/>
    <w:rsid w:val="00AF5436"/>
    <w:rsid w:val="00AF6149"/>
    <w:rsid w:val="00AF622A"/>
    <w:rsid w:val="00AF6C2C"/>
    <w:rsid w:val="00AF6CDE"/>
    <w:rsid w:val="00AF7CEC"/>
    <w:rsid w:val="00B00067"/>
    <w:rsid w:val="00B00C24"/>
    <w:rsid w:val="00B014BE"/>
    <w:rsid w:val="00B028F9"/>
    <w:rsid w:val="00B02911"/>
    <w:rsid w:val="00B033A9"/>
    <w:rsid w:val="00B04279"/>
    <w:rsid w:val="00B04AC6"/>
    <w:rsid w:val="00B065E5"/>
    <w:rsid w:val="00B07284"/>
    <w:rsid w:val="00B07394"/>
    <w:rsid w:val="00B103E5"/>
    <w:rsid w:val="00B10905"/>
    <w:rsid w:val="00B11E36"/>
    <w:rsid w:val="00B122B3"/>
    <w:rsid w:val="00B139F3"/>
    <w:rsid w:val="00B13C25"/>
    <w:rsid w:val="00B14304"/>
    <w:rsid w:val="00B14384"/>
    <w:rsid w:val="00B14649"/>
    <w:rsid w:val="00B1618D"/>
    <w:rsid w:val="00B16297"/>
    <w:rsid w:val="00B1681D"/>
    <w:rsid w:val="00B16BDB"/>
    <w:rsid w:val="00B1747E"/>
    <w:rsid w:val="00B17669"/>
    <w:rsid w:val="00B17B7B"/>
    <w:rsid w:val="00B206B0"/>
    <w:rsid w:val="00B217A9"/>
    <w:rsid w:val="00B21925"/>
    <w:rsid w:val="00B21FE8"/>
    <w:rsid w:val="00B22D77"/>
    <w:rsid w:val="00B23043"/>
    <w:rsid w:val="00B23285"/>
    <w:rsid w:val="00B23B5B"/>
    <w:rsid w:val="00B245C8"/>
    <w:rsid w:val="00B24ACB"/>
    <w:rsid w:val="00B25124"/>
    <w:rsid w:val="00B2556F"/>
    <w:rsid w:val="00B25718"/>
    <w:rsid w:val="00B260CA"/>
    <w:rsid w:val="00B2679B"/>
    <w:rsid w:val="00B26C4B"/>
    <w:rsid w:val="00B26FBC"/>
    <w:rsid w:val="00B272A6"/>
    <w:rsid w:val="00B27383"/>
    <w:rsid w:val="00B3072C"/>
    <w:rsid w:val="00B312AB"/>
    <w:rsid w:val="00B31C74"/>
    <w:rsid w:val="00B3329C"/>
    <w:rsid w:val="00B33804"/>
    <w:rsid w:val="00B33B0C"/>
    <w:rsid w:val="00B34CDE"/>
    <w:rsid w:val="00B355A0"/>
    <w:rsid w:val="00B35A97"/>
    <w:rsid w:val="00B37007"/>
    <w:rsid w:val="00B3767D"/>
    <w:rsid w:val="00B4021D"/>
    <w:rsid w:val="00B41BD9"/>
    <w:rsid w:val="00B41CA1"/>
    <w:rsid w:val="00B41ECA"/>
    <w:rsid w:val="00B422F7"/>
    <w:rsid w:val="00B42640"/>
    <w:rsid w:val="00B42D7A"/>
    <w:rsid w:val="00B42F99"/>
    <w:rsid w:val="00B4319F"/>
    <w:rsid w:val="00B432A3"/>
    <w:rsid w:val="00B43B83"/>
    <w:rsid w:val="00B456C8"/>
    <w:rsid w:val="00B45DC5"/>
    <w:rsid w:val="00B45EDE"/>
    <w:rsid w:val="00B4630E"/>
    <w:rsid w:val="00B46386"/>
    <w:rsid w:val="00B46596"/>
    <w:rsid w:val="00B4663D"/>
    <w:rsid w:val="00B46CB5"/>
    <w:rsid w:val="00B500F8"/>
    <w:rsid w:val="00B51EE2"/>
    <w:rsid w:val="00B5257C"/>
    <w:rsid w:val="00B52F76"/>
    <w:rsid w:val="00B5367F"/>
    <w:rsid w:val="00B53EFC"/>
    <w:rsid w:val="00B54273"/>
    <w:rsid w:val="00B54467"/>
    <w:rsid w:val="00B54518"/>
    <w:rsid w:val="00B550CC"/>
    <w:rsid w:val="00B550EF"/>
    <w:rsid w:val="00B55329"/>
    <w:rsid w:val="00B55A44"/>
    <w:rsid w:val="00B56CE1"/>
    <w:rsid w:val="00B57A89"/>
    <w:rsid w:val="00B57AA2"/>
    <w:rsid w:val="00B6013A"/>
    <w:rsid w:val="00B607DE"/>
    <w:rsid w:val="00B608CA"/>
    <w:rsid w:val="00B61B88"/>
    <w:rsid w:val="00B6372E"/>
    <w:rsid w:val="00B6589B"/>
    <w:rsid w:val="00B65A4E"/>
    <w:rsid w:val="00B67185"/>
    <w:rsid w:val="00B6721C"/>
    <w:rsid w:val="00B673A0"/>
    <w:rsid w:val="00B7007F"/>
    <w:rsid w:val="00B71828"/>
    <w:rsid w:val="00B719C2"/>
    <w:rsid w:val="00B719DC"/>
    <w:rsid w:val="00B71B41"/>
    <w:rsid w:val="00B72665"/>
    <w:rsid w:val="00B72A54"/>
    <w:rsid w:val="00B7335A"/>
    <w:rsid w:val="00B73B11"/>
    <w:rsid w:val="00B73BB3"/>
    <w:rsid w:val="00B74658"/>
    <w:rsid w:val="00B758E7"/>
    <w:rsid w:val="00B75DCC"/>
    <w:rsid w:val="00B7693C"/>
    <w:rsid w:val="00B77A49"/>
    <w:rsid w:val="00B80558"/>
    <w:rsid w:val="00B80571"/>
    <w:rsid w:val="00B818A2"/>
    <w:rsid w:val="00B81E76"/>
    <w:rsid w:val="00B81E79"/>
    <w:rsid w:val="00B821AA"/>
    <w:rsid w:val="00B822C3"/>
    <w:rsid w:val="00B82903"/>
    <w:rsid w:val="00B83071"/>
    <w:rsid w:val="00B84030"/>
    <w:rsid w:val="00B847F3"/>
    <w:rsid w:val="00B84A03"/>
    <w:rsid w:val="00B8591A"/>
    <w:rsid w:val="00B85C03"/>
    <w:rsid w:val="00B85E80"/>
    <w:rsid w:val="00B86090"/>
    <w:rsid w:val="00B87A89"/>
    <w:rsid w:val="00B90165"/>
    <w:rsid w:val="00B9196C"/>
    <w:rsid w:val="00B91D33"/>
    <w:rsid w:val="00B926B0"/>
    <w:rsid w:val="00B92B4E"/>
    <w:rsid w:val="00B92EED"/>
    <w:rsid w:val="00B93512"/>
    <w:rsid w:val="00B93928"/>
    <w:rsid w:val="00B93E8A"/>
    <w:rsid w:val="00B957D8"/>
    <w:rsid w:val="00B95AC9"/>
    <w:rsid w:val="00B95AEB"/>
    <w:rsid w:val="00B95BB4"/>
    <w:rsid w:val="00B9645A"/>
    <w:rsid w:val="00B96C73"/>
    <w:rsid w:val="00B974AF"/>
    <w:rsid w:val="00BA0166"/>
    <w:rsid w:val="00BA0A81"/>
    <w:rsid w:val="00BA0B38"/>
    <w:rsid w:val="00BA12B2"/>
    <w:rsid w:val="00BA1AAA"/>
    <w:rsid w:val="00BA1B7D"/>
    <w:rsid w:val="00BA2BB5"/>
    <w:rsid w:val="00BA34DD"/>
    <w:rsid w:val="00BA3A66"/>
    <w:rsid w:val="00BA40FF"/>
    <w:rsid w:val="00BA5A60"/>
    <w:rsid w:val="00BA5BF5"/>
    <w:rsid w:val="00BA6E86"/>
    <w:rsid w:val="00BA795F"/>
    <w:rsid w:val="00BA7D33"/>
    <w:rsid w:val="00BB07AB"/>
    <w:rsid w:val="00BB0D81"/>
    <w:rsid w:val="00BB15C2"/>
    <w:rsid w:val="00BB1875"/>
    <w:rsid w:val="00BB1D90"/>
    <w:rsid w:val="00BB1E54"/>
    <w:rsid w:val="00BB2E7A"/>
    <w:rsid w:val="00BB31F7"/>
    <w:rsid w:val="00BB3878"/>
    <w:rsid w:val="00BB3987"/>
    <w:rsid w:val="00BB3A61"/>
    <w:rsid w:val="00BB3BB1"/>
    <w:rsid w:val="00BB3F90"/>
    <w:rsid w:val="00BB511E"/>
    <w:rsid w:val="00BB5DD3"/>
    <w:rsid w:val="00BB622A"/>
    <w:rsid w:val="00BB79CF"/>
    <w:rsid w:val="00BC0FA0"/>
    <w:rsid w:val="00BC111F"/>
    <w:rsid w:val="00BC2AF0"/>
    <w:rsid w:val="00BC3C12"/>
    <w:rsid w:val="00BC3D43"/>
    <w:rsid w:val="00BC465C"/>
    <w:rsid w:val="00BC46D8"/>
    <w:rsid w:val="00BC4D5A"/>
    <w:rsid w:val="00BC577D"/>
    <w:rsid w:val="00BC62A8"/>
    <w:rsid w:val="00BC7146"/>
    <w:rsid w:val="00BC79B2"/>
    <w:rsid w:val="00BD01D7"/>
    <w:rsid w:val="00BD0672"/>
    <w:rsid w:val="00BD2150"/>
    <w:rsid w:val="00BD374A"/>
    <w:rsid w:val="00BD3A4B"/>
    <w:rsid w:val="00BD427E"/>
    <w:rsid w:val="00BD56F2"/>
    <w:rsid w:val="00BD5B9E"/>
    <w:rsid w:val="00BD5C31"/>
    <w:rsid w:val="00BD61D7"/>
    <w:rsid w:val="00BD6965"/>
    <w:rsid w:val="00BD69D5"/>
    <w:rsid w:val="00BD6DE9"/>
    <w:rsid w:val="00BD73CB"/>
    <w:rsid w:val="00BD7F0D"/>
    <w:rsid w:val="00BE09DD"/>
    <w:rsid w:val="00BE0F85"/>
    <w:rsid w:val="00BE1517"/>
    <w:rsid w:val="00BE1A6C"/>
    <w:rsid w:val="00BE1DC8"/>
    <w:rsid w:val="00BE1F4A"/>
    <w:rsid w:val="00BE22E0"/>
    <w:rsid w:val="00BE3509"/>
    <w:rsid w:val="00BE36A2"/>
    <w:rsid w:val="00BE4128"/>
    <w:rsid w:val="00BE4A7B"/>
    <w:rsid w:val="00BE5411"/>
    <w:rsid w:val="00BE64CE"/>
    <w:rsid w:val="00BE682F"/>
    <w:rsid w:val="00BE7E2A"/>
    <w:rsid w:val="00BE7EB3"/>
    <w:rsid w:val="00BF00E4"/>
    <w:rsid w:val="00BF0790"/>
    <w:rsid w:val="00BF1794"/>
    <w:rsid w:val="00BF2CE0"/>
    <w:rsid w:val="00BF3A5A"/>
    <w:rsid w:val="00BF3BCC"/>
    <w:rsid w:val="00BF3F6D"/>
    <w:rsid w:val="00BF43B5"/>
    <w:rsid w:val="00BF5F87"/>
    <w:rsid w:val="00BF6EF1"/>
    <w:rsid w:val="00C009FD"/>
    <w:rsid w:val="00C0186C"/>
    <w:rsid w:val="00C01B92"/>
    <w:rsid w:val="00C01BFE"/>
    <w:rsid w:val="00C01C35"/>
    <w:rsid w:val="00C01EA7"/>
    <w:rsid w:val="00C01FC5"/>
    <w:rsid w:val="00C0207C"/>
    <w:rsid w:val="00C02546"/>
    <w:rsid w:val="00C02934"/>
    <w:rsid w:val="00C03123"/>
    <w:rsid w:val="00C043CA"/>
    <w:rsid w:val="00C04FC4"/>
    <w:rsid w:val="00C0612F"/>
    <w:rsid w:val="00C06318"/>
    <w:rsid w:val="00C06704"/>
    <w:rsid w:val="00C06DA8"/>
    <w:rsid w:val="00C07421"/>
    <w:rsid w:val="00C077AD"/>
    <w:rsid w:val="00C101B7"/>
    <w:rsid w:val="00C10212"/>
    <w:rsid w:val="00C103A6"/>
    <w:rsid w:val="00C106EA"/>
    <w:rsid w:val="00C10884"/>
    <w:rsid w:val="00C10985"/>
    <w:rsid w:val="00C113A3"/>
    <w:rsid w:val="00C11B9F"/>
    <w:rsid w:val="00C11BBE"/>
    <w:rsid w:val="00C12793"/>
    <w:rsid w:val="00C139BE"/>
    <w:rsid w:val="00C1475E"/>
    <w:rsid w:val="00C1506A"/>
    <w:rsid w:val="00C15F97"/>
    <w:rsid w:val="00C16B52"/>
    <w:rsid w:val="00C16C0E"/>
    <w:rsid w:val="00C17233"/>
    <w:rsid w:val="00C17378"/>
    <w:rsid w:val="00C17AA8"/>
    <w:rsid w:val="00C202D0"/>
    <w:rsid w:val="00C206A8"/>
    <w:rsid w:val="00C20A27"/>
    <w:rsid w:val="00C21A83"/>
    <w:rsid w:val="00C21D7B"/>
    <w:rsid w:val="00C22863"/>
    <w:rsid w:val="00C22B20"/>
    <w:rsid w:val="00C23F97"/>
    <w:rsid w:val="00C24091"/>
    <w:rsid w:val="00C2409B"/>
    <w:rsid w:val="00C2444C"/>
    <w:rsid w:val="00C25D10"/>
    <w:rsid w:val="00C26244"/>
    <w:rsid w:val="00C266D5"/>
    <w:rsid w:val="00C2761A"/>
    <w:rsid w:val="00C27D13"/>
    <w:rsid w:val="00C30568"/>
    <w:rsid w:val="00C30DF5"/>
    <w:rsid w:val="00C314DA"/>
    <w:rsid w:val="00C315CB"/>
    <w:rsid w:val="00C318EE"/>
    <w:rsid w:val="00C322D9"/>
    <w:rsid w:val="00C33F60"/>
    <w:rsid w:val="00C34229"/>
    <w:rsid w:val="00C35785"/>
    <w:rsid w:val="00C36298"/>
    <w:rsid w:val="00C37467"/>
    <w:rsid w:val="00C37D87"/>
    <w:rsid w:val="00C37F5A"/>
    <w:rsid w:val="00C4022C"/>
    <w:rsid w:val="00C41522"/>
    <w:rsid w:val="00C417CC"/>
    <w:rsid w:val="00C42923"/>
    <w:rsid w:val="00C42C8B"/>
    <w:rsid w:val="00C42E9D"/>
    <w:rsid w:val="00C42F0E"/>
    <w:rsid w:val="00C4310A"/>
    <w:rsid w:val="00C43140"/>
    <w:rsid w:val="00C448E8"/>
    <w:rsid w:val="00C479A5"/>
    <w:rsid w:val="00C50AC2"/>
    <w:rsid w:val="00C5128B"/>
    <w:rsid w:val="00C51D45"/>
    <w:rsid w:val="00C52A16"/>
    <w:rsid w:val="00C54339"/>
    <w:rsid w:val="00C54395"/>
    <w:rsid w:val="00C54555"/>
    <w:rsid w:val="00C54CE4"/>
    <w:rsid w:val="00C551F6"/>
    <w:rsid w:val="00C5656C"/>
    <w:rsid w:val="00C5754C"/>
    <w:rsid w:val="00C57D5F"/>
    <w:rsid w:val="00C57FD9"/>
    <w:rsid w:val="00C60087"/>
    <w:rsid w:val="00C6130B"/>
    <w:rsid w:val="00C617BE"/>
    <w:rsid w:val="00C61A04"/>
    <w:rsid w:val="00C623E7"/>
    <w:rsid w:val="00C62D60"/>
    <w:rsid w:val="00C62E76"/>
    <w:rsid w:val="00C63950"/>
    <w:rsid w:val="00C640C3"/>
    <w:rsid w:val="00C644E4"/>
    <w:rsid w:val="00C6614C"/>
    <w:rsid w:val="00C669E2"/>
    <w:rsid w:val="00C67AEE"/>
    <w:rsid w:val="00C67C05"/>
    <w:rsid w:val="00C67F31"/>
    <w:rsid w:val="00C71469"/>
    <w:rsid w:val="00C71B9B"/>
    <w:rsid w:val="00C729E4"/>
    <w:rsid w:val="00C72E14"/>
    <w:rsid w:val="00C72F52"/>
    <w:rsid w:val="00C730C7"/>
    <w:rsid w:val="00C73DA0"/>
    <w:rsid w:val="00C74164"/>
    <w:rsid w:val="00C74C9C"/>
    <w:rsid w:val="00C74D5E"/>
    <w:rsid w:val="00C74F3A"/>
    <w:rsid w:val="00C75047"/>
    <w:rsid w:val="00C7559A"/>
    <w:rsid w:val="00C757AC"/>
    <w:rsid w:val="00C7721D"/>
    <w:rsid w:val="00C77ADC"/>
    <w:rsid w:val="00C77B9B"/>
    <w:rsid w:val="00C77CDD"/>
    <w:rsid w:val="00C808A3"/>
    <w:rsid w:val="00C80B6C"/>
    <w:rsid w:val="00C80BD7"/>
    <w:rsid w:val="00C814BE"/>
    <w:rsid w:val="00C81870"/>
    <w:rsid w:val="00C81AB2"/>
    <w:rsid w:val="00C81BA9"/>
    <w:rsid w:val="00C81BF5"/>
    <w:rsid w:val="00C82674"/>
    <w:rsid w:val="00C829B3"/>
    <w:rsid w:val="00C82C1B"/>
    <w:rsid w:val="00C837F9"/>
    <w:rsid w:val="00C83BAD"/>
    <w:rsid w:val="00C84D9E"/>
    <w:rsid w:val="00C85145"/>
    <w:rsid w:val="00C85489"/>
    <w:rsid w:val="00C866F9"/>
    <w:rsid w:val="00C86883"/>
    <w:rsid w:val="00C86AB4"/>
    <w:rsid w:val="00C87D27"/>
    <w:rsid w:val="00C902E1"/>
    <w:rsid w:val="00C908A4"/>
    <w:rsid w:val="00C912AA"/>
    <w:rsid w:val="00C913B8"/>
    <w:rsid w:val="00C91A36"/>
    <w:rsid w:val="00C92251"/>
    <w:rsid w:val="00C92CB6"/>
    <w:rsid w:val="00C93BE1"/>
    <w:rsid w:val="00C94CE4"/>
    <w:rsid w:val="00C94D8E"/>
    <w:rsid w:val="00C95430"/>
    <w:rsid w:val="00C95BE8"/>
    <w:rsid w:val="00C969B2"/>
    <w:rsid w:val="00C96D39"/>
    <w:rsid w:val="00C96E22"/>
    <w:rsid w:val="00CA004C"/>
    <w:rsid w:val="00CA0F22"/>
    <w:rsid w:val="00CA1057"/>
    <w:rsid w:val="00CA14CC"/>
    <w:rsid w:val="00CA1AA0"/>
    <w:rsid w:val="00CA23DF"/>
    <w:rsid w:val="00CA271C"/>
    <w:rsid w:val="00CA2D43"/>
    <w:rsid w:val="00CA2FEA"/>
    <w:rsid w:val="00CA4334"/>
    <w:rsid w:val="00CA433C"/>
    <w:rsid w:val="00CA4ECF"/>
    <w:rsid w:val="00CA5C68"/>
    <w:rsid w:val="00CA6446"/>
    <w:rsid w:val="00CA658E"/>
    <w:rsid w:val="00CA6D06"/>
    <w:rsid w:val="00CA799F"/>
    <w:rsid w:val="00CB0127"/>
    <w:rsid w:val="00CB03CD"/>
    <w:rsid w:val="00CB0616"/>
    <w:rsid w:val="00CB0859"/>
    <w:rsid w:val="00CB0C36"/>
    <w:rsid w:val="00CB0EED"/>
    <w:rsid w:val="00CB1DE6"/>
    <w:rsid w:val="00CB2BAA"/>
    <w:rsid w:val="00CB4E4C"/>
    <w:rsid w:val="00CB51B5"/>
    <w:rsid w:val="00CB54EC"/>
    <w:rsid w:val="00CB5F81"/>
    <w:rsid w:val="00CB6278"/>
    <w:rsid w:val="00CB6532"/>
    <w:rsid w:val="00CB666F"/>
    <w:rsid w:val="00CB69D8"/>
    <w:rsid w:val="00CB6DA2"/>
    <w:rsid w:val="00CB7114"/>
    <w:rsid w:val="00CB72C0"/>
    <w:rsid w:val="00CC0EAD"/>
    <w:rsid w:val="00CC0FEC"/>
    <w:rsid w:val="00CC1E7F"/>
    <w:rsid w:val="00CC25D1"/>
    <w:rsid w:val="00CC2768"/>
    <w:rsid w:val="00CC294E"/>
    <w:rsid w:val="00CC2F3F"/>
    <w:rsid w:val="00CC5236"/>
    <w:rsid w:val="00CC56DA"/>
    <w:rsid w:val="00CC5A51"/>
    <w:rsid w:val="00CC5C63"/>
    <w:rsid w:val="00CC6512"/>
    <w:rsid w:val="00CC671F"/>
    <w:rsid w:val="00CC6AE6"/>
    <w:rsid w:val="00CC7241"/>
    <w:rsid w:val="00CC7A00"/>
    <w:rsid w:val="00CC7E9C"/>
    <w:rsid w:val="00CD0D59"/>
    <w:rsid w:val="00CD23FD"/>
    <w:rsid w:val="00CD259C"/>
    <w:rsid w:val="00CD2B4D"/>
    <w:rsid w:val="00CD3279"/>
    <w:rsid w:val="00CD3656"/>
    <w:rsid w:val="00CD43A4"/>
    <w:rsid w:val="00CD528E"/>
    <w:rsid w:val="00CD529B"/>
    <w:rsid w:val="00CD5791"/>
    <w:rsid w:val="00CD5C60"/>
    <w:rsid w:val="00CD647C"/>
    <w:rsid w:val="00CD6CD5"/>
    <w:rsid w:val="00CD6D94"/>
    <w:rsid w:val="00CD7579"/>
    <w:rsid w:val="00CD7B70"/>
    <w:rsid w:val="00CD7BD1"/>
    <w:rsid w:val="00CD7DDE"/>
    <w:rsid w:val="00CE0432"/>
    <w:rsid w:val="00CE0488"/>
    <w:rsid w:val="00CE0905"/>
    <w:rsid w:val="00CE0BCA"/>
    <w:rsid w:val="00CE15DD"/>
    <w:rsid w:val="00CE1FD2"/>
    <w:rsid w:val="00CE2F43"/>
    <w:rsid w:val="00CE337A"/>
    <w:rsid w:val="00CE40DD"/>
    <w:rsid w:val="00CE41EB"/>
    <w:rsid w:val="00CE46BF"/>
    <w:rsid w:val="00CE5144"/>
    <w:rsid w:val="00CF110B"/>
    <w:rsid w:val="00CF1B52"/>
    <w:rsid w:val="00CF2354"/>
    <w:rsid w:val="00CF340B"/>
    <w:rsid w:val="00CF352F"/>
    <w:rsid w:val="00CF3685"/>
    <w:rsid w:val="00CF37DD"/>
    <w:rsid w:val="00CF41A8"/>
    <w:rsid w:val="00CF4408"/>
    <w:rsid w:val="00CF51DF"/>
    <w:rsid w:val="00CF5997"/>
    <w:rsid w:val="00CF5DC8"/>
    <w:rsid w:val="00CF6AB2"/>
    <w:rsid w:val="00CF6BDD"/>
    <w:rsid w:val="00CF6F6B"/>
    <w:rsid w:val="00CF718F"/>
    <w:rsid w:val="00D0010D"/>
    <w:rsid w:val="00D00164"/>
    <w:rsid w:val="00D004C6"/>
    <w:rsid w:val="00D00BD7"/>
    <w:rsid w:val="00D01077"/>
    <w:rsid w:val="00D017BE"/>
    <w:rsid w:val="00D01F55"/>
    <w:rsid w:val="00D022CD"/>
    <w:rsid w:val="00D05C06"/>
    <w:rsid w:val="00D06460"/>
    <w:rsid w:val="00D06E84"/>
    <w:rsid w:val="00D07C0B"/>
    <w:rsid w:val="00D1063A"/>
    <w:rsid w:val="00D10821"/>
    <w:rsid w:val="00D10F84"/>
    <w:rsid w:val="00D11D6D"/>
    <w:rsid w:val="00D120BD"/>
    <w:rsid w:val="00D12152"/>
    <w:rsid w:val="00D1327C"/>
    <w:rsid w:val="00D13E6B"/>
    <w:rsid w:val="00D149ED"/>
    <w:rsid w:val="00D14EE9"/>
    <w:rsid w:val="00D15089"/>
    <w:rsid w:val="00D157CC"/>
    <w:rsid w:val="00D160A5"/>
    <w:rsid w:val="00D16B79"/>
    <w:rsid w:val="00D1784C"/>
    <w:rsid w:val="00D20034"/>
    <w:rsid w:val="00D20CBA"/>
    <w:rsid w:val="00D21989"/>
    <w:rsid w:val="00D21A6A"/>
    <w:rsid w:val="00D21C85"/>
    <w:rsid w:val="00D225D9"/>
    <w:rsid w:val="00D2536C"/>
    <w:rsid w:val="00D25BCD"/>
    <w:rsid w:val="00D25CA4"/>
    <w:rsid w:val="00D25CCB"/>
    <w:rsid w:val="00D26D57"/>
    <w:rsid w:val="00D30CA9"/>
    <w:rsid w:val="00D31AF5"/>
    <w:rsid w:val="00D32D5E"/>
    <w:rsid w:val="00D3316D"/>
    <w:rsid w:val="00D335C1"/>
    <w:rsid w:val="00D342F3"/>
    <w:rsid w:val="00D34E60"/>
    <w:rsid w:val="00D35393"/>
    <w:rsid w:val="00D35473"/>
    <w:rsid w:val="00D36874"/>
    <w:rsid w:val="00D36A9A"/>
    <w:rsid w:val="00D36D93"/>
    <w:rsid w:val="00D3734F"/>
    <w:rsid w:val="00D378EE"/>
    <w:rsid w:val="00D402E6"/>
    <w:rsid w:val="00D40E23"/>
    <w:rsid w:val="00D417FF"/>
    <w:rsid w:val="00D4367E"/>
    <w:rsid w:val="00D443F5"/>
    <w:rsid w:val="00D44A90"/>
    <w:rsid w:val="00D45C3C"/>
    <w:rsid w:val="00D467AB"/>
    <w:rsid w:val="00D46E1B"/>
    <w:rsid w:val="00D470B6"/>
    <w:rsid w:val="00D470EA"/>
    <w:rsid w:val="00D47953"/>
    <w:rsid w:val="00D47DBE"/>
    <w:rsid w:val="00D5006B"/>
    <w:rsid w:val="00D50225"/>
    <w:rsid w:val="00D51276"/>
    <w:rsid w:val="00D51856"/>
    <w:rsid w:val="00D51A36"/>
    <w:rsid w:val="00D52946"/>
    <w:rsid w:val="00D52C95"/>
    <w:rsid w:val="00D53A41"/>
    <w:rsid w:val="00D5448A"/>
    <w:rsid w:val="00D54EDE"/>
    <w:rsid w:val="00D56644"/>
    <w:rsid w:val="00D56B4E"/>
    <w:rsid w:val="00D56FB7"/>
    <w:rsid w:val="00D57103"/>
    <w:rsid w:val="00D60260"/>
    <w:rsid w:val="00D6105D"/>
    <w:rsid w:val="00D612BE"/>
    <w:rsid w:val="00D6281E"/>
    <w:rsid w:val="00D63706"/>
    <w:rsid w:val="00D63934"/>
    <w:rsid w:val="00D642C7"/>
    <w:rsid w:val="00D6505E"/>
    <w:rsid w:val="00D65269"/>
    <w:rsid w:val="00D657EF"/>
    <w:rsid w:val="00D65A15"/>
    <w:rsid w:val="00D65DD9"/>
    <w:rsid w:val="00D66054"/>
    <w:rsid w:val="00D6647D"/>
    <w:rsid w:val="00D66E3D"/>
    <w:rsid w:val="00D67347"/>
    <w:rsid w:val="00D67A2F"/>
    <w:rsid w:val="00D70307"/>
    <w:rsid w:val="00D707DF"/>
    <w:rsid w:val="00D70A99"/>
    <w:rsid w:val="00D713EB"/>
    <w:rsid w:val="00D7164E"/>
    <w:rsid w:val="00D7310D"/>
    <w:rsid w:val="00D7313F"/>
    <w:rsid w:val="00D733B5"/>
    <w:rsid w:val="00D73447"/>
    <w:rsid w:val="00D74384"/>
    <w:rsid w:val="00D74430"/>
    <w:rsid w:val="00D76DD1"/>
    <w:rsid w:val="00D77159"/>
    <w:rsid w:val="00D80396"/>
    <w:rsid w:val="00D81493"/>
    <w:rsid w:val="00D81550"/>
    <w:rsid w:val="00D82B3A"/>
    <w:rsid w:val="00D82CD7"/>
    <w:rsid w:val="00D840DD"/>
    <w:rsid w:val="00D84442"/>
    <w:rsid w:val="00D845CC"/>
    <w:rsid w:val="00D853E6"/>
    <w:rsid w:val="00D85998"/>
    <w:rsid w:val="00D85F8C"/>
    <w:rsid w:val="00D862CD"/>
    <w:rsid w:val="00D868F6"/>
    <w:rsid w:val="00D87043"/>
    <w:rsid w:val="00D87234"/>
    <w:rsid w:val="00D9130F"/>
    <w:rsid w:val="00D91BB8"/>
    <w:rsid w:val="00D92256"/>
    <w:rsid w:val="00D924DE"/>
    <w:rsid w:val="00D92812"/>
    <w:rsid w:val="00D9286F"/>
    <w:rsid w:val="00D94265"/>
    <w:rsid w:val="00D953A5"/>
    <w:rsid w:val="00D956F8"/>
    <w:rsid w:val="00D95CAD"/>
    <w:rsid w:val="00D95CD4"/>
    <w:rsid w:val="00D95D9B"/>
    <w:rsid w:val="00D95ED2"/>
    <w:rsid w:val="00D961EE"/>
    <w:rsid w:val="00D971D0"/>
    <w:rsid w:val="00D97C9F"/>
    <w:rsid w:val="00DA0295"/>
    <w:rsid w:val="00DA066E"/>
    <w:rsid w:val="00DA08F4"/>
    <w:rsid w:val="00DA19AC"/>
    <w:rsid w:val="00DA1F4A"/>
    <w:rsid w:val="00DA22F7"/>
    <w:rsid w:val="00DA251B"/>
    <w:rsid w:val="00DA278D"/>
    <w:rsid w:val="00DA2936"/>
    <w:rsid w:val="00DA3865"/>
    <w:rsid w:val="00DA42D4"/>
    <w:rsid w:val="00DA430F"/>
    <w:rsid w:val="00DA5367"/>
    <w:rsid w:val="00DA5377"/>
    <w:rsid w:val="00DA5452"/>
    <w:rsid w:val="00DA5B0D"/>
    <w:rsid w:val="00DA7382"/>
    <w:rsid w:val="00DA738C"/>
    <w:rsid w:val="00DA798C"/>
    <w:rsid w:val="00DB0429"/>
    <w:rsid w:val="00DB0544"/>
    <w:rsid w:val="00DB1301"/>
    <w:rsid w:val="00DB15B3"/>
    <w:rsid w:val="00DB17BC"/>
    <w:rsid w:val="00DB18CC"/>
    <w:rsid w:val="00DB3203"/>
    <w:rsid w:val="00DB4B30"/>
    <w:rsid w:val="00DB52AA"/>
    <w:rsid w:val="00DB6479"/>
    <w:rsid w:val="00DB6AEB"/>
    <w:rsid w:val="00DB7389"/>
    <w:rsid w:val="00DB7CB8"/>
    <w:rsid w:val="00DC0715"/>
    <w:rsid w:val="00DC0C2B"/>
    <w:rsid w:val="00DC0E88"/>
    <w:rsid w:val="00DC2419"/>
    <w:rsid w:val="00DC26D1"/>
    <w:rsid w:val="00DC277B"/>
    <w:rsid w:val="00DC32E0"/>
    <w:rsid w:val="00DC3531"/>
    <w:rsid w:val="00DC3D9C"/>
    <w:rsid w:val="00DC40AB"/>
    <w:rsid w:val="00DC4131"/>
    <w:rsid w:val="00DC47EF"/>
    <w:rsid w:val="00DC4D10"/>
    <w:rsid w:val="00DC5207"/>
    <w:rsid w:val="00DC5A05"/>
    <w:rsid w:val="00DC5F82"/>
    <w:rsid w:val="00DC6069"/>
    <w:rsid w:val="00DC69A7"/>
    <w:rsid w:val="00DC7005"/>
    <w:rsid w:val="00DC7020"/>
    <w:rsid w:val="00DC7297"/>
    <w:rsid w:val="00DC766B"/>
    <w:rsid w:val="00DC7D7B"/>
    <w:rsid w:val="00DD05A7"/>
    <w:rsid w:val="00DD0C8F"/>
    <w:rsid w:val="00DD130D"/>
    <w:rsid w:val="00DD161A"/>
    <w:rsid w:val="00DD18D0"/>
    <w:rsid w:val="00DD1A22"/>
    <w:rsid w:val="00DD1E3B"/>
    <w:rsid w:val="00DD1F66"/>
    <w:rsid w:val="00DD2F1C"/>
    <w:rsid w:val="00DD372F"/>
    <w:rsid w:val="00DD3DB4"/>
    <w:rsid w:val="00DD4B61"/>
    <w:rsid w:val="00DD4C23"/>
    <w:rsid w:val="00DD5063"/>
    <w:rsid w:val="00DD5425"/>
    <w:rsid w:val="00DD5668"/>
    <w:rsid w:val="00DD5762"/>
    <w:rsid w:val="00DD628E"/>
    <w:rsid w:val="00DD63B7"/>
    <w:rsid w:val="00DD6A00"/>
    <w:rsid w:val="00DD6A42"/>
    <w:rsid w:val="00DD7610"/>
    <w:rsid w:val="00DD7CBB"/>
    <w:rsid w:val="00DE0845"/>
    <w:rsid w:val="00DE111C"/>
    <w:rsid w:val="00DE158B"/>
    <w:rsid w:val="00DE19C6"/>
    <w:rsid w:val="00DE1A3E"/>
    <w:rsid w:val="00DE1A89"/>
    <w:rsid w:val="00DE222A"/>
    <w:rsid w:val="00DE241F"/>
    <w:rsid w:val="00DE2E22"/>
    <w:rsid w:val="00DE2FEF"/>
    <w:rsid w:val="00DE3302"/>
    <w:rsid w:val="00DE39D3"/>
    <w:rsid w:val="00DE40A7"/>
    <w:rsid w:val="00DE46DF"/>
    <w:rsid w:val="00DE66F0"/>
    <w:rsid w:val="00DE783D"/>
    <w:rsid w:val="00DE7AA6"/>
    <w:rsid w:val="00DE7F80"/>
    <w:rsid w:val="00DF01A7"/>
    <w:rsid w:val="00DF0255"/>
    <w:rsid w:val="00DF09D2"/>
    <w:rsid w:val="00DF0B0A"/>
    <w:rsid w:val="00DF1A4B"/>
    <w:rsid w:val="00DF24FB"/>
    <w:rsid w:val="00DF2768"/>
    <w:rsid w:val="00DF37E3"/>
    <w:rsid w:val="00DF41F8"/>
    <w:rsid w:val="00DF44EE"/>
    <w:rsid w:val="00DF4F46"/>
    <w:rsid w:val="00DF51EC"/>
    <w:rsid w:val="00DF5B29"/>
    <w:rsid w:val="00DF5CF4"/>
    <w:rsid w:val="00DF5D27"/>
    <w:rsid w:val="00DF5F27"/>
    <w:rsid w:val="00DF68A3"/>
    <w:rsid w:val="00DF6946"/>
    <w:rsid w:val="00DF76F3"/>
    <w:rsid w:val="00E0137B"/>
    <w:rsid w:val="00E027EB"/>
    <w:rsid w:val="00E02D0F"/>
    <w:rsid w:val="00E03BEB"/>
    <w:rsid w:val="00E071BA"/>
    <w:rsid w:val="00E075E2"/>
    <w:rsid w:val="00E10553"/>
    <w:rsid w:val="00E11A48"/>
    <w:rsid w:val="00E11DE1"/>
    <w:rsid w:val="00E12698"/>
    <w:rsid w:val="00E141AE"/>
    <w:rsid w:val="00E141E9"/>
    <w:rsid w:val="00E14774"/>
    <w:rsid w:val="00E147A1"/>
    <w:rsid w:val="00E14A63"/>
    <w:rsid w:val="00E15262"/>
    <w:rsid w:val="00E176D0"/>
    <w:rsid w:val="00E17BC3"/>
    <w:rsid w:val="00E20007"/>
    <w:rsid w:val="00E20840"/>
    <w:rsid w:val="00E214B2"/>
    <w:rsid w:val="00E21E7F"/>
    <w:rsid w:val="00E22A62"/>
    <w:rsid w:val="00E22EB9"/>
    <w:rsid w:val="00E23548"/>
    <w:rsid w:val="00E23D54"/>
    <w:rsid w:val="00E24433"/>
    <w:rsid w:val="00E249D2"/>
    <w:rsid w:val="00E24CAE"/>
    <w:rsid w:val="00E25CD0"/>
    <w:rsid w:val="00E25D67"/>
    <w:rsid w:val="00E26137"/>
    <w:rsid w:val="00E2795C"/>
    <w:rsid w:val="00E2799F"/>
    <w:rsid w:val="00E301D8"/>
    <w:rsid w:val="00E30B0B"/>
    <w:rsid w:val="00E31045"/>
    <w:rsid w:val="00E313C4"/>
    <w:rsid w:val="00E31480"/>
    <w:rsid w:val="00E31B38"/>
    <w:rsid w:val="00E3208D"/>
    <w:rsid w:val="00E32624"/>
    <w:rsid w:val="00E34077"/>
    <w:rsid w:val="00E341A6"/>
    <w:rsid w:val="00E349C6"/>
    <w:rsid w:val="00E34C91"/>
    <w:rsid w:val="00E3522B"/>
    <w:rsid w:val="00E352AB"/>
    <w:rsid w:val="00E3544F"/>
    <w:rsid w:val="00E35717"/>
    <w:rsid w:val="00E35CF4"/>
    <w:rsid w:val="00E35EB4"/>
    <w:rsid w:val="00E36245"/>
    <w:rsid w:val="00E36831"/>
    <w:rsid w:val="00E36EAD"/>
    <w:rsid w:val="00E3792F"/>
    <w:rsid w:val="00E37B53"/>
    <w:rsid w:val="00E37CDA"/>
    <w:rsid w:val="00E419BB"/>
    <w:rsid w:val="00E42127"/>
    <w:rsid w:val="00E42EBD"/>
    <w:rsid w:val="00E432C6"/>
    <w:rsid w:val="00E442A8"/>
    <w:rsid w:val="00E446A9"/>
    <w:rsid w:val="00E44EB9"/>
    <w:rsid w:val="00E4601A"/>
    <w:rsid w:val="00E46860"/>
    <w:rsid w:val="00E4755A"/>
    <w:rsid w:val="00E502CC"/>
    <w:rsid w:val="00E506B1"/>
    <w:rsid w:val="00E50F10"/>
    <w:rsid w:val="00E51291"/>
    <w:rsid w:val="00E512FB"/>
    <w:rsid w:val="00E519A0"/>
    <w:rsid w:val="00E52536"/>
    <w:rsid w:val="00E529E7"/>
    <w:rsid w:val="00E547CC"/>
    <w:rsid w:val="00E55039"/>
    <w:rsid w:val="00E556A1"/>
    <w:rsid w:val="00E55ED2"/>
    <w:rsid w:val="00E56EE3"/>
    <w:rsid w:val="00E57673"/>
    <w:rsid w:val="00E57D03"/>
    <w:rsid w:val="00E600C9"/>
    <w:rsid w:val="00E603A6"/>
    <w:rsid w:val="00E6083F"/>
    <w:rsid w:val="00E608B9"/>
    <w:rsid w:val="00E60D09"/>
    <w:rsid w:val="00E619D1"/>
    <w:rsid w:val="00E6220E"/>
    <w:rsid w:val="00E62935"/>
    <w:rsid w:val="00E62A23"/>
    <w:rsid w:val="00E62CF1"/>
    <w:rsid w:val="00E62D45"/>
    <w:rsid w:val="00E63724"/>
    <w:rsid w:val="00E646E2"/>
    <w:rsid w:val="00E659A8"/>
    <w:rsid w:val="00E666AB"/>
    <w:rsid w:val="00E67399"/>
    <w:rsid w:val="00E676EE"/>
    <w:rsid w:val="00E67825"/>
    <w:rsid w:val="00E67B5D"/>
    <w:rsid w:val="00E70189"/>
    <w:rsid w:val="00E705AC"/>
    <w:rsid w:val="00E706A1"/>
    <w:rsid w:val="00E730C1"/>
    <w:rsid w:val="00E7310A"/>
    <w:rsid w:val="00E7337E"/>
    <w:rsid w:val="00E7390E"/>
    <w:rsid w:val="00E746A9"/>
    <w:rsid w:val="00E74EF0"/>
    <w:rsid w:val="00E74F37"/>
    <w:rsid w:val="00E752AF"/>
    <w:rsid w:val="00E753DF"/>
    <w:rsid w:val="00E75872"/>
    <w:rsid w:val="00E76BA6"/>
    <w:rsid w:val="00E77204"/>
    <w:rsid w:val="00E80992"/>
    <w:rsid w:val="00E826B6"/>
    <w:rsid w:val="00E82978"/>
    <w:rsid w:val="00E82FF2"/>
    <w:rsid w:val="00E831EB"/>
    <w:rsid w:val="00E834F0"/>
    <w:rsid w:val="00E83522"/>
    <w:rsid w:val="00E839D9"/>
    <w:rsid w:val="00E83FE9"/>
    <w:rsid w:val="00E8416A"/>
    <w:rsid w:val="00E8464C"/>
    <w:rsid w:val="00E85B19"/>
    <w:rsid w:val="00E861CE"/>
    <w:rsid w:val="00E8634F"/>
    <w:rsid w:val="00E866A1"/>
    <w:rsid w:val="00E87594"/>
    <w:rsid w:val="00E87BAB"/>
    <w:rsid w:val="00E87C72"/>
    <w:rsid w:val="00E87FA6"/>
    <w:rsid w:val="00E90BEE"/>
    <w:rsid w:val="00E90DAA"/>
    <w:rsid w:val="00E90DB7"/>
    <w:rsid w:val="00E911D0"/>
    <w:rsid w:val="00E91CEA"/>
    <w:rsid w:val="00E91F88"/>
    <w:rsid w:val="00E92688"/>
    <w:rsid w:val="00E92764"/>
    <w:rsid w:val="00E929C5"/>
    <w:rsid w:val="00E92AE5"/>
    <w:rsid w:val="00E9335A"/>
    <w:rsid w:val="00E93709"/>
    <w:rsid w:val="00E9431A"/>
    <w:rsid w:val="00E94706"/>
    <w:rsid w:val="00E94AB2"/>
    <w:rsid w:val="00E95B75"/>
    <w:rsid w:val="00E95EC6"/>
    <w:rsid w:val="00E962C6"/>
    <w:rsid w:val="00E96508"/>
    <w:rsid w:val="00E96AF6"/>
    <w:rsid w:val="00E96E53"/>
    <w:rsid w:val="00EA091B"/>
    <w:rsid w:val="00EA2597"/>
    <w:rsid w:val="00EA2D07"/>
    <w:rsid w:val="00EA3165"/>
    <w:rsid w:val="00EA3AF1"/>
    <w:rsid w:val="00EA3CE2"/>
    <w:rsid w:val="00EA4DA2"/>
    <w:rsid w:val="00EA4F59"/>
    <w:rsid w:val="00EA520F"/>
    <w:rsid w:val="00EA55F1"/>
    <w:rsid w:val="00EA7649"/>
    <w:rsid w:val="00EB0A32"/>
    <w:rsid w:val="00EB0ED9"/>
    <w:rsid w:val="00EB149A"/>
    <w:rsid w:val="00EB19C4"/>
    <w:rsid w:val="00EB1F65"/>
    <w:rsid w:val="00EB2007"/>
    <w:rsid w:val="00EB3A04"/>
    <w:rsid w:val="00EB4778"/>
    <w:rsid w:val="00EB4DE2"/>
    <w:rsid w:val="00EB4F1A"/>
    <w:rsid w:val="00EB558A"/>
    <w:rsid w:val="00EB579C"/>
    <w:rsid w:val="00EB5827"/>
    <w:rsid w:val="00EB5ECB"/>
    <w:rsid w:val="00EB6168"/>
    <w:rsid w:val="00EC1D39"/>
    <w:rsid w:val="00EC2C33"/>
    <w:rsid w:val="00EC2C75"/>
    <w:rsid w:val="00EC3A05"/>
    <w:rsid w:val="00EC3B63"/>
    <w:rsid w:val="00EC3B8A"/>
    <w:rsid w:val="00EC3FFC"/>
    <w:rsid w:val="00EC47F8"/>
    <w:rsid w:val="00EC490A"/>
    <w:rsid w:val="00EC49AA"/>
    <w:rsid w:val="00EC4C1E"/>
    <w:rsid w:val="00EC4DB1"/>
    <w:rsid w:val="00EC5797"/>
    <w:rsid w:val="00EC59C7"/>
    <w:rsid w:val="00EC63DF"/>
    <w:rsid w:val="00EC64AC"/>
    <w:rsid w:val="00EC6F18"/>
    <w:rsid w:val="00EC765F"/>
    <w:rsid w:val="00EC7D7C"/>
    <w:rsid w:val="00EC7D82"/>
    <w:rsid w:val="00EC7E95"/>
    <w:rsid w:val="00EC7F3F"/>
    <w:rsid w:val="00EC7F48"/>
    <w:rsid w:val="00ED0437"/>
    <w:rsid w:val="00ED06D8"/>
    <w:rsid w:val="00ED1EB1"/>
    <w:rsid w:val="00ED27D2"/>
    <w:rsid w:val="00ED2D50"/>
    <w:rsid w:val="00ED2DE4"/>
    <w:rsid w:val="00ED3057"/>
    <w:rsid w:val="00ED4512"/>
    <w:rsid w:val="00ED493B"/>
    <w:rsid w:val="00ED5975"/>
    <w:rsid w:val="00ED61E4"/>
    <w:rsid w:val="00ED6CC2"/>
    <w:rsid w:val="00ED7120"/>
    <w:rsid w:val="00ED7B75"/>
    <w:rsid w:val="00EE266A"/>
    <w:rsid w:val="00EE2697"/>
    <w:rsid w:val="00EE2718"/>
    <w:rsid w:val="00EE2CEF"/>
    <w:rsid w:val="00EE427E"/>
    <w:rsid w:val="00EE47C8"/>
    <w:rsid w:val="00EE47E5"/>
    <w:rsid w:val="00EE489B"/>
    <w:rsid w:val="00EE51D5"/>
    <w:rsid w:val="00EF175C"/>
    <w:rsid w:val="00EF273C"/>
    <w:rsid w:val="00EF3108"/>
    <w:rsid w:val="00EF34CF"/>
    <w:rsid w:val="00EF38E9"/>
    <w:rsid w:val="00EF3CF1"/>
    <w:rsid w:val="00EF423C"/>
    <w:rsid w:val="00EF4C0F"/>
    <w:rsid w:val="00EF57E3"/>
    <w:rsid w:val="00EF58FC"/>
    <w:rsid w:val="00EF62E2"/>
    <w:rsid w:val="00EF6355"/>
    <w:rsid w:val="00EF65AF"/>
    <w:rsid w:val="00EF65D2"/>
    <w:rsid w:val="00EF69AF"/>
    <w:rsid w:val="00EF6AB0"/>
    <w:rsid w:val="00EF72F8"/>
    <w:rsid w:val="00EF7B48"/>
    <w:rsid w:val="00EF7F2D"/>
    <w:rsid w:val="00F001D9"/>
    <w:rsid w:val="00F00924"/>
    <w:rsid w:val="00F00F9F"/>
    <w:rsid w:val="00F021B0"/>
    <w:rsid w:val="00F02AD6"/>
    <w:rsid w:val="00F0360C"/>
    <w:rsid w:val="00F03CD4"/>
    <w:rsid w:val="00F04049"/>
    <w:rsid w:val="00F04735"/>
    <w:rsid w:val="00F0622B"/>
    <w:rsid w:val="00F07101"/>
    <w:rsid w:val="00F07145"/>
    <w:rsid w:val="00F07951"/>
    <w:rsid w:val="00F1087D"/>
    <w:rsid w:val="00F10A9B"/>
    <w:rsid w:val="00F11AA8"/>
    <w:rsid w:val="00F11C41"/>
    <w:rsid w:val="00F11DD6"/>
    <w:rsid w:val="00F1285E"/>
    <w:rsid w:val="00F12CFC"/>
    <w:rsid w:val="00F14644"/>
    <w:rsid w:val="00F16A19"/>
    <w:rsid w:val="00F17516"/>
    <w:rsid w:val="00F208E2"/>
    <w:rsid w:val="00F20B33"/>
    <w:rsid w:val="00F217C6"/>
    <w:rsid w:val="00F21942"/>
    <w:rsid w:val="00F21DDC"/>
    <w:rsid w:val="00F2207D"/>
    <w:rsid w:val="00F2275D"/>
    <w:rsid w:val="00F22B2A"/>
    <w:rsid w:val="00F22C60"/>
    <w:rsid w:val="00F23190"/>
    <w:rsid w:val="00F2357E"/>
    <w:rsid w:val="00F246C4"/>
    <w:rsid w:val="00F2492C"/>
    <w:rsid w:val="00F24B3B"/>
    <w:rsid w:val="00F24FE8"/>
    <w:rsid w:val="00F25700"/>
    <w:rsid w:val="00F2676D"/>
    <w:rsid w:val="00F268E1"/>
    <w:rsid w:val="00F26F0B"/>
    <w:rsid w:val="00F26F98"/>
    <w:rsid w:val="00F27305"/>
    <w:rsid w:val="00F27F27"/>
    <w:rsid w:val="00F30A73"/>
    <w:rsid w:val="00F30E7D"/>
    <w:rsid w:val="00F31431"/>
    <w:rsid w:val="00F32BA3"/>
    <w:rsid w:val="00F32E6D"/>
    <w:rsid w:val="00F33D65"/>
    <w:rsid w:val="00F34195"/>
    <w:rsid w:val="00F342F3"/>
    <w:rsid w:val="00F35339"/>
    <w:rsid w:val="00F369B7"/>
    <w:rsid w:val="00F36FF0"/>
    <w:rsid w:val="00F37119"/>
    <w:rsid w:val="00F37305"/>
    <w:rsid w:val="00F3764A"/>
    <w:rsid w:val="00F37692"/>
    <w:rsid w:val="00F376F8"/>
    <w:rsid w:val="00F4146D"/>
    <w:rsid w:val="00F41BD9"/>
    <w:rsid w:val="00F41F97"/>
    <w:rsid w:val="00F428AF"/>
    <w:rsid w:val="00F43AA0"/>
    <w:rsid w:val="00F45941"/>
    <w:rsid w:val="00F46DE8"/>
    <w:rsid w:val="00F471CF"/>
    <w:rsid w:val="00F473A3"/>
    <w:rsid w:val="00F50441"/>
    <w:rsid w:val="00F5061C"/>
    <w:rsid w:val="00F50D4C"/>
    <w:rsid w:val="00F50D6E"/>
    <w:rsid w:val="00F5116C"/>
    <w:rsid w:val="00F5229F"/>
    <w:rsid w:val="00F52C54"/>
    <w:rsid w:val="00F5355A"/>
    <w:rsid w:val="00F53A8E"/>
    <w:rsid w:val="00F549B5"/>
    <w:rsid w:val="00F54E4E"/>
    <w:rsid w:val="00F54E88"/>
    <w:rsid w:val="00F55B5E"/>
    <w:rsid w:val="00F55BE0"/>
    <w:rsid w:val="00F5621F"/>
    <w:rsid w:val="00F5672B"/>
    <w:rsid w:val="00F56E0D"/>
    <w:rsid w:val="00F57139"/>
    <w:rsid w:val="00F60C21"/>
    <w:rsid w:val="00F61158"/>
    <w:rsid w:val="00F61C07"/>
    <w:rsid w:val="00F61E87"/>
    <w:rsid w:val="00F629B3"/>
    <w:rsid w:val="00F62BBC"/>
    <w:rsid w:val="00F634E2"/>
    <w:rsid w:val="00F64303"/>
    <w:rsid w:val="00F64421"/>
    <w:rsid w:val="00F65755"/>
    <w:rsid w:val="00F65A1E"/>
    <w:rsid w:val="00F66192"/>
    <w:rsid w:val="00F67B1F"/>
    <w:rsid w:val="00F7071C"/>
    <w:rsid w:val="00F70DA9"/>
    <w:rsid w:val="00F71B6D"/>
    <w:rsid w:val="00F7223D"/>
    <w:rsid w:val="00F73065"/>
    <w:rsid w:val="00F73C45"/>
    <w:rsid w:val="00F74164"/>
    <w:rsid w:val="00F749D5"/>
    <w:rsid w:val="00F755B7"/>
    <w:rsid w:val="00F75666"/>
    <w:rsid w:val="00F75859"/>
    <w:rsid w:val="00F75883"/>
    <w:rsid w:val="00F75FEE"/>
    <w:rsid w:val="00F767D0"/>
    <w:rsid w:val="00F76B8C"/>
    <w:rsid w:val="00F774F7"/>
    <w:rsid w:val="00F77B0C"/>
    <w:rsid w:val="00F77B39"/>
    <w:rsid w:val="00F77C20"/>
    <w:rsid w:val="00F80DBB"/>
    <w:rsid w:val="00F81CC8"/>
    <w:rsid w:val="00F8224F"/>
    <w:rsid w:val="00F82384"/>
    <w:rsid w:val="00F82590"/>
    <w:rsid w:val="00F8270C"/>
    <w:rsid w:val="00F83389"/>
    <w:rsid w:val="00F83F6D"/>
    <w:rsid w:val="00F8456E"/>
    <w:rsid w:val="00F84CEE"/>
    <w:rsid w:val="00F84FF0"/>
    <w:rsid w:val="00F85025"/>
    <w:rsid w:val="00F8558A"/>
    <w:rsid w:val="00F857B5"/>
    <w:rsid w:val="00F862F6"/>
    <w:rsid w:val="00F869D4"/>
    <w:rsid w:val="00F874E4"/>
    <w:rsid w:val="00F9007A"/>
    <w:rsid w:val="00F90371"/>
    <w:rsid w:val="00F909E3"/>
    <w:rsid w:val="00F914B9"/>
    <w:rsid w:val="00F91A6B"/>
    <w:rsid w:val="00F91AB2"/>
    <w:rsid w:val="00F91C20"/>
    <w:rsid w:val="00F922FC"/>
    <w:rsid w:val="00F92659"/>
    <w:rsid w:val="00F930D4"/>
    <w:rsid w:val="00F93CEB"/>
    <w:rsid w:val="00F93F2F"/>
    <w:rsid w:val="00F93F73"/>
    <w:rsid w:val="00F940B7"/>
    <w:rsid w:val="00F94B9B"/>
    <w:rsid w:val="00F94C73"/>
    <w:rsid w:val="00F94E20"/>
    <w:rsid w:val="00F95950"/>
    <w:rsid w:val="00F95A48"/>
    <w:rsid w:val="00F96791"/>
    <w:rsid w:val="00F9797D"/>
    <w:rsid w:val="00FA09FE"/>
    <w:rsid w:val="00FA142C"/>
    <w:rsid w:val="00FA1778"/>
    <w:rsid w:val="00FA1AA3"/>
    <w:rsid w:val="00FA1F0D"/>
    <w:rsid w:val="00FA220C"/>
    <w:rsid w:val="00FA23B0"/>
    <w:rsid w:val="00FA3371"/>
    <w:rsid w:val="00FA3E83"/>
    <w:rsid w:val="00FA3F8F"/>
    <w:rsid w:val="00FA4096"/>
    <w:rsid w:val="00FA5505"/>
    <w:rsid w:val="00FA59A5"/>
    <w:rsid w:val="00FA60A0"/>
    <w:rsid w:val="00FA6A35"/>
    <w:rsid w:val="00FA7083"/>
    <w:rsid w:val="00FA7831"/>
    <w:rsid w:val="00FA7D46"/>
    <w:rsid w:val="00FB0AC0"/>
    <w:rsid w:val="00FB1322"/>
    <w:rsid w:val="00FB1375"/>
    <w:rsid w:val="00FB174B"/>
    <w:rsid w:val="00FB19CB"/>
    <w:rsid w:val="00FB3B1C"/>
    <w:rsid w:val="00FB3D13"/>
    <w:rsid w:val="00FB3F67"/>
    <w:rsid w:val="00FB4337"/>
    <w:rsid w:val="00FB4B57"/>
    <w:rsid w:val="00FB586D"/>
    <w:rsid w:val="00FB5A7A"/>
    <w:rsid w:val="00FB5C9D"/>
    <w:rsid w:val="00FB5DBF"/>
    <w:rsid w:val="00FB667C"/>
    <w:rsid w:val="00FB6844"/>
    <w:rsid w:val="00FB6A47"/>
    <w:rsid w:val="00FC037A"/>
    <w:rsid w:val="00FC0AE2"/>
    <w:rsid w:val="00FC12B0"/>
    <w:rsid w:val="00FC1858"/>
    <w:rsid w:val="00FC1CA9"/>
    <w:rsid w:val="00FC1CF3"/>
    <w:rsid w:val="00FC1EB0"/>
    <w:rsid w:val="00FC1EC4"/>
    <w:rsid w:val="00FC364C"/>
    <w:rsid w:val="00FC4B4C"/>
    <w:rsid w:val="00FC4BB4"/>
    <w:rsid w:val="00FC5045"/>
    <w:rsid w:val="00FC54C3"/>
    <w:rsid w:val="00FC58EE"/>
    <w:rsid w:val="00FC5E39"/>
    <w:rsid w:val="00FC60D4"/>
    <w:rsid w:val="00FC6779"/>
    <w:rsid w:val="00FC688A"/>
    <w:rsid w:val="00FC6A7D"/>
    <w:rsid w:val="00FC6D19"/>
    <w:rsid w:val="00FC7661"/>
    <w:rsid w:val="00FD28DD"/>
    <w:rsid w:val="00FD2927"/>
    <w:rsid w:val="00FD3046"/>
    <w:rsid w:val="00FD3116"/>
    <w:rsid w:val="00FD31B9"/>
    <w:rsid w:val="00FD39BB"/>
    <w:rsid w:val="00FD4006"/>
    <w:rsid w:val="00FD49D6"/>
    <w:rsid w:val="00FD6725"/>
    <w:rsid w:val="00FD6AA2"/>
    <w:rsid w:val="00FD7042"/>
    <w:rsid w:val="00FD7CD5"/>
    <w:rsid w:val="00FE01C6"/>
    <w:rsid w:val="00FE1877"/>
    <w:rsid w:val="00FE19A5"/>
    <w:rsid w:val="00FE4775"/>
    <w:rsid w:val="00FE4B53"/>
    <w:rsid w:val="00FE4DB8"/>
    <w:rsid w:val="00FE5565"/>
    <w:rsid w:val="00FE5719"/>
    <w:rsid w:val="00FE5A53"/>
    <w:rsid w:val="00FE5C5E"/>
    <w:rsid w:val="00FE6446"/>
    <w:rsid w:val="00FE66BD"/>
    <w:rsid w:val="00FE7191"/>
    <w:rsid w:val="00FE7335"/>
    <w:rsid w:val="00FF07DD"/>
    <w:rsid w:val="00FF13D6"/>
    <w:rsid w:val="00FF152C"/>
    <w:rsid w:val="00FF192D"/>
    <w:rsid w:val="00FF32B4"/>
    <w:rsid w:val="00FF406C"/>
    <w:rsid w:val="00FF41FD"/>
    <w:rsid w:val="00FF421E"/>
    <w:rsid w:val="00FF4882"/>
    <w:rsid w:val="00FF4B80"/>
    <w:rsid w:val="00FF57EB"/>
    <w:rsid w:val="00FF5A01"/>
    <w:rsid w:val="00FF5E38"/>
    <w:rsid w:val="00FF6E86"/>
    <w:rsid w:val="00FF7607"/>
    <w:rsid w:val="00FF77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AC568"/>
  <w15:docId w15:val="{F8E14609-5EA7-4887-A267-45BF269E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262254"/>
    <w:pPr>
      <w:spacing w:after="0" w:line="240" w:lineRule="auto"/>
      <w:jc w:val="center"/>
    </w:pPr>
    <w:rPr>
      <w:rFonts w:ascii="Times New Roman" w:hAnsi="Times New Roman" w:cs="Times New Roman"/>
      <w:lang w:val="en-CA"/>
    </w:rPr>
  </w:style>
  <w:style w:type="paragraph" w:styleId="Heading1">
    <w:name w:val="heading 1"/>
    <w:basedOn w:val="Normal"/>
    <w:next w:val="Normal"/>
    <w:link w:val="Heading1Char"/>
    <w:uiPriority w:val="9"/>
    <w:qFormat/>
    <w:rsid w:val="006B7148"/>
    <w:pPr>
      <w:keepNext/>
      <w:keepLines/>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A57B77"/>
    <w:pPr>
      <w:keepNext/>
      <w:keepLines/>
      <w:spacing w:before="200" w:after="240"/>
      <w:jc w:val="left"/>
      <w:outlineLvl w:val="1"/>
    </w:pPr>
    <w:rPr>
      <w:rFonts w:eastAsiaTheme="majorEastAsia" w:cstheme="majorBidi"/>
      <w:b/>
      <w:bCs/>
      <w:sz w:val="24"/>
      <w:szCs w:val="24"/>
    </w:rPr>
  </w:style>
  <w:style w:type="paragraph" w:styleId="Heading3">
    <w:name w:val="heading 3"/>
    <w:basedOn w:val="Normal"/>
    <w:next w:val="Normal"/>
    <w:link w:val="Heading3Char"/>
    <w:uiPriority w:val="9"/>
    <w:unhideWhenUsed/>
    <w:qFormat/>
    <w:rsid w:val="00D91BB8"/>
    <w:pPr>
      <w:keepNext/>
      <w:keepLines/>
      <w:spacing w:line="480" w:lineRule="auto"/>
      <w:jc w:val="left"/>
      <w:outlineLvl w:val="2"/>
    </w:pPr>
    <w:rPr>
      <w:rFonts w:eastAsiaTheme="majorEastAsia" w:cstheme="majorBidi"/>
      <w:b/>
      <w:bCs/>
      <w:i/>
      <w:sz w:val="24"/>
      <w:lang w:val="en-US"/>
    </w:rPr>
  </w:style>
  <w:style w:type="paragraph" w:styleId="Heading4">
    <w:name w:val="heading 4"/>
    <w:basedOn w:val="NoSpacing"/>
    <w:next w:val="Normal"/>
    <w:link w:val="Heading4Char"/>
    <w:uiPriority w:val="9"/>
    <w:unhideWhenUsed/>
    <w:qFormat/>
    <w:rsid w:val="00D91BB8"/>
    <w:pPr>
      <w:spacing w:line="480" w:lineRule="auto"/>
      <w:outlineLvl w:val="3"/>
    </w:pPr>
    <w:rPr>
      <w:i/>
      <w:u w:val="single"/>
      <w:lang w:val="en-US"/>
    </w:rPr>
  </w:style>
  <w:style w:type="paragraph" w:styleId="Heading5">
    <w:name w:val="heading 5"/>
    <w:basedOn w:val="Normal"/>
    <w:next w:val="Normal"/>
    <w:link w:val="Heading5Char"/>
    <w:uiPriority w:val="9"/>
    <w:unhideWhenUsed/>
    <w:qFormat/>
    <w:rsid w:val="000D3D8F"/>
    <w:pPr>
      <w:keepNext/>
      <w:keepLines/>
      <w:spacing w:before="200"/>
      <w:outlineLvl w:val="4"/>
    </w:pPr>
    <w:rPr>
      <w:rFonts w:eastAsiaTheme="majorEastAsia"/>
      <w:b/>
      <w:color w:val="243F60" w:themeColor="accent1" w:themeShade="7F"/>
      <w:sz w:val="24"/>
      <w:szCs w:val="24"/>
      <w:u w:val="single"/>
    </w:rPr>
  </w:style>
  <w:style w:type="paragraph" w:styleId="Heading6">
    <w:name w:val="heading 6"/>
    <w:basedOn w:val="Normal"/>
    <w:next w:val="Normal"/>
    <w:link w:val="Heading6Char"/>
    <w:uiPriority w:val="9"/>
    <w:unhideWhenUsed/>
    <w:qFormat/>
    <w:rsid w:val="00001FE2"/>
    <w:pPr>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148"/>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A57B77"/>
    <w:rPr>
      <w:rFonts w:ascii="Times New Roman" w:eastAsiaTheme="majorEastAsia" w:hAnsi="Times New Roman" w:cstheme="majorBidi"/>
      <w:b/>
      <w:bCs/>
      <w:sz w:val="24"/>
      <w:szCs w:val="24"/>
      <w:lang w:val="en-CA"/>
    </w:rPr>
  </w:style>
  <w:style w:type="character" w:customStyle="1" w:styleId="Heading3Char">
    <w:name w:val="Heading 3 Char"/>
    <w:basedOn w:val="DefaultParagraphFont"/>
    <w:link w:val="Heading3"/>
    <w:uiPriority w:val="9"/>
    <w:rsid w:val="00D91BB8"/>
    <w:rPr>
      <w:rFonts w:ascii="Times New Roman" w:eastAsiaTheme="majorEastAsia" w:hAnsi="Times New Roman" w:cstheme="majorBidi"/>
      <w:b/>
      <w:bCs/>
      <w:i/>
      <w:sz w:val="24"/>
      <w:lang w:val="en-US"/>
    </w:rPr>
  </w:style>
  <w:style w:type="paragraph" w:styleId="NoSpacing">
    <w:name w:val="No Spacing"/>
    <w:aliases w:val="Text"/>
    <w:link w:val="NoSpacingChar"/>
    <w:uiPriority w:val="1"/>
    <w:qFormat/>
    <w:rsid w:val="00F217C6"/>
    <w:pPr>
      <w:spacing w:after="0" w:line="360" w:lineRule="auto"/>
      <w:jc w:val="both"/>
    </w:pPr>
    <w:rPr>
      <w:rFonts w:ascii="Times New Roman" w:hAnsi="Times New Roman" w:cs="Times New Roman"/>
      <w:sz w:val="24"/>
      <w:szCs w:val="24"/>
      <w:lang w:val="en-GB"/>
    </w:rPr>
  </w:style>
  <w:style w:type="table" w:styleId="TableGrid">
    <w:name w:val="Table Grid"/>
    <w:basedOn w:val="TableNormal"/>
    <w:uiPriority w:val="39"/>
    <w:rsid w:val="004C0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091B"/>
    <w:rPr>
      <w:color w:val="0000FF" w:themeColor="hyperlink"/>
      <w:u w:val="single"/>
    </w:rPr>
  </w:style>
  <w:style w:type="paragraph" w:styleId="BalloonText">
    <w:name w:val="Balloon Text"/>
    <w:basedOn w:val="Normal"/>
    <w:link w:val="BalloonTextChar"/>
    <w:uiPriority w:val="99"/>
    <w:semiHidden/>
    <w:unhideWhenUsed/>
    <w:rsid w:val="00664738"/>
    <w:rPr>
      <w:rFonts w:ascii="Tahoma" w:hAnsi="Tahoma" w:cs="Tahoma"/>
      <w:sz w:val="16"/>
      <w:szCs w:val="16"/>
    </w:rPr>
  </w:style>
  <w:style w:type="character" w:customStyle="1" w:styleId="BalloonTextChar">
    <w:name w:val="Balloon Text Char"/>
    <w:basedOn w:val="DefaultParagraphFont"/>
    <w:link w:val="BalloonText"/>
    <w:uiPriority w:val="99"/>
    <w:semiHidden/>
    <w:rsid w:val="00664738"/>
    <w:rPr>
      <w:rFonts w:ascii="Tahoma" w:hAnsi="Tahoma" w:cs="Tahoma"/>
      <w:sz w:val="16"/>
      <w:szCs w:val="16"/>
    </w:rPr>
  </w:style>
  <w:style w:type="paragraph" w:styleId="Caption">
    <w:name w:val="caption"/>
    <w:basedOn w:val="Normal"/>
    <w:next w:val="Normal"/>
    <w:uiPriority w:val="35"/>
    <w:unhideWhenUsed/>
    <w:qFormat/>
    <w:rsid w:val="00664738"/>
    <w:rPr>
      <w:b/>
      <w:bCs/>
      <w:color w:val="4F81BD" w:themeColor="accent1"/>
    </w:rPr>
  </w:style>
  <w:style w:type="paragraph" w:styleId="NormalWeb">
    <w:name w:val="Normal (Web)"/>
    <w:basedOn w:val="Normal"/>
    <w:uiPriority w:val="99"/>
    <w:semiHidden/>
    <w:unhideWhenUsed/>
    <w:rsid w:val="00345227"/>
    <w:pPr>
      <w:spacing w:before="100" w:beforeAutospacing="1" w:after="100" w:afterAutospacing="1"/>
    </w:pPr>
    <w:rPr>
      <w:rFonts w:eastAsiaTheme="minorEastAsia"/>
      <w:sz w:val="24"/>
      <w:szCs w:val="24"/>
      <w:lang w:eastAsia="fr-FR"/>
    </w:rPr>
  </w:style>
  <w:style w:type="character" w:styleId="Emphasis">
    <w:name w:val="Emphasis"/>
    <w:basedOn w:val="DefaultParagraphFont"/>
    <w:uiPriority w:val="20"/>
    <w:qFormat/>
    <w:rsid w:val="00CC6AE6"/>
    <w:rPr>
      <w:i/>
      <w:iCs/>
    </w:rPr>
  </w:style>
  <w:style w:type="character" w:styleId="FollowedHyperlink">
    <w:name w:val="FollowedHyperlink"/>
    <w:basedOn w:val="DefaultParagraphFont"/>
    <w:uiPriority w:val="99"/>
    <w:semiHidden/>
    <w:unhideWhenUsed/>
    <w:rsid w:val="00465F8A"/>
    <w:rPr>
      <w:color w:val="800080" w:themeColor="followedHyperlink"/>
      <w:u w:val="single"/>
    </w:rPr>
  </w:style>
  <w:style w:type="paragraph" w:customStyle="1" w:styleId="xl63">
    <w:name w:val="xl63"/>
    <w:basedOn w:val="Normal"/>
    <w:uiPriority w:val="99"/>
    <w:rsid w:val="0087776E"/>
    <w:pPr>
      <w:spacing w:before="100" w:beforeAutospacing="1" w:after="100" w:afterAutospacing="1"/>
      <w:jc w:val="right"/>
    </w:pPr>
    <w:rPr>
      <w:rFonts w:eastAsia="Times New Roman"/>
      <w:sz w:val="24"/>
      <w:szCs w:val="24"/>
      <w:lang w:eastAsia="fr-FR"/>
    </w:rPr>
  </w:style>
  <w:style w:type="paragraph" w:customStyle="1" w:styleId="xl64">
    <w:name w:val="xl64"/>
    <w:basedOn w:val="Normal"/>
    <w:uiPriority w:val="99"/>
    <w:rsid w:val="0087776E"/>
    <w:pPr>
      <w:spacing w:before="100" w:beforeAutospacing="1" w:after="100" w:afterAutospacing="1"/>
    </w:pPr>
    <w:rPr>
      <w:rFonts w:eastAsia="Times New Roman"/>
      <w:b/>
      <w:bCs/>
      <w:i/>
      <w:iCs/>
      <w:sz w:val="24"/>
      <w:szCs w:val="24"/>
      <w:lang w:eastAsia="fr-FR"/>
    </w:rPr>
  </w:style>
  <w:style w:type="paragraph" w:customStyle="1" w:styleId="xl65">
    <w:name w:val="xl65"/>
    <w:basedOn w:val="Normal"/>
    <w:uiPriority w:val="99"/>
    <w:rsid w:val="0087776E"/>
    <w:pPr>
      <w:spacing w:before="100" w:beforeAutospacing="1" w:after="100" w:afterAutospacing="1"/>
    </w:pPr>
    <w:rPr>
      <w:rFonts w:eastAsia="Times New Roman"/>
      <w:b/>
      <w:bCs/>
      <w:i/>
      <w:iCs/>
      <w:sz w:val="24"/>
      <w:szCs w:val="24"/>
      <w:lang w:eastAsia="fr-FR"/>
    </w:rPr>
  </w:style>
  <w:style w:type="paragraph" w:customStyle="1" w:styleId="xl66">
    <w:name w:val="xl66"/>
    <w:basedOn w:val="Normal"/>
    <w:uiPriority w:val="99"/>
    <w:rsid w:val="0087776E"/>
    <w:pPr>
      <w:spacing w:before="100" w:beforeAutospacing="1" w:after="100" w:afterAutospacing="1"/>
    </w:pPr>
    <w:rPr>
      <w:rFonts w:eastAsia="Times New Roman"/>
      <w:b/>
      <w:bCs/>
      <w:i/>
      <w:iCs/>
      <w:sz w:val="24"/>
      <w:szCs w:val="24"/>
      <w:lang w:eastAsia="fr-FR"/>
    </w:rPr>
  </w:style>
  <w:style w:type="paragraph" w:customStyle="1" w:styleId="xl67">
    <w:name w:val="xl67"/>
    <w:basedOn w:val="Normal"/>
    <w:uiPriority w:val="99"/>
    <w:rsid w:val="0087776E"/>
    <w:pPr>
      <w:spacing w:before="100" w:beforeAutospacing="1" w:after="100" w:afterAutospacing="1"/>
    </w:pPr>
    <w:rPr>
      <w:rFonts w:eastAsia="Times New Roman"/>
      <w:sz w:val="24"/>
      <w:szCs w:val="24"/>
      <w:lang w:eastAsia="fr-FR"/>
    </w:rPr>
  </w:style>
  <w:style w:type="paragraph" w:customStyle="1" w:styleId="xl68">
    <w:name w:val="xl68"/>
    <w:basedOn w:val="Normal"/>
    <w:uiPriority w:val="99"/>
    <w:rsid w:val="0087776E"/>
    <w:pPr>
      <w:shd w:val="clear" w:color="000000" w:fill="8DB4E2"/>
      <w:spacing w:before="100" w:beforeAutospacing="1" w:after="100" w:afterAutospacing="1"/>
    </w:pPr>
    <w:rPr>
      <w:rFonts w:eastAsia="Times New Roman"/>
      <w:sz w:val="24"/>
      <w:szCs w:val="24"/>
      <w:lang w:eastAsia="fr-FR"/>
    </w:rPr>
  </w:style>
  <w:style w:type="paragraph" w:customStyle="1" w:styleId="xl69">
    <w:name w:val="xl69"/>
    <w:basedOn w:val="Normal"/>
    <w:uiPriority w:val="99"/>
    <w:rsid w:val="0087776E"/>
    <w:pPr>
      <w:shd w:val="clear" w:color="000000" w:fill="95B3D7"/>
      <w:spacing w:before="100" w:beforeAutospacing="1" w:after="100" w:afterAutospacing="1"/>
    </w:pPr>
    <w:rPr>
      <w:rFonts w:eastAsia="Times New Roman"/>
      <w:sz w:val="24"/>
      <w:szCs w:val="24"/>
      <w:lang w:eastAsia="fr-FR"/>
    </w:rPr>
  </w:style>
  <w:style w:type="paragraph" w:customStyle="1" w:styleId="xl70">
    <w:name w:val="xl70"/>
    <w:basedOn w:val="Normal"/>
    <w:uiPriority w:val="99"/>
    <w:rsid w:val="0087776E"/>
    <w:pPr>
      <w:shd w:val="clear" w:color="000000" w:fill="DAEEF3"/>
      <w:spacing w:before="100" w:beforeAutospacing="1" w:after="100" w:afterAutospacing="1"/>
    </w:pPr>
    <w:rPr>
      <w:rFonts w:eastAsia="Times New Roman"/>
      <w:sz w:val="24"/>
      <w:szCs w:val="24"/>
      <w:lang w:eastAsia="fr-FR"/>
    </w:rPr>
  </w:style>
  <w:style w:type="paragraph" w:customStyle="1" w:styleId="xl71">
    <w:name w:val="xl71"/>
    <w:basedOn w:val="Normal"/>
    <w:uiPriority w:val="99"/>
    <w:rsid w:val="0087776E"/>
    <w:pPr>
      <w:shd w:val="clear" w:color="000000" w:fill="DAEEF3"/>
      <w:spacing w:before="100" w:beforeAutospacing="1" w:after="100" w:afterAutospacing="1"/>
    </w:pPr>
    <w:rPr>
      <w:rFonts w:eastAsia="Times New Roman"/>
      <w:sz w:val="24"/>
      <w:szCs w:val="24"/>
      <w:lang w:eastAsia="fr-FR"/>
    </w:rPr>
  </w:style>
  <w:style w:type="paragraph" w:customStyle="1" w:styleId="xl72">
    <w:name w:val="xl72"/>
    <w:basedOn w:val="Normal"/>
    <w:uiPriority w:val="99"/>
    <w:rsid w:val="0087776E"/>
    <w:pPr>
      <w:shd w:val="clear" w:color="000000" w:fill="DAEEF3"/>
      <w:spacing w:before="100" w:beforeAutospacing="1" w:after="100" w:afterAutospacing="1"/>
      <w:jc w:val="right"/>
    </w:pPr>
    <w:rPr>
      <w:rFonts w:eastAsia="Times New Roman"/>
      <w:sz w:val="24"/>
      <w:szCs w:val="24"/>
      <w:lang w:eastAsia="fr-FR"/>
    </w:rPr>
  </w:style>
  <w:style w:type="paragraph" w:customStyle="1" w:styleId="xl73">
    <w:name w:val="xl73"/>
    <w:basedOn w:val="Normal"/>
    <w:uiPriority w:val="99"/>
    <w:rsid w:val="0087776E"/>
    <w:pPr>
      <w:shd w:val="clear" w:color="000000" w:fill="DAEEF3"/>
      <w:spacing w:before="100" w:beforeAutospacing="1" w:after="100" w:afterAutospacing="1"/>
    </w:pPr>
    <w:rPr>
      <w:rFonts w:eastAsia="Times New Roman"/>
      <w:b/>
      <w:bCs/>
      <w:i/>
      <w:iCs/>
      <w:sz w:val="24"/>
      <w:szCs w:val="24"/>
      <w:lang w:eastAsia="fr-FR"/>
    </w:rPr>
  </w:style>
  <w:style w:type="paragraph" w:customStyle="1" w:styleId="xl74">
    <w:name w:val="xl74"/>
    <w:basedOn w:val="Normal"/>
    <w:uiPriority w:val="99"/>
    <w:rsid w:val="0087776E"/>
    <w:pPr>
      <w:spacing w:before="100" w:beforeAutospacing="1" w:after="100" w:afterAutospacing="1"/>
    </w:pPr>
    <w:rPr>
      <w:rFonts w:eastAsia="Times New Roman"/>
      <w:b/>
      <w:bCs/>
      <w:sz w:val="24"/>
      <w:szCs w:val="24"/>
      <w:lang w:eastAsia="fr-FR"/>
    </w:rPr>
  </w:style>
  <w:style w:type="paragraph" w:customStyle="1" w:styleId="xl75">
    <w:name w:val="xl75"/>
    <w:basedOn w:val="Normal"/>
    <w:uiPriority w:val="99"/>
    <w:rsid w:val="0087776E"/>
    <w:pPr>
      <w:shd w:val="clear" w:color="000000" w:fill="DAEEF3"/>
      <w:spacing w:before="100" w:beforeAutospacing="1" w:after="100" w:afterAutospacing="1"/>
    </w:pPr>
    <w:rPr>
      <w:rFonts w:eastAsia="Times New Roman"/>
      <w:b/>
      <w:bCs/>
      <w:i/>
      <w:iCs/>
      <w:sz w:val="24"/>
      <w:szCs w:val="24"/>
      <w:lang w:eastAsia="fr-FR"/>
    </w:rPr>
  </w:style>
  <w:style w:type="paragraph" w:customStyle="1" w:styleId="xl76">
    <w:name w:val="xl76"/>
    <w:basedOn w:val="Normal"/>
    <w:uiPriority w:val="99"/>
    <w:rsid w:val="0087776E"/>
    <w:pPr>
      <w:shd w:val="clear" w:color="000000" w:fill="C5D9F1"/>
      <w:spacing w:before="100" w:beforeAutospacing="1" w:after="100" w:afterAutospacing="1"/>
    </w:pPr>
    <w:rPr>
      <w:rFonts w:eastAsia="Times New Roman"/>
      <w:b/>
      <w:bCs/>
      <w:sz w:val="24"/>
      <w:szCs w:val="24"/>
      <w:lang w:eastAsia="fr-FR"/>
    </w:rPr>
  </w:style>
  <w:style w:type="paragraph" w:customStyle="1" w:styleId="xl77">
    <w:name w:val="xl77"/>
    <w:basedOn w:val="Normal"/>
    <w:uiPriority w:val="99"/>
    <w:rsid w:val="0087776E"/>
    <w:pPr>
      <w:shd w:val="clear" w:color="000000" w:fill="C5D9F1"/>
      <w:spacing w:before="100" w:beforeAutospacing="1" w:after="100" w:afterAutospacing="1"/>
    </w:pPr>
    <w:rPr>
      <w:rFonts w:eastAsia="Times New Roman"/>
      <w:sz w:val="24"/>
      <w:szCs w:val="24"/>
      <w:lang w:eastAsia="fr-FR"/>
    </w:rPr>
  </w:style>
  <w:style w:type="paragraph" w:customStyle="1" w:styleId="xl78">
    <w:name w:val="xl78"/>
    <w:basedOn w:val="Normal"/>
    <w:uiPriority w:val="99"/>
    <w:rsid w:val="0087776E"/>
    <w:pPr>
      <w:shd w:val="clear" w:color="000000" w:fill="C5D9F1"/>
      <w:spacing w:before="100" w:beforeAutospacing="1" w:after="100" w:afterAutospacing="1"/>
      <w:jc w:val="right"/>
    </w:pPr>
    <w:rPr>
      <w:rFonts w:eastAsia="Times New Roman"/>
      <w:sz w:val="24"/>
      <w:szCs w:val="24"/>
      <w:lang w:eastAsia="fr-FR"/>
    </w:rPr>
  </w:style>
  <w:style w:type="paragraph" w:customStyle="1" w:styleId="xl79">
    <w:name w:val="xl79"/>
    <w:basedOn w:val="Normal"/>
    <w:uiPriority w:val="99"/>
    <w:rsid w:val="0087776E"/>
    <w:pPr>
      <w:shd w:val="clear" w:color="000000" w:fill="C5D9F1"/>
      <w:spacing w:before="100" w:beforeAutospacing="1" w:after="100" w:afterAutospacing="1"/>
    </w:pPr>
    <w:rPr>
      <w:rFonts w:eastAsia="Times New Roman"/>
      <w:b/>
      <w:bCs/>
      <w:i/>
      <w:iCs/>
      <w:sz w:val="24"/>
      <w:szCs w:val="24"/>
      <w:lang w:eastAsia="fr-FR"/>
    </w:rPr>
  </w:style>
  <w:style w:type="paragraph" w:customStyle="1" w:styleId="xl80">
    <w:name w:val="xl80"/>
    <w:basedOn w:val="Normal"/>
    <w:uiPriority w:val="99"/>
    <w:rsid w:val="0087776E"/>
    <w:pPr>
      <w:shd w:val="clear" w:color="000000" w:fill="C5D9F1"/>
      <w:spacing w:before="100" w:beforeAutospacing="1" w:after="100" w:afterAutospacing="1"/>
    </w:pPr>
    <w:rPr>
      <w:rFonts w:eastAsia="Times New Roman"/>
      <w:sz w:val="24"/>
      <w:szCs w:val="24"/>
      <w:lang w:eastAsia="fr-FR"/>
    </w:rPr>
  </w:style>
  <w:style w:type="paragraph" w:customStyle="1" w:styleId="xl81">
    <w:name w:val="xl81"/>
    <w:basedOn w:val="Normal"/>
    <w:uiPriority w:val="99"/>
    <w:rsid w:val="0087776E"/>
    <w:pPr>
      <w:shd w:val="clear" w:color="000000" w:fill="C5D9F1"/>
      <w:spacing w:before="100" w:beforeAutospacing="1" w:after="100" w:afterAutospacing="1"/>
    </w:pPr>
    <w:rPr>
      <w:rFonts w:eastAsia="Times New Roman"/>
      <w:b/>
      <w:bCs/>
      <w:i/>
      <w:iCs/>
      <w:sz w:val="24"/>
      <w:szCs w:val="24"/>
      <w:lang w:eastAsia="fr-FR"/>
    </w:rPr>
  </w:style>
  <w:style w:type="paragraph" w:customStyle="1" w:styleId="xl82">
    <w:name w:val="xl82"/>
    <w:basedOn w:val="Normal"/>
    <w:uiPriority w:val="99"/>
    <w:rsid w:val="0087776E"/>
    <w:pPr>
      <w:spacing w:before="100" w:beforeAutospacing="1" w:after="100" w:afterAutospacing="1"/>
    </w:pPr>
    <w:rPr>
      <w:rFonts w:eastAsia="Times New Roman"/>
      <w:b/>
      <w:bCs/>
      <w:sz w:val="24"/>
      <w:szCs w:val="24"/>
      <w:lang w:eastAsia="fr-FR"/>
    </w:rPr>
  </w:style>
  <w:style w:type="paragraph" w:customStyle="1" w:styleId="xl83">
    <w:name w:val="xl83"/>
    <w:basedOn w:val="Normal"/>
    <w:uiPriority w:val="99"/>
    <w:rsid w:val="0087776E"/>
    <w:pPr>
      <w:shd w:val="clear" w:color="000000" w:fill="DAEEF3"/>
      <w:spacing w:before="100" w:beforeAutospacing="1" w:after="100" w:afterAutospacing="1"/>
    </w:pPr>
    <w:rPr>
      <w:rFonts w:eastAsia="Times New Roman"/>
      <w:b/>
      <w:bCs/>
      <w:sz w:val="24"/>
      <w:szCs w:val="24"/>
      <w:lang w:eastAsia="fr-FR"/>
    </w:rPr>
  </w:style>
  <w:style w:type="paragraph" w:customStyle="1" w:styleId="xl84">
    <w:name w:val="xl84"/>
    <w:basedOn w:val="Normal"/>
    <w:uiPriority w:val="99"/>
    <w:rsid w:val="0087776E"/>
    <w:pPr>
      <w:shd w:val="clear" w:color="000000" w:fill="DAEEF3"/>
      <w:spacing w:before="100" w:beforeAutospacing="1" w:after="100" w:afterAutospacing="1"/>
    </w:pPr>
    <w:rPr>
      <w:rFonts w:eastAsia="Times New Roman"/>
      <w:b/>
      <w:bCs/>
      <w:i/>
      <w:iCs/>
      <w:sz w:val="16"/>
      <w:szCs w:val="16"/>
      <w:lang w:eastAsia="fr-FR"/>
    </w:rPr>
  </w:style>
  <w:style w:type="paragraph" w:customStyle="1" w:styleId="xl85">
    <w:name w:val="xl85"/>
    <w:basedOn w:val="Normal"/>
    <w:uiPriority w:val="99"/>
    <w:rsid w:val="0087776E"/>
    <w:pPr>
      <w:spacing w:before="100" w:beforeAutospacing="1" w:after="100" w:afterAutospacing="1"/>
    </w:pPr>
    <w:rPr>
      <w:rFonts w:eastAsia="Times New Roman"/>
      <w:b/>
      <w:bCs/>
      <w:sz w:val="16"/>
      <w:szCs w:val="16"/>
      <w:lang w:eastAsia="fr-FR"/>
    </w:rPr>
  </w:style>
  <w:style w:type="paragraph" w:customStyle="1" w:styleId="xl86">
    <w:name w:val="xl86"/>
    <w:basedOn w:val="Normal"/>
    <w:uiPriority w:val="99"/>
    <w:rsid w:val="0087776E"/>
    <w:pPr>
      <w:spacing w:before="100" w:beforeAutospacing="1" w:after="100" w:afterAutospacing="1"/>
    </w:pPr>
    <w:rPr>
      <w:rFonts w:eastAsia="Times New Roman"/>
      <w:b/>
      <w:bCs/>
      <w:i/>
      <w:iCs/>
      <w:sz w:val="16"/>
      <w:szCs w:val="16"/>
      <w:lang w:eastAsia="fr-FR"/>
    </w:rPr>
  </w:style>
  <w:style w:type="paragraph" w:styleId="ListParagraph">
    <w:name w:val="List Paragraph"/>
    <w:basedOn w:val="Normal"/>
    <w:uiPriority w:val="34"/>
    <w:qFormat/>
    <w:rsid w:val="00CC5236"/>
    <w:pPr>
      <w:ind w:left="720"/>
      <w:contextualSpacing/>
    </w:pPr>
  </w:style>
  <w:style w:type="character" w:customStyle="1" w:styleId="element-citation">
    <w:name w:val="element-citation"/>
    <w:basedOn w:val="DefaultParagraphFont"/>
    <w:rsid w:val="00D51A36"/>
  </w:style>
  <w:style w:type="character" w:customStyle="1" w:styleId="ref-journal">
    <w:name w:val="ref-journal"/>
    <w:basedOn w:val="DefaultParagraphFont"/>
    <w:rsid w:val="00D51A36"/>
  </w:style>
  <w:style w:type="paragraph" w:styleId="FootnoteText">
    <w:name w:val="footnote text"/>
    <w:basedOn w:val="Normal"/>
    <w:link w:val="FootnoteTextChar"/>
    <w:uiPriority w:val="99"/>
    <w:semiHidden/>
    <w:unhideWhenUsed/>
    <w:rsid w:val="00355DEE"/>
    <w:rPr>
      <w:sz w:val="20"/>
      <w:szCs w:val="20"/>
    </w:rPr>
  </w:style>
  <w:style w:type="character" w:customStyle="1" w:styleId="FootnoteTextChar">
    <w:name w:val="Footnote Text Char"/>
    <w:basedOn w:val="DefaultParagraphFont"/>
    <w:link w:val="FootnoteText"/>
    <w:uiPriority w:val="99"/>
    <w:semiHidden/>
    <w:rsid w:val="00355DEE"/>
    <w:rPr>
      <w:sz w:val="20"/>
      <w:szCs w:val="20"/>
    </w:rPr>
  </w:style>
  <w:style w:type="character" w:styleId="FootnoteReference">
    <w:name w:val="footnote reference"/>
    <w:basedOn w:val="DefaultParagraphFont"/>
    <w:uiPriority w:val="99"/>
    <w:semiHidden/>
    <w:unhideWhenUsed/>
    <w:rsid w:val="00355DEE"/>
    <w:rPr>
      <w:vertAlign w:val="superscript"/>
    </w:rPr>
  </w:style>
  <w:style w:type="paragraph" w:styleId="Bibliography">
    <w:name w:val="Bibliography"/>
    <w:basedOn w:val="Normal"/>
    <w:next w:val="Normal"/>
    <w:uiPriority w:val="37"/>
    <w:unhideWhenUsed/>
    <w:rsid w:val="00EF38E9"/>
    <w:pPr>
      <w:tabs>
        <w:tab w:val="left" w:pos="504"/>
      </w:tabs>
      <w:spacing w:after="240"/>
      <w:ind w:left="504" w:hanging="504"/>
    </w:pPr>
  </w:style>
  <w:style w:type="character" w:customStyle="1" w:styleId="Heading4Char">
    <w:name w:val="Heading 4 Char"/>
    <w:basedOn w:val="DefaultParagraphFont"/>
    <w:link w:val="Heading4"/>
    <w:uiPriority w:val="9"/>
    <w:rsid w:val="00D91BB8"/>
    <w:rPr>
      <w:rFonts w:ascii="Times New Roman" w:hAnsi="Times New Roman" w:cs="Times New Roman"/>
      <w:i/>
      <w:sz w:val="24"/>
      <w:szCs w:val="24"/>
      <w:u w:val="single"/>
      <w:lang w:val="en-US"/>
    </w:rPr>
  </w:style>
  <w:style w:type="character" w:customStyle="1" w:styleId="Heading5Char">
    <w:name w:val="Heading 5 Char"/>
    <w:basedOn w:val="DefaultParagraphFont"/>
    <w:link w:val="Heading5"/>
    <w:uiPriority w:val="9"/>
    <w:rsid w:val="000D3D8F"/>
    <w:rPr>
      <w:rFonts w:ascii="Times New Roman" w:eastAsiaTheme="majorEastAsia" w:hAnsi="Times New Roman" w:cs="Times New Roman"/>
      <w:b/>
      <w:color w:val="243F60" w:themeColor="accent1" w:themeShade="7F"/>
      <w:sz w:val="24"/>
      <w:szCs w:val="24"/>
      <w:u w:val="single"/>
    </w:rPr>
  </w:style>
  <w:style w:type="character" w:customStyle="1" w:styleId="Heading6Char">
    <w:name w:val="Heading 6 Char"/>
    <w:basedOn w:val="DefaultParagraphFont"/>
    <w:link w:val="Heading6"/>
    <w:uiPriority w:val="9"/>
    <w:rsid w:val="00001FE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87043"/>
    <w:rPr>
      <w:sz w:val="16"/>
      <w:szCs w:val="16"/>
    </w:rPr>
  </w:style>
  <w:style w:type="paragraph" w:styleId="CommentText">
    <w:name w:val="annotation text"/>
    <w:basedOn w:val="Normal"/>
    <w:link w:val="CommentTextChar"/>
    <w:uiPriority w:val="99"/>
    <w:unhideWhenUsed/>
    <w:rsid w:val="00D87043"/>
    <w:rPr>
      <w:sz w:val="20"/>
      <w:szCs w:val="20"/>
    </w:rPr>
  </w:style>
  <w:style w:type="character" w:customStyle="1" w:styleId="CommentTextChar">
    <w:name w:val="Comment Text Char"/>
    <w:basedOn w:val="DefaultParagraphFont"/>
    <w:link w:val="CommentText"/>
    <w:uiPriority w:val="99"/>
    <w:rsid w:val="00D87043"/>
    <w:rPr>
      <w:sz w:val="20"/>
      <w:szCs w:val="20"/>
    </w:rPr>
  </w:style>
  <w:style w:type="paragraph" w:styleId="CommentSubject">
    <w:name w:val="annotation subject"/>
    <w:basedOn w:val="CommentText"/>
    <w:next w:val="CommentText"/>
    <w:link w:val="CommentSubjectChar"/>
    <w:uiPriority w:val="99"/>
    <w:semiHidden/>
    <w:unhideWhenUsed/>
    <w:rsid w:val="00D87043"/>
    <w:rPr>
      <w:b/>
      <w:bCs/>
    </w:rPr>
  </w:style>
  <w:style w:type="character" w:customStyle="1" w:styleId="CommentSubjectChar">
    <w:name w:val="Comment Subject Char"/>
    <w:basedOn w:val="CommentTextChar"/>
    <w:link w:val="CommentSubject"/>
    <w:uiPriority w:val="99"/>
    <w:semiHidden/>
    <w:rsid w:val="00D87043"/>
    <w:rPr>
      <w:b/>
      <w:bCs/>
      <w:sz w:val="20"/>
      <w:szCs w:val="20"/>
    </w:rPr>
  </w:style>
  <w:style w:type="paragraph" w:styleId="TOCHeading">
    <w:name w:val="TOC Heading"/>
    <w:basedOn w:val="Heading1"/>
    <w:next w:val="Normal"/>
    <w:uiPriority w:val="39"/>
    <w:semiHidden/>
    <w:unhideWhenUsed/>
    <w:qFormat/>
    <w:rsid w:val="008E64A1"/>
    <w:pPr>
      <w:spacing w:before="480" w:line="276" w:lineRule="auto"/>
      <w:jc w:val="left"/>
      <w:outlineLvl w:val="9"/>
    </w:pPr>
    <w:rPr>
      <w:rFonts w:asciiTheme="majorHAnsi" w:hAnsiTheme="majorHAnsi"/>
      <w:sz w:val="28"/>
      <w:lang w:eastAsia="fr-FR"/>
    </w:rPr>
  </w:style>
  <w:style w:type="paragraph" w:styleId="TOC1">
    <w:name w:val="toc 1"/>
    <w:basedOn w:val="Normal"/>
    <w:next w:val="Normal"/>
    <w:autoRedefine/>
    <w:uiPriority w:val="39"/>
    <w:unhideWhenUsed/>
    <w:rsid w:val="008E64A1"/>
    <w:pPr>
      <w:spacing w:after="100"/>
    </w:pPr>
  </w:style>
  <w:style w:type="paragraph" w:styleId="TOC2">
    <w:name w:val="toc 2"/>
    <w:basedOn w:val="Normal"/>
    <w:next w:val="Normal"/>
    <w:autoRedefine/>
    <w:uiPriority w:val="39"/>
    <w:unhideWhenUsed/>
    <w:rsid w:val="008E64A1"/>
    <w:pPr>
      <w:spacing w:after="100"/>
      <w:ind w:left="180"/>
    </w:pPr>
  </w:style>
  <w:style w:type="paragraph" w:styleId="TOC3">
    <w:name w:val="toc 3"/>
    <w:basedOn w:val="Normal"/>
    <w:next w:val="Normal"/>
    <w:autoRedefine/>
    <w:uiPriority w:val="39"/>
    <w:unhideWhenUsed/>
    <w:rsid w:val="00271EE7"/>
    <w:pPr>
      <w:spacing w:after="100"/>
      <w:ind w:left="360"/>
      <w:jc w:val="left"/>
    </w:pPr>
  </w:style>
  <w:style w:type="paragraph" w:customStyle="1" w:styleId="Standard">
    <w:name w:val="Standard"/>
    <w:uiPriority w:val="99"/>
    <w:rsid w:val="001D69D0"/>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Header">
    <w:name w:val="header"/>
    <w:basedOn w:val="Normal"/>
    <w:link w:val="HeaderChar"/>
    <w:uiPriority w:val="99"/>
    <w:unhideWhenUsed/>
    <w:rsid w:val="002B3FEB"/>
    <w:pPr>
      <w:tabs>
        <w:tab w:val="center" w:pos="4536"/>
        <w:tab w:val="right" w:pos="9072"/>
      </w:tabs>
    </w:pPr>
  </w:style>
  <w:style w:type="character" w:customStyle="1" w:styleId="HeaderChar">
    <w:name w:val="Header Char"/>
    <w:basedOn w:val="DefaultParagraphFont"/>
    <w:link w:val="Header"/>
    <w:uiPriority w:val="99"/>
    <w:rsid w:val="002B3FEB"/>
    <w:rPr>
      <w:sz w:val="18"/>
      <w:szCs w:val="18"/>
    </w:rPr>
  </w:style>
  <w:style w:type="paragraph" w:styleId="Footer">
    <w:name w:val="footer"/>
    <w:basedOn w:val="Normal"/>
    <w:link w:val="FooterChar"/>
    <w:uiPriority w:val="99"/>
    <w:unhideWhenUsed/>
    <w:rsid w:val="002B3FEB"/>
    <w:pPr>
      <w:tabs>
        <w:tab w:val="center" w:pos="4536"/>
        <w:tab w:val="right" w:pos="9072"/>
      </w:tabs>
    </w:pPr>
  </w:style>
  <w:style w:type="character" w:customStyle="1" w:styleId="FooterChar">
    <w:name w:val="Footer Char"/>
    <w:basedOn w:val="DefaultParagraphFont"/>
    <w:link w:val="Footer"/>
    <w:uiPriority w:val="99"/>
    <w:rsid w:val="002B3FEB"/>
    <w:rPr>
      <w:sz w:val="18"/>
      <w:szCs w:val="18"/>
    </w:rPr>
  </w:style>
  <w:style w:type="paragraph" w:customStyle="1" w:styleId="Default">
    <w:name w:val="Default"/>
    <w:uiPriority w:val="99"/>
    <w:rsid w:val="00FC6D19"/>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806039"/>
    <w:rPr>
      <w:rFonts w:ascii="Consolas" w:hAnsi="Consolas"/>
      <w:sz w:val="21"/>
      <w:szCs w:val="21"/>
    </w:rPr>
  </w:style>
  <w:style w:type="character" w:customStyle="1" w:styleId="PlainTextChar">
    <w:name w:val="Plain Text Char"/>
    <w:basedOn w:val="DefaultParagraphFont"/>
    <w:link w:val="PlainText"/>
    <w:uiPriority w:val="99"/>
    <w:rsid w:val="00806039"/>
    <w:rPr>
      <w:rFonts w:ascii="Consolas" w:hAnsi="Consolas"/>
      <w:sz w:val="21"/>
      <w:szCs w:val="21"/>
    </w:rPr>
  </w:style>
  <w:style w:type="paragraph" w:styleId="Subtitle">
    <w:name w:val="Subtitle"/>
    <w:basedOn w:val="Normal"/>
    <w:next w:val="Normal"/>
    <w:link w:val="SubtitleChar"/>
    <w:uiPriority w:val="11"/>
    <w:qFormat/>
    <w:rsid w:val="004563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5639A"/>
    <w:rPr>
      <w:rFonts w:asciiTheme="majorHAnsi" w:eastAsiaTheme="majorEastAsia" w:hAnsiTheme="majorHAnsi" w:cstheme="majorBidi"/>
      <w:i/>
      <w:iCs/>
      <w:color w:val="4F81BD" w:themeColor="accent1"/>
      <w:spacing w:val="15"/>
      <w:sz w:val="24"/>
      <w:szCs w:val="24"/>
      <w:lang w:val="en-CA"/>
    </w:rPr>
  </w:style>
  <w:style w:type="paragraph" w:styleId="Revision">
    <w:name w:val="Revision"/>
    <w:hidden/>
    <w:uiPriority w:val="99"/>
    <w:semiHidden/>
    <w:rsid w:val="00FB4337"/>
    <w:pPr>
      <w:spacing w:after="0" w:line="240" w:lineRule="auto"/>
    </w:pPr>
    <w:rPr>
      <w:rFonts w:ascii="Times New Roman" w:hAnsi="Times New Roman" w:cs="Times New Roman"/>
      <w:lang w:val="en-CA"/>
    </w:rPr>
  </w:style>
  <w:style w:type="character" w:customStyle="1" w:styleId="NoSpacingChar">
    <w:name w:val="No Spacing Char"/>
    <w:aliases w:val="Text Char"/>
    <w:basedOn w:val="DefaultParagraphFont"/>
    <w:link w:val="NoSpacing"/>
    <w:uiPriority w:val="1"/>
    <w:rsid w:val="00F217C6"/>
    <w:rPr>
      <w:rFonts w:ascii="Times New Roman" w:hAnsi="Times New Roman" w:cs="Times New Roman"/>
      <w:sz w:val="24"/>
      <w:szCs w:val="24"/>
      <w:lang w:val="en-GB"/>
    </w:rPr>
  </w:style>
  <w:style w:type="paragraph" w:customStyle="1" w:styleId="p">
    <w:name w:val="p"/>
    <w:basedOn w:val="Normal"/>
    <w:rsid w:val="00EE47E5"/>
    <w:pPr>
      <w:spacing w:before="100" w:beforeAutospacing="1" w:after="100" w:afterAutospacing="1"/>
      <w:jc w:val="left"/>
    </w:pPr>
    <w:rPr>
      <w:rFonts w:eastAsia="Times New Roman"/>
      <w:sz w:val="24"/>
      <w:szCs w:val="24"/>
      <w:lang w:val="en-GB" w:eastAsia="en-GB"/>
    </w:rPr>
  </w:style>
  <w:style w:type="paragraph" w:customStyle="1" w:styleId="MDPI13authornames">
    <w:name w:val="MDPI_1.3_authornames"/>
    <w:next w:val="Normal"/>
    <w:qFormat/>
    <w:rsid w:val="00CF718F"/>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2title">
    <w:name w:val="MDPI_1.2_title"/>
    <w:next w:val="MDPI13authornames"/>
    <w:qFormat/>
    <w:rsid w:val="00CF718F"/>
    <w:pPr>
      <w:adjustRightInd w:val="0"/>
      <w:snapToGrid w:val="0"/>
      <w:spacing w:after="240" w:line="240" w:lineRule="atLeast"/>
    </w:pPr>
    <w:rPr>
      <w:rFonts w:ascii="Palatino Linotype" w:eastAsia="Times New Roman" w:hAnsi="Palatino Linotype" w:cs="Times New Roman"/>
      <w:b/>
      <w:color w:val="000000"/>
      <w:sz w:val="36"/>
      <w:szCs w:val="20"/>
      <w:lang w:val="en-US" w:eastAsia="de-DE" w:bidi="en-US"/>
    </w:rPr>
  </w:style>
  <w:style w:type="paragraph" w:customStyle="1" w:styleId="MDPI16affiliation">
    <w:name w:val="MDPI_1.6_affiliation"/>
    <w:basedOn w:val="Normal"/>
    <w:qFormat/>
    <w:rsid w:val="00A05770"/>
    <w:pPr>
      <w:adjustRightInd w:val="0"/>
      <w:snapToGrid w:val="0"/>
      <w:spacing w:line="200" w:lineRule="atLeast"/>
      <w:ind w:left="311" w:hanging="198"/>
      <w:jc w:val="left"/>
    </w:pPr>
    <w:rPr>
      <w:rFonts w:ascii="Palatino Linotype" w:eastAsia="Times New Roman" w:hAnsi="Palatino Linotype"/>
      <w:color w:val="000000"/>
      <w:sz w:val="18"/>
      <w:szCs w:val="18"/>
      <w:lang w:val="en-US" w:eastAsia="de-DE" w:bidi="en-US"/>
    </w:rPr>
  </w:style>
  <w:style w:type="character" w:customStyle="1" w:styleId="Mentionnonrsolue1">
    <w:name w:val="Mention non résolue1"/>
    <w:basedOn w:val="DefaultParagraphFont"/>
    <w:uiPriority w:val="99"/>
    <w:semiHidden/>
    <w:unhideWhenUsed/>
    <w:rsid w:val="00C71469"/>
    <w:rPr>
      <w:color w:val="605E5C"/>
      <w:shd w:val="clear" w:color="auto" w:fill="E1DFDD"/>
    </w:rPr>
  </w:style>
  <w:style w:type="paragraph" w:customStyle="1" w:styleId="MDPI62Acknowledgments">
    <w:name w:val="MDPI_6.2_Acknowledgments"/>
    <w:qFormat/>
    <w:rsid w:val="00255AA1"/>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61Supplementary">
    <w:name w:val="MDPI_6.1_Supplementary"/>
    <w:basedOn w:val="MDPI62Acknowledgments"/>
    <w:qFormat/>
    <w:rsid w:val="00255AA1"/>
    <w:pPr>
      <w:spacing w:before="240"/>
    </w:pPr>
    <w:rPr>
      <w:lang w:eastAsia="en-US"/>
    </w:rPr>
  </w:style>
  <w:style w:type="paragraph" w:customStyle="1" w:styleId="MDPI63AuthorContributions">
    <w:name w:val="MDPI_6.3_AuthorContributions"/>
    <w:basedOn w:val="MDPI62Acknowledgments"/>
    <w:qFormat/>
    <w:rsid w:val="00255AA1"/>
    <w:rPr>
      <w:rFonts w:eastAsia="SimSun"/>
      <w:color w:val="auto"/>
      <w:lang w:eastAsia="en-US"/>
    </w:rPr>
  </w:style>
  <w:style w:type="paragraph" w:customStyle="1" w:styleId="MDPI64CoI">
    <w:name w:val="MDPI_6.4_CoI"/>
    <w:basedOn w:val="MDPI62Acknowledgments"/>
    <w:qFormat/>
    <w:rsid w:val="00255AA1"/>
  </w:style>
  <w:style w:type="paragraph" w:customStyle="1" w:styleId="MDPI21heading1">
    <w:name w:val="MDPI_2.1_heading1"/>
    <w:basedOn w:val="Normal"/>
    <w:qFormat/>
    <w:rsid w:val="00255AA1"/>
    <w:pPr>
      <w:adjustRightInd w:val="0"/>
      <w:snapToGrid w:val="0"/>
      <w:spacing w:before="240" w:after="120" w:line="260" w:lineRule="atLeast"/>
      <w:jc w:val="left"/>
      <w:outlineLvl w:val="0"/>
    </w:pPr>
    <w:rPr>
      <w:rFonts w:ascii="Palatino Linotype" w:eastAsia="Times New Roman" w:hAnsi="Palatino Linotype"/>
      <w:b/>
      <w:snapToGrid w:val="0"/>
      <w:color w:val="000000"/>
      <w:sz w:val="20"/>
      <w:lang w:val="en-US" w:eastAsia="de-DE" w:bidi="en-US"/>
    </w:rPr>
  </w:style>
  <w:style w:type="character" w:customStyle="1" w:styleId="Mentionnonrsolue2">
    <w:name w:val="Mention non résolue2"/>
    <w:basedOn w:val="DefaultParagraphFont"/>
    <w:uiPriority w:val="99"/>
    <w:semiHidden/>
    <w:unhideWhenUsed/>
    <w:rsid w:val="000E06A2"/>
    <w:rPr>
      <w:color w:val="605E5C"/>
      <w:shd w:val="clear" w:color="auto" w:fill="E1DFDD"/>
    </w:rPr>
  </w:style>
  <w:style w:type="character" w:styleId="LineNumber">
    <w:name w:val="line number"/>
    <w:basedOn w:val="DefaultParagraphFont"/>
    <w:uiPriority w:val="99"/>
    <w:semiHidden/>
    <w:unhideWhenUsed/>
    <w:rsid w:val="00BA5A60"/>
  </w:style>
  <w:style w:type="paragraph" w:customStyle="1" w:styleId="msonormal0">
    <w:name w:val="msonormal"/>
    <w:basedOn w:val="Normal"/>
    <w:uiPriority w:val="99"/>
    <w:semiHidden/>
    <w:rsid w:val="00F021B0"/>
    <w:pPr>
      <w:spacing w:before="100" w:beforeAutospacing="1" w:after="100" w:afterAutospacing="1"/>
    </w:pPr>
    <w:rPr>
      <w:rFonts w:eastAsiaTheme="minorEastAsia"/>
      <w:sz w:val="24"/>
      <w:szCs w:val="24"/>
      <w:lang w:eastAsia="fr-FR"/>
    </w:rPr>
  </w:style>
  <w:style w:type="character" w:customStyle="1" w:styleId="MaintextCar">
    <w:name w:val="Main text Car"/>
    <w:basedOn w:val="NoSpacingChar"/>
    <w:link w:val="Maintext"/>
    <w:semiHidden/>
    <w:locked/>
    <w:rsid w:val="00F021B0"/>
    <w:rPr>
      <w:rFonts w:ascii="Times New Roman" w:hAnsi="Times New Roman" w:cs="Times New Roman"/>
      <w:sz w:val="24"/>
      <w:szCs w:val="24"/>
      <w:lang w:val="en-GB"/>
    </w:rPr>
  </w:style>
  <w:style w:type="paragraph" w:customStyle="1" w:styleId="Maintext">
    <w:name w:val="Main text"/>
    <w:basedOn w:val="NoSpacing"/>
    <w:link w:val="MaintextCar"/>
    <w:semiHidden/>
    <w:qFormat/>
    <w:rsid w:val="00F021B0"/>
    <w:pPr>
      <w:autoSpaceDN w:val="0"/>
      <w:spacing w:line="240" w:lineRule="auto"/>
    </w:pPr>
  </w:style>
  <w:style w:type="character" w:customStyle="1" w:styleId="UnresolvedMention1">
    <w:name w:val="Unresolved Mention1"/>
    <w:basedOn w:val="DefaultParagraphFont"/>
    <w:uiPriority w:val="99"/>
    <w:semiHidden/>
    <w:unhideWhenUsed/>
    <w:rsid w:val="00512741"/>
    <w:rPr>
      <w:color w:val="605E5C"/>
      <w:shd w:val="clear" w:color="auto" w:fill="E1DFDD"/>
    </w:rPr>
  </w:style>
  <w:style w:type="character" w:customStyle="1" w:styleId="Mentionnonrsolue3">
    <w:name w:val="Mention non résolue3"/>
    <w:basedOn w:val="DefaultParagraphFont"/>
    <w:uiPriority w:val="99"/>
    <w:semiHidden/>
    <w:unhideWhenUsed/>
    <w:rsid w:val="00561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863">
      <w:bodyDiv w:val="1"/>
      <w:marLeft w:val="0"/>
      <w:marRight w:val="0"/>
      <w:marTop w:val="0"/>
      <w:marBottom w:val="0"/>
      <w:divBdr>
        <w:top w:val="none" w:sz="0" w:space="0" w:color="auto"/>
        <w:left w:val="none" w:sz="0" w:space="0" w:color="auto"/>
        <w:bottom w:val="none" w:sz="0" w:space="0" w:color="auto"/>
        <w:right w:val="none" w:sz="0" w:space="0" w:color="auto"/>
      </w:divBdr>
    </w:div>
    <w:div w:id="21053764">
      <w:bodyDiv w:val="1"/>
      <w:marLeft w:val="0"/>
      <w:marRight w:val="0"/>
      <w:marTop w:val="0"/>
      <w:marBottom w:val="0"/>
      <w:divBdr>
        <w:top w:val="none" w:sz="0" w:space="0" w:color="auto"/>
        <w:left w:val="none" w:sz="0" w:space="0" w:color="auto"/>
        <w:bottom w:val="none" w:sz="0" w:space="0" w:color="auto"/>
        <w:right w:val="none" w:sz="0" w:space="0" w:color="auto"/>
      </w:divBdr>
    </w:div>
    <w:div w:id="31925685">
      <w:bodyDiv w:val="1"/>
      <w:marLeft w:val="0"/>
      <w:marRight w:val="0"/>
      <w:marTop w:val="0"/>
      <w:marBottom w:val="0"/>
      <w:divBdr>
        <w:top w:val="none" w:sz="0" w:space="0" w:color="auto"/>
        <w:left w:val="none" w:sz="0" w:space="0" w:color="auto"/>
        <w:bottom w:val="none" w:sz="0" w:space="0" w:color="auto"/>
        <w:right w:val="none" w:sz="0" w:space="0" w:color="auto"/>
      </w:divBdr>
    </w:div>
    <w:div w:id="40249824">
      <w:bodyDiv w:val="1"/>
      <w:marLeft w:val="0"/>
      <w:marRight w:val="0"/>
      <w:marTop w:val="0"/>
      <w:marBottom w:val="0"/>
      <w:divBdr>
        <w:top w:val="none" w:sz="0" w:space="0" w:color="auto"/>
        <w:left w:val="none" w:sz="0" w:space="0" w:color="auto"/>
        <w:bottom w:val="none" w:sz="0" w:space="0" w:color="auto"/>
        <w:right w:val="none" w:sz="0" w:space="0" w:color="auto"/>
      </w:divBdr>
    </w:div>
    <w:div w:id="103160610">
      <w:bodyDiv w:val="1"/>
      <w:marLeft w:val="0"/>
      <w:marRight w:val="0"/>
      <w:marTop w:val="0"/>
      <w:marBottom w:val="0"/>
      <w:divBdr>
        <w:top w:val="none" w:sz="0" w:space="0" w:color="auto"/>
        <w:left w:val="none" w:sz="0" w:space="0" w:color="auto"/>
        <w:bottom w:val="none" w:sz="0" w:space="0" w:color="auto"/>
        <w:right w:val="none" w:sz="0" w:space="0" w:color="auto"/>
      </w:divBdr>
    </w:div>
    <w:div w:id="107773445">
      <w:bodyDiv w:val="1"/>
      <w:marLeft w:val="0"/>
      <w:marRight w:val="0"/>
      <w:marTop w:val="0"/>
      <w:marBottom w:val="0"/>
      <w:divBdr>
        <w:top w:val="none" w:sz="0" w:space="0" w:color="auto"/>
        <w:left w:val="none" w:sz="0" w:space="0" w:color="auto"/>
        <w:bottom w:val="none" w:sz="0" w:space="0" w:color="auto"/>
        <w:right w:val="none" w:sz="0" w:space="0" w:color="auto"/>
      </w:divBdr>
    </w:div>
    <w:div w:id="108084163">
      <w:bodyDiv w:val="1"/>
      <w:marLeft w:val="0"/>
      <w:marRight w:val="0"/>
      <w:marTop w:val="0"/>
      <w:marBottom w:val="0"/>
      <w:divBdr>
        <w:top w:val="none" w:sz="0" w:space="0" w:color="auto"/>
        <w:left w:val="none" w:sz="0" w:space="0" w:color="auto"/>
        <w:bottom w:val="none" w:sz="0" w:space="0" w:color="auto"/>
        <w:right w:val="none" w:sz="0" w:space="0" w:color="auto"/>
      </w:divBdr>
    </w:div>
    <w:div w:id="142620434">
      <w:bodyDiv w:val="1"/>
      <w:marLeft w:val="0"/>
      <w:marRight w:val="0"/>
      <w:marTop w:val="0"/>
      <w:marBottom w:val="0"/>
      <w:divBdr>
        <w:top w:val="none" w:sz="0" w:space="0" w:color="auto"/>
        <w:left w:val="none" w:sz="0" w:space="0" w:color="auto"/>
        <w:bottom w:val="none" w:sz="0" w:space="0" w:color="auto"/>
        <w:right w:val="none" w:sz="0" w:space="0" w:color="auto"/>
      </w:divBdr>
    </w:div>
    <w:div w:id="159467825">
      <w:bodyDiv w:val="1"/>
      <w:marLeft w:val="0"/>
      <w:marRight w:val="0"/>
      <w:marTop w:val="0"/>
      <w:marBottom w:val="0"/>
      <w:divBdr>
        <w:top w:val="none" w:sz="0" w:space="0" w:color="auto"/>
        <w:left w:val="none" w:sz="0" w:space="0" w:color="auto"/>
        <w:bottom w:val="none" w:sz="0" w:space="0" w:color="auto"/>
        <w:right w:val="none" w:sz="0" w:space="0" w:color="auto"/>
      </w:divBdr>
    </w:div>
    <w:div w:id="192962666">
      <w:bodyDiv w:val="1"/>
      <w:marLeft w:val="0"/>
      <w:marRight w:val="0"/>
      <w:marTop w:val="0"/>
      <w:marBottom w:val="0"/>
      <w:divBdr>
        <w:top w:val="none" w:sz="0" w:space="0" w:color="auto"/>
        <w:left w:val="none" w:sz="0" w:space="0" w:color="auto"/>
        <w:bottom w:val="none" w:sz="0" w:space="0" w:color="auto"/>
        <w:right w:val="none" w:sz="0" w:space="0" w:color="auto"/>
      </w:divBdr>
    </w:div>
    <w:div w:id="222570672">
      <w:bodyDiv w:val="1"/>
      <w:marLeft w:val="0"/>
      <w:marRight w:val="0"/>
      <w:marTop w:val="0"/>
      <w:marBottom w:val="0"/>
      <w:divBdr>
        <w:top w:val="none" w:sz="0" w:space="0" w:color="auto"/>
        <w:left w:val="none" w:sz="0" w:space="0" w:color="auto"/>
        <w:bottom w:val="none" w:sz="0" w:space="0" w:color="auto"/>
        <w:right w:val="none" w:sz="0" w:space="0" w:color="auto"/>
      </w:divBdr>
    </w:div>
    <w:div w:id="231473640">
      <w:bodyDiv w:val="1"/>
      <w:marLeft w:val="0"/>
      <w:marRight w:val="0"/>
      <w:marTop w:val="0"/>
      <w:marBottom w:val="0"/>
      <w:divBdr>
        <w:top w:val="none" w:sz="0" w:space="0" w:color="auto"/>
        <w:left w:val="none" w:sz="0" w:space="0" w:color="auto"/>
        <w:bottom w:val="none" w:sz="0" w:space="0" w:color="auto"/>
        <w:right w:val="none" w:sz="0" w:space="0" w:color="auto"/>
      </w:divBdr>
    </w:div>
    <w:div w:id="235866798">
      <w:bodyDiv w:val="1"/>
      <w:marLeft w:val="0"/>
      <w:marRight w:val="0"/>
      <w:marTop w:val="0"/>
      <w:marBottom w:val="0"/>
      <w:divBdr>
        <w:top w:val="none" w:sz="0" w:space="0" w:color="auto"/>
        <w:left w:val="none" w:sz="0" w:space="0" w:color="auto"/>
        <w:bottom w:val="none" w:sz="0" w:space="0" w:color="auto"/>
        <w:right w:val="none" w:sz="0" w:space="0" w:color="auto"/>
      </w:divBdr>
    </w:div>
    <w:div w:id="286082344">
      <w:bodyDiv w:val="1"/>
      <w:marLeft w:val="0"/>
      <w:marRight w:val="0"/>
      <w:marTop w:val="0"/>
      <w:marBottom w:val="0"/>
      <w:divBdr>
        <w:top w:val="none" w:sz="0" w:space="0" w:color="auto"/>
        <w:left w:val="none" w:sz="0" w:space="0" w:color="auto"/>
        <w:bottom w:val="none" w:sz="0" w:space="0" w:color="auto"/>
        <w:right w:val="none" w:sz="0" w:space="0" w:color="auto"/>
      </w:divBdr>
    </w:div>
    <w:div w:id="307784388">
      <w:bodyDiv w:val="1"/>
      <w:marLeft w:val="0"/>
      <w:marRight w:val="0"/>
      <w:marTop w:val="0"/>
      <w:marBottom w:val="0"/>
      <w:divBdr>
        <w:top w:val="none" w:sz="0" w:space="0" w:color="auto"/>
        <w:left w:val="none" w:sz="0" w:space="0" w:color="auto"/>
        <w:bottom w:val="none" w:sz="0" w:space="0" w:color="auto"/>
        <w:right w:val="none" w:sz="0" w:space="0" w:color="auto"/>
      </w:divBdr>
    </w:div>
    <w:div w:id="339940216">
      <w:bodyDiv w:val="1"/>
      <w:marLeft w:val="0"/>
      <w:marRight w:val="0"/>
      <w:marTop w:val="0"/>
      <w:marBottom w:val="0"/>
      <w:divBdr>
        <w:top w:val="none" w:sz="0" w:space="0" w:color="auto"/>
        <w:left w:val="none" w:sz="0" w:space="0" w:color="auto"/>
        <w:bottom w:val="none" w:sz="0" w:space="0" w:color="auto"/>
        <w:right w:val="none" w:sz="0" w:space="0" w:color="auto"/>
      </w:divBdr>
    </w:div>
    <w:div w:id="351035744">
      <w:bodyDiv w:val="1"/>
      <w:marLeft w:val="0"/>
      <w:marRight w:val="0"/>
      <w:marTop w:val="0"/>
      <w:marBottom w:val="0"/>
      <w:divBdr>
        <w:top w:val="none" w:sz="0" w:space="0" w:color="auto"/>
        <w:left w:val="none" w:sz="0" w:space="0" w:color="auto"/>
        <w:bottom w:val="none" w:sz="0" w:space="0" w:color="auto"/>
        <w:right w:val="none" w:sz="0" w:space="0" w:color="auto"/>
      </w:divBdr>
    </w:div>
    <w:div w:id="366221416">
      <w:bodyDiv w:val="1"/>
      <w:marLeft w:val="0"/>
      <w:marRight w:val="0"/>
      <w:marTop w:val="0"/>
      <w:marBottom w:val="0"/>
      <w:divBdr>
        <w:top w:val="none" w:sz="0" w:space="0" w:color="auto"/>
        <w:left w:val="none" w:sz="0" w:space="0" w:color="auto"/>
        <w:bottom w:val="none" w:sz="0" w:space="0" w:color="auto"/>
        <w:right w:val="none" w:sz="0" w:space="0" w:color="auto"/>
      </w:divBdr>
    </w:div>
    <w:div w:id="373698410">
      <w:bodyDiv w:val="1"/>
      <w:marLeft w:val="0"/>
      <w:marRight w:val="0"/>
      <w:marTop w:val="0"/>
      <w:marBottom w:val="0"/>
      <w:divBdr>
        <w:top w:val="none" w:sz="0" w:space="0" w:color="auto"/>
        <w:left w:val="none" w:sz="0" w:space="0" w:color="auto"/>
        <w:bottom w:val="none" w:sz="0" w:space="0" w:color="auto"/>
        <w:right w:val="none" w:sz="0" w:space="0" w:color="auto"/>
      </w:divBdr>
    </w:div>
    <w:div w:id="402870533">
      <w:bodyDiv w:val="1"/>
      <w:marLeft w:val="0"/>
      <w:marRight w:val="0"/>
      <w:marTop w:val="0"/>
      <w:marBottom w:val="0"/>
      <w:divBdr>
        <w:top w:val="none" w:sz="0" w:space="0" w:color="auto"/>
        <w:left w:val="none" w:sz="0" w:space="0" w:color="auto"/>
        <w:bottom w:val="none" w:sz="0" w:space="0" w:color="auto"/>
        <w:right w:val="none" w:sz="0" w:space="0" w:color="auto"/>
      </w:divBdr>
    </w:div>
    <w:div w:id="439685180">
      <w:bodyDiv w:val="1"/>
      <w:marLeft w:val="0"/>
      <w:marRight w:val="0"/>
      <w:marTop w:val="0"/>
      <w:marBottom w:val="0"/>
      <w:divBdr>
        <w:top w:val="none" w:sz="0" w:space="0" w:color="auto"/>
        <w:left w:val="none" w:sz="0" w:space="0" w:color="auto"/>
        <w:bottom w:val="none" w:sz="0" w:space="0" w:color="auto"/>
        <w:right w:val="none" w:sz="0" w:space="0" w:color="auto"/>
      </w:divBdr>
    </w:div>
    <w:div w:id="491992936">
      <w:bodyDiv w:val="1"/>
      <w:marLeft w:val="0"/>
      <w:marRight w:val="0"/>
      <w:marTop w:val="0"/>
      <w:marBottom w:val="0"/>
      <w:divBdr>
        <w:top w:val="none" w:sz="0" w:space="0" w:color="auto"/>
        <w:left w:val="none" w:sz="0" w:space="0" w:color="auto"/>
        <w:bottom w:val="none" w:sz="0" w:space="0" w:color="auto"/>
        <w:right w:val="none" w:sz="0" w:space="0" w:color="auto"/>
      </w:divBdr>
    </w:div>
    <w:div w:id="494608096">
      <w:bodyDiv w:val="1"/>
      <w:marLeft w:val="0"/>
      <w:marRight w:val="0"/>
      <w:marTop w:val="0"/>
      <w:marBottom w:val="0"/>
      <w:divBdr>
        <w:top w:val="none" w:sz="0" w:space="0" w:color="auto"/>
        <w:left w:val="none" w:sz="0" w:space="0" w:color="auto"/>
        <w:bottom w:val="none" w:sz="0" w:space="0" w:color="auto"/>
        <w:right w:val="none" w:sz="0" w:space="0" w:color="auto"/>
      </w:divBdr>
    </w:div>
    <w:div w:id="520970179">
      <w:bodyDiv w:val="1"/>
      <w:marLeft w:val="0"/>
      <w:marRight w:val="0"/>
      <w:marTop w:val="0"/>
      <w:marBottom w:val="0"/>
      <w:divBdr>
        <w:top w:val="none" w:sz="0" w:space="0" w:color="auto"/>
        <w:left w:val="none" w:sz="0" w:space="0" w:color="auto"/>
        <w:bottom w:val="none" w:sz="0" w:space="0" w:color="auto"/>
        <w:right w:val="none" w:sz="0" w:space="0" w:color="auto"/>
      </w:divBdr>
    </w:div>
    <w:div w:id="528878290">
      <w:bodyDiv w:val="1"/>
      <w:marLeft w:val="0"/>
      <w:marRight w:val="0"/>
      <w:marTop w:val="0"/>
      <w:marBottom w:val="0"/>
      <w:divBdr>
        <w:top w:val="none" w:sz="0" w:space="0" w:color="auto"/>
        <w:left w:val="none" w:sz="0" w:space="0" w:color="auto"/>
        <w:bottom w:val="none" w:sz="0" w:space="0" w:color="auto"/>
        <w:right w:val="none" w:sz="0" w:space="0" w:color="auto"/>
      </w:divBdr>
    </w:div>
    <w:div w:id="552228711">
      <w:bodyDiv w:val="1"/>
      <w:marLeft w:val="0"/>
      <w:marRight w:val="0"/>
      <w:marTop w:val="0"/>
      <w:marBottom w:val="0"/>
      <w:divBdr>
        <w:top w:val="none" w:sz="0" w:space="0" w:color="auto"/>
        <w:left w:val="none" w:sz="0" w:space="0" w:color="auto"/>
        <w:bottom w:val="none" w:sz="0" w:space="0" w:color="auto"/>
        <w:right w:val="none" w:sz="0" w:space="0" w:color="auto"/>
      </w:divBdr>
    </w:div>
    <w:div w:id="554506934">
      <w:bodyDiv w:val="1"/>
      <w:marLeft w:val="0"/>
      <w:marRight w:val="0"/>
      <w:marTop w:val="0"/>
      <w:marBottom w:val="0"/>
      <w:divBdr>
        <w:top w:val="none" w:sz="0" w:space="0" w:color="auto"/>
        <w:left w:val="none" w:sz="0" w:space="0" w:color="auto"/>
        <w:bottom w:val="none" w:sz="0" w:space="0" w:color="auto"/>
        <w:right w:val="none" w:sz="0" w:space="0" w:color="auto"/>
      </w:divBdr>
    </w:div>
    <w:div w:id="568152550">
      <w:bodyDiv w:val="1"/>
      <w:marLeft w:val="0"/>
      <w:marRight w:val="0"/>
      <w:marTop w:val="0"/>
      <w:marBottom w:val="0"/>
      <w:divBdr>
        <w:top w:val="none" w:sz="0" w:space="0" w:color="auto"/>
        <w:left w:val="none" w:sz="0" w:space="0" w:color="auto"/>
        <w:bottom w:val="none" w:sz="0" w:space="0" w:color="auto"/>
        <w:right w:val="none" w:sz="0" w:space="0" w:color="auto"/>
      </w:divBdr>
    </w:div>
    <w:div w:id="638993291">
      <w:bodyDiv w:val="1"/>
      <w:marLeft w:val="0"/>
      <w:marRight w:val="0"/>
      <w:marTop w:val="0"/>
      <w:marBottom w:val="0"/>
      <w:divBdr>
        <w:top w:val="none" w:sz="0" w:space="0" w:color="auto"/>
        <w:left w:val="none" w:sz="0" w:space="0" w:color="auto"/>
        <w:bottom w:val="none" w:sz="0" w:space="0" w:color="auto"/>
        <w:right w:val="none" w:sz="0" w:space="0" w:color="auto"/>
      </w:divBdr>
    </w:div>
    <w:div w:id="679164221">
      <w:bodyDiv w:val="1"/>
      <w:marLeft w:val="0"/>
      <w:marRight w:val="0"/>
      <w:marTop w:val="0"/>
      <w:marBottom w:val="0"/>
      <w:divBdr>
        <w:top w:val="none" w:sz="0" w:space="0" w:color="auto"/>
        <w:left w:val="none" w:sz="0" w:space="0" w:color="auto"/>
        <w:bottom w:val="none" w:sz="0" w:space="0" w:color="auto"/>
        <w:right w:val="none" w:sz="0" w:space="0" w:color="auto"/>
      </w:divBdr>
    </w:div>
    <w:div w:id="762645214">
      <w:bodyDiv w:val="1"/>
      <w:marLeft w:val="0"/>
      <w:marRight w:val="0"/>
      <w:marTop w:val="0"/>
      <w:marBottom w:val="0"/>
      <w:divBdr>
        <w:top w:val="none" w:sz="0" w:space="0" w:color="auto"/>
        <w:left w:val="none" w:sz="0" w:space="0" w:color="auto"/>
        <w:bottom w:val="none" w:sz="0" w:space="0" w:color="auto"/>
        <w:right w:val="none" w:sz="0" w:space="0" w:color="auto"/>
      </w:divBdr>
    </w:div>
    <w:div w:id="763577599">
      <w:bodyDiv w:val="1"/>
      <w:marLeft w:val="0"/>
      <w:marRight w:val="0"/>
      <w:marTop w:val="0"/>
      <w:marBottom w:val="0"/>
      <w:divBdr>
        <w:top w:val="none" w:sz="0" w:space="0" w:color="auto"/>
        <w:left w:val="none" w:sz="0" w:space="0" w:color="auto"/>
        <w:bottom w:val="none" w:sz="0" w:space="0" w:color="auto"/>
        <w:right w:val="none" w:sz="0" w:space="0" w:color="auto"/>
      </w:divBdr>
    </w:div>
    <w:div w:id="765419422">
      <w:bodyDiv w:val="1"/>
      <w:marLeft w:val="0"/>
      <w:marRight w:val="0"/>
      <w:marTop w:val="0"/>
      <w:marBottom w:val="0"/>
      <w:divBdr>
        <w:top w:val="none" w:sz="0" w:space="0" w:color="auto"/>
        <w:left w:val="none" w:sz="0" w:space="0" w:color="auto"/>
        <w:bottom w:val="none" w:sz="0" w:space="0" w:color="auto"/>
        <w:right w:val="none" w:sz="0" w:space="0" w:color="auto"/>
      </w:divBdr>
    </w:div>
    <w:div w:id="795873447">
      <w:bodyDiv w:val="1"/>
      <w:marLeft w:val="0"/>
      <w:marRight w:val="0"/>
      <w:marTop w:val="0"/>
      <w:marBottom w:val="0"/>
      <w:divBdr>
        <w:top w:val="none" w:sz="0" w:space="0" w:color="auto"/>
        <w:left w:val="none" w:sz="0" w:space="0" w:color="auto"/>
        <w:bottom w:val="none" w:sz="0" w:space="0" w:color="auto"/>
        <w:right w:val="none" w:sz="0" w:space="0" w:color="auto"/>
      </w:divBdr>
    </w:div>
    <w:div w:id="827865609">
      <w:bodyDiv w:val="1"/>
      <w:marLeft w:val="0"/>
      <w:marRight w:val="0"/>
      <w:marTop w:val="0"/>
      <w:marBottom w:val="0"/>
      <w:divBdr>
        <w:top w:val="none" w:sz="0" w:space="0" w:color="auto"/>
        <w:left w:val="none" w:sz="0" w:space="0" w:color="auto"/>
        <w:bottom w:val="none" w:sz="0" w:space="0" w:color="auto"/>
        <w:right w:val="none" w:sz="0" w:space="0" w:color="auto"/>
      </w:divBdr>
    </w:div>
    <w:div w:id="842089787">
      <w:bodyDiv w:val="1"/>
      <w:marLeft w:val="0"/>
      <w:marRight w:val="0"/>
      <w:marTop w:val="0"/>
      <w:marBottom w:val="0"/>
      <w:divBdr>
        <w:top w:val="none" w:sz="0" w:space="0" w:color="auto"/>
        <w:left w:val="none" w:sz="0" w:space="0" w:color="auto"/>
        <w:bottom w:val="none" w:sz="0" w:space="0" w:color="auto"/>
        <w:right w:val="none" w:sz="0" w:space="0" w:color="auto"/>
      </w:divBdr>
    </w:div>
    <w:div w:id="869760047">
      <w:bodyDiv w:val="1"/>
      <w:marLeft w:val="0"/>
      <w:marRight w:val="0"/>
      <w:marTop w:val="0"/>
      <w:marBottom w:val="0"/>
      <w:divBdr>
        <w:top w:val="none" w:sz="0" w:space="0" w:color="auto"/>
        <w:left w:val="none" w:sz="0" w:space="0" w:color="auto"/>
        <w:bottom w:val="none" w:sz="0" w:space="0" w:color="auto"/>
        <w:right w:val="none" w:sz="0" w:space="0" w:color="auto"/>
      </w:divBdr>
    </w:div>
    <w:div w:id="875001309">
      <w:bodyDiv w:val="1"/>
      <w:marLeft w:val="0"/>
      <w:marRight w:val="0"/>
      <w:marTop w:val="0"/>
      <w:marBottom w:val="0"/>
      <w:divBdr>
        <w:top w:val="none" w:sz="0" w:space="0" w:color="auto"/>
        <w:left w:val="none" w:sz="0" w:space="0" w:color="auto"/>
        <w:bottom w:val="none" w:sz="0" w:space="0" w:color="auto"/>
        <w:right w:val="none" w:sz="0" w:space="0" w:color="auto"/>
      </w:divBdr>
    </w:div>
    <w:div w:id="906846486">
      <w:bodyDiv w:val="1"/>
      <w:marLeft w:val="0"/>
      <w:marRight w:val="0"/>
      <w:marTop w:val="0"/>
      <w:marBottom w:val="0"/>
      <w:divBdr>
        <w:top w:val="none" w:sz="0" w:space="0" w:color="auto"/>
        <w:left w:val="none" w:sz="0" w:space="0" w:color="auto"/>
        <w:bottom w:val="none" w:sz="0" w:space="0" w:color="auto"/>
        <w:right w:val="none" w:sz="0" w:space="0" w:color="auto"/>
      </w:divBdr>
    </w:div>
    <w:div w:id="907106601">
      <w:bodyDiv w:val="1"/>
      <w:marLeft w:val="0"/>
      <w:marRight w:val="0"/>
      <w:marTop w:val="0"/>
      <w:marBottom w:val="0"/>
      <w:divBdr>
        <w:top w:val="none" w:sz="0" w:space="0" w:color="auto"/>
        <w:left w:val="none" w:sz="0" w:space="0" w:color="auto"/>
        <w:bottom w:val="none" w:sz="0" w:space="0" w:color="auto"/>
        <w:right w:val="none" w:sz="0" w:space="0" w:color="auto"/>
      </w:divBdr>
    </w:div>
    <w:div w:id="964965581">
      <w:bodyDiv w:val="1"/>
      <w:marLeft w:val="0"/>
      <w:marRight w:val="0"/>
      <w:marTop w:val="0"/>
      <w:marBottom w:val="0"/>
      <w:divBdr>
        <w:top w:val="none" w:sz="0" w:space="0" w:color="auto"/>
        <w:left w:val="none" w:sz="0" w:space="0" w:color="auto"/>
        <w:bottom w:val="none" w:sz="0" w:space="0" w:color="auto"/>
        <w:right w:val="none" w:sz="0" w:space="0" w:color="auto"/>
      </w:divBdr>
    </w:div>
    <w:div w:id="980233449">
      <w:bodyDiv w:val="1"/>
      <w:marLeft w:val="0"/>
      <w:marRight w:val="0"/>
      <w:marTop w:val="0"/>
      <w:marBottom w:val="0"/>
      <w:divBdr>
        <w:top w:val="none" w:sz="0" w:space="0" w:color="auto"/>
        <w:left w:val="none" w:sz="0" w:space="0" w:color="auto"/>
        <w:bottom w:val="none" w:sz="0" w:space="0" w:color="auto"/>
        <w:right w:val="none" w:sz="0" w:space="0" w:color="auto"/>
      </w:divBdr>
    </w:div>
    <w:div w:id="1029916981">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89547673">
      <w:bodyDiv w:val="1"/>
      <w:marLeft w:val="0"/>
      <w:marRight w:val="0"/>
      <w:marTop w:val="0"/>
      <w:marBottom w:val="0"/>
      <w:divBdr>
        <w:top w:val="none" w:sz="0" w:space="0" w:color="auto"/>
        <w:left w:val="none" w:sz="0" w:space="0" w:color="auto"/>
        <w:bottom w:val="none" w:sz="0" w:space="0" w:color="auto"/>
        <w:right w:val="none" w:sz="0" w:space="0" w:color="auto"/>
      </w:divBdr>
    </w:div>
    <w:div w:id="1143422732">
      <w:bodyDiv w:val="1"/>
      <w:marLeft w:val="0"/>
      <w:marRight w:val="0"/>
      <w:marTop w:val="0"/>
      <w:marBottom w:val="0"/>
      <w:divBdr>
        <w:top w:val="none" w:sz="0" w:space="0" w:color="auto"/>
        <w:left w:val="none" w:sz="0" w:space="0" w:color="auto"/>
        <w:bottom w:val="none" w:sz="0" w:space="0" w:color="auto"/>
        <w:right w:val="none" w:sz="0" w:space="0" w:color="auto"/>
      </w:divBdr>
      <w:divsChild>
        <w:div w:id="164133108">
          <w:marLeft w:val="0"/>
          <w:marRight w:val="0"/>
          <w:marTop w:val="0"/>
          <w:marBottom w:val="0"/>
          <w:divBdr>
            <w:top w:val="none" w:sz="0" w:space="0" w:color="auto"/>
            <w:left w:val="none" w:sz="0" w:space="0" w:color="auto"/>
            <w:bottom w:val="none" w:sz="0" w:space="0" w:color="auto"/>
            <w:right w:val="none" w:sz="0" w:space="0" w:color="auto"/>
          </w:divBdr>
        </w:div>
        <w:div w:id="1584072220">
          <w:marLeft w:val="0"/>
          <w:marRight w:val="0"/>
          <w:marTop w:val="0"/>
          <w:marBottom w:val="0"/>
          <w:divBdr>
            <w:top w:val="none" w:sz="0" w:space="0" w:color="auto"/>
            <w:left w:val="none" w:sz="0" w:space="0" w:color="auto"/>
            <w:bottom w:val="none" w:sz="0" w:space="0" w:color="auto"/>
            <w:right w:val="none" w:sz="0" w:space="0" w:color="auto"/>
          </w:divBdr>
        </w:div>
        <w:div w:id="1758403156">
          <w:marLeft w:val="0"/>
          <w:marRight w:val="0"/>
          <w:marTop w:val="0"/>
          <w:marBottom w:val="0"/>
          <w:divBdr>
            <w:top w:val="none" w:sz="0" w:space="0" w:color="auto"/>
            <w:left w:val="none" w:sz="0" w:space="0" w:color="auto"/>
            <w:bottom w:val="none" w:sz="0" w:space="0" w:color="auto"/>
            <w:right w:val="none" w:sz="0" w:space="0" w:color="auto"/>
          </w:divBdr>
        </w:div>
        <w:div w:id="163472187">
          <w:marLeft w:val="0"/>
          <w:marRight w:val="0"/>
          <w:marTop w:val="0"/>
          <w:marBottom w:val="0"/>
          <w:divBdr>
            <w:top w:val="none" w:sz="0" w:space="0" w:color="auto"/>
            <w:left w:val="none" w:sz="0" w:space="0" w:color="auto"/>
            <w:bottom w:val="none" w:sz="0" w:space="0" w:color="auto"/>
            <w:right w:val="none" w:sz="0" w:space="0" w:color="auto"/>
          </w:divBdr>
        </w:div>
        <w:div w:id="1825005096">
          <w:marLeft w:val="0"/>
          <w:marRight w:val="0"/>
          <w:marTop w:val="0"/>
          <w:marBottom w:val="0"/>
          <w:divBdr>
            <w:top w:val="none" w:sz="0" w:space="0" w:color="auto"/>
            <w:left w:val="none" w:sz="0" w:space="0" w:color="auto"/>
            <w:bottom w:val="none" w:sz="0" w:space="0" w:color="auto"/>
            <w:right w:val="none" w:sz="0" w:space="0" w:color="auto"/>
          </w:divBdr>
        </w:div>
        <w:div w:id="1290472796">
          <w:marLeft w:val="0"/>
          <w:marRight w:val="0"/>
          <w:marTop w:val="0"/>
          <w:marBottom w:val="0"/>
          <w:divBdr>
            <w:top w:val="none" w:sz="0" w:space="0" w:color="auto"/>
            <w:left w:val="none" w:sz="0" w:space="0" w:color="auto"/>
            <w:bottom w:val="none" w:sz="0" w:space="0" w:color="auto"/>
            <w:right w:val="none" w:sz="0" w:space="0" w:color="auto"/>
          </w:divBdr>
        </w:div>
        <w:div w:id="123155334">
          <w:marLeft w:val="0"/>
          <w:marRight w:val="0"/>
          <w:marTop w:val="0"/>
          <w:marBottom w:val="0"/>
          <w:divBdr>
            <w:top w:val="none" w:sz="0" w:space="0" w:color="auto"/>
            <w:left w:val="none" w:sz="0" w:space="0" w:color="auto"/>
            <w:bottom w:val="none" w:sz="0" w:space="0" w:color="auto"/>
            <w:right w:val="none" w:sz="0" w:space="0" w:color="auto"/>
          </w:divBdr>
        </w:div>
        <w:div w:id="550312311">
          <w:marLeft w:val="0"/>
          <w:marRight w:val="0"/>
          <w:marTop w:val="0"/>
          <w:marBottom w:val="0"/>
          <w:divBdr>
            <w:top w:val="none" w:sz="0" w:space="0" w:color="auto"/>
            <w:left w:val="none" w:sz="0" w:space="0" w:color="auto"/>
            <w:bottom w:val="none" w:sz="0" w:space="0" w:color="auto"/>
            <w:right w:val="none" w:sz="0" w:space="0" w:color="auto"/>
          </w:divBdr>
        </w:div>
        <w:div w:id="20127644">
          <w:marLeft w:val="0"/>
          <w:marRight w:val="0"/>
          <w:marTop w:val="0"/>
          <w:marBottom w:val="0"/>
          <w:divBdr>
            <w:top w:val="none" w:sz="0" w:space="0" w:color="auto"/>
            <w:left w:val="none" w:sz="0" w:space="0" w:color="auto"/>
            <w:bottom w:val="none" w:sz="0" w:space="0" w:color="auto"/>
            <w:right w:val="none" w:sz="0" w:space="0" w:color="auto"/>
          </w:divBdr>
        </w:div>
      </w:divsChild>
    </w:div>
    <w:div w:id="1143546372">
      <w:bodyDiv w:val="1"/>
      <w:marLeft w:val="0"/>
      <w:marRight w:val="0"/>
      <w:marTop w:val="0"/>
      <w:marBottom w:val="0"/>
      <w:divBdr>
        <w:top w:val="none" w:sz="0" w:space="0" w:color="auto"/>
        <w:left w:val="none" w:sz="0" w:space="0" w:color="auto"/>
        <w:bottom w:val="none" w:sz="0" w:space="0" w:color="auto"/>
        <w:right w:val="none" w:sz="0" w:space="0" w:color="auto"/>
      </w:divBdr>
    </w:div>
    <w:div w:id="1156188841">
      <w:bodyDiv w:val="1"/>
      <w:marLeft w:val="0"/>
      <w:marRight w:val="0"/>
      <w:marTop w:val="0"/>
      <w:marBottom w:val="0"/>
      <w:divBdr>
        <w:top w:val="none" w:sz="0" w:space="0" w:color="auto"/>
        <w:left w:val="none" w:sz="0" w:space="0" w:color="auto"/>
        <w:bottom w:val="none" w:sz="0" w:space="0" w:color="auto"/>
        <w:right w:val="none" w:sz="0" w:space="0" w:color="auto"/>
      </w:divBdr>
    </w:div>
    <w:div w:id="1170944382">
      <w:bodyDiv w:val="1"/>
      <w:marLeft w:val="0"/>
      <w:marRight w:val="0"/>
      <w:marTop w:val="0"/>
      <w:marBottom w:val="0"/>
      <w:divBdr>
        <w:top w:val="none" w:sz="0" w:space="0" w:color="auto"/>
        <w:left w:val="none" w:sz="0" w:space="0" w:color="auto"/>
        <w:bottom w:val="none" w:sz="0" w:space="0" w:color="auto"/>
        <w:right w:val="none" w:sz="0" w:space="0" w:color="auto"/>
      </w:divBdr>
    </w:div>
    <w:div w:id="1184242558">
      <w:bodyDiv w:val="1"/>
      <w:marLeft w:val="0"/>
      <w:marRight w:val="0"/>
      <w:marTop w:val="0"/>
      <w:marBottom w:val="0"/>
      <w:divBdr>
        <w:top w:val="none" w:sz="0" w:space="0" w:color="auto"/>
        <w:left w:val="none" w:sz="0" w:space="0" w:color="auto"/>
        <w:bottom w:val="none" w:sz="0" w:space="0" w:color="auto"/>
        <w:right w:val="none" w:sz="0" w:space="0" w:color="auto"/>
      </w:divBdr>
    </w:div>
    <w:div w:id="1186138640">
      <w:bodyDiv w:val="1"/>
      <w:marLeft w:val="0"/>
      <w:marRight w:val="0"/>
      <w:marTop w:val="0"/>
      <w:marBottom w:val="0"/>
      <w:divBdr>
        <w:top w:val="none" w:sz="0" w:space="0" w:color="auto"/>
        <w:left w:val="none" w:sz="0" w:space="0" w:color="auto"/>
        <w:bottom w:val="none" w:sz="0" w:space="0" w:color="auto"/>
        <w:right w:val="none" w:sz="0" w:space="0" w:color="auto"/>
      </w:divBdr>
    </w:div>
    <w:div w:id="1231422962">
      <w:bodyDiv w:val="1"/>
      <w:marLeft w:val="0"/>
      <w:marRight w:val="0"/>
      <w:marTop w:val="0"/>
      <w:marBottom w:val="0"/>
      <w:divBdr>
        <w:top w:val="none" w:sz="0" w:space="0" w:color="auto"/>
        <w:left w:val="none" w:sz="0" w:space="0" w:color="auto"/>
        <w:bottom w:val="none" w:sz="0" w:space="0" w:color="auto"/>
        <w:right w:val="none" w:sz="0" w:space="0" w:color="auto"/>
      </w:divBdr>
    </w:div>
    <w:div w:id="1253705172">
      <w:bodyDiv w:val="1"/>
      <w:marLeft w:val="0"/>
      <w:marRight w:val="0"/>
      <w:marTop w:val="0"/>
      <w:marBottom w:val="0"/>
      <w:divBdr>
        <w:top w:val="none" w:sz="0" w:space="0" w:color="auto"/>
        <w:left w:val="none" w:sz="0" w:space="0" w:color="auto"/>
        <w:bottom w:val="none" w:sz="0" w:space="0" w:color="auto"/>
        <w:right w:val="none" w:sz="0" w:space="0" w:color="auto"/>
      </w:divBdr>
    </w:div>
    <w:div w:id="1272323602">
      <w:bodyDiv w:val="1"/>
      <w:marLeft w:val="0"/>
      <w:marRight w:val="0"/>
      <w:marTop w:val="0"/>
      <w:marBottom w:val="0"/>
      <w:divBdr>
        <w:top w:val="none" w:sz="0" w:space="0" w:color="auto"/>
        <w:left w:val="none" w:sz="0" w:space="0" w:color="auto"/>
        <w:bottom w:val="none" w:sz="0" w:space="0" w:color="auto"/>
        <w:right w:val="none" w:sz="0" w:space="0" w:color="auto"/>
      </w:divBdr>
    </w:div>
    <w:div w:id="1316295649">
      <w:bodyDiv w:val="1"/>
      <w:marLeft w:val="0"/>
      <w:marRight w:val="0"/>
      <w:marTop w:val="0"/>
      <w:marBottom w:val="0"/>
      <w:divBdr>
        <w:top w:val="none" w:sz="0" w:space="0" w:color="auto"/>
        <w:left w:val="none" w:sz="0" w:space="0" w:color="auto"/>
        <w:bottom w:val="none" w:sz="0" w:space="0" w:color="auto"/>
        <w:right w:val="none" w:sz="0" w:space="0" w:color="auto"/>
      </w:divBdr>
    </w:div>
    <w:div w:id="1424491285">
      <w:bodyDiv w:val="1"/>
      <w:marLeft w:val="0"/>
      <w:marRight w:val="0"/>
      <w:marTop w:val="0"/>
      <w:marBottom w:val="0"/>
      <w:divBdr>
        <w:top w:val="none" w:sz="0" w:space="0" w:color="auto"/>
        <w:left w:val="none" w:sz="0" w:space="0" w:color="auto"/>
        <w:bottom w:val="none" w:sz="0" w:space="0" w:color="auto"/>
        <w:right w:val="none" w:sz="0" w:space="0" w:color="auto"/>
      </w:divBdr>
      <w:divsChild>
        <w:div w:id="9915271">
          <w:marLeft w:val="0"/>
          <w:marRight w:val="0"/>
          <w:marTop w:val="0"/>
          <w:marBottom w:val="0"/>
          <w:divBdr>
            <w:top w:val="none" w:sz="0" w:space="0" w:color="auto"/>
            <w:left w:val="none" w:sz="0" w:space="0" w:color="auto"/>
            <w:bottom w:val="none" w:sz="0" w:space="0" w:color="auto"/>
            <w:right w:val="none" w:sz="0" w:space="0" w:color="auto"/>
          </w:divBdr>
        </w:div>
        <w:div w:id="555046195">
          <w:marLeft w:val="0"/>
          <w:marRight w:val="0"/>
          <w:marTop w:val="0"/>
          <w:marBottom w:val="0"/>
          <w:divBdr>
            <w:top w:val="none" w:sz="0" w:space="0" w:color="auto"/>
            <w:left w:val="none" w:sz="0" w:space="0" w:color="auto"/>
            <w:bottom w:val="none" w:sz="0" w:space="0" w:color="auto"/>
            <w:right w:val="none" w:sz="0" w:space="0" w:color="auto"/>
          </w:divBdr>
        </w:div>
        <w:div w:id="593438536">
          <w:marLeft w:val="0"/>
          <w:marRight w:val="0"/>
          <w:marTop w:val="0"/>
          <w:marBottom w:val="0"/>
          <w:divBdr>
            <w:top w:val="none" w:sz="0" w:space="0" w:color="auto"/>
            <w:left w:val="none" w:sz="0" w:space="0" w:color="auto"/>
            <w:bottom w:val="none" w:sz="0" w:space="0" w:color="auto"/>
            <w:right w:val="none" w:sz="0" w:space="0" w:color="auto"/>
          </w:divBdr>
        </w:div>
        <w:div w:id="216629226">
          <w:marLeft w:val="0"/>
          <w:marRight w:val="0"/>
          <w:marTop w:val="0"/>
          <w:marBottom w:val="0"/>
          <w:divBdr>
            <w:top w:val="none" w:sz="0" w:space="0" w:color="auto"/>
            <w:left w:val="none" w:sz="0" w:space="0" w:color="auto"/>
            <w:bottom w:val="none" w:sz="0" w:space="0" w:color="auto"/>
            <w:right w:val="none" w:sz="0" w:space="0" w:color="auto"/>
          </w:divBdr>
        </w:div>
        <w:div w:id="1482960089">
          <w:marLeft w:val="0"/>
          <w:marRight w:val="0"/>
          <w:marTop w:val="0"/>
          <w:marBottom w:val="0"/>
          <w:divBdr>
            <w:top w:val="none" w:sz="0" w:space="0" w:color="auto"/>
            <w:left w:val="none" w:sz="0" w:space="0" w:color="auto"/>
            <w:bottom w:val="none" w:sz="0" w:space="0" w:color="auto"/>
            <w:right w:val="none" w:sz="0" w:space="0" w:color="auto"/>
          </w:divBdr>
        </w:div>
        <w:div w:id="393504683">
          <w:marLeft w:val="0"/>
          <w:marRight w:val="0"/>
          <w:marTop w:val="0"/>
          <w:marBottom w:val="0"/>
          <w:divBdr>
            <w:top w:val="none" w:sz="0" w:space="0" w:color="auto"/>
            <w:left w:val="none" w:sz="0" w:space="0" w:color="auto"/>
            <w:bottom w:val="none" w:sz="0" w:space="0" w:color="auto"/>
            <w:right w:val="none" w:sz="0" w:space="0" w:color="auto"/>
          </w:divBdr>
        </w:div>
        <w:div w:id="846482012">
          <w:marLeft w:val="0"/>
          <w:marRight w:val="0"/>
          <w:marTop w:val="0"/>
          <w:marBottom w:val="0"/>
          <w:divBdr>
            <w:top w:val="none" w:sz="0" w:space="0" w:color="auto"/>
            <w:left w:val="none" w:sz="0" w:space="0" w:color="auto"/>
            <w:bottom w:val="none" w:sz="0" w:space="0" w:color="auto"/>
            <w:right w:val="none" w:sz="0" w:space="0" w:color="auto"/>
          </w:divBdr>
        </w:div>
      </w:divsChild>
    </w:div>
    <w:div w:id="1454448109">
      <w:bodyDiv w:val="1"/>
      <w:marLeft w:val="0"/>
      <w:marRight w:val="0"/>
      <w:marTop w:val="0"/>
      <w:marBottom w:val="0"/>
      <w:divBdr>
        <w:top w:val="none" w:sz="0" w:space="0" w:color="auto"/>
        <w:left w:val="none" w:sz="0" w:space="0" w:color="auto"/>
        <w:bottom w:val="none" w:sz="0" w:space="0" w:color="auto"/>
        <w:right w:val="none" w:sz="0" w:space="0" w:color="auto"/>
      </w:divBdr>
    </w:div>
    <w:div w:id="1470316018">
      <w:bodyDiv w:val="1"/>
      <w:marLeft w:val="0"/>
      <w:marRight w:val="0"/>
      <w:marTop w:val="0"/>
      <w:marBottom w:val="0"/>
      <w:divBdr>
        <w:top w:val="none" w:sz="0" w:space="0" w:color="auto"/>
        <w:left w:val="none" w:sz="0" w:space="0" w:color="auto"/>
        <w:bottom w:val="none" w:sz="0" w:space="0" w:color="auto"/>
        <w:right w:val="none" w:sz="0" w:space="0" w:color="auto"/>
      </w:divBdr>
    </w:div>
    <w:div w:id="1486160595">
      <w:bodyDiv w:val="1"/>
      <w:marLeft w:val="0"/>
      <w:marRight w:val="0"/>
      <w:marTop w:val="0"/>
      <w:marBottom w:val="0"/>
      <w:divBdr>
        <w:top w:val="none" w:sz="0" w:space="0" w:color="auto"/>
        <w:left w:val="none" w:sz="0" w:space="0" w:color="auto"/>
        <w:bottom w:val="none" w:sz="0" w:space="0" w:color="auto"/>
        <w:right w:val="none" w:sz="0" w:space="0" w:color="auto"/>
      </w:divBdr>
    </w:div>
    <w:div w:id="1492481885">
      <w:bodyDiv w:val="1"/>
      <w:marLeft w:val="0"/>
      <w:marRight w:val="0"/>
      <w:marTop w:val="0"/>
      <w:marBottom w:val="0"/>
      <w:divBdr>
        <w:top w:val="none" w:sz="0" w:space="0" w:color="auto"/>
        <w:left w:val="none" w:sz="0" w:space="0" w:color="auto"/>
        <w:bottom w:val="none" w:sz="0" w:space="0" w:color="auto"/>
        <w:right w:val="none" w:sz="0" w:space="0" w:color="auto"/>
      </w:divBdr>
    </w:div>
    <w:div w:id="1505127803">
      <w:bodyDiv w:val="1"/>
      <w:marLeft w:val="0"/>
      <w:marRight w:val="0"/>
      <w:marTop w:val="0"/>
      <w:marBottom w:val="0"/>
      <w:divBdr>
        <w:top w:val="none" w:sz="0" w:space="0" w:color="auto"/>
        <w:left w:val="none" w:sz="0" w:space="0" w:color="auto"/>
        <w:bottom w:val="none" w:sz="0" w:space="0" w:color="auto"/>
        <w:right w:val="none" w:sz="0" w:space="0" w:color="auto"/>
      </w:divBdr>
    </w:div>
    <w:div w:id="1518345882">
      <w:bodyDiv w:val="1"/>
      <w:marLeft w:val="0"/>
      <w:marRight w:val="0"/>
      <w:marTop w:val="0"/>
      <w:marBottom w:val="0"/>
      <w:divBdr>
        <w:top w:val="none" w:sz="0" w:space="0" w:color="auto"/>
        <w:left w:val="none" w:sz="0" w:space="0" w:color="auto"/>
        <w:bottom w:val="none" w:sz="0" w:space="0" w:color="auto"/>
        <w:right w:val="none" w:sz="0" w:space="0" w:color="auto"/>
      </w:divBdr>
    </w:div>
    <w:div w:id="1536381542">
      <w:bodyDiv w:val="1"/>
      <w:marLeft w:val="0"/>
      <w:marRight w:val="0"/>
      <w:marTop w:val="0"/>
      <w:marBottom w:val="0"/>
      <w:divBdr>
        <w:top w:val="none" w:sz="0" w:space="0" w:color="auto"/>
        <w:left w:val="none" w:sz="0" w:space="0" w:color="auto"/>
        <w:bottom w:val="none" w:sz="0" w:space="0" w:color="auto"/>
        <w:right w:val="none" w:sz="0" w:space="0" w:color="auto"/>
      </w:divBdr>
    </w:div>
    <w:div w:id="1575628037">
      <w:bodyDiv w:val="1"/>
      <w:marLeft w:val="0"/>
      <w:marRight w:val="0"/>
      <w:marTop w:val="0"/>
      <w:marBottom w:val="0"/>
      <w:divBdr>
        <w:top w:val="none" w:sz="0" w:space="0" w:color="auto"/>
        <w:left w:val="none" w:sz="0" w:space="0" w:color="auto"/>
        <w:bottom w:val="none" w:sz="0" w:space="0" w:color="auto"/>
        <w:right w:val="none" w:sz="0" w:space="0" w:color="auto"/>
      </w:divBdr>
    </w:div>
    <w:div w:id="1640332496">
      <w:bodyDiv w:val="1"/>
      <w:marLeft w:val="0"/>
      <w:marRight w:val="0"/>
      <w:marTop w:val="0"/>
      <w:marBottom w:val="0"/>
      <w:divBdr>
        <w:top w:val="none" w:sz="0" w:space="0" w:color="auto"/>
        <w:left w:val="none" w:sz="0" w:space="0" w:color="auto"/>
        <w:bottom w:val="none" w:sz="0" w:space="0" w:color="auto"/>
        <w:right w:val="none" w:sz="0" w:space="0" w:color="auto"/>
      </w:divBdr>
      <w:divsChild>
        <w:div w:id="40595493">
          <w:marLeft w:val="0"/>
          <w:marRight w:val="0"/>
          <w:marTop w:val="0"/>
          <w:marBottom w:val="0"/>
          <w:divBdr>
            <w:top w:val="none" w:sz="0" w:space="0" w:color="auto"/>
            <w:left w:val="none" w:sz="0" w:space="0" w:color="auto"/>
            <w:bottom w:val="none" w:sz="0" w:space="0" w:color="auto"/>
            <w:right w:val="none" w:sz="0" w:space="0" w:color="auto"/>
          </w:divBdr>
        </w:div>
        <w:div w:id="1854341465">
          <w:marLeft w:val="0"/>
          <w:marRight w:val="0"/>
          <w:marTop w:val="0"/>
          <w:marBottom w:val="0"/>
          <w:divBdr>
            <w:top w:val="none" w:sz="0" w:space="0" w:color="auto"/>
            <w:left w:val="none" w:sz="0" w:space="0" w:color="auto"/>
            <w:bottom w:val="none" w:sz="0" w:space="0" w:color="auto"/>
            <w:right w:val="none" w:sz="0" w:space="0" w:color="auto"/>
          </w:divBdr>
        </w:div>
        <w:div w:id="1319920117">
          <w:marLeft w:val="0"/>
          <w:marRight w:val="0"/>
          <w:marTop w:val="0"/>
          <w:marBottom w:val="0"/>
          <w:divBdr>
            <w:top w:val="none" w:sz="0" w:space="0" w:color="auto"/>
            <w:left w:val="none" w:sz="0" w:space="0" w:color="auto"/>
            <w:bottom w:val="none" w:sz="0" w:space="0" w:color="auto"/>
            <w:right w:val="none" w:sz="0" w:space="0" w:color="auto"/>
          </w:divBdr>
        </w:div>
        <w:div w:id="561867819">
          <w:marLeft w:val="0"/>
          <w:marRight w:val="0"/>
          <w:marTop w:val="0"/>
          <w:marBottom w:val="0"/>
          <w:divBdr>
            <w:top w:val="none" w:sz="0" w:space="0" w:color="auto"/>
            <w:left w:val="none" w:sz="0" w:space="0" w:color="auto"/>
            <w:bottom w:val="none" w:sz="0" w:space="0" w:color="auto"/>
            <w:right w:val="none" w:sz="0" w:space="0" w:color="auto"/>
          </w:divBdr>
        </w:div>
      </w:divsChild>
    </w:div>
    <w:div w:id="1641224433">
      <w:bodyDiv w:val="1"/>
      <w:marLeft w:val="0"/>
      <w:marRight w:val="0"/>
      <w:marTop w:val="0"/>
      <w:marBottom w:val="0"/>
      <w:divBdr>
        <w:top w:val="none" w:sz="0" w:space="0" w:color="auto"/>
        <w:left w:val="none" w:sz="0" w:space="0" w:color="auto"/>
        <w:bottom w:val="none" w:sz="0" w:space="0" w:color="auto"/>
        <w:right w:val="none" w:sz="0" w:space="0" w:color="auto"/>
      </w:divBdr>
    </w:div>
    <w:div w:id="1643345506">
      <w:bodyDiv w:val="1"/>
      <w:marLeft w:val="0"/>
      <w:marRight w:val="0"/>
      <w:marTop w:val="0"/>
      <w:marBottom w:val="0"/>
      <w:divBdr>
        <w:top w:val="none" w:sz="0" w:space="0" w:color="auto"/>
        <w:left w:val="none" w:sz="0" w:space="0" w:color="auto"/>
        <w:bottom w:val="none" w:sz="0" w:space="0" w:color="auto"/>
        <w:right w:val="none" w:sz="0" w:space="0" w:color="auto"/>
      </w:divBdr>
    </w:div>
    <w:div w:id="1656254795">
      <w:bodyDiv w:val="1"/>
      <w:marLeft w:val="0"/>
      <w:marRight w:val="0"/>
      <w:marTop w:val="0"/>
      <w:marBottom w:val="0"/>
      <w:divBdr>
        <w:top w:val="none" w:sz="0" w:space="0" w:color="auto"/>
        <w:left w:val="none" w:sz="0" w:space="0" w:color="auto"/>
        <w:bottom w:val="none" w:sz="0" w:space="0" w:color="auto"/>
        <w:right w:val="none" w:sz="0" w:space="0" w:color="auto"/>
      </w:divBdr>
      <w:divsChild>
        <w:div w:id="1158957624">
          <w:marLeft w:val="0"/>
          <w:marRight w:val="0"/>
          <w:marTop w:val="0"/>
          <w:marBottom w:val="0"/>
          <w:divBdr>
            <w:top w:val="none" w:sz="0" w:space="0" w:color="auto"/>
            <w:left w:val="none" w:sz="0" w:space="0" w:color="auto"/>
            <w:bottom w:val="none" w:sz="0" w:space="0" w:color="auto"/>
            <w:right w:val="none" w:sz="0" w:space="0" w:color="auto"/>
          </w:divBdr>
          <w:divsChild>
            <w:div w:id="10418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6221">
      <w:bodyDiv w:val="1"/>
      <w:marLeft w:val="0"/>
      <w:marRight w:val="0"/>
      <w:marTop w:val="0"/>
      <w:marBottom w:val="0"/>
      <w:divBdr>
        <w:top w:val="none" w:sz="0" w:space="0" w:color="auto"/>
        <w:left w:val="none" w:sz="0" w:space="0" w:color="auto"/>
        <w:bottom w:val="none" w:sz="0" w:space="0" w:color="auto"/>
        <w:right w:val="none" w:sz="0" w:space="0" w:color="auto"/>
      </w:divBdr>
    </w:div>
    <w:div w:id="1741949620">
      <w:bodyDiv w:val="1"/>
      <w:marLeft w:val="0"/>
      <w:marRight w:val="0"/>
      <w:marTop w:val="0"/>
      <w:marBottom w:val="0"/>
      <w:divBdr>
        <w:top w:val="none" w:sz="0" w:space="0" w:color="auto"/>
        <w:left w:val="none" w:sz="0" w:space="0" w:color="auto"/>
        <w:bottom w:val="none" w:sz="0" w:space="0" w:color="auto"/>
        <w:right w:val="none" w:sz="0" w:space="0" w:color="auto"/>
      </w:divBdr>
    </w:div>
    <w:div w:id="1779906380">
      <w:bodyDiv w:val="1"/>
      <w:marLeft w:val="0"/>
      <w:marRight w:val="0"/>
      <w:marTop w:val="0"/>
      <w:marBottom w:val="0"/>
      <w:divBdr>
        <w:top w:val="none" w:sz="0" w:space="0" w:color="auto"/>
        <w:left w:val="none" w:sz="0" w:space="0" w:color="auto"/>
        <w:bottom w:val="none" w:sz="0" w:space="0" w:color="auto"/>
        <w:right w:val="none" w:sz="0" w:space="0" w:color="auto"/>
      </w:divBdr>
    </w:div>
    <w:div w:id="1831561583">
      <w:bodyDiv w:val="1"/>
      <w:marLeft w:val="0"/>
      <w:marRight w:val="0"/>
      <w:marTop w:val="0"/>
      <w:marBottom w:val="0"/>
      <w:divBdr>
        <w:top w:val="none" w:sz="0" w:space="0" w:color="auto"/>
        <w:left w:val="none" w:sz="0" w:space="0" w:color="auto"/>
        <w:bottom w:val="none" w:sz="0" w:space="0" w:color="auto"/>
        <w:right w:val="none" w:sz="0" w:space="0" w:color="auto"/>
      </w:divBdr>
    </w:div>
    <w:div w:id="1880629843">
      <w:bodyDiv w:val="1"/>
      <w:marLeft w:val="0"/>
      <w:marRight w:val="0"/>
      <w:marTop w:val="0"/>
      <w:marBottom w:val="0"/>
      <w:divBdr>
        <w:top w:val="none" w:sz="0" w:space="0" w:color="auto"/>
        <w:left w:val="none" w:sz="0" w:space="0" w:color="auto"/>
        <w:bottom w:val="none" w:sz="0" w:space="0" w:color="auto"/>
        <w:right w:val="none" w:sz="0" w:space="0" w:color="auto"/>
      </w:divBdr>
    </w:div>
    <w:div w:id="1943301310">
      <w:bodyDiv w:val="1"/>
      <w:marLeft w:val="0"/>
      <w:marRight w:val="0"/>
      <w:marTop w:val="0"/>
      <w:marBottom w:val="0"/>
      <w:divBdr>
        <w:top w:val="none" w:sz="0" w:space="0" w:color="auto"/>
        <w:left w:val="none" w:sz="0" w:space="0" w:color="auto"/>
        <w:bottom w:val="none" w:sz="0" w:space="0" w:color="auto"/>
        <w:right w:val="none" w:sz="0" w:space="0" w:color="auto"/>
      </w:divBdr>
    </w:div>
    <w:div w:id="1992438254">
      <w:bodyDiv w:val="1"/>
      <w:marLeft w:val="0"/>
      <w:marRight w:val="0"/>
      <w:marTop w:val="0"/>
      <w:marBottom w:val="0"/>
      <w:divBdr>
        <w:top w:val="none" w:sz="0" w:space="0" w:color="auto"/>
        <w:left w:val="none" w:sz="0" w:space="0" w:color="auto"/>
        <w:bottom w:val="none" w:sz="0" w:space="0" w:color="auto"/>
        <w:right w:val="none" w:sz="0" w:space="0" w:color="auto"/>
      </w:divBdr>
    </w:div>
    <w:div w:id="2032993274">
      <w:bodyDiv w:val="1"/>
      <w:marLeft w:val="0"/>
      <w:marRight w:val="0"/>
      <w:marTop w:val="0"/>
      <w:marBottom w:val="0"/>
      <w:divBdr>
        <w:top w:val="none" w:sz="0" w:space="0" w:color="auto"/>
        <w:left w:val="none" w:sz="0" w:space="0" w:color="auto"/>
        <w:bottom w:val="none" w:sz="0" w:space="0" w:color="auto"/>
        <w:right w:val="none" w:sz="0" w:space="0" w:color="auto"/>
      </w:divBdr>
    </w:div>
    <w:div w:id="2042591399">
      <w:bodyDiv w:val="1"/>
      <w:marLeft w:val="0"/>
      <w:marRight w:val="0"/>
      <w:marTop w:val="0"/>
      <w:marBottom w:val="0"/>
      <w:divBdr>
        <w:top w:val="none" w:sz="0" w:space="0" w:color="auto"/>
        <w:left w:val="none" w:sz="0" w:space="0" w:color="auto"/>
        <w:bottom w:val="none" w:sz="0" w:space="0" w:color="auto"/>
        <w:right w:val="none" w:sz="0" w:space="0" w:color="auto"/>
      </w:divBdr>
    </w:div>
    <w:div w:id="2116440646">
      <w:bodyDiv w:val="1"/>
      <w:marLeft w:val="0"/>
      <w:marRight w:val="0"/>
      <w:marTop w:val="0"/>
      <w:marBottom w:val="0"/>
      <w:divBdr>
        <w:top w:val="none" w:sz="0" w:space="0" w:color="auto"/>
        <w:left w:val="none" w:sz="0" w:space="0" w:color="auto"/>
        <w:bottom w:val="none" w:sz="0" w:space="0" w:color="auto"/>
        <w:right w:val="none" w:sz="0" w:space="0" w:color="auto"/>
      </w:divBdr>
    </w:div>
    <w:div w:id="212121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g-wei.chen@ucd.ie" TargetMode="External"/><Relationship Id="rId18" Type="http://schemas.openxmlformats.org/officeDocument/2006/relationships/hyperlink" Target="mailto:cc@mrc.soton.ac.uk" TargetMode="External"/><Relationship Id="rId26" Type="http://schemas.openxmlformats.org/officeDocument/2006/relationships/hyperlink" Target="mailto:fionnuala.mcauliffe@ucd.ie"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l.duijts@erasmusmc.nl"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mailto:barbara.heude@inserm.fr" TargetMode="External"/><Relationship Id="rId17" Type="http://schemas.openxmlformats.org/officeDocument/2006/relationships/hyperlink" Target="mailto:jhebert@mailbox.sc.edu" TargetMode="External"/><Relationship Id="rId25" Type="http://schemas.openxmlformats.org/officeDocument/2006/relationships/hyperlink" Target="mailto:kinga.polanska@imp.lodz.pl"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shivappa@email.sc.edu" TargetMode="External"/><Relationship Id="rId20" Type="http://schemas.openxmlformats.org/officeDocument/2006/relationships/hyperlink" Target="mailto:nch@mrc.soton.ac.uk" TargetMode="External"/><Relationship Id="rId29" Type="http://schemas.openxmlformats.org/officeDocument/2006/relationships/hyperlink" Target="mailto:jonathan.bernard@inserm.fr"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athan.bernard@inserm.fr" TargetMode="External"/><Relationship Id="rId24" Type="http://schemas.openxmlformats.org/officeDocument/2006/relationships/hyperlink" Target="mailto:agnieszka.jankowska@imp.lodz.pl"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catherine.phillips@ucd.ie" TargetMode="External"/><Relationship Id="rId23" Type="http://schemas.openxmlformats.org/officeDocument/2006/relationships/hyperlink" Target="mailto:wojciech.hanke@imp.lodz.pl" TargetMode="External"/><Relationship Id="rId28" Type="http://schemas.openxmlformats.org/officeDocument/2006/relationships/hyperlink" Target="mailto:matthew.suderman@bristol.ac.uk" TargetMode="External"/><Relationship Id="rId36" Type="http://schemas.openxmlformats.org/officeDocument/2006/relationships/image" Target="media/image5.png"/><Relationship Id="rId49" Type="http://schemas.openxmlformats.org/officeDocument/2006/relationships/image" Target="media/image18.png"/><Relationship Id="rId10" Type="http://schemas.openxmlformats.org/officeDocument/2006/relationships/hyperlink" Target="mailto:blandine.delauzon@inserm.fr" TargetMode="External"/><Relationship Id="rId19" Type="http://schemas.openxmlformats.org/officeDocument/2006/relationships/hyperlink" Target="mailto:src@mrc.soton.ac.uk" TargetMode="External"/><Relationship Id="rId31" Type="http://schemas.openxmlformats.org/officeDocument/2006/relationships/hyperlink" Target="http://www.healthydietforhealthylife.eu/" TargetMode="Externa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ne.forhan@inserm.fr" TargetMode="External"/><Relationship Id="rId14" Type="http://schemas.openxmlformats.org/officeDocument/2006/relationships/hyperlink" Target="mailto:cecily.kelleher@ucd.ie" TargetMode="External"/><Relationship Id="rId22" Type="http://schemas.openxmlformats.org/officeDocument/2006/relationships/hyperlink" Target="mailto:s.mensink-bout@erasmusmc.nl" TargetMode="External"/><Relationship Id="rId27" Type="http://schemas.openxmlformats.org/officeDocument/2006/relationships/hyperlink" Target="mailto:caroline.relton@bristol.ac.uk" TargetMode="External"/><Relationship Id="rId30" Type="http://schemas.openxmlformats.org/officeDocument/2006/relationships/footer" Target="footer1.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hyperlink" Target="mailto:adrien.aubert@inserm.fr" TargetMode="Externa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C3EDA-1925-4A58-B7DA-881E9C2E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50</Pages>
  <Words>49273</Words>
  <Characters>280857</Characters>
  <Application>Microsoft Office Word</Application>
  <DocSecurity>4</DocSecurity>
  <Lines>2340</Lines>
  <Paragraphs>658</Paragraphs>
  <ScaleCrop>false</ScaleCrop>
  <HeadingPairs>
    <vt:vector size="6" baseType="variant">
      <vt:variant>
        <vt:lpstr>Titre</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Hewlett-Packard Company</Company>
  <LinksUpToDate>false</LinksUpToDate>
  <CharactersWithSpaces>329472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ETUDIANT</dc:creator>
  <cp:lastModifiedBy>Karen Drake</cp:lastModifiedBy>
  <cp:revision>2</cp:revision>
  <cp:lastPrinted>2022-07-07T08:50:00Z</cp:lastPrinted>
  <dcterms:created xsi:type="dcterms:W3CDTF">2022-07-07T10:08:00Z</dcterms:created>
  <dcterms:modified xsi:type="dcterms:W3CDTF">2022-07-07T10:08:00Z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id="D3V2l8vO"/&gt;&lt;style id="http://www.zotero.org/styles/american-medical-association" hasBibliography="1" bibliographyStyleHasBeenSet="1"/&gt;&lt;prefs&gt;&lt;pref name="fieldType" value="Field"/&gt;&lt;pref name="store</vt:lpwstr>
  </property>
  <property fmtid="{D5CDD505-2E9C-101B-9397-08002B2CF9AE}" pid="3" name="ZOTERO_PREF_2">
    <vt:lpwstr>References" value="true"/&gt;&lt;pref name="automaticJournalAbbreviations" value="true"/&gt;&lt;/prefs&gt;&lt;/data&gt;</vt:lpwstr>
  </property>
</Properties>
</file>